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196850</wp:posOffset>
            </wp:positionH>
            <wp:positionV relativeFrom="page">
              <wp:posOffset>661035</wp:posOffset>
            </wp:positionV>
            <wp:extent cx="71551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632460</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34" w:lineRule="exact"/>
        <w:rPr>
          <w:sz w:val="24"/>
          <w:szCs w:val="24"/>
          <w:color w:val="auto"/>
        </w:rPr>
      </w:pPr>
    </w:p>
    <w:p>
      <w:pPr>
        <w:jc w:val="center"/>
        <w:ind w:right="-37"/>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jc w:val="center"/>
        <w:ind w:right="-37"/>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2393315</wp:posOffset>
            </wp:positionH>
            <wp:positionV relativeFrom="paragraph">
              <wp:posOffset>59055</wp:posOffset>
            </wp:positionV>
            <wp:extent cx="23895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9505" cy="6985"/>
                    </a:xfrm>
                    <a:prstGeom prst="rect">
                      <a:avLst/>
                    </a:prstGeom>
                    <a:noFill/>
                  </pic:spPr>
                </pic:pic>
              </a:graphicData>
            </a:graphic>
          </wp:anchor>
        </w:drawing>
      </w:r>
    </w:p>
    <w:p>
      <w:pPr>
        <w:spacing w:after="0" w:line="169" w:lineRule="exact"/>
        <w:rPr>
          <w:sz w:val="24"/>
          <w:szCs w:val="24"/>
          <w:color w:val="auto"/>
        </w:rPr>
      </w:pPr>
    </w:p>
    <w:p>
      <w:pPr>
        <w:jc w:val="center"/>
        <w:ind w:right="-37"/>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2393315</wp:posOffset>
            </wp:positionH>
            <wp:positionV relativeFrom="paragraph">
              <wp:posOffset>85725</wp:posOffset>
            </wp:positionV>
            <wp:extent cx="23895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9505" cy="6985"/>
                    </a:xfrm>
                    <a:prstGeom prst="rect">
                      <a:avLst/>
                    </a:prstGeom>
                    <a:noFill/>
                  </pic:spPr>
                </pic:pic>
              </a:graphicData>
            </a:graphic>
          </wp:anchor>
        </w:drawing>
      </w:r>
    </w:p>
    <w:p>
      <w:pPr>
        <w:spacing w:after="0" w:line="217" w:lineRule="exact"/>
        <w:rPr>
          <w:sz w:val="24"/>
          <w:szCs w:val="24"/>
          <w:color w:val="auto"/>
        </w:rPr>
      </w:pPr>
    </w:p>
    <w:p>
      <w:pPr>
        <w:ind w:left="38"/>
        <w:spacing w:after="0"/>
        <w:rPr>
          <w:sz w:val="20"/>
          <w:szCs w:val="20"/>
          <w:color w:val="auto"/>
        </w:rPr>
      </w:pPr>
      <w:r>
        <w:rPr>
          <w:rFonts w:ascii="Arial" w:cs="Arial" w:eastAsia="Arial" w:hAnsi="Arial"/>
          <w:sz w:val="15"/>
          <w:szCs w:val="15"/>
          <w:color w:val="auto"/>
        </w:rPr>
        <w:t>(Mark One)</w:t>
      </w:r>
    </w:p>
    <w:p>
      <w:pPr>
        <w:spacing w:after="0" w:line="153" w:lineRule="exact"/>
        <w:rPr>
          <w:sz w:val="24"/>
          <w:szCs w:val="24"/>
          <w:color w:val="auto"/>
        </w:rPr>
      </w:pPr>
    </w:p>
    <w:p>
      <w:pPr>
        <w:ind w:left="478" w:hanging="435"/>
        <w:spacing w:after="0"/>
        <w:tabs>
          <w:tab w:leader="none" w:pos="47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4" w:lineRule="exact"/>
        <w:rPr>
          <w:sz w:val="24"/>
          <w:szCs w:val="24"/>
          <w:color w:val="auto"/>
        </w:rPr>
      </w:pPr>
    </w:p>
    <w:p>
      <w:pPr>
        <w:jc w:val="center"/>
        <w:ind w:right="-37"/>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75" w:lineRule="exact"/>
        <w:rPr>
          <w:sz w:val="24"/>
          <w:szCs w:val="24"/>
          <w:color w:val="auto"/>
        </w:rPr>
      </w:pPr>
    </w:p>
    <w:p>
      <w:pPr>
        <w:jc w:val="center"/>
        <w:ind w:right="-37"/>
        <w:spacing w:after="0"/>
        <w:rPr>
          <w:sz w:val="20"/>
          <w:szCs w:val="20"/>
          <w:color w:val="auto"/>
        </w:rPr>
      </w:pPr>
      <w:r>
        <w:rPr>
          <w:rFonts w:ascii="Arial" w:cs="Arial" w:eastAsia="Arial" w:hAnsi="Arial"/>
          <w:sz w:val="15"/>
          <w:szCs w:val="15"/>
          <w:b w:val="1"/>
          <w:bCs w:val="1"/>
          <w:color w:val="auto"/>
        </w:rPr>
        <w:t>OR</w:t>
      </w:r>
    </w:p>
    <w:p>
      <w:pPr>
        <w:spacing w:after="0" w:line="270" w:lineRule="exact"/>
        <w:rPr>
          <w:sz w:val="24"/>
          <w:szCs w:val="24"/>
          <w:color w:val="auto"/>
        </w:rPr>
      </w:pPr>
    </w:p>
    <w:p>
      <w:pPr>
        <w:ind w:left="478" w:hanging="478"/>
        <w:spacing w:after="0"/>
        <w:tabs>
          <w:tab w:leader="none" w:pos="47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3" w:lineRule="exact"/>
        <w:rPr>
          <w:sz w:val="24"/>
          <w:szCs w:val="24"/>
          <w:color w:val="auto"/>
        </w:rPr>
      </w:pPr>
    </w:p>
    <w:p>
      <w:pPr>
        <w:jc w:val="center"/>
        <w:ind w:right="-37"/>
        <w:spacing w:after="0"/>
        <w:rPr>
          <w:sz w:val="20"/>
          <w:szCs w:val="20"/>
          <w:color w:val="auto"/>
        </w:rPr>
      </w:pPr>
      <w:r>
        <w:rPr>
          <w:rFonts w:ascii="Arial" w:cs="Arial" w:eastAsia="Arial" w:hAnsi="Arial"/>
          <w:sz w:val="15"/>
          <w:szCs w:val="15"/>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1756410</wp:posOffset>
            </wp:positionH>
            <wp:positionV relativeFrom="paragraph">
              <wp:posOffset>78740</wp:posOffset>
            </wp:positionV>
            <wp:extent cx="36703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70300" cy="698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157480</wp:posOffset>
            </wp:positionV>
            <wp:extent cx="1431290" cy="593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290" cy="593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1018" w:type="dxa"/>
        <w:tblCellMar>
          <w:top w:w="0" w:type="dxa"/>
          <w:left w:w="0" w:type="dxa"/>
          <w:bottom w:w="0" w:type="dxa"/>
          <w:right w:w="0" w:type="dxa"/>
        </w:tblCellMar>
      </w:tblPr>
      <w:tr>
        <w:trPr>
          <w:trHeight w:val="235"/>
        </w:trPr>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540" w:type="dxa"/>
            <w:vAlign w:val="bottom"/>
            <w:gridSpan w:val="6"/>
          </w:tcPr>
          <w:p>
            <w:pPr>
              <w:jc w:val="center"/>
              <w:ind w:right="2140"/>
              <w:spacing w:after="0"/>
              <w:rPr>
                <w:sz w:val="20"/>
                <w:szCs w:val="20"/>
                <w:color w:val="auto"/>
              </w:rPr>
            </w:pPr>
            <w:r>
              <w:rPr>
                <w:rFonts w:ascii="Arial" w:cs="Arial" w:eastAsia="Arial" w:hAnsi="Arial"/>
                <w:sz w:val="18"/>
                <w:szCs w:val="18"/>
                <w:b w:val="1"/>
                <w:bCs w:val="1"/>
                <w:color w:val="auto"/>
              </w:rPr>
              <w:t>FIDELITY NATIONAL FINANCIAL, INC.</w:t>
            </w:r>
          </w:p>
        </w:tc>
      </w:tr>
      <w:tr>
        <w:trPr>
          <w:trHeight w:val="204"/>
        </w:trPr>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gridSpan w:val="3"/>
          </w:tcPr>
          <w:p>
            <w:pPr>
              <w:jc w:val="center"/>
              <w:ind w:left="471"/>
              <w:spacing w:after="0"/>
              <w:rPr>
                <w:sz w:val="20"/>
                <w:szCs w:val="20"/>
                <w:color w:val="auto"/>
              </w:rPr>
            </w:pPr>
            <w:r>
              <w:rPr>
                <w:rFonts w:ascii="Arial" w:cs="Arial" w:eastAsia="Arial" w:hAnsi="Arial"/>
                <w:sz w:val="15"/>
                <w:szCs w:val="15"/>
                <w:b w:val="1"/>
                <w:bCs w:val="1"/>
                <w:color w:val="auto"/>
                <w:w w:val="89"/>
              </w:rPr>
              <w:t>(Exact name of registrant as specified in its charter)</w:t>
            </w: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02"/>
        </w:trPr>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98"/>
        </w:trPr>
        <w:tc>
          <w:tcPr>
            <w:tcW w:w="2440" w:type="dxa"/>
            <w:vAlign w:val="bottom"/>
            <w:gridSpan w:val="4"/>
          </w:tcPr>
          <w:p>
            <w:pPr>
              <w:jc w:val="center"/>
              <w:ind w:right="880"/>
              <w:spacing w:after="0"/>
              <w:rPr>
                <w:sz w:val="20"/>
                <w:szCs w:val="20"/>
                <w:color w:val="auto"/>
              </w:rPr>
            </w:pPr>
            <w:r>
              <w:rPr>
                <w:rFonts w:ascii="Arial" w:cs="Arial" w:eastAsia="Arial" w:hAnsi="Arial"/>
                <w:sz w:val="15"/>
                <w:szCs w:val="15"/>
                <w:b w:val="1"/>
                <w:bCs w:val="1"/>
                <w:color w:val="auto"/>
                <w:w w:val="91"/>
              </w:rPr>
              <w:t>Delaware</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80" w:type="dxa"/>
            <w:vAlign w:val="bottom"/>
            <w:gridSpan w:val="3"/>
          </w:tcPr>
          <w:p>
            <w:pPr>
              <w:jc w:val="center"/>
              <w:ind w:left="1675"/>
              <w:spacing w:after="0"/>
              <w:rPr>
                <w:sz w:val="20"/>
                <w:szCs w:val="20"/>
                <w:color w:val="auto"/>
              </w:rPr>
            </w:pPr>
            <w:r>
              <w:rPr>
                <w:rFonts w:ascii="Arial" w:cs="Arial" w:eastAsia="Arial" w:hAnsi="Arial"/>
                <w:sz w:val="15"/>
                <w:szCs w:val="15"/>
                <w:b w:val="1"/>
                <w:bCs w:val="1"/>
                <w:color w:val="auto"/>
                <w:w w:val="92"/>
              </w:rPr>
              <w:t>16-1725106</w:t>
            </w:r>
          </w:p>
        </w:tc>
      </w:tr>
      <w:tr>
        <w:trPr>
          <w:trHeight w:val="121"/>
        </w:trPr>
        <w:tc>
          <w:tcPr>
            <w:tcW w:w="2440" w:type="dxa"/>
            <w:vAlign w:val="bottom"/>
            <w:gridSpan w:val="4"/>
          </w:tcPr>
          <w:p>
            <w:pPr>
              <w:jc w:val="center"/>
              <w:ind w:right="900"/>
              <w:spacing w:after="0" w:line="121" w:lineRule="exact"/>
              <w:rPr>
                <w:sz w:val="20"/>
                <w:szCs w:val="20"/>
                <w:color w:val="auto"/>
              </w:rPr>
            </w:pPr>
            <w:r>
              <w:rPr>
                <w:rFonts w:ascii="Arial" w:cs="Arial" w:eastAsia="Arial" w:hAnsi="Arial"/>
                <w:sz w:val="12"/>
                <w:szCs w:val="12"/>
                <w:b w:val="1"/>
                <w:bCs w:val="1"/>
                <w:color w:val="auto"/>
                <w:w w:val="91"/>
              </w:rPr>
              <w:t>(State or other jurisdiction of</w:t>
            </w: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gridSpan w:val="2"/>
          </w:tcPr>
          <w:p>
            <w:pPr>
              <w:jc w:val="center"/>
              <w:ind w:left="460"/>
              <w:spacing w:after="0" w:line="121" w:lineRule="exact"/>
              <w:rPr>
                <w:sz w:val="20"/>
                <w:szCs w:val="20"/>
                <w:color w:val="auto"/>
              </w:rPr>
            </w:pPr>
            <w:r>
              <w:rPr>
                <w:rFonts w:ascii="Arial" w:cs="Arial" w:eastAsia="Arial" w:hAnsi="Arial"/>
                <w:sz w:val="12"/>
                <w:szCs w:val="12"/>
                <w:b w:val="1"/>
                <w:bCs w:val="1"/>
                <w:color w:val="auto"/>
                <w:w w:val="93"/>
              </w:rPr>
              <w:t>(I.R.S. Employer</w:t>
            </w:r>
          </w:p>
        </w:tc>
      </w:tr>
      <w:tr>
        <w:trPr>
          <w:trHeight w:val="157"/>
        </w:trPr>
        <w:tc>
          <w:tcPr>
            <w:tcW w:w="2440" w:type="dxa"/>
            <w:vAlign w:val="bottom"/>
            <w:gridSpan w:val="4"/>
          </w:tcPr>
          <w:p>
            <w:pPr>
              <w:jc w:val="center"/>
              <w:ind w:right="880"/>
              <w:spacing w:after="0"/>
              <w:rPr>
                <w:sz w:val="20"/>
                <w:szCs w:val="20"/>
                <w:color w:val="auto"/>
              </w:rPr>
            </w:pPr>
            <w:r>
              <w:rPr>
                <w:rFonts w:ascii="Arial" w:cs="Arial" w:eastAsia="Arial" w:hAnsi="Arial"/>
                <w:sz w:val="12"/>
                <w:szCs w:val="12"/>
                <w:b w:val="1"/>
                <w:bCs w:val="1"/>
                <w:color w:val="auto"/>
                <w:w w:val="91"/>
              </w:rPr>
              <w:t>incorporation or organization)</w:t>
            </w: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60" w:type="dxa"/>
            <w:vAlign w:val="bottom"/>
            <w:gridSpan w:val="2"/>
          </w:tcPr>
          <w:p>
            <w:pPr>
              <w:jc w:val="center"/>
              <w:ind w:left="460"/>
              <w:spacing w:after="0"/>
              <w:rPr>
                <w:sz w:val="20"/>
                <w:szCs w:val="20"/>
                <w:color w:val="auto"/>
              </w:rPr>
            </w:pPr>
            <w:r>
              <w:rPr>
                <w:rFonts w:ascii="Arial" w:cs="Arial" w:eastAsia="Arial" w:hAnsi="Arial"/>
                <w:sz w:val="12"/>
                <w:szCs w:val="12"/>
                <w:b w:val="1"/>
                <w:bCs w:val="1"/>
                <w:color w:val="auto"/>
                <w:w w:val="92"/>
              </w:rPr>
              <w:t>Identification No.)</w:t>
            </w:r>
          </w:p>
        </w:tc>
      </w:tr>
      <w:tr>
        <w:trPr>
          <w:trHeight w:val="245"/>
        </w:trPr>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8"/>
              </w:rPr>
              <w:t>601 Riverside Avenue</w:t>
            </w: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175"/>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0"/>
              </w:rPr>
              <w:t>Jacksonville, Florida, 32204</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57"/>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60" w:type="dxa"/>
            <w:vAlign w:val="bottom"/>
            <w:gridSpan w:val="3"/>
          </w:tcPr>
          <w:p>
            <w:pPr>
              <w:jc w:val="center"/>
              <w:ind w:left="491"/>
              <w:spacing w:after="0"/>
              <w:rPr>
                <w:sz w:val="20"/>
                <w:szCs w:val="20"/>
                <w:color w:val="auto"/>
              </w:rPr>
            </w:pPr>
            <w:r>
              <w:rPr>
                <w:rFonts w:ascii="Arial" w:cs="Arial" w:eastAsia="Arial" w:hAnsi="Arial"/>
                <w:sz w:val="12"/>
                <w:szCs w:val="12"/>
                <w:b w:val="1"/>
                <w:bCs w:val="1"/>
                <w:color w:val="auto"/>
                <w:w w:val="88"/>
              </w:rPr>
              <w:t>(Address of principal executive offices, including zip code)</w:t>
            </w: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80"/>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gridSpan w:val="3"/>
          </w:tcPr>
          <w:p>
            <w:pPr>
              <w:jc w:val="center"/>
              <w:ind w:left="491"/>
              <w:spacing w:after="0"/>
              <w:rPr>
                <w:sz w:val="20"/>
                <w:szCs w:val="20"/>
                <w:color w:val="auto"/>
              </w:rPr>
            </w:pPr>
            <w:r>
              <w:rPr>
                <w:rFonts w:ascii="Arial" w:cs="Arial" w:eastAsia="Arial" w:hAnsi="Arial"/>
                <w:sz w:val="15"/>
                <w:szCs w:val="15"/>
                <w:b w:val="1"/>
                <w:bCs w:val="1"/>
                <w:color w:val="auto"/>
                <w:w w:val="91"/>
              </w:rPr>
              <w:t>(904) 854-8100</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4"/>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60" w:type="dxa"/>
            <w:vAlign w:val="bottom"/>
            <w:gridSpan w:val="3"/>
          </w:tcPr>
          <w:p>
            <w:pPr>
              <w:jc w:val="center"/>
              <w:ind w:left="471"/>
              <w:spacing w:after="0"/>
              <w:rPr>
                <w:sz w:val="20"/>
                <w:szCs w:val="20"/>
                <w:color w:val="auto"/>
              </w:rPr>
            </w:pPr>
            <w:r>
              <w:rPr>
                <w:rFonts w:ascii="Arial" w:cs="Arial" w:eastAsia="Arial" w:hAnsi="Arial"/>
                <w:sz w:val="12"/>
                <w:szCs w:val="12"/>
                <w:b w:val="1"/>
                <w:bCs w:val="1"/>
                <w:color w:val="auto"/>
                <w:w w:val="89"/>
              </w:rPr>
              <w:t>(Registrant’s telephone number, including area code)</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38"/>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gridSpan w:val="3"/>
          </w:tcPr>
          <w:p>
            <w:pPr>
              <w:jc w:val="center"/>
              <w:ind w:left="491"/>
              <w:spacing w:after="0"/>
              <w:rPr>
                <w:sz w:val="20"/>
                <w:szCs w:val="20"/>
                <w:color w:val="auto"/>
              </w:rPr>
            </w:pPr>
            <w:r>
              <w:rPr>
                <w:rFonts w:ascii="Arial" w:cs="Arial" w:eastAsia="Arial" w:hAnsi="Arial"/>
                <w:sz w:val="12"/>
                <w:szCs w:val="12"/>
                <w:b w:val="1"/>
                <w:bCs w:val="1"/>
                <w:color w:val="auto"/>
                <w:w w:val="89"/>
              </w:rPr>
              <w:t>Securities registered pursuant to Section 12(b) of the Act:</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4"/>
        </w:trPr>
        <w:tc>
          <w:tcPr>
            <w:tcW w:w="4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89"/>
              </w:rPr>
              <w:t>Title of Each Class</w:t>
            </w:r>
          </w:p>
        </w:tc>
        <w:tc>
          <w:tcPr>
            <w:tcW w:w="980" w:type="dxa"/>
            <w:vAlign w:val="bottom"/>
            <w:gridSpan w:val="2"/>
          </w:tcPr>
          <w:p>
            <w:pPr>
              <w:spacing w:after="0"/>
              <w:rPr>
                <w:sz w:val="12"/>
                <w:szCs w:val="12"/>
                <w:color w:val="auto"/>
              </w:rPr>
            </w:pPr>
          </w:p>
        </w:tc>
        <w:tc>
          <w:tcPr>
            <w:tcW w:w="3860" w:type="dxa"/>
            <w:vAlign w:val="bottom"/>
            <w:gridSpan w:val="3"/>
          </w:tcPr>
          <w:p>
            <w:pPr>
              <w:jc w:val="center"/>
              <w:ind w:right="1080"/>
              <w:spacing w:after="0"/>
              <w:rPr>
                <w:sz w:val="20"/>
                <w:szCs w:val="20"/>
                <w:color w:val="auto"/>
              </w:rPr>
            </w:pPr>
            <w:r>
              <w:rPr>
                <w:rFonts w:ascii="Arial" w:cs="Arial" w:eastAsia="Arial" w:hAnsi="Arial"/>
                <w:sz w:val="12"/>
                <w:szCs w:val="12"/>
                <w:b w:val="1"/>
                <w:bCs w:val="1"/>
                <w:color w:val="auto"/>
                <w:w w:val="90"/>
              </w:rPr>
              <w:t>Trading Symbol</w:t>
            </w:r>
          </w:p>
        </w:tc>
        <w:tc>
          <w:tcPr>
            <w:tcW w:w="26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0"/>
              </w:rPr>
              <w:t>Name of Each Exchange on Which Registered</w:t>
            </w:r>
          </w:p>
        </w:tc>
      </w:tr>
      <w:tr>
        <w:trPr>
          <w:trHeight w:val="20"/>
        </w:trPr>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2"/>
        </w:trPr>
        <w:tc>
          <w:tcPr>
            <w:tcW w:w="2440" w:type="dxa"/>
            <w:vAlign w:val="bottom"/>
            <w:gridSpan w:val="4"/>
          </w:tcPr>
          <w:p>
            <w:pPr>
              <w:jc w:val="center"/>
              <w:ind w:right="500"/>
              <w:spacing w:after="0"/>
              <w:rPr>
                <w:sz w:val="20"/>
                <w:szCs w:val="20"/>
                <w:color w:val="auto"/>
              </w:rPr>
            </w:pPr>
            <w:r>
              <w:rPr>
                <w:rFonts w:ascii="Arial" w:cs="Arial" w:eastAsia="Arial" w:hAnsi="Arial"/>
                <w:sz w:val="12"/>
                <w:szCs w:val="12"/>
                <w:color w:val="auto"/>
                <w:w w:val="91"/>
              </w:rPr>
              <w:t>FNF Common Stock, $0.0001 par value</w:t>
            </w:r>
          </w:p>
        </w:tc>
        <w:tc>
          <w:tcPr>
            <w:tcW w:w="980" w:type="dxa"/>
            <w:vAlign w:val="bottom"/>
          </w:tcPr>
          <w:p>
            <w:pPr>
              <w:spacing w:after="0"/>
              <w:rPr>
                <w:sz w:val="14"/>
                <w:szCs w:val="14"/>
                <w:color w:val="auto"/>
              </w:rPr>
            </w:pPr>
          </w:p>
        </w:tc>
        <w:tc>
          <w:tcPr>
            <w:tcW w:w="2880" w:type="dxa"/>
            <w:vAlign w:val="bottom"/>
            <w:gridSpan w:val="2"/>
          </w:tcPr>
          <w:p>
            <w:pPr>
              <w:jc w:val="center"/>
              <w:ind w:right="2060"/>
              <w:spacing w:after="0"/>
              <w:rPr>
                <w:sz w:val="20"/>
                <w:szCs w:val="20"/>
                <w:color w:val="auto"/>
              </w:rPr>
            </w:pPr>
            <w:r>
              <w:rPr>
                <w:rFonts w:ascii="Arial" w:cs="Arial" w:eastAsia="Arial" w:hAnsi="Arial"/>
                <w:sz w:val="12"/>
                <w:szCs w:val="12"/>
                <w:color w:val="auto"/>
                <w:w w:val="94"/>
              </w:rPr>
              <w:t>FNF</w:t>
            </w:r>
          </w:p>
        </w:tc>
        <w:tc>
          <w:tcPr>
            <w:tcW w:w="2680" w:type="dxa"/>
            <w:vAlign w:val="bottom"/>
            <w:gridSpan w:val="3"/>
          </w:tcPr>
          <w:p>
            <w:pPr>
              <w:jc w:val="center"/>
              <w:ind w:right="300"/>
              <w:spacing w:after="0"/>
              <w:rPr>
                <w:sz w:val="20"/>
                <w:szCs w:val="20"/>
                <w:color w:val="auto"/>
              </w:rPr>
            </w:pPr>
            <w:r>
              <w:rPr>
                <w:rFonts w:ascii="Arial" w:cs="Arial" w:eastAsia="Arial" w:hAnsi="Arial"/>
                <w:sz w:val="12"/>
                <w:szCs w:val="12"/>
                <w:color w:val="auto"/>
                <w:w w:val="91"/>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1756410</wp:posOffset>
            </wp:positionH>
            <wp:positionV relativeFrom="paragraph">
              <wp:posOffset>77470</wp:posOffset>
            </wp:positionV>
            <wp:extent cx="36703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70300" cy="6985"/>
                    </a:xfrm>
                    <a:prstGeom prst="rect">
                      <a:avLst/>
                    </a:prstGeom>
                    <a:noFill/>
                  </pic:spPr>
                </pic:pic>
              </a:graphicData>
            </a:graphic>
          </wp:anchor>
        </w:drawing>
      </w:r>
    </w:p>
    <w:p>
      <w:pPr>
        <w:spacing w:after="0" w:line="199" w:lineRule="exact"/>
        <w:rPr>
          <w:sz w:val="24"/>
          <w:szCs w:val="24"/>
          <w:color w:val="auto"/>
        </w:rPr>
      </w:pPr>
    </w:p>
    <w:p>
      <w:pPr>
        <w:ind w:left="38"/>
        <w:spacing w:after="0"/>
        <w:rPr>
          <w:sz w:val="20"/>
          <w:szCs w:val="20"/>
          <w:color w:val="auto"/>
        </w:rPr>
      </w:pPr>
      <w:r>
        <w:rPr>
          <w:rFonts w:ascii="Arial" w:cs="Arial" w:eastAsia="Arial" w:hAnsi="Arial"/>
          <w:sz w:val="12"/>
          <w:szCs w:val="12"/>
          <w:color w:val="auto"/>
        </w:rPr>
        <w:t>Securities registered pursuant to Section 12(g) of the Act: None</w:t>
      </w:r>
    </w:p>
    <w:p>
      <w:pPr>
        <w:spacing w:after="0" w:line="15" w:lineRule="exact"/>
        <w:rPr>
          <w:sz w:val="24"/>
          <w:szCs w:val="24"/>
          <w:color w:val="auto"/>
        </w:rPr>
      </w:pPr>
    </w:p>
    <w:p>
      <w:pPr>
        <w:ind w:left="38" w:right="4760"/>
        <w:spacing w:after="0" w:line="228"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0"/>
          <w:szCs w:val="10"/>
          <w:color w:val="auto"/>
        </w:rPr>
        <w:t xml:space="preserve"> No </w:t>
      </w:r>
      <w:r>
        <w:rPr>
          <w:rFonts w:ascii="MS PGothic" w:cs="MS PGothic" w:eastAsia="MS PGothic" w:hAnsi="MS PGothic"/>
          <w:sz w:val="15"/>
          <w:szCs w:val="15"/>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0"/>
          <w:szCs w:val="10"/>
          <w:color w:val="auto"/>
        </w:rPr>
        <w:t xml:space="preserve"> No </w:t>
      </w:r>
      <w:r>
        <w:rPr>
          <w:rFonts w:ascii="MS PGothic" w:cs="MS PGothic" w:eastAsia="MS PGothic" w:hAnsi="MS PGothic"/>
          <w:sz w:val="15"/>
          <w:szCs w:val="15"/>
          <w:color w:val="auto"/>
        </w:rPr>
        <w:t>☒</w:t>
      </w:r>
    </w:p>
    <w:p>
      <w:pPr>
        <w:spacing w:after="0" w:line="36" w:lineRule="exact"/>
        <w:rPr>
          <w:sz w:val="24"/>
          <w:szCs w:val="24"/>
          <w:color w:val="auto"/>
        </w:rPr>
      </w:pPr>
    </w:p>
    <w:p>
      <w:pPr>
        <w:ind w:left="38"/>
        <w:spacing w:after="0" w:line="19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2"/>
          <w:szCs w:val="12"/>
          <w:color w:val="auto"/>
        </w:rPr>
        <w:t xml:space="preserve"> or No </w:t>
      </w:r>
      <w:r>
        <w:rPr>
          <w:rFonts w:ascii="MS PGothic" w:cs="MS PGothic" w:eastAsia="MS PGothic" w:hAnsi="MS PGothic"/>
          <w:sz w:val="18"/>
          <w:szCs w:val="18"/>
          <w:color w:val="auto"/>
        </w:rPr>
        <w:t>☐</w:t>
      </w:r>
    </w:p>
    <w:p>
      <w:pPr>
        <w:spacing w:after="0" w:line="43" w:lineRule="exact"/>
        <w:rPr>
          <w:sz w:val="24"/>
          <w:szCs w:val="24"/>
          <w:color w:val="auto"/>
        </w:rPr>
      </w:pPr>
    </w:p>
    <w:p>
      <w:pPr>
        <w:ind w:left="38"/>
        <w:spacing w:after="0" w:line="205" w:lineRule="exact"/>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w:t>
      </w:r>
      <w:r>
        <w:rPr>
          <w:rFonts w:ascii="Arial" w:cs="Arial" w:eastAsia="Arial" w:hAnsi="Arial"/>
          <w:sz w:val="13"/>
          <w:szCs w:val="13"/>
          <w:color w:val="auto"/>
        </w:rPr>
        <w:t>§</w:t>
      </w:r>
      <w:r>
        <w:rPr>
          <w:rFonts w:ascii="Arial" w:cs="Arial" w:eastAsia="Arial" w:hAnsi="Arial"/>
          <w:sz w:val="12"/>
          <w:szCs w:val="12"/>
          <w:color w:val="auto"/>
        </w:rPr>
        <w:t xml:space="preserve">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2"/>
          <w:szCs w:val="12"/>
          <w:color w:val="auto"/>
        </w:rPr>
        <w:t xml:space="preserve"> or No</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18058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98"/>
          </w:cols>
          <w:pgMar w:left="282" w:top="1103" w:right="319" w:bottom="1440" w:gutter="0" w:footer="0" w:header="0"/>
        </w:sectPr>
      </w:pPr>
    </w:p>
    <w:bookmarkStart w:id="1" w:name="page2"/>
    <w:bookmarkEnd w:id="1"/>
    <w:p>
      <w:pPr>
        <w:spacing w:after="0" w:line="26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46" w:right="339" w:bottom="1440" w:gutter="0" w:footer="0" w:header="0"/>
        </w:sectPr>
      </w:pPr>
    </w:p>
    <w:p>
      <w:pPr>
        <w:spacing w:after="0" w:line="297" w:lineRule="exact"/>
        <w:rPr>
          <w:sz w:val="20"/>
          <w:szCs w:val="20"/>
          <w:color w:val="auto"/>
        </w:rPr>
      </w:pPr>
    </w:p>
    <w:p>
      <w:pPr>
        <w:ind w:left="1340"/>
        <w:spacing w:after="0"/>
        <w:rPr>
          <w:sz w:val="20"/>
          <w:szCs w:val="20"/>
          <w:color w:val="auto"/>
        </w:rPr>
      </w:pPr>
      <w:r>
        <w:rPr>
          <w:rFonts w:ascii="Arial" w:cs="Arial" w:eastAsia="Arial" w:hAnsi="Arial"/>
          <w:sz w:val="11"/>
          <w:szCs w:val="11"/>
          <w:color w:val="auto"/>
        </w:rPr>
        <w:t>Large Accelerated Filer</w:t>
      </w:r>
    </w:p>
    <w:p>
      <w:pPr>
        <w:spacing w:after="0" w:line="178" w:lineRule="exact"/>
        <w:rPr>
          <w:sz w:val="20"/>
          <w:szCs w:val="20"/>
          <w:color w:val="auto"/>
        </w:rPr>
      </w:pPr>
    </w:p>
    <w:p>
      <w:pPr>
        <w:ind w:left="1340"/>
        <w:spacing w:after="0"/>
        <w:rPr>
          <w:sz w:val="20"/>
          <w:szCs w:val="20"/>
          <w:color w:val="auto"/>
        </w:rPr>
      </w:pPr>
      <w:r>
        <w:rPr>
          <w:rFonts w:ascii="Arial" w:cs="Arial" w:eastAsia="Arial" w:hAnsi="Arial"/>
          <w:sz w:val="11"/>
          <w:szCs w:val="11"/>
          <w:color w:val="auto"/>
        </w:rPr>
        <w:t>Non-accelerated Filer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24" w:lineRule="exact"/>
        <w:rPr>
          <w:sz w:val="20"/>
          <w:szCs w:val="20"/>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color w:val="auto"/>
        </w:rPr>
        <w:t>Accelerated Filer</w:t>
      </w:r>
    </w:p>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178" w:lineRule="exact"/>
        <w:rPr>
          <w:sz w:val="20"/>
          <w:szCs w:val="20"/>
          <w:color w:val="auto"/>
        </w:rPr>
      </w:pPr>
    </w:p>
    <w:p>
      <w:pPr>
        <w:spacing w:after="0"/>
        <w:rPr>
          <w:sz w:val="20"/>
          <w:szCs w:val="20"/>
          <w:color w:val="auto"/>
        </w:rPr>
      </w:pPr>
      <w:r>
        <w:rPr>
          <w:rFonts w:ascii="Arial" w:cs="Arial" w:eastAsia="Arial" w:hAnsi="Arial"/>
          <w:sz w:val="11"/>
          <w:szCs w:val="11"/>
          <w:color w:val="auto"/>
        </w:rPr>
        <w:t>Emerging growth company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0" w:lineRule="exact"/>
        <w:rPr>
          <w:sz w:val="20"/>
          <w:szCs w:val="20"/>
          <w:color w:val="auto"/>
        </w:rPr>
      </w:pPr>
    </w:p>
    <w:p>
      <w:pPr>
        <w:sectPr>
          <w:pgSz w:w="11900" w:h="16838" w:orient="portrait"/>
          <w:cols w:equalWidth="0" w:num="4">
            <w:col w:w="4120" w:space="720"/>
            <w:col w:w="200" w:space="620"/>
            <w:col w:w="2820" w:space="720"/>
            <w:col w:w="2040"/>
          </w:cols>
          <w:pgMar w:left="320" w:top="946" w:right="339" w:bottom="1440" w:gutter="0" w:footer="0" w:header="0"/>
          <w:type w:val="continuous"/>
        </w:sectPr>
      </w:pPr>
    </w:p>
    <w:p>
      <w:pPr>
        <w:ind w:right="40"/>
        <w:spacing w:after="0" w:line="19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7" w:lineRule="exact"/>
        <w:rPr>
          <w:sz w:val="20"/>
          <w:szCs w:val="20"/>
          <w:color w:val="auto"/>
        </w:rPr>
      </w:pPr>
    </w:p>
    <w:p>
      <w:pPr>
        <w:ind w:right="80"/>
        <w:spacing w:after="0" w:line="197"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2"/>
          <w:szCs w:val="12"/>
          <w:color w:val="auto"/>
        </w:rPr>
        <w:t xml:space="preserve"> No </w:t>
      </w:r>
      <w:r>
        <w:rPr>
          <w:rFonts w:ascii="MS PGothic" w:cs="MS PGothic" w:eastAsia="MS PGothic" w:hAnsi="MS PGothic"/>
          <w:sz w:val="18"/>
          <w:szCs w:val="18"/>
          <w:color w:val="auto"/>
        </w:rPr>
        <w:t>☐</w:t>
      </w:r>
    </w:p>
    <w:p>
      <w:pPr>
        <w:spacing w:after="0" w:line="11" w:lineRule="exact"/>
        <w:rPr>
          <w:sz w:val="20"/>
          <w:szCs w:val="20"/>
          <w:color w:val="auto"/>
        </w:rPr>
      </w:pPr>
    </w:p>
    <w:p>
      <w:pPr>
        <w:spacing w:after="0" w:line="207" w:lineRule="exact"/>
        <w:tabs>
          <w:tab w:leader="none" w:pos="6020" w:val="left"/>
        </w:tabs>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8"/>
          <w:szCs w:val="18"/>
          <w:color w:val="auto"/>
        </w:rPr>
        <w:t>☒</w:t>
      </w:r>
    </w:p>
    <w:p>
      <w:pPr>
        <w:spacing w:after="0" w:line="127" w:lineRule="exact"/>
        <w:rPr>
          <w:sz w:val="20"/>
          <w:szCs w:val="20"/>
          <w:color w:val="auto"/>
        </w:rPr>
      </w:pPr>
    </w:p>
    <w:p>
      <w:pPr>
        <w:ind w:right="80" w:firstLine="270"/>
        <w:spacing w:after="0" w:line="274" w:lineRule="auto"/>
        <w:rPr>
          <w:sz w:val="20"/>
          <w:szCs w:val="20"/>
          <w:color w:val="auto"/>
        </w:rPr>
      </w:pPr>
      <w:r>
        <w:rPr>
          <w:rFonts w:ascii="Arial" w:cs="Arial" w:eastAsia="Arial" w:hAnsi="Arial"/>
          <w:sz w:val="15"/>
          <w:szCs w:val="15"/>
          <w:color w:val="auto"/>
        </w:rPr>
        <w:t>The aggregate market value of the shares of FNF common stock held by non-affiliates of the registrant as of June 30, 2021 was $11,843,458,910 based on the closing price of $43.46 as reported by The New York Stock Exchange.</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number of shares outstanding of the Registrant's common stock as of January 31, 2022 were:</w:t>
      </w:r>
    </w:p>
    <w:p>
      <w:pPr>
        <w:spacing w:after="0" w:line="98" w:lineRule="exact"/>
        <w:rPr>
          <w:sz w:val="20"/>
          <w:szCs w:val="20"/>
          <w:color w:val="auto"/>
        </w:rPr>
      </w:pPr>
    </w:p>
    <w:p>
      <w:pPr>
        <w:ind w:left="260"/>
        <w:spacing w:after="0"/>
        <w:tabs>
          <w:tab w:leader="none" w:pos="1640" w:val="left"/>
        </w:tabs>
        <w:rPr>
          <w:sz w:val="20"/>
          <w:szCs w:val="20"/>
          <w:color w:val="auto"/>
        </w:rPr>
      </w:pPr>
      <w:r>
        <w:rPr>
          <w:rFonts w:ascii="Arial" w:cs="Arial" w:eastAsia="Arial" w:hAnsi="Arial"/>
          <w:sz w:val="15"/>
          <w:szCs w:val="15"/>
          <w:color w:val="auto"/>
        </w:rPr>
        <w:t>FNF Common Stock</w:t>
      </w:r>
      <w:r>
        <w:rPr>
          <w:sz w:val="20"/>
          <w:szCs w:val="20"/>
          <w:color w:val="auto"/>
        </w:rPr>
        <w:tab/>
      </w:r>
      <w:r>
        <w:rPr>
          <w:rFonts w:ascii="Arial" w:cs="Arial" w:eastAsia="Arial" w:hAnsi="Arial"/>
          <w:sz w:val="13"/>
          <w:szCs w:val="13"/>
          <w:color w:val="auto"/>
        </w:rPr>
        <w:t>283,570,222</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in Part III hereof for the fiscal year ended December 31, 2021, will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678815</wp:posOffset>
            </wp:positionV>
            <wp:extent cx="718058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0580" cy="400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104775</wp:posOffset>
            </wp:positionV>
            <wp:extent cx="715518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76200</wp:posOffset>
            </wp:positionV>
            <wp:extent cx="71551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type w:val="continuous"/>
        </w:sectPr>
      </w:pPr>
    </w:p>
    <w:bookmarkStart w:id="2" w:name="page3"/>
    <w:bookmarkEnd w:id="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100" w:type="dxa"/>
            <w:vAlign w:val="bottom"/>
            <w:gridSpan w:val="16"/>
          </w:tcPr>
          <w:p>
            <w:pPr>
              <w:jc w:val="center"/>
              <w:ind w:right="2860"/>
              <w:spacing w:after="0"/>
              <w:rPr>
                <w:sz w:val="20"/>
                <w:szCs w:val="20"/>
                <w:color w:val="auto"/>
              </w:rPr>
            </w:pPr>
            <w:r>
              <w:rPr>
                <w:rFonts w:ascii="Arial" w:cs="Arial" w:eastAsia="Arial" w:hAnsi="Arial"/>
                <w:sz w:val="15"/>
                <w:szCs w:val="15"/>
                <w:b w:val="1"/>
                <w:bCs w:val="1"/>
                <w:color w:val="auto"/>
              </w:rPr>
              <w:t>FIDELITY NATIONAL FINANCIAL, INC.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0"/>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300" w:type="dxa"/>
            <w:vAlign w:val="bottom"/>
            <w:gridSpan w:val="14"/>
          </w:tcPr>
          <w:p>
            <w:pPr>
              <w:jc w:val="center"/>
              <w:ind w:right="3640"/>
              <w:spacing w:after="0"/>
              <w:rPr>
                <w:sz w:val="20"/>
                <w:szCs w:val="20"/>
                <w:color w:val="auto"/>
              </w:rPr>
            </w:pPr>
            <w:r>
              <w:rPr>
                <w:rFonts w:ascii="Arial" w:cs="Arial" w:eastAsia="Arial" w:hAnsi="Arial"/>
                <w:sz w:val="15"/>
                <w:szCs w:val="15"/>
                <w:b w:val="1"/>
                <w:bCs w:val="1"/>
                <w:color w:val="auto"/>
              </w:rPr>
              <w:t>FORM 10-K</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4"/>
        </w:trPr>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300" w:type="dxa"/>
            <w:vAlign w:val="bottom"/>
            <w:gridSpan w:val="14"/>
          </w:tcPr>
          <w:p>
            <w:pPr>
              <w:jc w:val="center"/>
              <w:ind w:right="3660"/>
              <w:spacing w:after="0"/>
              <w:rPr>
                <w:sz w:val="20"/>
                <w:szCs w:val="20"/>
                <w:color w:val="auto"/>
              </w:rPr>
            </w:pPr>
            <w:r>
              <w:rPr>
                <w:rFonts w:ascii="Arial" w:cs="Arial" w:eastAsia="Arial" w:hAnsi="Arial"/>
                <w:sz w:val="15"/>
                <w:szCs w:val="15"/>
                <w:b w:val="1"/>
                <w:bCs w:val="1"/>
                <w:color w:val="auto"/>
                <w:w w:val="98"/>
              </w:rPr>
              <w:t>TABLE OF CONTENTS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0"/>
        </w:trPr>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20" w:type="dxa"/>
            <w:vAlign w:val="bottom"/>
            <w:gridSpan w:val="4"/>
          </w:tcPr>
          <w:p>
            <w:pPr>
              <w:jc w:val="center"/>
              <w:spacing w:after="0" w:line="159" w:lineRule="exact"/>
              <w:rPr>
                <w:sz w:val="20"/>
                <w:szCs w:val="20"/>
                <w:color w:val="auto"/>
              </w:rPr>
            </w:pPr>
            <w:r>
              <w:rPr>
                <w:rFonts w:ascii="Arial" w:cs="Arial" w:eastAsia="Arial" w:hAnsi="Arial"/>
                <w:sz w:val="14"/>
                <w:szCs w:val="14"/>
                <w:b w:val="1"/>
                <w:bCs w:val="1"/>
                <w:color w:val="auto"/>
                <w:w w:val="83"/>
              </w:rPr>
              <w:t>Page</w:t>
            </w:r>
          </w:p>
        </w:tc>
      </w:tr>
      <w:tr>
        <w:trPr>
          <w:trHeight w:val="174"/>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188"/>
        </w:trPr>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10"/>
          </w:tcPr>
          <w:p>
            <w:pPr>
              <w:jc w:val="center"/>
              <w:ind w:right="4240"/>
              <w:spacing w:after="0"/>
              <w:rPr>
                <w:rFonts w:ascii="Arial" w:cs="Arial" w:eastAsia="Arial" w:hAnsi="Arial"/>
                <w:sz w:val="15"/>
                <w:szCs w:val="15"/>
                <w:b w:val="1"/>
                <w:bCs w:val="1"/>
                <w:color w:val="0000FF"/>
              </w:rPr>
            </w:pPr>
            <w:hyperlink w:anchor="page3">
              <w:r>
                <w:rPr>
                  <w:rFonts w:ascii="Arial" w:cs="Arial" w:eastAsia="Arial" w:hAnsi="Arial"/>
                  <w:sz w:val="15"/>
                  <w:szCs w:val="15"/>
                  <w:b w:val="1"/>
                  <w:bCs w:val="1"/>
                  <w:color w:val="0000FF"/>
                </w:rPr>
                <w:t>PART I</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72"/>
        </w:trPr>
        <w:tc>
          <w:tcPr>
            <w:tcW w:w="500" w:type="dxa"/>
            <w:vAlign w:val="bottom"/>
            <w:tcBorders>
              <w:bottom w:val="single" w:sz="8" w:color="0000FF"/>
            </w:tcBorders>
          </w:tcPr>
          <w:p>
            <w:pPr>
              <w:spacing w:after="0"/>
              <w:rPr>
                <w:rFonts w:ascii="Arial" w:cs="Arial" w:eastAsia="Arial" w:hAnsi="Arial"/>
                <w:sz w:val="15"/>
                <w:szCs w:val="15"/>
                <w:color w:val="0000FF"/>
              </w:rPr>
            </w:pPr>
            <w:hyperlink w:anchor="page4">
              <w:r>
                <w:rPr>
                  <w:rFonts w:ascii="Arial" w:cs="Arial" w:eastAsia="Arial" w:hAnsi="Arial"/>
                  <w:sz w:val="15"/>
                  <w:szCs w:val="15"/>
                  <w:color w:val="0000FF"/>
                </w:rPr>
                <w:t>Item 1.</w:t>
              </w:r>
            </w:hyperlink>
          </w:p>
        </w:tc>
        <w:tc>
          <w:tcPr>
            <w:tcW w:w="38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Borders>
              <w:bottom w:val="single" w:sz="8" w:color="0000FF"/>
            </w:tcBorders>
          </w:tcPr>
          <w:p>
            <w:pPr>
              <w:spacing w:after="0"/>
              <w:rPr>
                <w:rFonts w:ascii="Arial" w:cs="Arial" w:eastAsia="Arial" w:hAnsi="Arial"/>
                <w:sz w:val="15"/>
                <w:szCs w:val="15"/>
                <w:color w:val="0000FF"/>
                <w:w w:val="88"/>
              </w:rPr>
            </w:pPr>
            <w:hyperlink w:anchor="page4">
              <w:r>
                <w:rPr>
                  <w:rFonts w:ascii="Arial" w:cs="Arial" w:eastAsia="Arial" w:hAnsi="Arial"/>
                  <w:sz w:val="15"/>
                  <w:szCs w:val="15"/>
                  <w:color w:val="0000FF"/>
                  <w:w w:val="88"/>
                </w:rPr>
                <w:t>Business</w:t>
              </w:r>
            </w:hyperlink>
          </w:p>
        </w:tc>
        <w:tc>
          <w:tcPr>
            <w:tcW w:w="3560" w:type="dxa"/>
            <w:vAlign w:val="bottom"/>
            <w:gridSpan w:val="16"/>
          </w:tcPr>
          <w:p>
            <w:pPr>
              <w:spacing w:after="0"/>
              <w:rPr>
                <w:sz w:val="14"/>
                <w:szCs w:val="14"/>
                <w:color w:val="auto"/>
              </w:rPr>
            </w:pPr>
          </w:p>
        </w:tc>
        <w:tc>
          <w:tcPr>
            <w:tcW w:w="480" w:type="dxa"/>
            <w:vAlign w:val="bottom"/>
            <w:tcBorders>
              <w:top w:val="single" w:sz="8" w:color="0000FF"/>
            </w:tcBorders>
            <w:gridSpan w:val="2"/>
          </w:tcPr>
          <w:p>
            <w:pPr>
              <w:spacing w:after="0"/>
              <w:rPr>
                <w:sz w:val="14"/>
                <w:szCs w:val="14"/>
                <w:color w:val="auto"/>
              </w:rPr>
            </w:pPr>
          </w:p>
        </w:tc>
        <w:tc>
          <w:tcPr>
            <w:tcW w:w="4260" w:type="dxa"/>
            <w:vAlign w:val="bottom"/>
            <w:gridSpan w:val="8"/>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95"/>
              </w:rPr>
            </w:pPr>
            <w:hyperlink w:anchor="page4">
              <w:r>
                <w:rPr>
                  <w:rFonts w:ascii="Arial" w:cs="Arial" w:eastAsia="Arial" w:hAnsi="Arial"/>
                  <w:sz w:val="15"/>
                  <w:szCs w:val="15"/>
                  <w:color w:val="0000FF"/>
                  <w:w w:val="95"/>
                </w:rPr>
                <w:t>2</w:t>
              </w:r>
            </w:hyperlink>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560" w:type="dxa"/>
            <w:vAlign w:val="bottom"/>
            <w:tcBorders>
              <w:bottom w:val="single" w:sz="8" w:color="0000FF"/>
            </w:tcBorders>
            <w:gridSpan w:val="3"/>
          </w:tcPr>
          <w:p>
            <w:pPr>
              <w:spacing w:after="0"/>
              <w:rPr>
                <w:rFonts w:ascii="Arial" w:cs="Arial" w:eastAsia="Arial" w:hAnsi="Arial"/>
                <w:sz w:val="15"/>
                <w:szCs w:val="15"/>
                <w:color w:val="0000FF"/>
                <w:w w:val="96"/>
              </w:rPr>
            </w:pPr>
            <w:hyperlink w:anchor="page32">
              <w:r>
                <w:rPr>
                  <w:rFonts w:ascii="Arial" w:cs="Arial" w:eastAsia="Arial" w:hAnsi="Arial"/>
                  <w:sz w:val="15"/>
                  <w:szCs w:val="15"/>
                  <w:color w:val="0000FF"/>
                  <w:w w:val="96"/>
                </w:rPr>
                <w:t>Item 1A.</w:t>
              </w:r>
            </w:hyperlink>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0000FF"/>
            </w:tcBorders>
            <w:gridSpan w:val="3"/>
          </w:tcPr>
          <w:p>
            <w:pPr>
              <w:spacing w:after="0"/>
              <w:rPr>
                <w:rFonts w:ascii="Arial" w:cs="Arial" w:eastAsia="Arial" w:hAnsi="Arial"/>
                <w:sz w:val="15"/>
                <w:szCs w:val="15"/>
                <w:color w:val="0000FF"/>
                <w:w w:val="88"/>
              </w:rPr>
            </w:pPr>
            <w:hyperlink w:anchor="page32">
              <w:r>
                <w:rPr>
                  <w:rFonts w:ascii="Arial" w:cs="Arial" w:eastAsia="Arial" w:hAnsi="Arial"/>
                  <w:sz w:val="15"/>
                  <w:szCs w:val="15"/>
                  <w:color w:val="0000FF"/>
                  <w:w w:val="88"/>
                </w:rPr>
                <w:t>Risk Factors</w:t>
              </w:r>
            </w:hyperlink>
          </w:p>
        </w:tc>
        <w:tc>
          <w:tcPr>
            <w:tcW w:w="8120" w:type="dxa"/>
            <w:vAlign w:val="bottom"/>
            <w:gridSpan w:val="24"/>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0000FF"/>
            </w:tcBorders>
            <w:gridSpan w:val="2"/>
          </w:tcPr>
          <w:p>
            <w:pPr>
              <w:jc w:val="center"/>
              <w:ind w:right="40"/>
              <w:spacing w:after="0"/>
              <w:rPr>
                <w:rFonts w:ascii="Arial" w:cs="Arial" w:eastAsia="Arial" w:hAnsi="Arial"/>
                <w:sz w:val="15"/>
                <w:szCs w:val="15"/>
                <w:color w:val="0000FF"/>
                <w:w w:val="71"/>
              </w:rPr>
            </w:pPr>
            <w:hyperlink w:anchor="page32">
              <w:r>
                <w:rPr>
                  <w:rFonts w:ascii="Arial" w:cs="Arial" w:eastAsia="Arial" w:hAnsi="Arial"/>
                  <w:sz w:val="15"/>
                  <w:szCs w:val="15"/>
                  <w:color w:val="0000FF"/>
                  <w:w w:val="71"/>
                </w:rPr>
                <w:t>31</w:t>
              </w:r>
            </w:hyperlink>
          </w:p>
        </w:tc>
        <w:tc>
          <w:tcPr>
            <w:tcW w:w="440" w:type="dxa"/>
            <w:vAlign w:val="bottom"/>
          </w:tcPr>
          <w:p>
            <w:pPr>
              <w:spacing w:after="0"/>
              <w:rPr>
                <w:sz w:val="14"/>
                <w:szCs w:val="14"/>
                <w:color w:val="auto"/>
              </w:rPr>
            </w:pPr>
          </w:p>
        </w:tc>
      </w:tr>
      <w:tr>
        <w:trPr>
          <w:trHeight w:val="172"/>
        </w:trPr>
        <w:tc>
          <w:tcPr>
            <w:tcW w:w="540" w:type="dxa"/>
            <w:vAlign w:val="bottom"/>
            <w:gridSpan w:val="2"/>
          </w:tcPr>
          <w:p>
            <w:pPr>
              <w:spacing w:after="0"/>
              <w:rPr>
                <w:rFonts w:ascii="Arial" w:cs="Arial" w:eastAsia="Arial" w:hAnsi="Arial"/>
                <w:sz w:val="15"/>
                <w:szCs w:val="15"/>
                <w:color w:val="0000FF"/>
                <w:w w:val="92"/>
              </w:rPr>
            </w:pPr>
            <w:hyperlink w:anchor="page43">
              <w:r>
                <w:rPr>
                  <w:rFonts w:ascii="Arial" w:cs="Arial" w:eastAsia="Arial" w:hAnsi="Arial"/>
                  <w:sz w:val="15"/>
                  <w:szCs w:val="15"/>
                  <w:color w:val="0000FF"/>
                  <w:w w:val="92"/>
                </w:rPr>
                <w:t>Item 1B.</w:t>
              </w:r>
            </w:hyperlink>
          </w:p>
        </w:tc>
        <w:tc>
          <w:tcPr>
            <w:tcW w:w="3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8880" w:type="dxa"/>
            <w:vAlign w:val="bottom"/>
            <w:gridSpan w:val="27"/>
          </w:tcPr>
          <w:p>
            <w:pPr>
              <w:spacing w:after="0"/>
              <w:rPr>
                <w:rFonts w:ascii="Arial" w:cs="Arial" w:eastAsia="Arial" w:hAnsi="Arial"/>
                <w:sz w:val="15"/>
                <w:szCs w:val="15"/>
                <w:color w:val="0000FF"/>
              </w:rPr>
            </w:pPr>
            <w:hyperlink w:anchor="page43">
              <w:r>
                <w:rPr>
                  <w:rFonts w:ascii="Arial" w:cs="Arial" w:eastAsia="Arial" w:hAnsi="Arial"/>
                  <w:sz w:val="15"/>
                  <w:szCs w:val="15"/>
                  <w:color w:val="0000FF"/>
                </w:rPr>
                <w:t>Unresolved Staff Comments</w:t>
              </w:r>
            </w:hyperlink>
          </w:p>
        </w:tc>
        <w:tc>
          <w:tcPr>
            <w:tcW w:w="680" w:type="dxa"/>
            <w:vAlign w:val="bottom"/>
            <w:gridSpan w:val="3"/>
          </w:tcPr>
          <w:p>
            <w:pPr>
              <w:jc w:val="center"/>
              <w:ind w:left="366"/>
              <w:spacing w:after="0"/>
              <w:rPr>
                <w:rFonts w:ascii="Arial" w:cs="Arial" w:eastAsia="Arial" w:hAnsi="Arial"/>
                <w:sz w:val="15"/>
                <w:szCs w:val="15"/>
                <w:color w:val="0000FF"/>
                <w:w w:val="95"/>
              </w:rPr>
            </w:pPr>
            <w:hyperlink w:anchor="page43">
              <w:r>
                <w:rPr>
                  <w:rFonts w:ascii="Arial" w:cs="Arial" w:eastAsia="Arial" w:hAnsi="Arial"/>
                  <w:sz w:val="15"/>
                  <w:szCs w:val="15"/>
                  <w:color w:val="0000FF"/>
                  <w:w w:val="95"/>
                </w:rPr>
                <w:t>42</w:t>
              </w:r>
            </w:hyperlink>
          </w:p>
        </w:tc>
        <w:tc>
          <w:tcPr>
            <w:tcW w:w="440" w:type="dxa"/>
            <w:vAlign w:val="bottom"/>
          </w:tcPr>
          <w:p>
            <w:pPr>
              <w:spacing w:after="0"/>
              <w:rPr>
                <w:sz w:val="14"/>
                <w:szCs w:val="14"/>
                <w:color w:val="auto"/>
              </w:rPr>
            </w:pPr>
          </w:p>
        </w:tc>
      </w:tr>
      <w:tr>
        <w:trPr>
          <w:trHeight w:val="172"/>
        </w:trPr>
        <w:tc>
          <w:tcPr>
            <w:tcW w:w="500" w:type="dxa"/>
            <w:vAlign w:val="bottom"/>
            <w:tcBorders>
              <w:top w:val="single" w:sz="8" w:color="0000FF"/>
              <w:bottom w:val="single" w:sz="8" w:color="0000FF"/>
            </w:tcBorders>
          </w:tcPr>
          <w:p>
            <w:pPr>
              <w:spacing w:after="0"/>
              <w:rPr>
                <w:rFonts w:ascii="Arial" w:cs="Arial" w:eastAsia="Arial" w:hAnsi="Arial"/>
                <w:sz w:val="15"/>
                <w:szCs w:val="15"/>
                <w:color w:val="0000FF"/>
              </w:rPr>
            </w:pPr>
            <w:hyperlink w:anchor="page44">
              <w:r>
                <w:rPr>
                  <w:rFonts w:ascii="Arial" w:cs="Arial" w:eastAsia="Arial" w:hAnsi="Arial"/>
                  <w:sz w:val="15"/>
                  <w:szCs w:val="15"/>
                  <w:color w:val="0000FF"/>
                </w:rPr>
                <w:t>Item 2.</w:t>
              </w:r>
            </w:hyperlink>
          </w:p>
        </w:tc>
        <w:tc>
          <w:tcPr>
            <w:tcW w:w="40" w:type="dxa"/>
            <w:vAlign w:val="bottom"/>
            <w:tcBorders>
              <w:top w:val="single" w:sz="8" w:color="0000FF"/>
            </w:tcBorders>
          </w:tcPr>
          <w:p>
            <w:pPr>
              <w:spacing w:after="0"/>
              <w:rPr>
                <w:sz w:val="14"/>
                <w:szCs w:val="14"/>
                <w:color w:val="auto"/>
              </w:rPr>
            </w:pPr>
          </w:p>
        </w:tc>
        <w:tc>
          <w:tcPr>
            <w:tcW w:w="3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top w:val="single" w:sz="8" w:color="0000FF"/>
              <w:bottom w:val="single" w:sz="8" w:color="0000FF"/>
            </w:tcBorders>
            <w:gridSpan w:val="2"/>
          </w:tcPr>
          <w:p>
            <w:pPr>
              <w:spacing w:after="0"/>
              <w:rPr>
                <w:rFonts w:ascii="Arial" w:cs="Arial" w:eastAsia="Arial" w:hAnsi="Arial"/>
                <w:sz w:val="15"/>
                <w:szCs w:val="15"/>
                <w:color w:val="0000FF"/>
                <w:w w:val="87"/>
              </w:rPr>
            </w:pPr>
            <w:hyperlink w:anchor="page44">
              <w:r>
                <w:rPr>
                  <w:rFonts w:ascii="Arial" w:cs="Arial" w:eastAsia="Arial" w:hAnsi="Arial"/>
                  <w:sz w:val="15"/>
                  <w:szCs w:val="15"/>
                  <w:color w:val="0000FF"/>
                  <w:w w:val="87"/>
                </w:rPr>
                <w:t>Properties</w:t>
              </w:r>
            </w:hyperlink>
          </w:p>
        </w:tc>
        <w:tc>
          <w:tcPr>
            <w:tcW w:w="1080" w:type="dxa"/>
            <w:vAlign w:val="bottom"/>
            <w:tcBorders>
              <w:top w:val="single" w:sz="8" w:color="0000FF"/>
            </w:tcBorders>
            <w:gridSpan w:val="6"/>
          </w:tcPr>
          <w:p>
            <w:pPr>
              <w:spacing w:after="0"/>
              <w:rPr>
                <w:sz w:val="14"/>
                <w:szCs w:val="14"/>
                <w:color w:val="auto"/>
              </w:rPr>
            </w:pPr>
          </w:p>
        </w:tc>
        <w:tc>
          <w:tcPr>
            <w:tcW w:w="7180" w:type="dxa"/>
            <w:vAlign w:val="bottom"/>
            <w:gridSpan w:val="19"/>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top w:val="single" w:sz="8" w:color="0000FF"/>
            </w:tcBorders>
            <w:gridSpan w:val="2"/>
          </w:tcPr>
          <w:p>
            <w:pPr>
              <w:jc w:val="center"/>
              <w:ind w:right="40"/>
              <w:spacing w:after="0"/>
              <w:rPr>
                <w:rFonts w:ascii="Arial" w:cs="Arial" w:eastAsia="Arial" w:hAnsi="Arial"/>
                <w:sz w:val="15"/>
                <w:szCs w:val="15"/>
                <w:color w:val="0000FF"/>
                <w:w w:val="71"/>
              </w:rPr>
            </w:pPr>
            <w:hyperlink w:anchor="page44">
              <w:r>
                <w:rPr>
                  <w:rFonts w:ascii="Arial" w:cs="Arial" w:eastAsia="Arial" w:hAnsi="Arial"/>
                  <w:sz w:val="15"/>
                  <w:szCs w:val="15"/>
                  <w:color w:val="0000FF"/>
                  <w:w w:val="71"/>
                </w:rPr>
                <w:t>42</w:t>
              </w:r>
            </w:hyperlink>
          </w:p>
        </w:tc>
        <w:tc>
          <w:tcPr>
            <w:tcW w:w="440" w:type="dxa"/>
            <w:vAlign w:val="bottom"/>
          </w:tcPr>
          <w:p>
            <w:pPr>
              <w:spacing w:after="0"/>
              <w:rPr>
                <w:sz w:val="14"/>
                <w:szCs w:val="14"/>
                <w:color w:val="auto"/>
              </w:rPr>
            </w:pPr>
          </w:p>
        </w:tc>
      </w:tr>
      <w:tr>
        <w:trPr>
          <w:trHeight w:val="172"/>
        </w:trPr>
        <w:tc>
          <w:tcPr>
            <w:tcW w:w="880" w:type="dxa"/>
            <w:vAlign w:val="bottom"/>
            <w:gridSpan w:val="4"/>
          </w:tcPr>
          <w:p>
            <w:pPr>
              <w:spacing w:after="0"/>
              <w:rPr>
                <w:rFonts w:ascii="Arial" w:cs="Arial" w:eastAsia="Arial" w:hAnsi="Arial"/>
                <w:sz w:val="15"/>
                <w:szCs w:val="15"/>
                <w:color w:val="0000FF"/>
              </w:rPr>
            </w:pPr>
            <w:hyperlink w:anchor="page44">
              <w:r>
                <w:rPr>
                  <w:rFonts w:ascii="Arial" w:cs="Arial" w:eastAsia="Arial" w:hAnsi="Arial"/>
                  <w:sz w:val="15"/>
                  <w:szCs w:val="15"/>
                  <w:color w:val="0000FF"/>
                </w:rPr>
                <w:t>Item 3.</w:t>
              </w:r>
            </w:hyperlink>
          </w:p>
        </w:tc>
        <w:tc>
          <w:tcPr>
            <w:tcW w:w="9220" w:type="dxa"/>
            <w:vAlign w:val="bottom"/>
            <w:gridSpan w:val="28"/>
          </w:tcPr>
          <w:p>
            <w:pPr>
              <w:ind w:left="340"/>
              <w:spacing w:after="0"/>
              <w:rPr>
                <w:rFonts w:ascii="Arial" w:cs="Arial" w:eastAsia="Arial" w:hAnsi="Arial"/>
                <w:sz w:val="15"/>
                <w:szCs w:val="15"/>
                <w:color w:val="0000FF"/>
              </w:rPr>
            </w:pPr>
            <w:hyperlink w:anchor="page44">
              <w:r>
                <w:rPr>
                  <w:rFonts w:ascii="Arial" w:cs="Arial" w:eastAsia="Arial" w:hAnsi="Arial"/>
                  <w:sz w:val="15"/>
                  <w:szCs w:val="15"/>
                  <w:color w:val="0000FF"/>
                </w:rPr>
                <w:t>Legal Proceedings</w:t>
              </w:r>
            </w:hyperlink>
          </w:p>
        </w:tc>
        <w:tc>
          <w:tcPr>
            <w:tcW w:w="680" w:type="dxa"/>
            <w:vAlign w:val="bottom"/>
            <w:gridSpan w:val="3"/>
          </w:tcPr>
          <w:p>
            <w:pPr>
              <w:jc w:val="center"/>
              <w:ind w:left="366"/>
              <w:spacing w:after="0"/>
              <w:rPr>
                <w:rFonts w:ascii="Arial" w:cs="Arial" w:eastAsia="Arial" w:hAnsi="Arial"/>
                <w:sz w:val="15"/>
                <w:szCs w:val="15"/>
                <w:color w:val="0000FF"/>
                <w:w w:val="95"/>
              </w:rPr>
            </w:pPr>
            <w:hyperlink w:anchor="page44">
              <w:r>
                <w:rPr>
                  <w:rFonts w:ascii="Arial" w:cs="Arial" w:eastAsia="Arial" w:hAnsi="Arial"/>
                  <w:sz w:val="15"/>
                  <w:szCs w:val="15"/>
                  <w:color w:val="0000FF"/>
                  <w:w w:val="95"/>
                </w:rPr>
                <w:t>42</w:t>
              </w:r>
            </w:hyperlink>
          </w:p>
        </w:tc>
        <w:tc>
          <w:tcPr>
            <w:tcW w:w="440" w:type="dxa"/>
            <w:vAlign w:val="bottom"/>
          </w:tcPr>
          <w:p>
            <w:pPr>
              <w:spacing w:after="0"/>
              <w:rPr>
                <w:sz w:val="14"/>
                <w:szCs w:val="14"/>
                <w:color w:val="auto"/>
              </w:rPr>
            </w:pPr>
          </w:p>
        </w:tc>
      </w:tr>
      <w:tr>
        <w:trPr>
          <w:trHeight w:val="217"/>
        </w:trPr>
        <w:tc>
          <w:tcPr>
            <w:tcW w:w="5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0000FF"/>
            </w:tcBorders>
            <w:gridSpan w:val="4"/>
          </w:tcPr>
          <w:p>
            <w:pPr>
              <w:jc w:val="center"/>
              <w:spacing w:after="0"/>
              <w:rPr>
                <w:rFonts w:ascii="Arial" w:cs="Arial" w:eastAsia="Arial" w:hAnsi="Arial"/>
                <w:sz w:val="15"/>
                <w:szCs w:val="15"/>
                <w:b w:val="1"/>
                <w:bCs w:val="1"/>
                <w:color w:val="0000FF"/>
              </w:rPr>
            </w:pPr>
            <w:hyperlink w:anchor="page44">
              <w:r>
                <w:rPr>
                  <w:rFonts w:ascii="Arial" w:cs="Arial" w:eastAsia="Arial" w:hAnsi="Arial"/>
                  <w:sz w:val="15"/>
                  <w:szCs w:val="15"/>
                  <w:b w:val="1"/>
                  <w:bCs w:val="1"/>
                  <w:color w:val="0000FF"/>
                </w:rPr>
                <w:t>PART II</w:t>
              </w:r>
            </w:hyperlink>
          </w:p>
        </w:tc>
        <w:tc>
          <w:tcPr>
            <w:tcW w:w="422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r>
      <w:tr>
        <w:trPr>
          <w:trHeight w:val="172"/>
        </w:trPr>
        <w:tc>
          <w:tcPr>
            <w:tcW w:w="500" w:type="dxa"/>
            <w:vAlign w:val="bottom"/>
          </w:tcPr>
          <w:p>
            <w:pPr>
              <w:spacing w:after="0"/>
              <w:rPr>
                <w:rFonts w:ascii="Arial" w:cs="Arial" w:eastAsia="Arial" w:hAnsi="Arial"/>
                <w:sz w:val="15"/>
                <w:szCs w:val="15"/>
                <w:color w:val="0000FF"/>
              </w:rPr>
            </w:pPr>
            <w:hyperlink w:anchor="page44">
              <w:r>
                <w:rPr>
                  <w:rFonts w:ascii="Arial" w:cs="Arial" w:eastAsia="Arial" w:hAnsi="Arial"/>
                  <w:sz w:val="15"/>
                  <w:szCs w:val="15"/>
                  <w:color w:val="0000FF"/>
                </w:rPr>
                <w:t>Item 5.</w:t>
              </w:r>
            </w:hyperlink>
          </w:p>
        </w:tc>
        <w:tc>
          <w:tcPr>
            <w:tcW w:w="38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8880" w:type="dxa"/>
            <w:vAlign w:val="bottom"/>
            <w:gridSpan w:val="27"/>
          </w:tcPr>
          <w:p>
            <w:pPr>
              <w:spacing w:after="0"/>
              <w:rPr>
                <w:rFonts w:ascii="Arial" w:cs="Arial" w:eastAsia="Arial" w:hAnsi="Arial"/>
                <w:sz w:val="15"/>
                <w:szCs w:val="15"/>
                <w:color w:val="0000FF"/>
              </w:rPr>
            </w:pPr>
            <w:hyperlink w:anchor="page44">
              <w:r>
                <w:rPr>
                  <w:rFonts w:ascii="Arial" w:cs="Arial" w:eastAsia="Arial" w:hAnsi="Arial"/>
                  <w:sz w:val="15"/>
                  <w:szCs w:val="15"/>
                  <w:color w:val="0000FF"/>
                </w:rPr>
                <w:t>Market for Registrant’s Common Equity, Related Stockholder Matters and Issuer Purchases of Equity Securities</w:t>
              </w:r>
            </w:hyperlink>
          </w:p>
        </w:tc>
        <w:tc>
          <w:tcPr>
            <w:tcW w:w="680" w:type="dxa"/>
            <w:vAlign w:val="bottom"/>
            <w:gridSpan w:val="3"/>
          </w:tcPr>
          <w:p>
            <w:pPr>
              <w:jc w:val="center"/>
              <w:ind w:left="366"/>
              <w:spacing w:after="0"/>
              <w:rPr>
                <w:rFonts w:ascii="Arial" w:cs="Arial" w:eastAsia="Arial" w:hAnsi="Arial"/>
                <w:sz w:val="15"/>
                <w:szCs w:val="15"/>
                <w:color w:val="0000FF"/>
                <w:w w:val="95"/>
              </w:rPr>
            </w:pPr>
            <w:hyperlink w:anchor="page44">
              <w:r>
                <w:rPr>
                  <w:rFonts w:ascii="Arial" w:cs="Arial" w:eastAsia="Arial" w:hAnsi="Arial"/>
                  <w:sz w:val="15"/>
                  <w:szCs w:val="15"/>
                  <w:color w:val="0000FF"/>
                  <w:w w:val="95"/>
                </w:rPr>
                <w:t>42</w:t>
              </w:r>
            </w:hyperlink>
          </w:p>
        </w:tc>
        <w:tc>
          <w:tcPr>
            <w:tcW w:w="440" w:type="dxa"/>
            <w:vAlign w:val="bottom"/>
          </w:tcPr>
          <w:p>
            <w:pPr>
              <w:spacing w:after="0"/>
              <w:rPr>
                <w:sz w:val="14"/>
                <w:szCs w:val="14"/>
                <w:color w:val="auto"/>
              </w:rPr>
            </w:pPr>
          </w:p>
        </w:tc>
      </w:tr>
      <w:tr>
        <w:trPr>
          <w:trHeight w:val="172"/>
        </w:trPr>
        <w:tc>
          <w:tcPr>
            <w:tcW w:w="500" w:type="dxa"/>
            <w:vAlign w:val="bottom"/>
            <w:tcBorders>
              <w:top w:val="single" w:sz="8" w:color="0000FF"/>
              <w:bottom w:val="single" w:sz="8" w:color="0000FF"/>
            </w:tcBorders>
          </w:tcPr>
          <w:p>
            <w:pPr>
              <w:spacing w:after="0"/>
              <w:rPr>
                <w:rFonts w:ascii="Arial" w:cs="Arial" w:eastAsia="Arial" w:hAnsi="Arial"/>
                <w:sz w:val="15"/>
                <w:szCs w:val="15"/>
                <w:color w:val="0000FF"/>
              </w:rPr>
            </w:pPr>
            <w:hyperlink w:anchor="page46">
              <w:r>
                <w:rPr>
                  <w:rFonts w:ascii="Arial" w:cs="Arial" w:eastAsia="Arial" w:hAnsi="Arial"/>
                  <w:sz w:val="15"/>
                  <w:szCs w:val="15"/>
                  <w:color w:val="0000FF"/>
                </w:rPr>
                <w:t>Item 7.</w:t>
              </w:r>
            </w:hyperlink>
          </w:p>
        </w:tc>
        <w:tc>
          <w:tcPr>
            <w:tcW w:w="38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5400" w:type="dxa"/>
            <w:vAlign w:val="bottom"/>
            <w:tcBorders>
              <w:top w:val="single" w:sz="8" w:color="0000FF"/>
              <w:bottom w:val="single" w:sz="8" w:color="0000FF"/>
            </w:tcBorders>
            <w:gridSpan w:val="23"/>
          </w:tcPr>
          <w:p>
            <w:pPr>
              <w:spacing w:after="0"/>
              <w:rPr>
                <w:rFonts w:ascii="Arial" w:cs="Arial" w:eastAsia="Arial" w:hAnsi="Arial"/>
                <w:sz w:val="15"/>
                <w:szCs w:val="15"/>
                <w:color w:val="0000FF"/>
                <w:w w:val="91"/>
              </w:rPr>
            </w:pPr>
            <w:hyperlink w:anchor="page46">
              <w:r>
                <w:rPr>
                  <w:rFonts w:ascii="Arial" w:cs="Arial" w:eastAsia="Arial" w:hAnsi="Arial"/>
                  <w:sz w:val="15"/>
                  <w:szCs w:val="15"/>
                  <w:color w:val="0000FF"/>
                  <w:w w:val="91"/>
                </w:rPr>
                <w:t>Management’s Discussion and Analysis of Financial Condition and Results of Operations</w:t>
              </w:r>
            </w:hyperlink>
          </w:p>
        </w:tc>
        <w:tc>
          <w:tcPr>
            <w:tcW w:w="1340" w:type="dxa"/>
            <w:vAlign w:val="bottom"/>
            <w:tcBorders>
              <w:top w:val="single" w:sz="8" w:color="0000FF"/>
            </w:tcBorders>
            <w:gridSpan w:val="3"/>
          </w:tcPr>
          <w:p>
            <w:pPr>
              <w:spacing w:after="0"/>
              <w:rPr>
                <w:sz w:val="14"/>
                <w:szCs w:val="14"/>
                <w:color w:val="auto"/>
              </w:rPr>
            </w:pPr>
          </w:p>
        </w:tc>
        <w:tc>
          <w:tcPr>
            <w:tcW w:w="2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0000FF"/>
            </w:tcBorders>
            <w:gridSpan w:val="2"/>
          </w:tcPr>
          <w:p>
            <w:pPr>
              <w:jc w:val="center"/>
              <w:ind w:right="40"/>
              <w:spacing w:after="0"/>
              <w:rPr>
                <w:rFonts w:ascii="Arial" w:cs="Arial" w:eastAsia="Arial" w:hAnsi="Arial"/>
                <w:sz w:val="15"/>
                <w:szCs w:val="15"/>
                <w:color w:val="0000FF"/>
                <w:w w:val="71"/>
              </w:rPr>
            </w:pPr>
            <w:hyperlink w:anchor="page46">
              <w:r>
                <w:rPr>
                  <w:rFonts w:ascii="Arial" w:cs="Arial" w:eastAsia="Arial" w:hAnsi="Arial"/>
                  <w:sz w:val="15"/>
                  <w:szCs w:val="15"/>
                  <w:color w:val="0000FF"/>
                  <w:w w:val="71"/>
                </w:rPr>
                <w:t>45</w:t>
              </w:r>
            </w:hyperlink>
          </w:p>
        </w:tc>
        <w:tc>
          <w:tcPr>
            <w:tcW w:w="440" w:type="dxa"/>
            <w:vAlign w:val="bottom"/>
          </w:tcPr>
          <w:p>
            <w:pPr>
              <w:spacing w:after="0"/>
              <w:rPr>
                <w:sz w:val="14"/>
                <w:szCs w:val="14"/>
                <w:color w:val="auto"/>
              </w:rPr>
            </w:pPr>
          </w:p>
        </w:tc>
      </w:tr>
      <w:tr>
        <w:trPr>
          <w:trHeight w:val="172"/>
        </w:trPr>
        <w:tc>
          <w:tcPr>
            <w:tcW w:w="560" w:type="dxa"/>
            <w:vAlign w:val="bottom"/>
            <w:gridSpan w:val="3"/>
          </w:tcPr>
          <w:p>
            <w:pPr>
              <w:spacing w:after="0"/>
              <w:rPr>
                <w:rFonts w:ascii="Arial" w:cs="Arial" w:eastAsia="Arial" w:hAnsi="Arial"/>
                <w:sz w:val="15"/>
                <w:szCs w:val="15"/>
                <w:color w:val="0000FF"/>
                <w:w w:val="96"/>
              </w:rPr>
            </w:pPr>
            <w:hyperlink w:anchor="page87">
              <w:r>
                <w:rPr>
                  <w:rFonts w:ascii="Arial" w:cs="Arial" w:eastAsia="Arial" w:hAnsi="Arial"/>
                  <w:sz w:val="15"/>
                  <w:szCs w:val="15"/>
                  <w:color w:val="0000FF"/>
                  <w:w w:val="96"/>
                </w:rPr>
                <w:t>Item 7A.</w:t>
              </w:r>
            </w:hyperlink>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80" w:type="dxa"/>
            <w:vAlign w:val="bottom"/>
            <w:gridSpan w:val="27"/>
          </w:tcPr>
          <w:p>
            <w:pPr>
              <w:spacing w:after="0"/>
              <w:rPr>
                <w:rFonts w:ascii="Arial" w:cs="Arial" w:eastAsia="Arial" w:hAnsi="Arial"/>
                <w:sz w:val="15"/>
                <w:szCs w:val="15"/>
                <w:color w:val="0000FF"/>
              </w:rPr>
            </w:pPr>
            <w:hyperlink w:anchor="page87">
              <w:r>
                <w:rPr>
                  <w:rFonts w:ascii="Arial" w:cs="Arial" w:eastAsia="Arial" w:hAnsi="Arial"/>
                  <w:sz w:val="15"/>
                  <w:szCs w:val="15"/>
                  <w:color w:val="0000FF"/>
                </w:rPr>
                <w:t>Quantitative and Qualitative Disclosure About Market Risk</w:t>
              </w:r>
            </w:hyperlink>
          </w:p>
        </w:tc>
        <w:tc>
          <w:tcPr>
            <w:tcW w:w="680" w:type="dxa"/>
            <w:vAlign w:val="bottom"/>
            <w:gridSpan w:val="3"/>
          </w:tcPr>
          <w:p>
            <w:pPr>
              <w:jc w:val="center"/>
              <w:ind w:left="366"/>
              <w:spacing w:after="0"/>
              <w:rPr>
                <w:rFonts w:ascii="Arial" w:cs="Arial" w:eastAsia="Arial" w:hAnsi="Arial"/>
                <w:sz w:val="15"/>
                <w:szCs w:val="15"/>
                <w:color w:val="0000FF"/>
                <w:w w:val="95"/>
              </w:rPr>
            </w:pPr>
            <w:hyperlink w:anchor="page87">
              <w:r>
                <w:rPr>
                  <w:rFonts w:ascii="Arial" w:cs="Arial" w:eastAsia="Arial" w:hAnsi="Arial"/>
                  <w:sz w:val="15"/>
                  <w:szCs w:val="15"/>
                  <w:color w:val="0000FF"/>
                  <w:w w:val="95"/>
                </w:rPr>
                <w:t>85</w:t>
              </w:r>
            </w:hyperlink>
          </w:p>
        </w:tc>
        <w:tc>
          <w:tcPr>
            <w:tcW w:w="440" w:type="dxa"/>
            <w:vAlign w:val="bottom"/>
          </w:tcPr>
          <w:p>
            <w:pPr>
              <w:spacing w:after="0"/>
              <w:rPr>
                <w:sz w:val="14"/>
                <w:szCs w:val="14"/>
                <w:color w:val="auto"/>
              </w:rPr>
            </w:pPr>
          </w:p>
        </w:tc>
      </w:tr>
      <w:tr>
        <w:trPr>
          <w:trHeight w:val="172"/>
        </w:trPr>
        <w:tc>
          <w:tcPr>
            <w:tcW w:w="500" w:type="dxa"/>
            <w:vAlign w:val="bottom"/>
            <w:tcBorders>
              <w:top w:val="single" w:sz="8" w:color="0000FF"/>
              <w:bottom w:val="single" w:sz="8" w:color="0000FF"/>
            </w:tcBorders>
          </w:tcPr>
          <w:p>
            <w:pPr>
              <w:spacing w:after="0"/>
              <w:rPr>
                <w:rFonts w:ascii="Arial" w:cs="Arial" w:eastAsia="Arial" w:hAnsi="Arial"/>
                <w:sz w:val="15"/>
                <w:szCs w:val="15"/>
                <w:color w:val="0000FF"/>
              </w:rPr>
            </w:pPr>
            <w:hyperlink w:anchor="page91">
              <w:r>
                <w:rPr>
                  <w:rFonts w:ascii="Arial" w:cs="Arial" w:eastAsia="Arial" w:hAnsi="Arial"/>
                  <w:sz w:val="15"/>
                  <w:szCs w:val="15"/>
                  <w:color w:val="0000FF"/>
                </w:rPr>
                <w:t>Item 8.</w:t>
              </w:r>
            </w:hyperlink>
          </w:p>
        </w:tc>
        <w:tc>
          <w:tcPr>
            <w:tcW w:w="60" w:type="dxa"/>
            <w:vAlign w:val="bottom"/>
            <w:tcBorders>
              <w:top w:val="single" w:sz="8" w:color="0000FF"/>
            </w:tcBorders>
            <w:gridSpan w:val="2"/>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11"/>
          </w:tcPr>
          <w:p>
            <w:pPr>
              <w:spacing w:after="0"/>
              <w:rPr>
                <w:rFonts w:ascii="Arial" w:cs="Arial" w:eastAsia="Arial" w:hAnsi="Arial"/>
                <w:sz w:val="15"/>
                <w:szCs w:val="15"/>
                <w:color w:val="0000FF"/>
                <w:w w:val="88"/>
              </w:rPr>
            </w:pPr>
            <w:hyperlink w:anchor="page91">
              <w:r>
                <w:rPr>
                  <w:rFonts w:ascii="Arial" w:cs="Arial" w:eastAsia="Arial" w:hAnsi="Arial"/>
                  <w:sz w:val="15"/>
                  <w:szCs w:val="15"/>
                  <w:color w:val="0000FF"/>
                  <w:w w:val="88"/>
                </w:rPr>
                <w:t>Financial Statements and Supplementary Data</w:t>
              </w:r>
            </w:hyperlink>
          </w:p>
        </w:tc>
        <w:tc>
          <w:tcPr>
            <w:tcW w:w="800" w:type="dxa"/>
            <w:vAlign w:val="bottom"/>
            <w:tcBorders>
              <w:top w:val="single" w:sz="8" w:color="0000FF"/>
            </w:tcBorders>
            <w:gridSpan w:val="2"/>
          </w:tcPr>
          <w:p>
            <w:pPr>
              <w:spacing w:after="0"/>
              <w:rPr>
                <w:sz w:val="14"/>
                <w:szCs w:val="14"/>
                <w:color w:val="auto"/>
              </w:rPr>
            </w:pPr>
          </w:p>
        </w:tc>
        <w:tc>
          <w:tcPr>
            <w:tcW w:w="5300" w:type="dxa"/>
            <w:vAlign w:val="bottom"/>
            <w:gridSpan w:val="14"/>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top w:val="single" w:sz="8" w:color="0000FF"/>
            </w:tcBorders>
            <w:gridSpan w:val="2"/>
          </w:tcPr>
          <w:p>
            <w:pPr>
              <w:jc w:val="center"/>
              <w:ind w:right="40"/>
              <w:spacing w:after="0"/>
              <w:rPr>
                <w:rFonts w:ascii="Arial" w:cs="Arial" w:eastAsia="Arial" w:hAnsi="Arial"/>
                <w:sz w:val="15"/>
                <w:szCs w:val="15"/>
                <w:color w:val="0000FF"/>
                <w:w w:val="71"/>
              </w:rPr>
            </w:pPr>
            <w:hyperlink w:anchor="page91">
              <w:r>
                <w:rPr>
                  <w:rFonts w:ascii="Arial" w:cs="Arial" w:eastAsia="Arial" w:hAnsi="Arial"/>
                  <w:sz w:val="15"/>
                  <w:szCs w:val="15"/>
                  <w:color w:val="0000FF"/>
                  <w:w w:val="71"/>
                </w:rPr>
                <w:t>90</w:t>
              </w:r>
            </w:hyperlink>
          </w:p>
        </w:tc>
        <w:tc>
          <w:tcPr>
            <w:tcW w:w="440" w:type="dxa"/>
            <w:vAlign w:val="bottom"/>
          </w:tcPr>
          <w:p>
            <w:pPr>
              <w:spacing w:after="0"/>
              <w:rPr>
                <w:sz w:val="14"/>
                <w:szCs w:val="14"/>
                <w:color w:val="auto"/>
              </w:rPr>
            </w:pPr>
          </w:p>
        </w:tc>
      </w:tr>
      <w:tr>
        <w:trPr>
          <w:trHeight w:val="172"/>
        </w:trPr>
        <w:tc>
          <w:tcPr>
            <w:tcW w:w="500" w:type="dxa"/>
            <w:vAlign w:val="bottom"/>
            <w:tcBorders>
              <w:bottom w:val="single" w:sz="8" w:color="0000FF"/>
            </w:tcBorders>
          </w:tcPr>
          <w:p>
            <w:pPr>
              <w:spacing w:after="0"/>
              <w:rPr>
                <w:rFonts w:ascii="Arial" w:cs="Arial" w:eastAsia="Arial" w:hAnsi="Arial"/>
                <w:sz w:val="15"/>
                <w:szCs w:val="15"/>
                <w:color w:val="0000FF"/>
              </w:rPr>
            </w:pPr>
            <w:hyperlink w:anchor="page171">
              <w:r>
                <w:rPr>
                  <w:rFonts w:ascii="Arial" w:cs="Arial" w:eastAsia="Arial" w:hAnsi="Arial"/>
                  <w:sz w:val="15"/>
                  <w:szCs w:val="15"/>
                  <w:color w:val="0000FF"/>
                </w:rPr>
                <w:t>Item 9.</w:t>
              </w:r>
            </w:hyperlink>
          </w:p>
        </w:tc>
        <w:tc>
          <w:tcPr>
            <w:tcW w:w="38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5440" w:type="dxa"/>
            <w:vAlign w:val="bottom"/>
            <w:tcBorders>
              <w:bottom w:val="single" w:sz="8" w:color="0000FF"/>
            </w:tcBorders>
            <w:gridSpan w:val="24"/>
          </w:tcPr>
          <w:p>
            <w:pPr>
              <w:spacing w:after="0"/>
              <w:rPr>
                <w:rFonts w:ascii="Arial" w:cs="Arial" w:eastAsia="Arial" w:hAnsi="Arial"/>
                <w:sz w:val="15"/>
                <w:szCs w:val="15"/>
                <w:color w:val="0000FF"/>
                <w:w w:val="90"/>
              </w:rPr>
            </w:pPr>
            <w:hyperlink w:anchor="page171">
              <w:r>
                <w:rPr>
                  <w:rFonts w:ascii="Arial" w:cs="Arial" w:eastAsia="Arial" w:hAnsi="Arial"/>
                  <w:sz w:val="15"/>
                  <w:szCs w:val="15"/>
                  <w:color w:val="0000FF"/>
                  <w:w w:val="90"/>
                </w:rPr>
                <w:t>Changes in and Disagreements With Accountants on Accounting and Financial Disclosure</w:t>
              </w:r>
            </w:hyperlink>
          </w:p>
        </w:tc>
        <w:tc>
          <w:tcPr>
            <w:tcW w:w="3440" w:type="dxa"/>
            <w:vAlign w:val="bottom"/>
            <w:gridSpan w:val="3"/>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0E32E1"/>
            </w:tcBorders>
            <w:gridSpan w:val="2"/>
          </w:tcPr>
          <w:p>
            <w:pPr>
              <w:jc w:val="center"/>
              <w:spacing w:after="0"/>
              <w:rPr>
                <w:rFonts w:ascii="Arial" w:cs="Arial" w:eastAsia="Arial" w:hAnsi="Arial"/>
                <w:sz w:val="13"/>
                <w:szCs w:val="13"/>
                <w:color w:val="0E32E1"/>
                <w:w w:val="73"/>
              </w:rPr>
            </w:pPr>
            <w:hyperlink w:anchor="page171">
              <w:r>
                <w:rPr>
                  <w:rFonts w:ascii="Arial" w:cs="Arial" w:eastAsia="Arial" w:hAnsi="Arial"/>
                  <w:sz w:val="13"/>
                  <w:szCs w:val="13"/>
                  <w:color w:val="0E32E1"/>
                  <w:w w:val="73"/>
                </w:rPr>
                <w:t>169</w:t>
              </w:r>
            </w:hyperlink>
          </w:p>
        </w:tc>
        <w:tc>
          <w:tcPr>
            <w:tcW w:w="440" w:type="dxa"/>
            <w:vAlign w:val="bottom"/>
          </w:tcPr>
          <w:p>
            <w:pPr>
              <w:spacing w:after="0"/>
              <w:rPr>
                <w:sz w:val="14"/>
                <w:szCs w:val="14"/>
                <w:color w:val="auto"/>
              </w:rPr>
            </w:pPr>
          </w:p>
        </w:tc>
      </w:tr>
      <w:tr>
        <w:trPr>
          <w:trHeight w:val="172"/>
        </w:trPr>
        <w:tc>
          <w:tcPr>
            <w:tcW w:w="560" w:type="dxa"/>
            <w:vAlign w:val="bottom"/>
            <w:tcBorders>
              <w:bottom w:val="single" w:sz="8" w:color="0000FF"/>
            </w:tcBorders>
            <w:gridSpan w:val="3"/>
          </w:tcPr>
          <w:p>
            <w:pPr>
              <w:spacing w:after="0"/>
              <w:rPr>
                <w:rFonts w:ascii="Arial" w:cs="Arial" w:eastAsia="Arial" w:hAnsi="Arial"/>
                <w:sz w:val="15"/>
                <w:szCs w:val="15"/>
                <w:color w:val="0000FF"/>
                <w:w w:val="96"/>
              </w:rPr>
            </w:pPr>
            <w:hyperlink w:anchor="page171">
              <w:r>
                <w:rPr>
                  <w:rFonts w:ascii="Arial" w:cs="Arial" w:eastAsia="Arial" w:hAnsi="Arial"/>
                  <w:sz w:val="15"/>
                  <w:szCs w:val="15"/>
                  <w:color w:val="0000FF"/>
                  <w:w w:val="96"/>
                </w:rPr>
                <w:t>Item 9A.</w:t>
              </w:r>
            </w:hyperlink>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Borders>
              <w:bottom w:val="single" w:sz="8" w:color="0000FF"/>
            </w:tcBorders>
            <w:gridSpan w:val="6"/>
          </w:tcPr>
          <w:p>
            <w:pPr>
              <w:spacing w:after="0"/>
              <w:rPr>
                <w:rFonts w:ascii="Arial" w:cs="Arial" w:eastAsia="Arial" w:hAnsi="Arial"/>
                <w:sz w:val="15"/>
                <w:szCs w:val="15"/>
                <w:color w:val="0000FF"/>
                <w:w w:val="87"/>
              </w:rPr>
            </w:pPr>
            <w:hyperlink w:anchor="page171">
              <w:r>
                <w:rPr>
                  <w:rFonts w:ascii="Arial" w:cs="Arial" w:eastAsia="Arial" w:hAnsi="Arial"/>
                  <w:sz w:val="15"/>
                  <w:szCs w:val="15"/>
                  <w:color w:val="0000FF"/>
                  <w:w w:val="87"/>
                </w:rPr>
                <w:t>Controls and Procedures</w:t>
              </w:r>
            </w:hyperlink>
          </w:p>
        </w:tc>
        <w:tc>
          <w:tcPr>
            <w:tcW w:w="7400" w:type="dxa"/>
            <w:vAlign w:val="bottom"/>
            <w:gridSpan w:val="21"/>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0E32E1"/>
            </w:tcBorders>
            <w:gridSpan w:val="2"/>
          </w:tcPr>
          <w:p>
            <w:pPr>
              <w:jc w:val="center"/>
              <w:spacing w:after="0"/>
              <w:rPr>
                <w:rFonts w:ascii="Arial" w:cs="Arial" w:eastAsia="Arial" w:hAnsi="Arial"/>
                <w:sz w:val="13"/>
                <w:szCs w:val="13"/>
                <w:color w:val="0E32E1"/>
                <w:w w:val="73"/>
              </w:rPr>
            </w:pPr>
            <w:hyperlink w:anchor="page171">
              <w:r>
                <w:rPr>
                  <w:rFonts w:ascii="Arial" w:cs="Arial" w:eastAsia="Arial" w:hAnsi="Arial"/>
                  <w:sz w:val="13"/>
                  <w:szCs w:val="13"/>
                  <w:color w:val="0E32E1"/>
                  <w:w w:val="73"/>
                </w:rPr>
                <w:t>169</w:t>
              </w:r>
            </w:hyperlink>
          </w:p>
        </w:tc>
        <w:tc>
          <w:tcPr>
            <w:tcW w:w="440" w:type="dxa"/>
            <w:vAlign w:val="bottom"/>
          </w:tcPr>
          <w:p>
            <w:pPr>
              <w:spacing w:after="0"/>
              <w:rPr>
                <w:sz w:val="14"/>
                <w:szCs w:val="14"/>
                <w:color w:val="auto"/>
              </w:rPr>
            </w:pPr>
          </w:p>
        </w:tc>
      </w:tr>
      <w:tr>
        <w:trPr>
          <w:trHeight w:val="172"/>
        </w:trPr>
        <w:tc>
          <w:tcPr>
            <w:tcW w:w="880" w:type="dxa"/>
            <w:vAlign w:val="bottom"/>
            <w:gridSpan w:val="4"/>
          </w:tcPr>
          <w:p>
            <w:pPr>
              <w:spacing w:after="0"/>
              <w:rPr>
                <w:rFonts w:ascii="Arial" w:cs="Arial" w:eastAsia="Arial" w:hAnsi="Arial"/>
                <w:sz w:val="15"/>
                <w:szCs w:val="15"/>
                <w:color w:val="0000FF"/>
              </w:rPr>
            </w:pPr>
            <w:hyperlink w:anchor="page171">
              <w:r>
                <w:rPr>
                  <w:rFonts w:ascii="Arial" w:cs="Arial" w:eastAsia="Arial" w:hAnsi="Arial"/>
                  <w:sz w:val="15"/>
                  <w:szCs w:val="15"/>
                  <w:color w:val="0000FF"/>
                </w:rPr>
                <w:t>Item 9B.</w:t>
              </w:r>
            </w:hyperlink>
          </w:p>
        </w:tc>
        <w:tc>
          <w:tcPr>
            <w:tcW w:w="9220" w:type="dxa"/>
            <w:vAlign w:val="bottom"/>
            <w:gridSpan w:val="28"/>
          </w:tcPr>
          <w:p>
            <w:pPr>
              <w:ind w:left="340"/>
              <w:spacing w:after="0"/>
              <w:rPr>
                <w:rFonts w:ascii="Arial" w:cs="Arial" w:eastAsia="Arial" w:hAnsi="Arial"/>
                <w:sz w:val="15"/>
                <w:szCs w:val="15"/>
                <w:color w:val="0000FF"/>
              </w:rPr>
            </w:pPr>
            <w:hyperlink w:anchor="page171">
              <w:r>
                <w:rPr>
                  <w:rFonts w:ascii="Arial" w:cs="Arial" w:eastAsia="Arial" w:hAnsi="Arial"/>
                  <w:sz w:val="15"/>
                  <w:szCs w:val="15"/>
                  <w:color w:val="0000FF"/>
                </w:rPr>
                <w:t>Other Information</w:t>
              </w:r>
            </w:hyperlink>
          </w:p>
        </w:tc>
        <w:tc>
          <w:tcPr>
            <w:tcW w:w="1120" w:type="dxa"/>
            <w:vAlign w:val="bottom"/>
            <w:gridSpan w:val="4"/>
          </w:tcPr>
          <w:p>
            <w:pPr>
              <w:jc w:val="center"/>
              <w:spacing w:after="0"/>
              <w:rPr>
                <w:rFonts w:ascii="Arial" w:cs="Arial" w:eastAsia="Arial" w:hAnsi="Arial"/>
                <w:sz w:val="15"/>
                <w:szCs w:val="15"/>
                <w:color w:val="0E32E1"/>
                <w:w w:val="95"/>
              </w:rPr>
            </w:pPr>
            <w:hyperlink w:anchor="page171">
              <w:r>
                <w:rPr>
                  <w:rFonts w:ascii="Arial" w:cs="Arial" w:eastAsia="Arial" w:hAnsi="Arial"/>
                  <w:sz w:val="15"/>
                  <w:szCs w:val="15"/>
                  <w:color w:val="0E32E1"/>
                  <w:w w:val="95"/>
                </w:rPr>
                <w:t>169</w:t>
              </w:r>
            </w:hyperlink>
          </w:p>
        </w:tc>
      </w:tr>
      <w:tr>
        <w:trPr>
          <w:trHeight w:val="217"/>
        </w:trPr>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Borders>
              <w:bottom w:val="single" w:sz="8" w:color="0000FF"/>
            </w:tcBorders>
            <w:gridSpan w:val="8"/>
          </w:tcPr>
          <w:p>
            <w:pPr>
              <w:jc w:val="center"/>
              <w:ind w:right="20"/>
              <w:spacing w:after="0"/>
              <w:rPr>
                <w:rFonts w:ascii="Arial" w:cs="Arial" w:eastAsia="Arial" w:hAnsi="Arial"/>
                <w:sz w:val="15"/>
                <w:szCs w:val="15"/>
                <w:b w:val="1"/>
                <w:bCs w:val="1"/>
                <w:color w:val="0000FF"/>
              </w:rPr>
            </w:pPr>
            <w:hyperlink w:anchor="page171">
              <w:r>
                <w:rPr>
                  <w:rFonts w:ascii="Arial" w:cs="Arial" w:eastAsia="Arial" w:hAnsi="Arial"/>
                  <w:sz w:val="15"/>
                  <w:szCs w:val="15"/>
                  <w:b w:val="1"/>
                  <w:bCs w:val="1"/>
                  <w:color w:val="0000FF"/>
                </w:rPr>
                <w:t>PART III</w:t>
              </w:r>
            </w:hyperlink>
          </w:p>
        </w:tc>
        <w:tc>
          <w:tcPr>
            <w:tcW w:w="418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0E32E1"/>
            </w:tcBorders>
          </w:tcPr>
          <w:p>
            <w:pPr>
              <w:spacing w:after="0"/>
              <w:rPr>
                <w:sz w:val="18"/>
                <w:szCs w:val="18"/>
                <w:color w:val="auto"/>
              </w:rPr>
            </w:pPr>
          </w:p>
        </w:tc>
        <w:tc>
          <w:tcPr>
            <w:tcW w:w="80" w:type="dxa"/>
            <w:vAlign w:val="bottom"/>
            <w:tcBorders>
              <w:top w:val="single" w:sz="8" w:color="0E32E1"/>
            </w:tcBorders>
          </w:tcPr>
          <w:p>
            <w:pPr>
              <w:spacing w:after="0"/>
              <w:rPr>
                <w:sz w:val="18"/>
                <w:szCs w:val="18"/>
                <w:color w:val="auto"/>
              </w:rPr>
            </w:pPr>
          </w:p>
        </w:tc>
        <w:tc>
          <w:tcPr>
            <w:tcW w:w="440" w:type="dxa"/>
            <w:vAlign w:val="bottom"/>
          </w:tcPr>
          <w:p>
            <w:pPr>
              <w:spacing w:after="0"/>
              <w:rPr>
                <w:sz w:val="18"/>
                <w:szCs w:val="18"/>
                <w:color w:val="auto"/>
              </w:rPr>
            </w:pPr>
          </w:p>
        </w:tc>
      </w:tr>
      <w:tr>
        <w:trPr>
          <w:trHeight w:val="172"/>
        </w:trPr>
        <w:tc>
          <w:tcPr>
            <w:tcW w:w="880" w:type="dxa"/>
            <w:vAlign w:val="bottom"/>
            <w:gridSpan w:val="4"/>
          </w:tcPr>
          <w:p>
            <w:pPr>
              <w:spacing w:after="0"/>
              <w:rPr>
                <w:rFonts w:ascii="Arial" w:cs="Arial" w:eastAsia="Arial" w:hAnsi="Arial"/>
                <w:sz w:val="15"/>
                <w:szCs w:val="15"/>
                <w:color w:val="0000FF"/>
              </w:rPr>
            </w:pPr>
            <w:hyperlink w:anchor="page171">
              <w:r>
                <w:rPr>
                  <w:rFonts w:ascii="Arial" w:cs="Arial" w:eastAsia="Arial" w:hAnsi="Arial"/>
                  <w:sz w:val="15"/>
                  <w:szCs w:val="15"/>
                  <w:color w:val="0000FF"/>
                </w:rPr>
                <w:t>Item 10.</w:t>
              </w:r>
            </w:hyperlink>
          </w:p>
        </w:tc>
        <w:tc>
          <w:tcPr>
            <w:tcW w:w="9220" w:type="dxa"/>
            <w:vAlign w:val="bottom"/>
            <w:gridSpan w:val="28"/>
          </w:tcPr>
          <w:p>
            <w:pPr>
              <w:ind w:left="340"/>
              <w:spacing w:after="0"/>
              <w:rPr>
                <w:rFonts w:ascii="Arial" w:cs="Arial" w:eastAsia="Arial" w:hAnsi="Arial"/>
                <w:sz w:val="15"/>
                <w:szCs w:val="15"/>
                <w:color w:val="0000FF"/>
              </w:rPr>
            </w:pPr>
            <w:hyperlink w:anchor="page171">
              <w:r>
                <w:rPr>
                  <w:rFonts w:ascii="Arial" w:cs="Arial" w:eastAsia="Arial" w:hAnsi="Arial"/>
                  <w:sz w:val="15"/>
                  <w:szCs w:val="15"/>
                  <w:color w:val="0000FF"/>
                </w:rPr>
                <w:t>Directors and Executive Officers of the Registrant</w:t>
              </w:r>
            </w:hyperlink>
          </w:p>
        </w:tc>
        <w:tc>
          <w:tcPr>
            <w:tcW w:w="1120" w:type="dxa"/>
            <w:vAlign w:val="bottom"/>
            <w:gridSpan w:val="4"/>
          </w:tcPr>
          <w:p>
            <w:pPr>
              <w:jc w:val="center"/>
              <w:spacing w:after="0"/>
              <w:rPr>
                <w:rFonts w:ascii="Arial" w:cs="Arial" w:eastAsia="Arial" w:hAnsi="Arial"/>
                <w:sz w:val="15"/>
                <w:szCs w:val="15"/>
                <w:color w:val="0E32E1"/>
                <w:w w:val="95"/>
              </w:rPr>
            </w:pPr>
            <w:hyperlink w:anchor="page171">
              <w:r>
                <w:rPr>
                  <w:rFonts w:ascii="Arial" w:cs="Arial" w:eastAsia="Arial" w:hAnsi="Arial"/>
                  <w:sz w:val="15"/>
                  <w:szCs w:val="15"/>
                  <w:color w:val="0E32E1"/>
                  <w:w w:val="95"/>
                </w:rPr>
                <w:t>169</w:t>
              </w:r>
            </w:hyperlink>
          </w:p>
        </w:tc>
      </w:tr>
      <w:tr>
        <w:trPr>
          <w:trHeight w:val="172"/>
        </w:trPr>
        <w:tc>
          <w:tcPr>
            <w:tcW w:w="500" w:type="dxa"/>
            <w:vAlign w:val="bottom"/>
            <w:tcBorders>
              <w:top w:val="single" w:sz="8" w:color="0000FF"/>
            </w:tcBorders>
          </w:tcPr>
          <w:p>
            <w:pPr>
              <w:spacing w:after="0"/>
              <w:rPr>
                <w:rFonts w:ascii="Arial" w:cs="Arial" w:eastAsia="Arial" w:hAnsi="Arial"/>
                <w:sz w:val="15"/>
                <w:szCs w:val="15"/>
                <w:color w:val="0000FF"/>
                <w:w w:val="84"/>
              </w:rPr>
            </w:pPr>
            <w:hyperlink w:anchor="page171">
              <w:r>
                <w:rPr>
                  <w:rFonts w:ascii="Arial" w:cs="Arial" w:eastAsia="Arial" w:hAnsi="Arial"/>
                  <w:sz w:val="15"/>
                  <w:szCs w:val="15"/>
                  <w:color w:val="0000FF"/>
                  <w:w w:val="84"/>
                </w:rPr>
                <w:t>Item 11.</w:t>
              </w:r>
            </w:hyperlink>
          </w:p>
        </w:tc>
        <w:tc>
          <w:tcPr>
            <w:tcW w:w="38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tcBorders>
              <w:top w:val="single" w:sz="8" w:color="0000FF"/>
            </w:tcBorders>
            <w:gridSpan w:val="12"/>
          </w:tcPr>
          <w:p>
            <w:pPr>
              <w:spacing w:after="0"/>
              <w:rPr>
                <w:rFonts w:ascii="Arial" w:cs="Arial" w:eastAsia="Arial" w:hAnsi="Arial"/>
                <w:sz w:val="15"/>
                <w:szCs w:val="15"/>
                <w:color w:val="0000FF"/>
              </w:rPr>
            </w:pPr>
            <w:hyperlink w:anchor="page171">
              <w:r>
                <w:rPr>
                  <w:rFonts w:ascii="Arial" w:cs="Arial" w:eastAsia="Arial" w:hAnsi="Arial"/>
                  <w:sz w:val="15"/>
                  <w:szCs w:val="15"/>
                  <w:color w:val="0000FF"/>
                </w:rPr>
                <w:t>Executive Compensation</w:t>
              </w:r>
            </w:hyperlink>
          </w:p>
        </w:tc>
        <w:tc>
          <w:tcPr>
            <w:tcW w:w="5860" w:type="dxa"/>
            <w:vAlign w:val="bottom"/>
            <w:gridSpan w:val="15"/>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top w:val="single" w:sz="8" w:color="0E32E1"/>
            </w:tcBorders>
            <w:gridSpan w:val="2"/>
          </w:tcPr>
          <w:p>
            <w:pPr>
              <w:jc w:val="center"/>
              <w:spacing w:after="0"/>
              <w:rPr>
                <w:rFonts w:ascii="Arial" w:cs="Arial" w:eastAsia="Arial" w:hAnsi="Arial"/>
                <w:sz w:val="13"/>
                <w:szCs w:val="13"/>
                <w:color w:val="0E32E1"/>
                <w:w w:val="73"/>
              </w:rPr>
            </w:pPr>
            <w:hyperlink w:anchor="page171">
              <w:r>
                <w:rPr>
                  <w:rFonts w:ascii="Arial" w:cs="Arial" w:eastAsia="Arial" w:hAnsi="Arial"/>
                  <w:sz w:val="13"/>
                  <w:szCs w:val="13"/>
                  <w:color w:val="0E32E1"/>
                  <w:w w:val="73"/>
                </w:rPr>
                <w:t>169</w:t>
              </w:r>
            </w:hyperlink>
          </w:p>
        </w:tc>
        <w:tc>
          <w:tcPr>
            <w:tcW w:w="440" w:type="dxa"/>
            <w:vAlign w:val="bottom"/>
          </w:tcPr>
          <w:p>
            <w:pPr>
              <w:spacing w:after="0"/>
              <w:rPr>
                <w:sz w:val="14"/>
                <w:szCs w:val="14"/>
                <w:color w:val="auto"/>
              </w:rPr>
            </w:pPr>
          </w:p>
        </w:tc>
      </w:tr>
      <w:tr>
        <w:trPr>
          <w:trHeight w:val="20"/>
        </w:trPr>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520" w:type="dxa"/>
            <w:vAlign w:val="bottom"/>
            <w:tcBorders>
              <w:right w:val="single" w:sz="8" w:color="0E32E1"/>
            </w:tcBorders>
          </w:tcPr>
          <w:p>
            <w:pPr>
              <w:spacing w:after="0" w:line="20" w:lineRule="exact"/>
              <w:rPr>
                <w:sz w:val="1"/>
                <w:szCs w:val="1"/>
                <w:color w:val="auto"/>
              </w:rPr>
            </w:pPr>
          </w:p>
        </w:tc>
        <w:tc>
          <w:tcPr>
            <w:tcW w:w="160" w:type="dxa"/>
            <w:vAlign w:val="bottom"/>
            <w:tcBorders>
              <w:right w:val="single" w:sz="8" w:color="0E32E1"/>
            </w:tcBorders>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2"/>
        </w:trPr>
        <w:tc>
          <w:tcPr>
            <w:tcW w:w="880" w:type="dxa"/>
            <w:vAlign w:val="bottom"/>
            <w:gridSpan w:val="4"/>
          </w:tcPr>
          <w:p>
            <w:pPr>
              <w:spacing w:after="0"/>
              <w:rPr>
                <w:rFonts w:ascii="Arial" w:cs="Arial" w:eastAsia="Arial" w:hAnsi="Arial"/>
                <w:sz w:val="15"/>
                <w:szCs w:val="15"/>
                <w:color w:val="0000FF"/>
              </w:rPr>
            </w:pPr>
            <w:hyperlink w:anchor="page171">
              <w:r>
                <w:rPr>
                  <w:rFonts w:ascii="Arial" w:cs="Arial" w:eastAsia="Arial" w:hAnsi="Arial"/>
                  <w:sz w:val="15"/>
                  <w:szCs w:val="15"/>
                  <w:color w:val="0000FF"/>
                </w:rPr>
                <w:t>Item 12.</w:t>
              </w:r>
            </w:hyperlink>
          </w:p>
        </w:tc>
        <w:tc>
          <w:tcPr>
            <w:tcW w:w="9220" w:type="dxa"/>
            <w:vAlign w:val="bottom"/>
            <w:gridSpan w:val="28"/>
          </w:tcPr>
          <w:p>
            <w:pPr>
              <w:ind w:left="340"/>
              <w:spacing w:after="0"/>
              <w:rPr>
                <w:rFonts w:ascii="Arial" w:cs="Arial" w:eastAsia="Arial" w:hAnsi="Arial"/>
                <w:sz w:val="15"/>
                <w:szCs w:val="15"/>
                <w:color w:val="0000FF"/>
              </w:rPr>
            </w:pPr>
            <w:hyperlink w:anchor="page171">
              <w:r>
                <w:rPr>
                  <w:rFonts w:ascii="Arial" w:cs="Arial" w:eastAsia="Arial" w:hAnsi="Arial"/>
                  <w:sz w:val="15"/>
                  <w:szCs w:val="15"/>
                  <w:color w:val="0000FF"/>
                </w:rPr>
                <w:t>Security Ownership of Certain Beneficial Owners and Management and Related Stockholder Matters</w:t>
              </w:r>
            </w:hyperlink>
          </w:p>
        </w:tc>
        <w:tc>
          <w:tcPr>
            <w:tcW w:w="1120" w:type="dxa"/>
            <w:vAlign w:val="bottom"/>
            <w:gridSpan w:val="4"/>
          </w:tcPr>
          <w:p>
            <w:pPr>
              <w:jc w:val="center"/>
              <w:spacing w:after="0"/>
              <w:rPr>
                <w:rFonts w:ascii="Arial" w:cs="Arial" w:eastAsia="Arial" w:hAnsi="Arial"/>
                <w:sz w:val="15"/>
                <w:szCs w:val="15"/>
                <w:color w:val="0E32E1"/>
                <w:w w:val="95"/>
              </w:rPr>
            </w:pPr>
            <w:hyperlink w:anchor="page171">
              <w:r>
                <w:rPr>
                  <w:rFonts w:ascii="Arial" w:cs="Arial" w:eastAsia="Arial" w:hAnsi="Arial"/>
                  <w:sz w:val="15"/>
                  <w:szCs w:val="15"/>
                  <w:color w:val="0E32E1"/>
                  <w:w w:val="95"/>
                </w:rPr>
                <w:t>169</w:t>
              </w:r>
            </w:hyperlink>
          </w:p>
        </w:tc>
      </w:tr>
      <w:tr>
        <w:trPr>
          <w:trHeight w:val="20"/>
        </w:trPr>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520" w:type="dxa"/>
            <w:vAlign w:val="bottom"/>
            <w:tcBorders>
              <w:right w:val="single" w:sz="8" w:color="0E32E1"/>
            </w:tcBorders>
          </w:tcPr>
          <w:p>
            <w:pPr>
              <w:spacing w:after="0" w:line="20" w:lineRule="exact"/>
              <w:rPr>
                <w:sz w:val="1"/>
                <w:szCs w:val="1"/>
                <w:color w:val="auto"/>
              </w:rPr>
            </w:pPr>
          </w:p>
        </w:tc>
        <w:tc>
          <w:tcPr>
            <w:tcW w:w="160" w:type="dxa"/>
            <w:vAlign w:val="bottom"/>
            <w:tcBorders>
              <w:right w:val="single" w:sz="8" w:color="0E32E1"/>
            </w:tcBorders>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2"/>
        </w:trPr>
        <w:tc>
          <w:tcPr>
            <w:tcW w:w="880" w:type="dxa"/>
            <w:vAlign w:val="bottom"/>
            <w:tcBorders>
              <w:bottom w:val="single" w:sz="8" w:color="0000FF"/>
            </w:tcBorders>
            <w:gridSpan w:val="4"/>
          </w:tcPr>
          <w:p>
            <w:pPr>
              <w:spacing w:after="0"/>
              <w:rPr>
                <w:rFonts w:ascii="Arial" w:cs="Arial" w:eastAsia="Arial" w:hAnsi="Arial"/>
                <w:sz w:val="15"/>
                <w:szCs w:val="15"/>
                <w:color w:val="0000FF"/>
              </w:rPr>
            </w:pPr>
            <w:hyperlink w:anchor="page171">
              <w:r>
                <w:rPr>
                  <w:rFonts w:ascii="Arial" w:cs="Arial" w:eastAsia="Arial" w:hAnsi="Arial"/>
                  <w:sz w:val="15"/>
                  <w:szCs w:val="15"/>
                  <w:color w:val="0000FF"/>
                </w:rPr>
                <w:t>Item 13.</w:t>
              </w:r>
            </w:hyperlink>
          </w:p>
        </w:tc>
        <w:tc>
          <w:tcPr>
            <w:tcW w:w="340" w:type="dxa"/>
            <w:vAlign w:val="bottom"/>
          </w:tcPr>
          <w:p>
            <w:pPr>
              <w:spacing w:after="0"/>
              <w:rPr>
                <w:sz w:val="14"/>
                <w:szCs w:val="14"/>
                <w:color w:val="auto"/>
              </w:rPr>
            </w:pPr>
          </w:p>
        </w:tc>
        <w:tc>
          <w:tcPr>
            <w:tcW w:w="4560" w:type="dxa"/>
            <w:vAlign w:val="bottom"/>
            <w:tcBorders>
              <w:bottom w:val="single" w:sz="8" w:color="0000FF"/>
            </w:tcBorders>
            <w:gridSpan w:val="18"/>
          </w:tcPr>
          <w:p>
            <w:pPr>
              <w:spacing w:after="0"/>
              <w:rPr>
                <w:rFonts w:ascii="Arial" w:cs="Arial" w:eastAsia="Arial" w:hAnsi="Arial"/>
                <w:sz w:val="15"/>
                <w:szCs w:val="15"/>
                <w:color w:val="0000FF"/>
                <w:w w:val="89"/>
              </w:rPr>
            </w:pPr>
            <w:hyperlink w:anchor="page171">
              <w:r>
                <w:rPr>
                  <w:rFonts w:ascii="Arial" w:cs="Arial" w:eastAsia="Arial" w:hAnsi="Arial"/>
                  <w:sz w:val="15"/>
                  <w:szCs w:val="15"/>
                  <w:color w:val="0000FF"/>
                  <w:w w:val="89"/>
                </w:rPr>
                <w:t>Certain Relationships and Related Transactions, and Director Independence</w:t>
              </w:r>
            </w:hyperlink>
          </w:p>
        </w:tc>
        <w:tc>
          <w:tcPr>
            <w:tcW w:w="4320" w:type="dxa"/>
            <w:vAlign w:val="bottom"/>
            <w:gridSpan w:val="9"/>
          </w:tcPr>
          <w:p>
            <w:pPr>
              <w:spacing w:after="0"/>
              <w:rPr>
                <w:sz w:val="14"/>
                <w:szCs w:val="14"/>
                <w:color w:val="auto"/>
              </w:rPr>
            </w:pPr>
          </w:p>
        </w:tc>
        <w:tc>
          <w:tcPr>
            <w:tcW w:w="1120" w:type="dxa"/>
            <w:vAlign w:val="bottom"/>
            <w:gridSpan w:val="4"/>
          </w:tcPr>
          <w:p>
            <w:pPr>
              <w:jc w:val="center"/>
              <w:spacing w:after="0"/>
              <w:rPr>
                <w:rFonts w:ascii="Arial" w:cs="Arial" w:eastAsia="Arial" w:hAnsi="Arial"/>
                <w:sz w:val="15"/>
                <w:szCs w:val="15"/>
                <w:color w:val="0E32E1"/>
                <w:w w:val="95"/>
              </w:rPr>
            </w:pPr>
            <w:hyperlink w:anchor="page171">
              <w:r>
                <w:rPr>
                  <w:rFonts w:ascii="Arial" w:cs="Arial" w:eastAsia="Arial" w:hAnsi="Arial"/>
                  <w:sz w:val="15"/>
                  <w:szCs w:val="15"/>
                  <w:color w:val="0E32E1"/>
                  <w:w w:val="95"/>
                </w:rPr>
                <w:t>169</w:t>
              </w:r>
            </w:hyperlink>
          </w:p>
        </w:tc>
      </w:tr>
      <w:tr>
        <w:trPr>
          <w:trHeight w:val="172"/>
        </w:trPr>
        <w:tc>
          <w:tcPr>
            <w:tcW w:w="880" w:type="dxa"/>
            <w:vAlign w:val="bottom"/>
            <w:gridSpan w:val="4"/>
          </w:tcPr>
          <w:p>
            <w:pPr>
              <w:spacing w:after="0"/>
              <w:rPr>
                <w:rFonts w:ascii="Arial" w:cs="Arial" w:eastAsia="Arial" w:hAnsi="Arial"/>
                <w:sz w:val="15"/>
                <w:szCs w:val="15"/>
                <w:color w:val="0000FF"/>
              </w:rPr>
            </w:pPr>
            <w:hyperlink w:anchor="page171">
              <w:r>
                <w:rPr>
                  <w:rFonts w:ascii="Arial" w:cs="Arial" w:eastAsia="Arial" w:hAnsi="Arial"/>
                  <w:sz w:val="15"/>
                  <w:szCs w:val="15"/>
                  <w:color w:val="0000FF"/>
                </w:rPr>
                <w:t>Item 14.</w:t>
              </w:r>
            </w:hyperlink>
          </w:p>
        </w:tc>
        <w:tc>
          <w:tcPr>
            <w:tcW w:w="9220" w:type="dxa"/>
            <w:vAlign w:val="bottom"/>
            <w:gridSpan w:val="28"/>
          </w:tcPr>
          <w:p>
            <w:pPr>
              <w:ind w:left="340"/>
              <w:spacing w:after="0"/>
              <w:rPr>
                <w:rFonts w:ascii="Arial" w:cs="Arial" w:eastAsia="Arial" w:hAnsi="Arial"/>
                <w:sz w:val="15"/>
                <w:szCs w:val="15"/>
                <w:color w:val="0000FF"/>
              </w:rPr>
            </w:pPr>
            <w:hyperlink w:anchor="page171">
              <w:r>
                <w:rPr>
                  <w:rFonts w:ascii="Arial" w:cs="Arial" w:eastAsia="Arial" w:hAnsi="Arial"/>
                  <w:sz w:val="15"/>
                  <w:szCs w:val="15"/>
                  <w:color w:val="0000FF"/>
                </w:rPr>
                <w:t>Principal Accounting Fees and Services</w:t>
              </w:r>
            </w:hyperlink>
          </w:p>
        </w:tc>
        <w:tc>
          <w:tcPr>
            <w:tcW w:w="1120" w:type="dxa"/>
            <w:vAlign w:val="bottom"/>
            <w:gridSpan w:val="4"/>
          </w:tcPr>
          <w:p>
            <w:pPr>
              <w:jc w:val="center"/>
              <w:spacing w:after="0"/>
              <w:rPr>
                <w:rFonts w:ascii="Arial" w:cs="Arial" w:eastAsia="Arial" w:hAnsi="Arial"/>
                <w:sz w:val="15"/>
                <w:szCs w:val="15"/>
                <w:color w:val="0E32E1"/>
                <w:w w:val="95"/>
              </w:rPr>
            </w:pPr>
            <w:hyperlink w:anchor="page171">
              <w:r>
                <w:rPr>
                  <w:rFonts w:ascii="Arial" w:cs="Arial" w:eastAsia="Arial" w:hAnsi="Arial"/>
                  <w:sz w:val="15"/>
                  <w:szCs w:val="15"/>
                  <w:color w:val="0E32E1"/>
                  <w:w w:val="95"/>
                </w:rPr>
                <w:t>169</w:t>
              </w:r>
            </w:hyperlink>
          </w:p>
        </w:tc>
      </w:tr>
      <w:tr>
        <w:trPr>
          <w:trHeight w:val="217"/>
        </w:trPr>
        <w:tc>
          <w:tcPr>
            <w:tcW w:w="5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0" w:type="dxa"/>
            <w:vAlign w:val="bottom"/>
            <w:gridSpan w:val="13"/>
          </w:tcPr>
          <w:p>
            <w:pPr>
              <w:jc w:val="center"/>
              <w:ind w:right="4180"/>
              <w:spacing w:after="0"/>
              <w:rPr>
                <w:rFonts w:ascii="Arial" w:cs="Arial" w:eastAsia="Arial" w:hAnsi="Arial"/>
                <w:sz w:val="15"/>
                <w:szCs w:val="15"/>
                <w:b w:val="1"/>
                <w:bCs w:val="1"/>
                <w:color w:val="0000FF"/>
                <w:w w:val="97"/>
              </w:rPr>
            </w:pPr>
            <w:hyperlink w:anchor="page171">
              <w:r>
                <w:rPr>
                  <w:rFonts w:ascii="Arial" w:cs="Arial" w:eastAsia="Arial" w:hAnsi="Arial"/>
                  <w:sz w:val="15"/>
                  <w:szCs w:val="15"/>
                  <w:b w:val="1"/>
                  <w:bCs w:val="1"/>
                  <w:color w:val="0000FF"/>
                  <w:w w:val="97"/>
                </w:rPr>
                <w:t>PART IV</w:t>
              </w:r>
            </w:hyperlink>
          </w:p>
        </w:tc>
        <w:tc>
          <w:tcPr>
            <w:tcW w:w="520" w:type="dxa"/>
            <w:vAlign w:val="bottom"/>
          </w:tcPr>
          <w:p>
            <w:pPr>
              <w:spacing w:after="0"/>
              <w:rPr>
                <w:sz w:val="18"/>
                <w:szCs w:val="18"/>
                <w:color w:val="auto"/>
              </w:rPr>
            </w:pPr>
          </w:p>
        </w:tc>
        <w:tc>
          <w:tcPr>
            <w:tcW w:w="80" w:type="dxa"/>
            <w:vAlign w:val="bottom"/>
            <w:tcBorders>
              <w:top w:val="single" w:sz="8" w:color="0E32E1"/>
            </w:tcBorders>
          </w:tcPr>
          <w:p>
            <w:pPr>
              <w:spacing w:after="0"/>
              <w:rPr>
                <w:sz w:val="18"/>
                <w:szCs w:val="18"/>
                <w:color w:val="auto"/>
              </w:rPr>
            </w:pPr>
          </w:p>
        </w:tc>
        <w:tc>
          <w:tcPr>
            <w:tcW w:w="80" w:type="dxa"/>
            <w:vAlign w:val="bottom"/>
            <w:tcBorders>
              <w:top w:val="single" w:sz="8" w:color="0E32E1"/>
            </w:tcBorders>
          </w:tcPr>
          <w:p>
            <w:pPr>
              <w:spacing w:after="0"/>
              <w:rPr>
                <w:sz w:val="18"/>
                <w:szCs w:val="18"/>
                <w:color w:val="auto"/>
              </w:rPr>
            </w:pPr>
          </w:p>
        </w:tc>
        <w:tc>
          <w:tcPr>
            <w:tcW w:w="440" w:type="dxa"/>
            <w:vAlign w:val="bottom"/>
          </w:tcPr>
          <w:p>
            <w:pPr>
              <w:spacing w:after="0"/>
              <w:rPr>
                <w:sz w:val="18"/>
                <w:szCs w:val="18"/>
                <w:color w:val="auto"/>
              </w:rPr>
            </w:pPr>
          </w:p>
        </w:tc>
      </w:tr>
      <w:tr>
        <w:trPr>
          <w:trHeight w:val="172"/>
        </w:trPr>
        <w:tc>
          <w:tcPr>
            <w:tcW w:w="880" w:type="dxa"/>
            <w:vAlign w:val="bottom"/>
            <w:gridSpan w:val="4"/>
          </w:tcPr>
          <w:p>
            <w:pPr>
              <w:spacing w:after="0"/>
              <w:rPr>
                <w:rFonts w:ascii="Arial" w:cs="Arial" w:eastAsia="Arial" w:hAnsi="Arial"/>
                <w:sz w:val="15"/>
                <w:szCs w:val="15"/>
                <w:color w:val="0000FF"/>
              </w:rPr>
            </w:pPr>
            <w:hyperlink w:anchor="page172">
              <w:r>
                <w:rPr>
                  <w:rFonts w:ascii="Arial" w:cs="Arial" w:eastAsia="Arial" w:hAnsi="Arial"/>
                  <w:sz w:val="15"/>
                  <w:szCs w:val="15"/>
                  <w:color w:val="0000FF"/>
                </w:rPr>
                <w:t>Item 15.</w:t>
              </w:r>
            </w:hyperlink>
          </w:p>
        </w:tc>
        <w:tc>
          <w:tcPr>
            <w:tcW w:w="340" w:type="dxa"/>
            <w:vAlign w:val="bottom"/>
          </w:tcPr>
          <w:p>
            <w:pPr>
              <w:spacing w:after="0"/>
              <w:rPr>
                <w:sz w:val="14"/>
                <w:szCs w:val="14"/>
                <w:color w:val="auto"/>
              </w:rPr>
            </w:pPr>
          </w:p>
        </w:tc>
        <w:tc>
          <w:tcPr>
            <w:tcW w:w="4100" w:type="dxa"/>
            <w:vAlign w:val="bottom"/>
            <w:gridSpan w:val="15"/>
          </w:tcPr>
          <w:p>
            <w:pPr>
              <w:spacing w:after="0"/>
              <w:rPr>
                <w:rFonts w:ascii="Arial" w:cs="Arial" w:eastAsia="Arial" w:hAnsi="Arial"/>
                <w:sz w:val="15"/>
                <w:szCs w:val="15"/>
                <w:color w:val="0000FF"/>
              </w:rPr>
            </w:pPr>
            <w:hyperlink w:anchor="page172">
              <w:r>
                <w:rPr>
                  <w:rFonts w:ascii="Arial" w:cs="Arial" w:eastAsia="Arial" w:hAnsi="Arial"/>
                  <w:sz w:val="15"/>
                  <w:szCs w:val="15"/>
                  <w:color w:val="0000FF"/>
                </w:rPr>
                <w:t>Exhibits, Financial Statement Schedules</w:t>
              </w:r>
            </w:hyperlink>
          </w:p>
        </w:tc>
        <w:tc>
          <w:tcPr>
            <w:tcW w:w="580" w:type="dxa"/>
            <w:vAlign w:val="bottom"/>
            <w:tcBorders>
              <w:top w:val="single" w:sz="8" w:color="0000FF"/>
            </w:tcBorders>
            <w:gridSpan w:val="6"/>
          </w:tcPr>
          <w:p>
            <w:pPr>
              <w:spacing w:after="0"/>
              <w:rPr>
                <w:sz w:val="14"/>
                <w:szCs w:val="14"/>
                <w:color w:val="auto"/>
              </w:rPr>
            </w:pPr>
          </w:p>
        </w:tc>
        <w:tc>
          <w:tcPr>
            <w:tcW w:w="4200" w:type="dxa"/>
            <w:vAlign w:val="bottom"/>
            <w:gridSpan w:val="6"/>
          </w:tcPr>
          <w:p>
            <w:pPr>
              <w:spacing w:after="0"/>
              <w:rPr>
                <w:sz w:val="14"/>
                <w:szCs w:val="14"/>
                <w:color w:val="auto"/>
              </w:rPr>
            </w:pPr>
          </w:p>
        </w:tc>
        <w:tc>
          <w:tcPr>
            <w:tcW w:w="1120" w:type="dxa"/>
            <w:vAlign w:val="bottom"/>
            <w:gridSpan w:val="4"/>
          </w:tcPr>
          <w:p>
            <w:pPr>
              <w:jc w:val="center"/>
              <w:spacing w:after="0"/>
              <w:rPr>
                <w:rFonts w:ascii="Arial" w:cs="Arial" w:eastAsia="Arial" w:hAnsi="Arial"/>
                <w:sz w:val="15"/>
                <w:szCs w:val="15"/>
                <w:color w:val="0E32E1"/>
                <w:w w:val="95"/>
              </w:rPr>
            </w:pPr>
            <w:hyperlink w:anchor="page172">
              <w:r>
                <w:rPr>
                  <w:rFonts w:ascii="Arial" w:cs="Arial" w:eastAsia="Arial" w:hAnsi="Arial"/>
                  <w:sz w:val="15"/>
                  <w:szCs w:val="15"/>
                  <w:color w:val="0E32E1"/>
                  <w:w w:val="95"/>
                </w:rPr>
                <w:t>170</w:t>
              </w:r>
            </w:hyperlink>
          </w:p>
        </w:tc>
      </w:tr>
      <w:tr>
        <w:trPr>
          <w:trHeight w:val="172"/>
        </w:trPr>
        <w:tc>
          <w:tcPr>
            <w:tcW w:w="880" w:type="dxa"/>
            <w:vAlign w:val="bottom"/>
            <w:tcBorders>
              <w:top w:val="single" w:sz="8" w:color="0000FF"/>
            </w:tcBorders>
            <w:gridSpan w:val="4"/>
          </w:tcPr>
          <w:p>
            <w:pPr>
              <w:spacing w:after="0"/>
              <w:rPr>
                <w:rFonts w:ascii="Arial" w:cs="Arial" w:eastAsia="Arial" w:hAnsi="Arial"/>
                <w:sz w:val="15"/>
                <w:szCs w:val="15"/>
                <w:color w:val="0000FF"/>
              </w:rPr>
            </w:pPr>
            <w:hyperlink w:anchor="page176">
              <w:r>
                <w:rPr>
                  <w:rFonts w:ascii="Arial" w:cs="Arial" w:eastAsia="Arial" w:hAnsi="Arial"/>
                  <w:sz w:val="15"/>
                  <w:szCs w:val="15"/>
                  <w:color w:val="0000FF"/>
                </w:rPr>
                <w:t>Item 16.</w:t>
              </w:r>
            </w:hyperlink>
          </w:p>
        </w:tc>
        <w:tc>
          <w:tcPr>
            <w:tcW w:w="340" w:type="dxa"/>
            <w:vAlign w:val="bottom"/>
          </w:tcPr>
          <w:p>
            <w:pPr>
              <w:spacing w:after="0"/>
              <w:rPr>
                <w:sz w:val="14"/>
                <w:szCs w:val="14"/>
                <w:color w:val="auto"/>
              </w:rPr>
            </w:pPr>
          </w:p>
        </w:tc>
        <w:tc>
          <w:tcPr>
            <w:tcW w:w="2420" w:type="dxa"/>
            <w:vAlign w:val="bottom"/>
            <w:tcBorders>
              <w:top w:val="single" w:sz="8" w:color="0000FF"/>
            </w:tcBorders>
            <w:gridSpan w:val="10"/>
          </w:tcPr>
          <w:p>
            <w:pPr>
              <w:spacing w:after="0"/>
              <w:rPr>
                <w:rFonts w:ascii="Arial" w:cs="Arial" w:eastAsia="Arial" w:hAnsi="Arial"/>
                <w:sz w:val="15"/>
                <w:szCs w:val="15"/>
                <w:color w:val="0000FF"/>
              </w:rPr>
            </w:pPr>
            <w:hyperlink w:anchor="page176">
              <w:r>
                <w:rPr>
                  <w:rFonts w:ascii="Arial" w:cs="Arial" w:eastAsia="Arial" w:hAnsi="Arial"/>
                  <w:sz w:val="15"/>
                  <w:szCs w:val="15"/>
                  <w:color w:val="0000FF"/>
                </w:rPr>
                <w:t>Summary</w:t>
              </w:r>
            </w:hyperlink>
          </w:p>
        </w:tc>
        <w:tc>
          <w:tcPr>
            <w:tcW w:w="6460" w:type="dxa"/>
            <w:vAlign w:val="bottom"/>
            <w:gridSpan w:val="17"/>
          </w:tcPr>
          <w:p>
            <w:pPr>
              <w:spacing w:after="0"/>
              <w:rPr>
                <w:sz w:val="14"/>
                <w:szCs w:val="14"/>
                <w:color w:val="auto"/>
              </w:rPr>
            </w:pPr>
          </w:p>
        </w:tc>
        <w:tc>
          <w:tcPr>
            <w:tcW w:w="1120" w:type="dxa"/>
            <w:vAlign w:val="bottom"/>
            <w:gridSpan w:val="4"/>
          </w:tcPr>
          <w:p>
            <w:pPr>
              <w:jc w:val="center"/>
              <w:spacing w:after="0"/>
              <w:rPr>
                <w:rFonts w:ascii="Arial" w:cs="Arial" w:eastAsia="Arial" w:hAnsi="Arial"/>
                <w:sz w:val="15"/>
                <w:szCs w:val="15"/>
                <w:color w:val="0E32E1"/>
                <w:w w:val="95"/>
              </w:rPr>
            </w:pPr>
            <w:hyperlink w:anchor="page176">
              <w:r>
                <w:rPr>
                  <w:rFonts w:ascii="Arial" w:cs="Arial" w:eastAsia="Arial" w:hAnsi="Arial"/>
                  <w:sz w:val="15"/>
                  <w:szCs w:val="15"/>
                  <w:color w:val="0E32E1"/>
                  <w:w w:val="95"/>
                </w:rPr>
                <w:t>174</w:t>
              </w:r>
            </w:hyperlink>
          </w:p>
        </w:tc>
      </w:tr>
      <w:tr>
        <w:trPr>
          <w:trHeight w:val="20"/>
        </w:trPr>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Borders>
              <w:right w:val="single" w:sz="8" w:color="0E32E1"/>
            </w:tcBorders>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 w:name="page4"/>
    <w:bookmarkEnd w:id="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Introductory Note</w:t>
      </w:r>
    </w:p>
    <w:p>
      <w:pPr>
        <w:spacing w:after="0" w:line="77"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The following describes the business of Fidelity National Financial, Inc. and its subsidiaries. Except where otherwise noted, all references to "we," "us," "our", the "Company" or "FNF" are to Fidelity National Financial, Inc. and its subsidiaries, taken together.</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87"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5"/>
          <w:szCs w:val="15"/>
          <w:color w:val="auto"/>
        </w:rPr>
        <w:t>We are a leading provider of (i) title insurance, escrow and other title-related services, including trust activities, trustee sales guarantees, recordings and reconveyances and home warranty products and (ii)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Land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wholly-owned subsidiary, F&amp;G Annuities &amp; Life ("F&amp;G").</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of December 31, 2021, we had the following reporting segments:</w:t>
      </w:r>
    </w:p>
    <w:p>
      <w:pPr>
        <w:spacing w:after="0" w:line="143" w:lineRule="exact"/>
        <w:rPr>
          <w:sz w:val="20"/>
          <w:szCs w:val="20"/>
          <w:color w:val="auto"/>
        </w:rPr>
      </w:pPr>
    </w:p>
    <w:p>
      <w:pPr>
        <w:jc w:val="both"/>
        <w:ind w:left="540" w:right="20" w:hanging="347"/>
        <w:spacing w:after="0" w:line="262"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Title. </w:t>
      </w:r>
      <w:r>
        <w:rPr>
          <w:rFonts w:ascii="Arial" w:cs="Arial" w:eastAsia="Arial" w:hAnsi="Arial"/>
          <w:sz w:val="15"/>
          <w:szCs w:val="15"/>
          <w:color w:val="auto"/>
        </w:rPr>
        <w:t>This segment consists of the operations of our title insurance underwriters and related businesses, which provide title insurance and escrow and other title-related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11" w:lineRule="exact"/>
        <w:rPr>
          <w:rFonts w:ascii="Arial" w:cs="Arial" w:eastAsia="Arial" w:hAnsi="Arial"/>
          <w:sz w:val="15"/>
          <w:szCs w:val="15"/>
          <w:color w:val="auto"/>
        </w:rPr>
      </w:pPr>
    </w:p>
    <w:p>
      <w:pPr>
        <w:jc w:val="both"/>
        <w:ind w:left="540" w:hanging="347"/>
        <w:spacing w:after="0" w:line="290" w:lineRule="auto"/>
        <w:tabs>
          <w:tab w:leader="none" w:pos="53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F&amp;G</w:t>
      </w:r>
      <w:r>
        <w:rPr>
          <w:rFonts w:ascii="Arial" w:cs="Arial" w:eastAsia="Arial" w:hAnsi="Arial"/>
          <w:sz w:val="14"/>
          <w:szCs w:val="14"/>
          <w:color w:val="auto"/>
        </w:rPr>
        <w:t>. This segment primarily consists of operations of our annuities and life insurance related businesses. This segment issues a broad portfolio of annuity and life insurance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including deferred annuities (fixed indexed and fixed rate annuities), immediate annuities, and indexed universal life ("IUL") insurance, through its retail distribution channels. This segment also provides funding agreements and pension risk transfer ("PRT") solutions through its institutional channels.</w:t>
      </w:r>
    </w:p>
    <w:p>
      <w:pPr>
        <w:spacing w:after="0" w:line="92" w:lineRule="exact"/>
        <w:rPr>
          <w:rFonts w:ascii="Arial" w:cs="Arial" w:eastAsia="Arial" w:hAnsi="Arial"/>
          <w:sz w:val="14"/>
          <w:szCs w:val="14"/>
          <w:color w:val="auto"/>
        </w:rPr>
      </w:pPr>
    </w:p>
    <w:p>
      <w:pPr>
        <w:ind w:left="540" w:hanging="347"/>
        <w:spacing w:after="0" w:line="274"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Corporate and Other. </w:t>
      </w:r>
      <w:r>
        <w:rPr>
          <w:rFonts w:ascii="Arial" w:cs="Arial" w:eastAsia="Arial" w:hAnsi="Arial"/>
          <w:sz w:val="15"/>
          <w:szCs w:val="15"/>
          <w:color w:val="auto"/>
        </w:rPr>
        <w:t>This segment consists of the operations of the parent holding company, our real estate technology subsidiaries, other smaller, non-title businesses and</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unallocated corporate overhead expenses and eliminations of revenues and expenses between it and our Title segment.</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Competitive Strengths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believe that our competitive strengths include the following:</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 xml:space="preserve">Corporate principles. </w:t>
      </w:r>
      <w:r>
        <w:rPr>
          <w:rFonts w:ascii="Arial" w:cs="Arial" w:eastAsia="Arial" w:hAnsi="Arial"/>
          <w:sz w:val="15"/>
          <w:szCs w:val="15"/>
          <w:color w:val="auto"/>
        </w:rPr>
        <w:t>A cornerstone of our management philosophy and operating success is the six fundamental precepts upon which we were founded, which are:</w:t>
      </w:r>
    </w:p>
    <w:p>
      <w:pPr>
        <w:spacing w:after="0" w:line="87" w:lineRule="exact"/>
        <w:rPr>
          <w:sz w:val="20"/>
          <w:szCs w:val="20"/>
          <w:color w:val="auto"/>
        </w:rPr>
      </w:pPr>
    </w:p>
    <w:p>
      <w:pPr>
        <w:ind w:left="520" w:hanging="259"/>
        <w:spacing w:after="0"/>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Autonomy and entrepreneurship;</w:t>
      </w:r>
    </w:p>
    <w:p>
      <w:pPr>
        <w:spacing w:after="0" w:line="17" w:lineRule="exact"/>
        <w:rPr>
          <w:rFonts w:ascii="Arial" w:cs="Arial" w:eastAsia="Arial" w:hAnsi="Arial"/>
          <w:sz w:val="15"/>
          <w:szCs w:val="15"/>
          <w:color w:val="auto"/>
        </w:rPr>
      </w:pPr>
    </w:p>
    <w:p>
      <w:pPr>
        <w:ind w:left="520" w:hanging="259"/>
        <w:spacing w:after="0"/>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Bias for action;</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Customer-oriented and motivated;</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Minimize bureaucracy;</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Employee ownership; and</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Highest standard of conduct.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These six precepts are emphasized to our employees from the first day of employment and are integral to many of our strategies described below.</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Title</w:t>
      </w:r>
    </w:p>
    <w:p>
      <w:pPr>
        <w:spacing w:after="0" w:line="8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i w:val="1"/>
          <w:iCs w:val="1"/>
          <w:color w:val="auto"/>
        </w:rPr>
        <w:t xml:space="preserve">Leading residential and commercial title insurance company. </w:t>
      </w:r>
      <w:r>
        <w:rPr>
          <w:rFonts w:ascii="Arial" w:cs="Arial" w:eastAsia="Arial" w:hAnsi="Arial"/>
          <w:sz w:val="15"/>
          <w:szCs w:val="15"/>
          <w:color w:val="auto"/>
        </w:rPr>
        <w:t>We are one of the largest title insurance companies in the United States and a leading provider of title insurance and</w:t>
      </w:r>
      <w:r>
        <w:rPr>
          <w:rFonts w:ascii="Arial" w:cs="Arial" w:eastAsia="Arial" w:hAnsi="Arial"/>
          <w:sz w:val="15"/>
          <w:szCs w:val="15"/>
          <w:i w:val="1"/>
          <w:iCs w:val="1"/>
          <w:color w:val="auto"/>
        </w:rPr>
        <w:t xml:space="preserve"> </w:t>
      </w:r>
      <w:r>
        <w:rPr>
          <w:rFonts w:ascii="Arial" w:cs="Arial" w:eastAsia="Arial" w:hAnsi="Arial"/>
          <w:sz w:val="15"/>
          <w:szCs w:val="15"/>
          <w:color w:val="auto"/>
        </w:rPr>
        <w:t>escrow and other title-related services for real estate transactions. Through the third quarter of 2021, our insurance companies had a 32.6% share of the U.S. title insurance market, according to the American Land Title Association ("ALTA"). While residential title insurance comprises the majority of our business, we are also a significant provider of commercial real estate title insurance in the United States. Our network of independent title agents and employees in our direct operations that service the commercial real estate markets is one of the largest in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 w:name="page5"/>
    <w:bookmarkEnd w:id="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industry. Our commercial network combined with our financial strength makes our title insurance operations attractive to large national lenders that require the underwriting and issuing of larger commercial title policies.</w:t>
      </w:r>
    </w:p>
    <w:p>
      <w:pPr>
        <w:spacing w:after="0" w:line="46" w:lineRule="exact"/>
        <w:rPr>
          <w:sz w:val="20"/>
          <w:szCs w:val="20"/>
          <w:color w:val="auto"/>
        </w:rPr>
      </w:pPr>
    </w:p>
    <w:p>
      <w:pPr>
        <w:jc w:val="both"/>
        <w:ind w:right="20" w:firstLine="270"/>
        <w:spacing w:after="0" w:line="290" w:lineRule="auto"/>
        <w:rPr>
          <w:sz w:val="20"/>
          <w:szCs w:val="20"/>
          <w:color w:val="auto"/>
        </w:rPr>
      </w:pPr>
      <w:r>
        <w:rPr>
          <w:rFonts w:ascii="Arial" w:cs="Arial" w:eastAsia="Arial" w:hAnsi="Arial"/>
          <w:sz w:val="14"/>
          <w:szCs w:val="14"/>
          <w:i w:val="1"/>
          <w:iCs w:val="1"/>
          <w:color w:val="auto"/>
        </w:rPr>
        <w:t xml:space="preserve">Established relationships with our customers. </w:t>
      </w:r>
      <w:r>
        <w:rPr>
          <w:rFonts w:ascii="Arial" w:cs="Arial" w:eastAsia="Arial" w:hAnsi="Arial"/>
          <w:sz w:val="14"/>
          <w:szCs w:val="14"/>
          <w:color w:val="auto"/>
        </w:rPr>
        <w:t>We have strong relationships with the customers who use our title services. Our distribution network, which includes more than 1,300</w:t>
      </w:r>
      <w:r>
        <w:rPr>
          <w:rFonts w:ascii="Arial" w:cs="Arial" w:eastAsia="Arial" w:hAnsi="Arial"/>
          <w:sz w:val="14"/>
          <w:szCs w:val="14"/>
          <w:i w:val="1"/>
          <w:iCs w:val="1"/>
          <w:color w:val="auto"/>
        </w:rPr>
        <w:t xml:space="preserve"> </w:t>
      </w:r>
      <w:r>
        <w:rPr>
          <w:rFonts w:ascii="Arial" w:cs="Arial" w:eastAsia="Arial" w:hAnsi="Arial"/>
          <w:sz w:val="14"/>
          <w:szCs w:val="14"/>
          <w:color w:val="auto"/>
        </w:rPr>
        <w:t>direct residential title offices and approximately 5,400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25"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i w:val="1"/>
          <w:iCs w:val="1"/>
          <w:color w:val="auto"/>
        </w:rPr>
        <w:t xml:space="preserve">Strong value proposition for our customers as a leading provider of services and technology solutions to the title insurance industry. </w:t>
      </w:r>
      <w:r>
        <w:rPr>
          <w:rFonts w:ascii="Arial" w:cs="Arial" w:eastAsia="Arial" w:hAnsi="Arial"/>
          <w:sz w:val="14"/>
          <w:szCs w:val="14"/>
          <w:color w:val="auto"/>
        </w:rPr>
        <w:t>Through our Title segment, we provide our</w:t>
      </w:r>
      <w:r>
        <w:rPr>
          <w:rFonts w:ascii="Arial" w:cs="Arial" w:eastAsia="Arial" w:hAnsi="Arial"/>
          <w:sz w:val="14"/>
          <w:szCs w:val="14"/>
          <w:i w:val="1"/>
          <w:iCs w:val="1"/>
          <w:color w:val="auto"/>
        </w:rPr>
        <w:t xml:space="preserve"> </w:t>
      </w:r>
      <w:r>
        <w:rPr>
          <w:rFonts w:ascii="Arial" w:cs="Arial" w:eastAsia="Arial" w:hAnsi="Arial"/>
          <w:sz w:val="14"/>
          <w:szCs w:val="14"/>
          <w:color w:val="auto"/>
        </w:rPr>
        <w:t>customers with title insurance and escrow and other title-related services that support their ability to effectively close real estate transactions. We help make the real estate closing process more efficient for our customers by offering a single point of access to a broad platform of title-related products and resources necessary to close real estate transactions.</w:t>
      </w:r>
    </w:p>
    <w:p>
      <w:pPr>
        <w:spacing w:after="0" w:line="36"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i w:val="1"/>
          <w:iCs w:val="1"/>
          <w:color w:val="auto"/>
        </w:rPr>
        <w:t xml:space="preserve">Industry leading margins and disciplined operating focus. </w:t>
      </w:r>
      <w:r>
        <w:rPr>
          <w:rFonts w:ascii="Arial" w:cs="Arial" w:eastAsia="Arial" w:hAnsi="Arial"/>
          <w:sz w:val="15"/>
          <w:szCs w:val="15"/>
          <w:color w:val="auto"/>
        </w:rPr>
        <w:t>We have been able to maintain competitive operating margins in part by monitoring our businesses in a disciplined manner</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continual evaluation of business activity and management of our cost structure. When compared to our industry competitors, we also believe that our structure is more efficiently designed, which allows us to operate with lower overhead costs.</w:t>
      </w:r>
    </w:p>
    <w:p>
      <w:pPr>
        <w:spacing w:after="0" w:line="5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i w:val="1"/>
          <w:iCs w:val="1"/>
          <w:color w:val="auto"/>
        </w:rPr>
        <w:t xml:space="preserve">Proven management team. </w:t>
      </w:r>
      <w:r>
        <w:rPr>
          <w:rFonts w:ascii="Arial" w:cs="Arial" w:eastAsia="Arial" w:hAnsi="Arial"/>
          <w:sz w:val="15"/>
          <w:szCs w:val="15"/>
          <w:color w:val="auto"/>
        </w:rPr>
        <w:t>The managers of our operating businesses have successfully built our Title segment over an extended period of time, resulting in our business attaining the</w:t>
      </w:r>
      <w:r>
        <w:rPr>
          <w:rFonts w:ascii="Arial" w:cs="Arial" w:eastAsia="Arial" w:hAnsi="Arial"/>
          <w:sz w:val="15"/>
          <w:szCs w:val="15"/>
          <w:i w:val="1"/>
          <w:iCs w:val="1"/>
          <w:color w:val="auto"/>
        </w:rPr>
        <w:t xml:space="preserve"> </w:t>
      </w:r>
      <w:r>
        <w:rPr>
          <w:rFonts w:ascii="Arial" w:cs="Arial" w:eastAsia="Arial" w:hAnsi="Arial"/>
          <w:sz w:val="15"/>
          <w:szCs w:val="15"/>
          <w:color w:val="auto"/>
        </w:rPr>
        <w:t>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believe that our Title segment's competitive strengths position us well to take advantage of future changes to the real estate market.</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F&amp;G</w:t>
      </w:r>
    </w:p>
    <w:p>
      <w:pPr>
        <w:spacing w:after="0" w:line="87" w:lineRule="exact"/>
        <w:rPr>
          <w:sz w:val="20"/>
          <w:szCs w:val="20"/>
          <w:color w:val="auto"/>
        </w:rPr>
      </w:pPr>
    </w:p>
    <w:p>
      <w:pPr>
        <w:jc w:val="both"/>
        <w:ind w:firstLine="270"/>
        <w:spacing w:after="0" w:line="275" w:lineRule="auto"/>
        <w:rPr>
          <w:sz w:val="20"/>
          <w:szCs w:val="20"/>
          <w:color w:val="auto"/>
        </w:rPr>
      </w:pPr>
      <w:r>
        <w:rPr>
          <w:rFonts w:ascii="Arial" w:cs="Arial" w:eastAsia="Arial" w:hAnsi="Arial"/>
          <w:sz w:val="14"/>
          <w:szCs w:val="14"/>
          <w:i w:val="1"/>
          <w:iCs w:val="1"/>
          <w:color w:val="auto"/>
        </w:rPr>
        <w:t xml:space="preserve">Diversified products and distribution relationships. </w:t>
      </w:r>
      <w:r>
        <w:rPr>
          <w:rFonts w:ascii="Arial" w:cs="Arial" w:eastAsia="Arial" w:hAnsi="Arial"/>
          <w:sz w:val="14"/>
          <w:szCs w:val="14"/>
          <w:color w:val="auto"/>
        </w:rPr>
        <w:t>We have five distribution channels across retail and institutional markets. Our three retail channels include agent-based</w:t>
      </w:r>
      <w:r>
        <w:rPr>
          <w:rFonts w:ascii="Arial" w:cs="Arial" w:eastAsia="Arial" w:hAnsi="Arial"/>
          <w:sz w:val="14"/>
          <w:szCs w:val="14"/>
          <w:i w:val="1"/>
          <w:iCs w:val="1"/>
          <w:color w:val="auto"/>
        </w:rPr>
        <w:t xml:space="preserve"> </w:t>
      </w:r>
      <w:r>
        <w:rPr>
          <w:rFonts w:ascii="Arial" w:cs="Arial" w:eastAsia="Arial" w:hAnsi="Arial"/>
          <w:sz w:val="14"/>
          <w:szCs w:val="14"/>
          <w:color w:val="auto"/>
        </w:rPr>
        <w:t>independent marketing organizations ("IMOs"), banks and broker dealers. We have deep, long-tenured relationships with our network of leading IMOs and their agents to serve the needs of the middle-income market and develop competitive annuity and life products to align with their evolving needs. Upon FNF’s ownership and F&amp;G’s subsequent rating upgrades in mid-2020, we launched into banks and broker dealers and are now distributing through 17 partners. Further, in 2021, we launched two institutional channels to originate funding agreement-backed notes (“FABN”) and PRT transactions. The FABN program offers funding agreements to institutional clients by means of capital markets transactions through investment banks. The PRT solutions business was launched by building an experienced team and then working with brokers and institutional consultants for distribution. These markets leverage our existing team's spread-based capabilities as well as our strategic partnership with Blackstone Inc. ("Blackstone").</w:t>
      </w:r>
    </w:p>
    <w:p>
      <w:pPr>
        <w:spacing w:after="0" w:line="3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i w:val="1"/>
          <w:iCs w:val="1"/>
          <w:color w:val="auto"/>
        </w:rPr>
        <w:t xml:space="preserve">Proven track record of managing net investment spread and flagship product expertise. </w:t>
      </w:r>
      <w:r>
        <w:rPr>
          <w:rFonts w:ascii="Arial" w:cs="Arial" w:eastAsia="Arial" w:hAnsi="Arial"/>
          <w:sz w:val="14"/>
          <w:szCs w:val="14"/>
          <w:color w:val="auto"/>
        </w:rPr>
        <w:t>We have a long track record of consistently managing net investment spread to achieve or</w:t>
      </w:r>
      <w:r>
        <w:rPr>
          <w:rFonts w:ascii="Arial" w:cs="Arial" w:eastAsia="Arial" w:hAnsi="Arial"/>
          <w:sz w:val="14"/>
          <w:szCs w:val="14"/>
          <w:i w:val="1"/>
          <w:iCs w:val="1"/>
          <w:color w:val="auto"/>
        </w:rPr>
        <w:t xml:space="preserve"> </w:t>
      </w:r>
      <w:r>
        <w:rPr>
          <w:rFonts w:ascii="Arial" w:cs="Arial" w:eastAsia="Arial" w:hAnsi="Arial"/>
          <w:sz w:val="14"/>
          <w:szCs w:val="14"/>
          <w:color w:val="auto"/>
        </w:rPr>
        <w:t>exceed targeted lifetime returns. Our flagship fixed indexed annuities ("FIA") product allows for active management, and our disciplined approach to pricing our business has resulted in strong and stable net investment spread, even during periods of economic turmoil. Our team of product developers has a history of innovation and collaboration in developing our flagship FIA products. Our customers value FIAs, which provide a portion of the gains of an underlying market index, while also providing principal protection. We believe this mix of “some upside but limited downside” fills the need for middle-income Americans who must save for retirement but want to limit the risk of decline in their savings.</w:t>
      </w:r>
    </w:p>
    <w:p>
      <w:pPr>
        <w:spacing w:after="0" w:line="4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i w:val="1"/>
          <w:iCs w:val="1"/>
          <w:color w:val="auto"/>
        </w:rPr>
        <w:t xml:space="preserve">Investment management capabilities and expertise. </w:t>
      </w:r>
      <w:r>
        <w:rPr>
          <w:rFonts w:ascii="Arial" w:cs="Arial" w:eastAsia="Arial" w:hAnsi="Arial"/>
          <w:sz w:val="15"/>
          <w:szCs w:val="15"/>
          <w:color w:val="auto"/>
        </w:rPr>
        <w:t>We believe our investment portfolio is well matched to our liabilities and well diversified across a range of high-quality asset</w:t>
      </w:r>
      <w:r>
        <w:rPr>
          <w:rFonts w:ascii="Arial" w:cs="Arial" w:eastAsia="Arial" w:hAnsi="Arial"/>
          <w:sz w:val="15"/>
          <w:szCs w:val="15"/>
          <w:i w:val="1"/>
          <w:iCs w:val="1"/>
          <w:color w:val="auto"/>
        </w:rPr>
        <w:t xml:space="preserve"> </w:t>
      </w:r>
      <w:r>
        <w:rPr>
          <w:rFonts w:ascii="Arial" w:cs="Arial" w:eastAsia="Arial" w:hAnsi="Arial"/>
          <w:sz w:val="15"/>
          <w:szCs w:val="15"/>
          <w:color w:val="auto"/>
        </w:rPr>
        <w:t>classes. Our active management strategy leverages the expertise of Blackstone to provide a competitive advantage through sourcing investment grade, proprietary private debt and allowing F&amp;G to leverage the breadth and depth of Blackstone’s credit platforms and analysts.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 xml:space="preserve">Efficient and scalable administrative model. </w:t>
      </w:r>
      <w:r>
        <w:rPr>
          <w:rFonts w:ascii="Arial" w:cs="Arial" w:eastAsia="Arial" w:hAnsi="Arial"/>
          <w:sz w:val="15"/>
          <w:szCs w:val="15"/>
          <w:color w:val="auto"/>
        </w:rPr>
        <w:t>Our third-party administration model provides for scalable, cost-efficient, and nimble operations.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believe that our competitive strengths position us well to grow the F&amp;G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 w:name="page6"/>
    <w:bookmarkEnd w:id="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Strategy</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Title</w:t>
      </w:r>
    </w:p>
    <w:p>
      <w:pPr>
        <w:spacing w:after="0" w:line="75" w:lineRule="exact"/>
        <w:rPr>
          <w:sz w:val="20"/>
          <w:szCs w:val="20"/>
          <w:color w:val="auto"/>
        </w:rPr>
      </w:pPr>
    </w:p>
    <w:p>
      <w:pPr>
        <w:ind w:right="20" w:firstLine="270"/>
        <w:spacing w:after="0" w:line="274" w:lineRule="auto"/>
        <w:rPr>
          <w:sz w:val="20"/>
          <w:szCs w:val="20"/>
          <w:color w:val="auto"/>
        </w:rPr>
      </w:pPr>
      <w:r>
        <w:rPr>
          <w:rFonts w:ascii="Arial" w:cs="Arial" w:eastAsia="Arial" w:hAnsi="Arial"/>
          <w:sz w:val="15"/>
          <w:szCs w:val="15"/>
          <w:color w:val="auto"/>
        </w:rPr>
        <w:t>Our strategy in the Title segment is to maximize operating profits by increasing our market share and managing operating expenses throughout the real estate business cycle. To accomplish our goals, we intend to do the following:</w:t>
      </w:r>
    </w:p>
    <w:p>
      <w:pPr>
        <w:spacing w:after="0" w:line="46" w:lineRule="exact"/>
        <w:rPr>
          <w:sz w:val="20"/>
          <w:szCs w:val="20"/>
          <w:color w:val="auto"/>
        </w:rPr>
      </w:pPr>
    </w:p>
    <w:p>
      <w:pPr>
        <w:jc w:val="both"/>
        <w:ind w:left="540" w:hanging="279"/>
        <w:spacing w:after="0" w:line="283" w:lineRule="auto"/>
        <w:tabs>
          <w:tab w:leader="none" w:pos="53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Continue to operate multiple title brands independently</w:t>
      </w:r>
      <w:r>
        <w:rPr>
          <w:rFonts w:ascii="Arial" w:cs="Arial" w:eastAsia="Arial" w:hAnsi="Arial"/>
          <w:sz w:val="14"/>
          <w:szCs w:val="14"/>
          <w:color w:val="auto"/>
        </w:rPr>
        <w:t>. We believe that in order to maintain and strengthen our title insurance customer base, we must operate our strongest</w:t>
      </w:r>
      <w:r>
        <w:rPr>
          <w:rFonts w:ascii="Arial" w:cs="Arial" w:eastAsia="Arial" w:hAnsi="Arial"/>
          <w:sz w:val="14"/>
          <w:szCs w:val="14"/>
          <w:i w:val="1"/>
          <w:iCs w:val="1"/>
          <w:color w:val="auto"/>
        </w:rPr>
        <w:t xml:space="preserve"> </w:t>
      </w:r>
      <w:r>
        <w:rPr>
          <w:rFonts w:ascii="Arial" w:cs="Arial" w:eastAsia="Arial" w:hAnsi="Arial"/>
          <w:sz w:val="14"/>
          <w:szCs w:val="14"/>
          <w:color w:val="auto"/>
        </w:rPr>
        <w:t>brands in a given marketplace independently of each other. Our national and regional brands include FNTIC, Chicago Title, Commonwealth Land Title, Lawyers Title, Ticor Title, Alamo Title, and National Title of New York.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40" w:lineRule="exact"/>
        <w:rPr>
          <w:rFonts w:ascii="Arial" w:cs="Arial" w:eastAsia="Arial" w:hAnsi="Arial"/>
          <w:sz w:val="14"/>
          <w:szCs w:val="14"/>
          <w:color w:val="auto"/>
        </w:rPr>
      </w:pPr>
    </w:p>
    <w:p>
      <w:pPr>
        <w:jc w:val="both"/>
        <w:ind w:left="540" w:hanging="279"/>
        <w:spacing w:after="0" w:line="262" w:lineRule="auto"/>
        <w:tabs>
          <w:tab w:leader="none" w:pos="536"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Consistently deliver superior customer service. </w:t>
      </w:r>
      <w:r>
        <w:rPr>
          <w:rFonts w:ascii="Arial" w:cs="Arial" w:eastAsia="Arial" w:hAnsi="Arial"/>
          <w:sz w:val="15"/>
          <w:szCs w:val="15"/>
          <w:color w:val="auto"/>
        </w:rPr>
        <w:t>We believe customer service and consistent product delivery are the most important factors in attracting and retaining customers.</w:t>
      </w:r>
      <w:r>
        <w:rPr>
          <w:rFonts w:ascii="Arial" w:cs="Arial" w:eastAsia="Arial" w:hAnsi="Arial"/>
          <w:sz w:val="15"/>
          <w:szCs w:val="15"/>
          <w:i w:val="1"/>
          <w:iCs w:val="1"/>
          <w:color w:val="auto"/>
        </w:rPr>
        <w:t xml:space="preserve"> </w:t>
      </w:r>
      <w:r>
        <w:rPr>
          <w:rFonts w:ascii="Arial" w:cs="Arial" w:eastAsia="Arial" w:hAnsi="Arial"/>
          <w:sz w:val="15"/>
          <w:szCs w:val="15"/>
          <w:color w:val="auto"/>
        </w:rPr>
        <w:t>Our ability 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43" w:lineRule="exact"/>
        <w:rPr>
          <w:rFonts w:ascii="Arial" w:cs="Arial" w:eastAsia="Arial" w:hAnsi="Arial"/>
          <w:sz w:val="15"/>
          <w:szCs w:val="15"/>
          <w:color w:val="auto"/>
        </w:rPr>
      </w:pPr>
    </w:p>
    <w:p>
      <w:pPr>
        <w:jc w:val="both"/>
        <w:ind w:left="540" w:hanging="279"/>
        <w:spacing w:after="0" w:line="255" w:lineRule="auto"/>
        <w:tabs>
          <w:tab w:leader="none" w:pos="536"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Manage our operations successfully through business cycles</w:t>
      </w:r>
      <w:r>
        <w:rPr>
          <w:rFonts w:ascii="Arial" w:cs="Arial" w:eastAsia="Arial" w:hAnsi="Arial"/>
          <w:sz w:val="15"/>
          <w:szCs w:val="15"/>
          <w:color w:val="auto"/>
        </w:rPr>
        <w:t>. Our Title segment operates in a cyclical industry and our ability to diversify our revenue base within our title</w:t>
      </w:r>
      <w:r>
        <w:rPr>
          <w:rFonts w:ascii="Arial" w:cs="Arial" w:eastAsia="Arial" w:hAnsi="Arial"/>
          <w:sz w:val="15"/>
          <w:szCs w:val="15"/>
          <w:i w:val="1"/>
          <w:iCs w:val="1"/>
          <w:color w:val="auto"/>
        </w:rPr>
        <w:t xml:space="preserve"> </w:t>
      </w:r>
      <w:r>
        <w:rPr>
          <w:rFonts w:ascii="Arial" w:cs="Arial" w:eastAsia="Arial" w:hAnsi="Arial"/>
          <w:sz w:val="15"/>
          <w:szCs w:val="15"/>
          <w:color w:val="auto"/>
        </w:rPr>
        <w:t>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60" w:lineRule="exact"/>
        <w:rPr>
          <w:rFonts w:ascii="Arial" w:cs="Arial" w:eastAsia="Arial" w:hAnsi="Arial"/>
          <w:sz w:val="15"/>
          <w:szCs w:val="15"/>
          <w:color w:val="auto"/>
        </w:rPr>
      </w:pPr>
    </w:p>
    <w:p>
      <w:pPr>
        <w:jc w:val="both"/>
        <w:ind w:left="540" w:hanging="279"/>
        <w:spacing w:after="0" w:line="256" w:lineRule="auto"/>
        <w:tabs>
          <w:tab w:leader="none" w:pos="536"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Continue to improve our products and technology. </w:t>
      </w:r>
      <w:r>
        <w:rPr>
          <w:rFonts w:ascii="Arial" w:cs="Arial" w:eastAsia="Arial" w:hAnsi="Arial"/>
          <w:sz w:val="15"/>
          <w:szCs w:val="15"/>
          <w:color w:val="auto"/>
        </w:rPr>
        <w:t>As a national provider of real estate transaction products and services, we participate in an industry that is subject to</w:t>
      </w:r>
      <w:r>
        <w:rPr>
          <w:rFonts w:ascii="Arial" w:cs="Arial" w:eastAsia="Arial" w:hAnsi="Arial"/>
          <w:sz w:val="15"/>
          <w:szCs w:val="15"/>
          <w:i w:val="1"/>
          <w:iCs w:val="1"/>
          <w:color w:val="auto"/>
        </w:rPr>
        <w:t xml:space="preserve"> </w:t>
      </w:r>
      <w:r>
        <w:rPr>
          <w:rFonts w:ascii="Arial" w:cs="Arial" w:eastAsia="Arial" w:hAnsi="Arial"/>
          <w:sz w:val="15"/>
          <w:szCs w:val="15"/>
          <w:color w:val="auto"/>
        </w:rPr>
        <w:t>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continue to improve the process of ordering title and escrow services and the delivery of our products to our customers.</w:t>
      </w:r>
    </w:p>
    <w:p>
      <w:pPr>
        <w:spacing w:after="0" w:line="60" w:lineRule="exact"/>
        <w:rPr>
          <w:rFonts w:ascii="Arial" w:cs="Arial" w:eastAsia="Arial" w:hAnsi="Arial"/>
          <w:sz w:val="15"/>
          <w:szCs w:val="15"/>
          <w:color w:val="auto"/>
        </w:rPr>
      </w:pPr>
    </w:p>
    <w:p>
      <w:pPr>
        <w:jc w:val="both"/>
        <w:ind w:left="540" w:hanging="279"/>
        <w:spacing w:after="0" w:line="258" w:lineRule="auto"/>
        <w:tabs>
          <w:tab w:leader="none" w:pos="536"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Maintain values supporting our strategy. </w:t>
      </w:r>
      <w:r>
        <w:rPr>
          <w:rFonts w:ascii="Arial" w:cs="Arial" w:eastAsia="Arial" w:hAnsi="Arial"/>
          <w:sz w:val="15"/>
          <w:szCs w:val="15"/>
          <w:color w:val="auto"/>
        </w:rPr>
        <w:t>We believe that our continued focus on and support of our long-established corporate culture will reinforce and support our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strategy. Our 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 this goal.</w:t>
      </w:r>
    </w:p>
    <w:p>
      <w:pPr>
        <w:spacing w:after="0" w:line="47" w:lineRule="exact"/>
        <w:rPr>
          <w:rFonts w:ascii="Arial" w:cs="Arial" w:eastAsia="Arial" w:hAnsi="Arial"/>
          <w:sz w:val="15"/>
          <w:szCs w:val="15"/>
          <w:color w:val="auto"/>
        </w:rPr>
      </w:pPr>
    </w:p>
    <w:p>
      <w:pPr>
        <w:jc w:val="both"/>
        <w:ind w:left="540" w:hanging="279"/>
        <w:spacing w:after="0" w:line="262" w:lineRule="auto"/>
        <w:tabs>
          <w:tab w:leader="none" w:pos="536"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Effectively manage costs based on economic factors. </w:t>
      </w:r>
      <w:r>
        <w:rPr>
          <w:rFonts w:ascii="Arial" w:cs="Arial" w:eastAsia="Arial" w:hAnsi="Arial"/>
          <w:sz w:val="15"/>
          <w:szCs w:val="15"/>
          <w:color w:val="auto"/>
        </w:rPr>
        <w:t>We believe that our focus on our operating margins is essential to our continued success in the title insurance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F&amp;G</w:t>
      </w:r>
    </w:p>
    <w:p>
      <w:pPr>
        <w:spacing w:after="0" w:line="87"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Through a diversified growth strategy, our F&amp;G segment seeks to deliver consistent and increasing earnings driven by asset growth. To accomplish our goals, we intend to do the following:</w:t>
      </w:r>
    </w:p>
    <w:p>
      <w:pPr>
        <w:spacing w:after="0" w:line="34" w:lineRule="exact"/>
        <w:rPr>
          <w:sz w:val="20"/>
          <w:szCs w:val="20"/>
          <w:color w:val="auto"/>
        </w:rPr>
      </w:pPr>
    </w:p>
    <w:p>
      <w:pPr>
        <w:jc w:val="both"/>
        <w:ind w:left="540" w:hanging="279"/>
        <w:spacing w:after="0" w:line="262" w:lineRule="auto"/>
        <w:tabs>
          <w:tab w:leader="none" w:pos="536"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Serve the growing needs of the retirement markets by collaborating with our distribution partners to deliver peace of mind solutions. </w:t>
      </w:r>
      <w:r>
        <w:rPr>
          <w:rFonts w:ascii="Arial" w:cs="Arial" w:eastAsia="Arial" w:hAnsi="Arial"/>
          <w:sz w:val="15"/>
          <w:szCs w:val="15"/>
          <w:color w:val="auto"/>
        </w:rPr>
        <w:t>We believe the demand for retirement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principal protection products will continue to grow. We offer valuable products and capabilities tailored to serve this growing demographic need. Our new and existing distribution partners strategically align with a diverse and growing demographic in both our retail and institutional channels.</w:t>
      </w:r>
    </w:p>
    <w:p>
      <w:pPr>
        <w:spacing w:after="0" w:line="54" w:lineRule="exact"/>
        <w:rPr>
          <w:rFonts w:ascii="Arial" w:cs="Arial" w:eastAsia="Arial" w:hAnsi="Arial"/>
          <w:sz w:val="15"/>
          <w:szCs w:val="15"/>
          <w:color w:val="auto"/>
        </w:rPr>
      </w:pPr>
    </w:p>
    <w:p>
      <w:pPr>
        <w:ind w:left="540" w:hanging="279"/>
        <w:spacing w:after="0" w:line="311" w:lineRule="auto"/>
        <w:tabs>
          <w:tab w:leader="none" w:pos="53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Enhance the F&amp;G experience. </w:t>
      </w:r>
      <w:r>
        <w:rPr>
          <w:rFonts w:ascii="Arial" w:cs="Arial" w:eastAsia="Arial" w:hAnsi="Arial"/>
          <w:sz w:val="14"/>
          <w:szCs w:val="14"/>
          <w:color w:val="auto"/>
        </w:rPr>
        <w:t>With products that provide downside protection coupled with opportunity for market upside, we are focused on giving our policyholders peace of</w:t>
      </w:r>
      <w:r>
        <w:rPr>
          <w:rFonts w:ascii="Arial" w:cs="Arial" w:eastAsia="Arial" w:hAnsi="Arial"/>
          <w:sz w:val="14"/>
          <w:szCs w:val="14"/>
          <w:i w:val="1"/>
          <w:iCs w:val="1"/>
          <w:color w:val="auto"/>
        </w:rPr>
        <w:t xml:space="preserve"> </w:t>
      </w:r>
      <w:r>
        <w:rPr>
          <w:rFonts w:ascii="Arial" w:cs="Arial" w:eastAsia="Arial" w:hAnsi="Arial"/>
          <w:sz w:val="14"/>
          <w:szCs w:val="14"/>
          <w:color w:val="auto"/>
        </w:rPr>
        <w:t>mind. We work closely with agents and other partners who help their clients select the best products for their individual needs. Our customer care professionals provide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 w:name="page7"/>
    <w:bookmarkEnd w:id="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540"/>
        <w:spacing w:after="0" w:line="274" w:lineRule="auto"/>
        <w:rPr>
          <w:sz w:val="20"/>
          <w:szCs w:val="20"/>
          <w:color w:val="auto"/>
        </w:rPr>
      </w:pPr>
      <w:r>
        <w:rPr>
          <w:rFonts w:ascii="Arial" w:cs="Arial" w:eastAsia="Arial" w:hAnsi="Arial"/>
          <w:sz w:val="15"/>
          <w:szCs w:val="15"/>
          <w:color w:val="auto"/>
        </w:rPr>
        <w:t>personalized support, and we offer self-serve options through our digital platforms. Our culture embodies values that drive employee retention and engagement, to best serve all aspects of the product lifecycle.</w:t>
      </w:r>
    </w:p>
    <w:p>
      <w:pPr>
        <w:spacing w:after="0" w:line="46" w:lineRule="exact"/>
        <w:rPr>
          <w:sz w:val="20"/>
          <w:szCs w:val="20"/>
          <w:color w:val="auto"/>
        </w:rPr>
      </w:pPr>
    </w:p>
    <w:p>
      <w:pPr>
        <w:jc w:val="both"/>
        <w:ind w:left="540" w:hanging="279"/>
        <w:spacing w:after="0" w:line="256" w:lineRule="auto"/>
        <w:tabs>
          <w:tab w:leader="none" w:pos="536"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Continue to modernize and scale our business capabilities. </w:t>
      </w:r>
      <w:r>
        <w:rPr>
          <w:rFonts w:ascii="Arial" w:cs="Arial" w:eastAsia="Arial" w:hAnsi="Arial"/>
          <w:sz w:val="15"/>
          <w:szCs w:val="15"/>
          <w:color w:val="auto"/>
        </w:rPr>
        <w:t>We participate in a regulated industry that is subject to dynamic competition and evolving industry standards. We</w:t>
      </w:r>
      <w:r>
        <w:rPr>
          <w:rFonts w:ascii="Arial" w:cs="Arial" w:eastAsia="Arial" w:hAnsi="Arial"/>
          <w:sz w:val="15"/>
          <w:szCs w:val="15"/>
          <w:i w:val="1"/>
          <w:iCs w:val="1"/>
          <w:color w:val="auto"/>
        </w:rPr>
        <w:t xml:space="preserve"> </w:t>
      </w:r>
      <w:r>
        <w:rPr>
          <w:rFonts w:ascii="Arial" w:cs="Arial" w:eastAsia="Arial" w:hAnsi="Arial"/>
          <w:sz w:val="15"/>
          <w:szCs w:val="15"/>
          <w:color w:val="auto"/>
        </w:rPr>
        <w:t>believe that our future success will depend in part on our ability to anticipate industry changes and offer products and services that meet evolving industry standards. In connection with our service offerings, we continue to deploy new information system technologies to enhance capabilities and provide the infrastructure to successfully grow our business. Additionally, we benefit from Blackstone's asset origination capabilities and expertise which enhances investment yield while maintaining credit quality, broadens our asset diversification and ensures asset and liability cash flows are well matched.</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Acquisitions, Dispositions, Minority Owned Operating Subsidiaries and Financings</w:t>
      </w:r>
    </w:p>
    <w:p>
      <w:pPr>
        <w:spacing w:after="0" w:line="87" w:lineRule="exact"/>
        <w:rPr>
          <w:sz w:val="20"/>
          <w:szCs w:val="20"/>
          <w:color w:val="auto"/>
        </w:rPr>
      </w:pPr>
    </w:p>
    <w:p>
      <w:pPr>
        <w:jc w:val="both"/>
        <w:ind w:right="20" w:firstLine="270"/>
        <w:spacing w:after="0" w:line="262" w:lineRule="auto"/>
        <w:rPr>
          <w:sz w:val="20"/>
          <w:szCs w:val="20"/>
          <w:color w:val="auto"/>
        </w:rPr>
      </w:pPr>
      <w:r>
        <w:rPr>
          <w:rFonts w:ascii="Arial" w:cs="Arial" w:eastAsia="Arial" w:hAnsi="Arial"/>
          <w:sz w:val="15"/>
          <w:szCs w:val="15"/>
          <w:color w:val="auto"/>
        </w:rPr>
        <w:t>Acquisitions have been an important part of our growth strategy and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55"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4"/>
          <w:szCs w:val="14"/>
          <w:color w:val="auto"/>
        </w:rPr>
        <w:t>In the future, we may seek to sell certain investments or other assets to increase our liquidity. In the past we have obtained majority and minority investments in entities and securities where we see the potential to achieve above market returns. Fundamentally our goal is to acquire quality companies that are run by best in class management teams and that have attractive organic and acquired growth opportunities. We leverage our operational expertise and track record of growing industry-leading companies along with our active interaction with the acquired company's management directly or through our board of directors, to ultimately provide value for our shareholders.</w:t>
      </w:r>
    </w:p>
    <w:p>
      <w:pPr>
        <w:spacing w:after="0" w:line="29"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w:t>
      </w:r>
    </w:p>
    <w:p>
      <w:pPr>
        <w:spacing w:after="0" w:line="8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Technology and Research and Development</w:t>
      </w:r>
    </w:p>
    <w:p>
      <w:pPr>
        <w:spacing w:after="0" w:line="98" w:lineRule="exact"/>
        <w:rPr>
          <w:sz w:val="20"/>
          <w:szCs w:val="20"/>
          <w:color w:val="auto"/>
        </w:rPr>
      </w:pPr>
    </w:p>
    <w:p>
      <w:pPr>
        <w:jc w:val="both"/>
        <w:ind w:firstLine="274"/>
        <w:spacing w:after="0" w:line="256" w:lineRule="auto"/>
        <w:rPr>
          <w:sz w:val="20"/>
          <w:szCs w:val="20"/>
          <w:color w:val="auto"/>
        </w:rPr>
      </w:pPr>
      <w:r>
        <w:rPr>
          <w:rFonts w:ascii="Arial" w:cs="Arial" w:eastAsia="Arial" w:hAnsi="Arial"/>
          <w:sz w:val="15"/>
          <w:szCs w:val="15"/>
          <w:color w:val="auto"/>
        </w:rPr>
        <w:t>As a national provider of real estate transaction products and services, we participate in an industry that is subject to significant regulatory requirements, 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Loss Reserves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xml:space="preserve">For information about our loss reserves, see Item 7 of Part II of this Annual Report, under </w:t>
      </w:r>
      <w:r>
        <w:rPr>
          <w:rFonts w:ascii="Arial" w:cs="Arial" w:eastAsia="Arial" w:hAnsi="Arial"/>
          <w:sz w:val="13"/>
          <w:szCs w:val="13"/>
          <w:i w:val="1"/>
          <w:iCs w:val="1"/>
          <w:color w:val="auto"/>
        </w:rPr>
        <w:t>Management’s Discussion and Analysis of Financial Condition and Results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Critical Accounting Estimates.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Title Insurance</w:t>
      </w:r>
    </w:p>
    <w:p>
      <w:pPr>
        <w:spacing w:after="0" w:line="75"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i w:val="1"/>
          <w:iCs w:val="1"/>
          <w:color w:val="auto"/>
        </w:rPr>
        <w:t xml:space="preserve">Market for title insurance. </w:t>
      </w:r>
      <w:r>
        <w:rPr>
          <w:rFonts w:ascii="Arial" w:cs="Arial" w:eastAsia="Arial" w:hAnsi="Arial"/>
          <w:sz w:val="14"/>
          <w:szCs w:val="14"/>
          <w:color w:val="auto"/>
        </w:rPr>
        <w:t>According to Demotech Performance of Title Insurance Companies 2021 Edition, an annual compilation of financial information from the title insurance</w:t>
      </w:r>
      <w:r>
        <w:rPr>
          <w:rFonts w:ascii="Arial" w:cs="Arial" w:eastAsia="Arial" w:hAnsi="Arial"/>
          <w:sz w:val="14"/>
          <w:szCs w:val="14"/>
          <w:i w:val="1"/>
          <w:iCs w:val="1"/>
          <w:color w:val="auto"/>
        </w:rPr>
        <w:t xml:space="preserve"> </w:t>
      </w:r>
      <w:r>
        <w:rPr>
          <w:rFonts w:ascii="Arial" w:cs="Arial" w:eastAsia="Arial" w:hAnsi="Arial"/>
          <w:sz w:val="14"/>
          <w:szCs w:val="14"/>
          <w:color w:val="auto"/>
        </w:rPr>
        <w:t>industry that is published by Demotech Inc. ("Demotech"), an independent firm, total operating income for the entire U.S. title insurance industry has increased over the last five years from approximately $14.9 billion in 2016 to $20.7 billion in 2020, which represents a $3.8 billion increase from 2019. The size of the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 w:name="page8"/>
    <w:bookmarkEnd w:id="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5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color w:val="auto"/>
        </w:rPr>
        <w:t>The U.S. title insurance industry is concentrated among a handful of industry participants. According to Demotech, the top four title insurance groups accounted for 79% of net premiums written in 2020. Approximately 34 independent title insurance companies accounted for the remaining 21% of net premiums written in 2020. Consolidation has created opportunities for increased financial and operating efficiencies for the industry’s largest participants and should continue to drive profitability and market share in the industry.</w:t>
      </w:r>
    </w:p>
    <w:p>
      <w:pPr>
        <w:spacing w:after="0" w:line="2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 xml:space="preserve">Our Title segment revenue is closely related to the level of real estate activity that includes sales, mortgage financing and mortgage refinancing. For further discussion of current trends in real estate activity in the United States, see discussion under </w:t>
      </w:r>
      <w:r>
        <w:rPr>
          <w:rFonts w:ascii="Arial" w:cs="Arial" w:eastAsia="Arial" w:hAnsi="Arial"/>
          <w:sz w:val="15"/>
          <w:szCs w:val="15"/>
          <w:i w:val="1"/>
          <w:iCs w:val="1"/>
          <w:color w:val="auto"/>
        </w:rPr>
        <w:t>Business Trends and Conditions</w:t>
      </w:r>
      <w:r>
        <w:rPr>
          <w:rFonts w:ascii="Arial" w:cs="Arial" w:eastAsia="Arial" w:hAnsi="Arial"/>
          <w:sz w:val="15"/>
          <w:szCs w:val="15"/>
          <w:color w:val="auto"/>
        </w:rPr>
        <w:t xml:space="preserve"> included in Item 7 of Part II of this Annual Report, which is incorporated by reference into this Item 1 of Part I.</w:t>
      </w:r>
    </w:p>
    <w:p>
      <w:pPr>
        <w:spacing w:after="0" w:line="55"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i w:val="1"/>
          <w:iCs w:val="1"/>
          <w:color w:val="auto"/>
        </w:rPr>
        <w:t xml:space="preserve">Title Insurance Policies. </w:t>
      </w:r>
      <w:r>
        <w:rPr>
          <w:rFonts w:ascii="Arial" w:cs="Arial" w:eastAsia="Arial" w:hAnsi="Arial"/>
          <w:sz w:val="15"/>
          <w:szCs w:val="15"/>
          <w:color w:val="auto"/>
        </w:rPr>
        <w:t>Generally, real estate buyers and mortgage lenders purchase title insurance to insure good and marketable title to real estate and priority of lien. A brief</w:t>
      </w:r>
      <w:r>
        <w:rPr>
          <w:rFonts w:ascii="Arial" w:cs="Arial" w:eastAsia="Arial" w:hAnsi="Arial"/>
          <w:sz w:val="15"/>
          <w:szCs w:val="15"/>
          <w:i w:val="1"/>
          <w:iCs w:val="1"/>
          <w:color w:val="auto"/>
        </w:rPr>
        <w:t xml:space="preserve"> </w:t>
      </w:r>
      <w:r>
        <w:rPr>
          <w:rFonts w:ascii="Arial" w:cs="Arial" w:eastAsia="Arial" w:hAnsi="Arial"/>
          <w:sz w:val="15"/>
          <w:szCs w:val="15"/>
          <w:color w:val="auto"/>
        </w:rPr>
        <w:t>generalized description of the process of issuing a title insurance policy is as follows:</w:t>
      </w:r>
    </w:p>
    <w:p>
      <w:pPr>
        <w:spacing w:after="0" w:line="46" w:lineRule="exact"/>
        <w:rPr>
          <w:sz w:val="20"/>
          <w:szCs w:val="20"/>
          <w:color w:val="auto"/>
        </w:rPr>
      </w:pPr>
    </w:p>
    <w:p>
      <w:pPr>
        <w:ind w:left="520" w:hanging="259"/>
        <w:spacing w:after="0"/>
        <w:tabs>
          <w:tab w:leader="none" w:pos="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customer, typically a real estate salesperson or broker, escrow agent, attorney or lender, places an order for a title policy.</w:t>
      </w:r>
    </w:p>
    <w:p>
      <w:pPr>
        <w:spacing w:after="0" w:line="17" w:lineRule="exact"/>
        <w:rPr>
          <w:rFonts w:ascii="Arial" w:cs="Arial" w:eastAsia="Arial" w:hAnsi="Arial"/>
          <w:sz w:val="15"/>
          <w:szCs w:val="15"/>
          <w:color w:val="auto"/>
        </w:rPr>
      </w:pPr>
    </w:p>
    <w:p>
      <w:pPr>
        <w:ind w:left="520" w:hanging="259"/>
        <w:spacing w:after="0"/>
        <w:tabs>
          <w:tab w:leader="none" w:pos="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Company personnel note the specifics of the title policy order and place a request with the title company or its agents for a preliminary report or commitment.</w:t>
      </w:r>
    </w:p>
    <w:p>
      <w:pPr>
        <w:spacing w:after="0" w:line="7" w:lineRule="exact"/>
        <w:rPr>
          <w:rFonts w:ascii="Arial" w:cs="Arial" w:eastAsia="Arial" w:hAnsi="Arial"/>
          <w:sz w:val="15"/>
          <w:szCs w:val="15"/>
          <w:color w:val="auto"/>
        </w:rPr>
      </w:pPr>
    </w:p>
    <w:p>
      <w:pPr>
        <w:jc w:val="both"/>
        <w:ind w:left="540" w:hanging="279"/>
        <w:spacing w:after="0" w:line="250" w:lineRule="auto"/>
        <w:tabs>
          <w:tab w:leader="none" w:pos="536" w:val="left"/>
        </w:tabs>
        <w:numPr>
          <w:ilvl w:val="0"/>
          <w:numId w:val="9"/>
        </w:numPr>
        <w:rPr>
          <w:rFonts w:ascii="Arial" w:cs="Arial" w:eastAsia="Arial" w:hAnsi="Arial"/>
          <w:sz w:val="15"/>
          <w:szCs w:val="15"/>
          <w:color w:val="auto"/>
        </w:rPr>
      </w:pPr>
      <w:r>
        <w:rPr>
          <w:rFonts w:ascii="Arial" w:cs="Arial" w:eastAsia="Arial" w:hAnsi="Arial"/>
          <w:sz w:val="15"/>
          <w:szCs w:val="15"/>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1" w:lineRule="exact"/>
        <w:rPr>
          <w:rFonts w:ascii="Arial" w:cs="Arial" w:eastAsia="Arial" w:hAnsi="Arial"/>
          <w:sz w:val="15"/>
          <w:szCs w:val="15"/>
          <w:color w:val="auto"/>
        </w:rPr>
      </w:pPr>
    </w:p>
    <w:p>
      <w:pPr>
        <w:ind w:left="520" w:hanging="259"/>
        <w:spacing w:after="0"/>
        <w:tabs>
          <w:tab w:leader="none" w:pos="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preliminary report is circulated to all the parties for satisfaction of any specific issues.</w:t>
      </w:r>
    </w:p>
    <w:p>
      <w:pPr>
        <w:spacing w:after="0" w:line="7" w:lineRule="exact"/>
        <w:rPr>
          <w:rFonts w:ascii="Arial" w:cs="Arial" w:eastAsia="Arial" w:hAnsi="Arial"/>
          <w:sz w:val="15"/>
          <w:szCs w:val="15"/>
          <w:color w:val="auto"/>
        </w:rPr>
      </w:pPr>
    </w:p>
    <w:p>
      <w:pPr>
        <w:ind w:left="540" w:right="20" w:hanging="279"/>
        <w:spacing w:after="0" w:line="250" w:lineRule="auto"/>
        <w:tabs>
          <w:tab w:leader="none" w:pos="536" w:val="left"/>
        </w:tabs>
        <w:numPr>
          <w:ilvl w:val="0"/>
          <w:numId w:val="9"/>
        </w:numPr>
        <w:rPr>
          <w:rFonts w:ascii="Arial" w:cs="Arial" w:eastAsia="Arial" w:hAnsi="Arial"/>
          <w:sz w:val="15"/>
          <w:szCs w:val="15"/>
          <w:color w:val="auto"/>
        </w:rPr>
      </w:pPr>
      <w:r>
        <w:rPr>
          <w:rFonts w:ascii="Arial" w:cs="Arial" w:eastAsia="Arial" w:hAnsi="Arial"/>
          <w:sz w:val="15"/>
          <w:szCs w:val="15"/>
          <w:color w:val="auto"/>
        </w:rPr>
        <w:t>After the specific issues identified in the preliminary report are satisfied, an escrow agent closes the transaction in accordance with the instructions of the parties and the title company’s conditions.</w:t>
      </w:r>
    </w:p>
    <w:p>
      <w:pPr>
        <w:spacing w:after="0" w:line="1" w:lineRule="exact"/>
        <w:rPr>
          <w:rFonts w:ascii="Arial" w:cs="Arial" w:eastAsia="Arial" w:hAnsi="Arial"/>
          <w:sz w:val="15"/>
          <w:szCs w:val="15"/>
          <w:color w:val="auto"/>
        </w:rPr>
      </w:pPr>
    </w:p>
    <w:p>
      <w:pPr>
        <w:ind w:left="520" w:hanging="259"/>
        <w:spacing w:after="0"/>
        <w:tabs>
          <w:tab w:leader="none" w:pos="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Once the transaction is closed and all monies have been released, the title company issues a title insurance policy.</w:t>
      </w:r>
    </w:p>
    <w:p>
      <w:pPr>
        <w:spacing w:after="0" w:line="88"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3"/>
          <w:szCs w:val="13"/>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14"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w:t>
      </w:r>
    </w:p>
    <w:p>
      <w:pPr>
        <w:spacing w:after="0" w:line="55"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60"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color w:val="auto"/>
        </w:rPr>
        <w:t>Title insurance companies typically issue title insurance policies directly through branch offices or through affiliated title agencies,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 w:name="page9"/>
    <w:bookmarkEnd w:id="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right="20"/>
        <w:spacing w:after="0" w:line="311" w:lineRule="auto"/>
        <w:rPr>
          <w:sz w:val="20"/>
          <w:szCs w:val="20"/>
          <w:color w:val="auto"/>
        </w:rPr>
      </w:pPr>
      <w:r>
        <w:rPr>
          <w:rFonts w:ascii="Arial" w:cs="Arial" w:eastAsia="Arial" w:hAnsi="Arial"/>
          <w:sz w:val="14"/>
          <w:szCs w:val="14"/>
          <w:color w:val="auto"/>
        </w:rPr>
        <w:t>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22" w:lineRule="exact"/>
        <w:rPr>
          <w:sz w:val="20"/>
          <w:szCs w:val="20"/>
          <w:color w:val="auto"/>
        </w:rPr>
      </w:pPr>
    </w:p>
    <w:p>
      <w:pPr>
        <w:jc w:val="both"/>
        <w:ind w:firstLine="285"/>
        <w:spacing w:after="0" w:line="311" w:lineRule="auto"/>
        <w:rPr>
          <w:sz w:val="20"/>
          <w:szCs w:val="20"/>
          <w:color w:val="auto"/>
        </w:rPr>
      </w:pPr>
      <w:r>
        <w:rPr>
          <w:rFonts w:ascii="Arial" w:cs="Arial" w:eastAsia="Arial" w:hAnsi="Arial"/>
          <w:sz w:val="13"/>
          <w:szCs w:val="13"/>
          <w:color w:val="auto"/>
        </w:rPr>
        <w:t>Prior to issuing policies, title insurers and their agents attempt to reduce the risk of future claim losses by accurately performing title searches and 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closing-related errors.</w:t>
      </w:r>
    </w:p>
    <w:p>
      <w:pPr>
        <w:spacing w:after="0" w:line="14"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58"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i w:val="1"/>
          <w:iCs w:val="1"/>
          <w:color w:val="auto"/>
        </w:rPr>
        <w:t xml:space="preserve">Direct and Agency Operations. </w:t>
      </w:r>
      <w:r>
        <w:rPr>
          <w:rFonts w:ascii="Arial" w:cs="Arial" w:eastAsia="Arial" w:hAnsi="Arial"/>
          <w:sz w:val="15"/>
          <w:szCs w:val="15"/>
          <w:color w:val="auto"/>
        </w:rPr>
        <w:t>We provide title insurance services through our direct operations and through independent title insurance agents who issue title policies on behalf of</w:t>
      </w:r>
      <w:r>
        <w:rPr>
          <w:rFonts w:ascii="Arial" w:cs="Arial" w:eastAsia="Arial" w:hAnsi="Arial"/>
          <w:sz w:val="15"/>
          <w:szCs w:val="15"/>
          <w:i w:val="1"/>
          <w:iCs w:val="1"/>
          <w:color w:val="auto"/>
        </w:rPr>
        <w:t xml:space="preserve"> </w:t>
      </w:r>
      <w:r>
        <w:rPr>
          <w:rFonts w:ascii="Arial" w:cs="Arial" w:eastAsia="Arial" w:hAnsi="Arial"/>
          <w:sz w:val="15"/>
          <w:szCs w:val="15"/>
          <w:color w:val="auto"/>
        </w:rPr>
        <w:t>our title insurance companies. Our title insurance companies determine the terms and conditions upon which they will insure title to the real property according to our underwriting standards, policies and procedures.</w:t>
      </w:r>
    </w:p>
    <w:p>
      <w:pPr>
        <w:spacing w:after="0" w:line="55"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i w:val="1"/>
          <w:iCs w:val="1"/>
          <w:color w:val="auto"/>
        </w:rPr>
        <w:t xml:space="preserve">Direct Operations. </w:t>
      </w:r>
      <w:r>
        <w:rPr>
          <w:rFonts w:ascii="Arial" w:cs="Arial" w:eastAsia="Arial" w:hAnsi="Arial"/>
          <w:sz w:val="15"/>
          <w:szCs w:val="15"/>
          <w:color w:val="auto"/>
        </w:rPr>
        <w:t>Our direct operations include both the operations of our underwriters and those of affiliated agencies. In our direct operations, the title insurer issues the title</w:t>
      </w:r>
      <w:r>
        <w:rPr>
          <w:rFonts w:ascii="Arial" w:cs="Arial" w:eastAsia="Arial" w:hAnsi="Arial"/>
          <w:sz w:val="15"/>
          <w:szCs w:val="15"/>
          <w:i w:val="1"/>
          <w:iCs w:val="1"/>
          <w:color w:val="auto"/>
        </w:rPr>
        <w:t xml:space="preserve"> </w:t>
      </w:r>
      <w:r>
        <w:rPr>
          <w:rFonts w:ascii="Arial" w:cs="Arial" w:eastAsia="Arial" w:hAnsi="Arial"/>
          <w:sz w:val="15"/>
          <w:szCs w:val="15"/>
          <w:color w:val="auto"/>
        </w:rPr>
        <w:t>insurance policy and retains the entire premium paid in connection with the transaction. Our direct operations provide the following benefits:</w:t>
      </w:r>
    </w:p>
    <w:p>
      <w:pPr>
        <w:spacing w:after="0" w:line="34" w:lineRule="exact"/>
        <w:rPr>
          <w:sz w:val="20"/>
          <w:szCs w:val="20"/>
          <w:color w:val="auto"/>
        </w:rPr>
      </w:pPr>
    </w:p>
    <w:p>
      <w:pPr>
        <w:ind w:left="520" w:hanging="259"/>
        <w:spacing w:after="0"/>
        <w:tabs>
          <w:tab w:leader="none" w:pos="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higher margins because we retain the entire premium from each transaction instead of paying a commission to an independent agent;</w:t>
      </w:r>
    </w:p>
    <w:p>
      <w:pPr>
        <w:spacing w:after="0" w:line="17" w:lineRule="exact"/>
        <w:rPr>
          <w:rFonts w:ascii="Arial" w:cs="Arial" w:eastAsia="Arial" w:hAnsi="Arial"/>
          <w:sz w:val="15"/>
          <w:szCs w:val="15"/>
          <w:color w:val="auto"/>
        </w:rPr>
      </w:pPr>
    </w:p>
    <w:p>
      <w:pPr>
        <w:ind w:left="520" w:hanging="259"/>
        <w:spacing w:after="0"/>
        <w:tabs>
          <w:tab w:leader="none" w:pos="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continuity of service levels to a broad range of customers; and</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additional sources of income through escrow and closing services.</w:t>
      </w:r>
    </w:p>
    <w:p>
      <w:pPr>
        <w:spacing w:after="0" w:line="77"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We have approximately 1,300 offices throughout the U.S. primarily providing residential real estate title insurance. We continuously monitor the number of direct offices to make sure that it remains in line with our strategy and the current economic environment. Our commercial real estate title insurance business is operated primarily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5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4"/>
          <w:szCs w:val="14"/>
          <w:i w:val="1"/>
          <w:iCs w:val="1"/>
          <w:color w:val="auto"/>
        </w:rPr>
        <w:t xml:space="preserve">Agency Operations. </w:t>
      </w:r>
      <w:r>
        <w:rPr>
          <w:rFonts w:ascii="Arial" w:cs="Arial" w:eastAsia="Arial" w:hAnsi="Arial"/>
          <w:sz w:val="14"/>
          <w:szCs w:val="14"/>
          <w:color w:val="auto"/>
        </w:rPr>
        <w:t>In our agency operations, the search and examination function is performed by an independent agent or the agent may purchase the search product from us. In</w:t>
      </w:r>
      <w:r>
        <w:rPr>
          <w:rFonts w:ascii="Arial" w:cs="Arial" w:eastAsia="Arial" w:hAnsi="Arial"/>
          <w:sz w:val="14"/>
          <w:szCs w:val="14"/>
          <w:i w:val="1"/>
          <w:iCs w:val="1"/>
          <w:color w:val="auto"/>
        </w:rPr>
        <w:t xml:space="preserve"> </w:t>
      </w:r>
      <w:r>
        <w:rPr>
          <w:rFonts w:ascii="Arial" w:cs="Arial" w:eastAsia="Arial" w:hAnsi="Arial"/>
          <w:sz w:val="14"/>
          <w:szCs w:val="14"/>
          <w:color w:val="auto"/>
        </w:rPr>
        <w:t>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2021, we transact business with approximately 5,400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 w:name="page10"/>
    <w:bookmarkEnd w:id="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 xml:space="preserve">Fees and Premiums. </w:t>
      </w:r>
      <w:r>
        <w:rPr>
          <w:rFonts w:ascii="Arial" w:cs="Arial" w:eastAsia="Arial" w:hAnsi="Arial"/>
          <w:sz w:val="15"/>
          <w:szCs w:val="15"/>
          <w:color w:val="auto"/>
        </w:rPr>
        <w:t>One method of analyzing our business is to examine the level of premiums generated by direct and agency operations.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presents the percentages of our title insurance premiums generated by direct and agency operations: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w w:val="90"/>
              </w:rPr>
              <w:t>Year Ended December 31,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53"/>
        </w:trPr>
        <w:tc>
          <w:tcPr>
            <w:tcW w:w="4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2020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2"/>
                <w:szCs w:val="12"/>
                <w:b w:val="1"/>
                <w:bCs w:val="1"/>
                <w:color w:val="auto"/>
                <w:w w:val="89"/>
              </w:rPr>
              <w:t>2019</w:t>
            </w:r>
          </w:p>
        </w:tc>
      </w:tr>
      <w:tr>
        <w:trPr>
          <w:trHeight w:val="149"/>
        </w:trPr>
        <w:tc>
          <w:tcPr>
            <w:tcW w:w="44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2"/>
                <w:szCs w:val="12"/>
                <w:b w:val="1"/>
                <w:bCs w:val="1"/>
                <w:color w:val="auto"/>
              </w:rPr>
              <w:t>Amount</w:t>
            </w:r>
          </w:p>
        </w:tc>
        <w:tc>
          <w:tcPr>
            <w:tcW w:w="7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2"/>
                <w:szCs w:val="12"/>
                <w:b w:val="1"/>
                <w:bCs w:val="1"/>
                <w:color w:val="auto"/>
              </w:rPr>
              <w:t>Amount</w:t>
            </w: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Amount</w:t>
            </w:r>
          </w:p>
        </w:tc>
        <w:tc>
          <w:tcPr>
            <w:tcW w:w="12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2"/>
                <w:szCs w:val="12"/>
                <w:b w:val="1"/>
                <w:bCs w:val="1"/>
                <w:color w:val="auto"/>
              </w:rPr>
              <w:t>%</w:t>
            </w:r>
          </w:p>
        </w:tc>
      </w:tr>
      <w:tr>
        <w:trPr>
          <w:trHeight w:val="149"/>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91"/>
              </w:rPr>
              <w:t>(Dollars in millions)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8"/>
        </w:trPr>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Direct</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44.6 %</w:t>
            </w:r>
          </w:p>
        </w:tc>
      </w:tr>
      <w:tr>
        <w:trPr>
          <w:trHeight w:val="155"/>
        </w:trPr>
        <w:tc>
          <w:tcPr>
            <w:tcW w:w="4420" w:type="dxa"/>
            <w:vAlign w:val="bottom"/>
          </w:tcPr>
          <w:p>
            <w:pPr>
              <w:spacing w:after="0"/>
              <w:rPr>
                <w:sz w:val="20"/>
                <w:szCs w:val="20"/>
                <w:color w:val="auto"/>
              </w:rPr>
            </w:pPr>
            <w:r>
              <w:rPr>
                <w:rFonts w:ascii="Arial" w:cs="Arial" w:eastAsia="Arial" w:hAnsi="Arial"/>
                <w:sz w:val="12"/>
                <w:szCs w:val="12"/>
                <w:color w:val="auto"/>
              </w:rPr>
              <w:t>Agency</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4,982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80"/>
              <w:spacing w:after="0"/>
              <w:rPr>
                <w:sz w:val="20"/>
                <w:szCs w:val="20"/>
                <w:color w:val="auto"/>
              </w:rPr>
            </w:pPr>
            <w:r>
              <w:rPr>
                <w:rFonts w:ascii="Arial" w:cs="Arial" w:eastAsia="Arial" w:hAnsi="Arial"/>
                <w:sz w:val="12"/>
                <w:szCs w:val="12"/>
                <w:color w:val="auto"/>
              </w:rPr>
              <w:t>58.2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3,599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57.1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2,961</w:t>
            </w:r>
          </w:p>
        </w:tc>
        <w:tc>
          <w:tcPr>
            <w:tcW w:w="1260" w:type="dxa"/>
            <w:vAlign w:val="bottom"/>
            <w:gridSpan w:val="3"/>
          </w:tcPr>
          <w:p>
            <w:pPr>
              <w:jc w:val="right"/>
              <w:ind w:right="100"/>
              <w:spacing w:after="0"/>
              <w:rPr>
                <w:sz w:val="20"/>
                <w:szCs w:val="20"/>
                <w:color w:val="auto"/>
              </w:rPr>
            </w:pPr>
            <w:r>
              <w:rPr>
                <w:rFonts w:ascii="Arial" w:cs="Arial" w:eastAsia="Arial" w:hAnsi="Arial"/>
                <w:sz w:val="12"/>
                <w:szCs w:val="12"/>
                <w:color w:val="auto"/>
              </w:rPr>
              <w:t>55.4</w:t>
            </w:r>
          </w:p>
        </w:tc>
      </w:tr>
      <w:tr>
        <w:trPr>
          <w:trHeight w:val="176"/>
        </w:trPr>
        <w:tc>
          <w:tcPr>
            <w:tcW w:w="44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Total title insurance premiums</w:t>
            </w: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8,553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6,298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5,342</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The premium for title insurance is due in full when the real estate transaction is closed. We recognize title insurance premium revenues from direct operations upon the closing of the transaction.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58"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4"/>
          <w:szCs w:val="14"/>
          <w:i w:val="1"/>
          <w:iCs w:val="1"/>
          <w:color w:val="auto"/>
        </w:rPr>
        <w:t xml:space="preserve">Escrow, Title-Related and Other Fees. </w:t>
      </w:r>
      <w:r>
        <w:rPr>
          <w:rFonts w:ascii="Arial" w:cs="Arial" w:eastAsia="Arial" w:hAnsi="Arial"/>
          <w:sz w:val="14"/>
          <w:szCs w:val="14"/>
          <w:color w:val="auto"/>
        </w:rPr>
        <w:t>In addition to fees for underwriting title insurance policies, we derive a significant amount of our revenues from escrow and other title-related</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including closing and trust activities, trustee sales guarantees, recordings and reconveyances, and home warranty products. The escrow and other services provided by us include all of those typically required in connection with residential and commercial real estate purchases and refinance activities. Escrow, title-related and other fees included in our Title segment represented approximately 28.1%, 29.7%, and 28.9% of total Title segment revenues in 2021, 2020, and 2019, respectively.</w:t>
      </w:r>
    </w:p>
    <w:p>
      <w:pPr>
        <w:spacing w:after="0" w:line="29"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We market and distribute our title and escrow products and services to customers in the residential and commercial market sectors of the real estate industry</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51"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15"/>
          <w:szCs w:val="15"/>
          <w:i w:val="1"/>
          <w:iCs w:val="1"/>
          <w:color w:val="auto"/>
        </w:rPr>
        <w:t xml:space="preserve">Claims. </w:t>
      </w:r>
      <w:r>
        <w:rPr>
          <w:rFonts w:ascii="Arial" w:cs="Arial" w:eastAsia="Arial" w:hAnsi="Arial"/>
          <w:sz w:val="15"/>
          <w:szCs w:val="15"/>
          <w:color w:val="auto"/>
        </w:rPr>
        <w:t>An important part of our operations is the handling of title and escrow claims. We employ a large staff of attorneys in our claims department. Our claims processing centers</w:t>
      </w:r>
      <w:r>
        <w:rPr>
          <w:rFonts w:ascii="Arial" w:cs="Arial" w:eastAsia="Arial" w:hAnsi="Arial"/>
          <w:sz w:val="15"/>
          <w:szCs w:val="15"/>
          <w:i w:val="1"/>
          <w:iCs w:val="1"/>
          <w:color w:val="auto"/>
        </w:rPr>
        <w:t xml:space="preserve"> </w:t>
      </w:r>
      <w:r>
        <w:rPr>
          <w:rFonts w:ascii="Arial" w:cs="Arial" w:eastAsia="Arial" w:hAnsi="Arial"/>
          <w:sz w:val="15"/>
          <w:szCs w:val="15"/>
          <w:color w:val="auto"/>
        </w:rPr>
        <w:t>are located in Omaha, Nebraska and Jacksonville, Florida. In-house claims counsel are also located in other parts of the country.</w:t>
      </w:r>
    </w:p>
    <w:p>
      <w:pPr>
        <w:spacing w:after="0" w:line="4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50"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5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Occasionally we experience large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 w:name="page11"/>
    <w:bookmarkEnd w:id="1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55" w:lineRule="exact"/>
        <w:rPr>
          <w:sz w:val="20"/>
          <w:szCs w:val="20"/>
          <w:color w:val="auto"/>
        </w:rPr>
      </w:pPr>
    </w:p>
    <w:p>
      <w:pPr>
        <w:jc w:val="both"/>
        <w:ind w:firstLine="270"/>
        <w:spacing w:after="0" w:line="295" w:lineRule="auto"/>
        <w:rPr>
          <w:sz w:val="20"/>
          <w:szCs w:val="20"/>
          <w:color w:val="auto"/>
        </w:rPr>
      </w:pPr>
      <w:r>
        <w:rPr>
          <w:rFonts w:ascii="Arial" w:cs="Arial" w:eastAsia="Arial" w:hAnsi="Arial"/>
          <w:sz w:val="13"/>
          <w:szCs w:val="13"/>
          <w:i w:val="1"/>
          <w:iCs w:val="1"/>
          <w:color w:val="auto"/>
        </w:rPr>
        <w:t xml:space="preserve">Reinsurance and Coinsurance. </w:t>
      </w:r>
      <w:r>
        <w:rPr>
          <w:rFonts w:ascii="Arial" w:cs="Arial" w:eastAsia="Arial" w:hAnsi="Arial"/>
          <w:sz w:val="13"/>
          <w:szCs w:val="13"/>
          <w:color w:val="auto"/>
        </w:rPr>
        <w:t>Within our Title segment, we limit our maximum loss exposure by reinsuring risks with other insurers under excess of loss and case-by-case</w:t>
      </w:r>
      <w:r>
        <w:rPr>
          <w:rFonts w:ascii="Arial" w:cs="Arial" w:eastAsia="Arial" w:hAnsi="Arial"/>
          <w:sz w:val="13"/>
          <w:szCs w:val="13"/>
          <w:i w:val="1"/>
          <w:iCs w:val="1"/>
          <w:color w:val="auto"/>
        </w:rPr>
        <w:t xml:space="preserve"> </w:t>
      </w:r>
      <w:r>
        <w:rPr>
          <w:rFonts w:ascii="Arial" w:cs="Arial" w:eastAsia="Arial" w:hAnsi="Arial"/>
          <w:sz w:val="13"/>
          <w:szCs w:val="13"/>
          <w:color w:val="auto"/>
        </w:rPr>
        <w:t>(“facultative”)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will exceed state statutory or self-imposed limits. Excess of loss reinsurance coverage protects us from a large loss from a single loss occurrence. Our excess of loss reinsurance coverage is split into four contracts. The first excess of loss reinsurance contract provides an $80 million limit of coverage from a single loss occurrence for residential and commercial losses in excess of a $20 million retention per single loss occurrence ("First XOL Contract"). The second excess of loss reinsurance contract ("Second XOL Contract") provides an additional $300 million limit of coverage from a single loss occurrence for commercial loss, with the Company co-participating at approximately 10%. The third excess of loss reinsurance contract ("Third XOL Contract") provides an additional $80 million limit of coverage from a single loss occurrence for commercial loss, with the Company co-participating at approximately 10%. The fourth excess of loss reinsurance contract ("Fourth XOL Contract") provides an additional $220 million limit of coverage from a single loss occurrence for commercial loss, with the Company co-participating at approximately 10%. Subject to the Company’s retention and co-participation on the Second, Third and Fourth XOL Contracts, the maximum coverage from a single loss occurrence provided under our excess of loss reinsurance coverage is $620 million. Each XOL Contract provides for one reinstatement of its respective limit, so the aggregate limit of coverage is $1.24 billion.</w:t>
      </w:r>
    </w:p>
    <w:p>
      <w:pPr>
        <w:spacing w:after="0" w:line="26" w:lineRule="exact"/>
        <w:rPr>
          <w:sz w:val="20"/>
          <w:szCs w:val="20"/>
          <w:color w:val="auto"/>
        </w:rPr>
      </w:pPr>
    </w:p>
    <w:p>
      <w:pPr>
        <w:jc w:val="both"/>
        <w:ind w:right="20" w:firstLine="274"/>
        <w:spacing w:after="0" w:line="274" w:lineRule="auto"/>
        <w:rPr>
          <w:sz w:val="20"/>
          <w:szCs w:val="20"/>
          <w:color w:val="auto"/>
        </w:rPr>
      </w:pPr>
      <w:r>
        <w:rPr>
          <w:rFonts w:ascii="Arial" w:cs="Arial" w:eastAsia="Arial" w:hAnsi="Arial"/>
          <w:sz w:val="15"/>
          <w:szCs w:val="15"/>
          <w:color w:val="auto"/>
        </w:rPr>
        <w:t>In addition to reinsurance, we carry errors and omissions insurance and fidelity bond coverage, each of which can provide protection to us in the event of certain types of losses that can occur in our businesses.</w:t>
      </w:r>
    </w:p>
    <w:p>
      <w:pPr>
        <w:spacing w:after="0" w:line="46"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Our policy is to be selective in choosing our reinsurers, seeking only those companies that we consider to be financially stable and adequately capitalized. In an effort to minimize exposure to the insolvency of a reinsurer, we periodically review the financial condition of our reinsurers.</w:t>
      </w:r>
    </w:p>
    <w:p>
      <w:pPr>
        <w:spacing w:after="0" w:line="46" w:lineRule="exact"/>
        <w:rPr>
          <w:sz w:val="20"/>
          <w:szCs w:val="20"/>
          <w:color w:val="auto"/>
        </w:rPr>
      </w:pPr>
    </w:p>
    <w:p>
      <w:pPr>
        <w:jc w:val="both"/>
        <w:ind w:right="20" w:firstLine="270"/>
        <w:spacing w:after="0" w:line="343" w:lineRule="auto"/>
        <w:rPr>
          <w:sz w:val="20"/>
          <w:szCs w:val="20"/>
          <w:color w:val="auto"/>
        </w:rPr>
      </w:pPr>
      <w:r>
        <w:rPr>
          <w:rFonts w:ascii="Arial" w:cs="Arial" w:eastAsia="Arial" w:hAnsi="Arial"/>
          <w:sz w:val="13"/>
          <w:szCs w:val="13"/>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also earn a small amount of additional income, which is reflected in our direct premiums, by assuming reinsurance for certain risks of other title insurers.</w:t>
      </w:r>
    </w:p>
    <w:p>
      <w:pPr>
        <w:spacing w:after="0" w:line="87"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5"/>
          <w:szCs w:val="15"/>
          <w:i w:val="1"/>
          <w:iCs w:val="1"/>
          <w:color w:val="auto"/>
        </w:rPr>
        <w:t xml:space="preserve">Competition. </w:t>
      </w:r>
      <w:r>
        <w:rPr>
          <w:rFonts w:ascii="Arial" w:cs="Arial" w:eastAsia="Arial" w:hAnsi="Arial"/>
          <w:sz w:val="15"/>
          <w:szCs w:val="15"/>
          <w:color w:val="auto"/>
        </w:rPr>
        <w:t>Competition in the title insurance industry is based primarily on service and price. The number and size of competing companies varies in the different geographic areas</w:t>
      </w:r>
      <w:r>
        <w:rPr>
          <w:rFonts w:ascii="Arial" w:cs="Arial" w:eastAsia="Arial" w:hAnsi="Arial"/>
          <w:sz w:val="15"/>
          <w:szCs w:val="15"/>
          <w:i w:val="1"/>
          <w:iCs w:val="1"/>
          <w:color w:val="auto"/>
        </w:rPr>
        <w:t xml:space="preserve"> </w:t>
      </w:r>
      <w:r>
        <w:rPr>
          <w:rFonts w:ascii="Arial" w:cs="Arial" w:eastAsia="Arial" w:hAnsi="Arial"/>
          <w:sz w:val="15"/>
          <w:szCs w:val="15"/>
          <w:color w:val="auto"/>
        </w:rPr>
        <w:t>in which we conduct our business. In our principal markets, competitors include other major title underwriters such as First American Financial Corporation, Old Republic International Corporation, Stewart Information Services Corporation, Westcor Land Title Insurance Company, and WFG National Title Insurance Company, as well as numerous regional title insurance companies, underwritten title companies and independent agency operations at the regional and local level.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regional companies and any new entrants with alternative products could affect our business operations and financial condition.</w:t>
      </w:r>
    </w:p>
    <w:p>
      <w:pPr>
        <w:spacing w:after="0" w:line="63" w:lineRule="exact"/>
        <w:rPr>
          <w:sz w:val="20"/>
          <w:szCs w:val="20"/>
          <w:color w:val="auto"/>
        </w:rPr>
      </w:pPr>
    </w:p>
    <w:p>
      <w:pPr>
        <w:jc w:val="both"/>
        <w:ind w:firstLine="274"/>
        <w:spacing w:after="0" w:line="254" w:lineRule="auto"/>
        <w:rPr>
          <w:sz w:val="20"/>
          <w:szCs w:val="20"/>
          <w:color w:val="auto"/>
        </w:rPr>
      </w:pPr>
      <w:r>
        <w:rPr>
          <w:rFonts w:ascii="Arial" w:cs="Arial" w:eastAsia="Arial" w:hAnsi="Arial"/>
          <w:sz w:val="15"/>
          <w:szCs w:val="15"/>
          <w:i w:val="1"/>
          <w:iCs w:val="1"/>
          <w:color w:val="auto"/>
        </w:rPr>
        <w:t xml:space="preserve">Regulation. </w:t>
      </w:r>
      <w:r>
        <w:rPr>
          <w:rFonts w:ascii="Arial" w:cs="Arial" w:eastAsia="Arial" w:hAnsi="Arial"/>
          <w:sz w:val="15"/>
          <w:szCs w:val="15"/>
          <w:color w:val="auto"/>
        </w:rPr>
        <w:t>Our insurance subsidiaries, including title insurers, underwritten title companies and insurance agencies, are subject to extensive regulation under applicable state laws.</w:t>
      </w:r>
      <w:r>
        <w:rPr>
          <w:rFonts w:ascii="Arial" w:cs="Arial" w:eastAsia="Arial" w:hAnsi="Arial"/>
          <w:sz w:val="15"/>
          <w:szCs w:val="15"/>
          <w:i w:val="1"/>
          <w:iCs w:val="1"/>
          <w:color w:val="auto"/>
        </w:rPr>
        <w:t xml:space="preserve"> </w:t>
      </w:r>
      <w:r>
        <w:rPr>
          <w:rFonts w:ascii="Arial" w:cs="Arial" w:eastAsia="Arial" w:hAnsi="Arial"/>
          <w:sz w:val="15"/>
          <w:szCs w:val="15"/>
          <w:color w:val="auto"/>
        </w:rPr>
        <w:t>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that set rates, to states where individual companies or associations of companies prepare rate filings that are submitted for approval, to a few states in which rate changes do not need to be filed for approval.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 w:name="page12"/>
    <w:bookmarkEnd w:id="1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4"/>
          <w:szCs w:val="14"/>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22" w:lineRule="exact"/>
        <w:rPr>
          <w:sz w:val="20"/>
          <w:szCs w:val="20"/>
          <w:color w:val="auto"/>
        </w:rPr>
      </w:pPr>
    </w:p>
    <w:p>
      <w:pPr>
        <w:jc w:val="both"/>
        <w:ind w:firstLine="274"/>
        <w:spacing w:after="0" w:line="255" w:lineRule="auto"/>
        <w:rPr>
          <w:sz w:val="20"/>
          <w:szCs w:val="20"/>
          <w:color w:val="auto"/>
        </w:rPr>
      </w:pPr>
      <w:r>
        <w:rPr>
          <w:rFonts w:ascii="Arial" w:cs="Arial" w:eastAsia="Arial" w:hAnsi="Arial"/>
          <w:sz w:val="15"/>
          <w:szCs w:val="15"/>
          <w:color w:val="auto"/>
        </w:rPr>
        <w:t>Pursuant to statutory accounting requirements of the various states in which our title insurers are domiciled, these insurers must defer a portion of 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2021, the combined statutory unearned premium reserve required and reported for our title insurers was $1,742 million. In addition to statutory unearned premium reserves and reserves for known claims, each of our insurers maintains surplus funds for policyholder protection and business operations.</w:t>
      </w:r>
    </w:p>
    <w:p>
      <w:pPr>
        <w:spacing w:after="0" w:line="50"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5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55"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color w:val="auto"/>
        </w:rPr>
        <w:t>In addition to state-level regulation, our title insurance and certain other real estate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The CFPB has broad authority to regulate, among other areas, the mortgage and real estate markets in matters pertaining to consumers. This authority includes the enforcement of the Truth-in-Lending Act ("TILA") and the Real Estate Settlement Procedures Act (individually, "RESPA", and together, "TILA-RESPA Integrated Disclosure" or "TRID") formerly placed with the Department of Housing and Urban Development.</w:t>
      </w:r>
    </w:p>
    <w:p>
      <w:pPr>
        <w:spacing w:after="0" w:line="33" w:lineRule="exact"/>
        <w:rPr>
          <w:sz w:val="20"/>
          <w:szCs w:val="20"/>
          <w:color w:val="auto"/>
        </w:rPr>
      </w:pPr>
    </w:p>
    <w:p>
      <w:pPr>
        <w:jc w:val="both"/>
        <w:ind w:firstLine="274"/>
        <w:spacing w:after="0" w:line="277" w:lineRule="auto"/>
        <w:rPr>
          <w:sz w:val="20"/>
          <w:szCs w:val="20"/>
          <w:color w:val="auto"/>
        </w:rPr>
      </w:pPr>
      <w:r>
        <w:rPr>
          <w:rFonts w:ascii="Arial" w:cs="Arial" w:eastAsia="Arial" w:hAnsi="Arial"/>
          <w:sz w:val="14"/>
          <w:szCs w:val="14"/>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46" w:lineRule="exact"/>
        <w:rPr>
          <w:sz w:val="20"/>
          <w:szCs w:val="20"/>
          <w:color w:val="auto"/>
        </w:rPr>
      </w:pPr>
    </w:p>
    <w:p>
      <w:pPr>
        <w:ind w:left="520" w:hanging="259"/>
        <w:spacing w:after="0"/>
        <w:tabs>
          <w:tab w:leader="none" w:pos="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10% of the insurer’s statutory surplus as of the immediately prior year end; or</w:t>
      </w:r>
    </w:p>
    <w:p>
      <w:pPr>
        <w:spacing w:after="0" w:line="17" w:lineRule="exact"/>
        <w:rPr>
          <w:rFonts w:ascii="Arial" w:cs="Arial" w:eastAsia="Arial" w:hAnsi="Arial"/>
          <w:sz w:val="15"/>
          <w:szCs w:val="15"/>
          <w:color w:val="auto"/>
        </w:rPr>
      </w:pPr>
    </w:p>
    <w:p>
      <w:pPr>
        <w:ind w:left="520" w:hanging="259"/>
        <w:spacing w:after="0"/>
        <w:tabs>
          <w:tab w:leader="none" w:pos="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statutory net income of the insurer during the prior calendar year.</w:t>
      </w:r>
    </w:p>
    <w:p>
      <w:pPr>
        <w:spacing w:after="0" w:line="77"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4"/>
          <w:szCs w:val="14"/>
          <w:color w:val="auto"/>
        </w:rPr>
        <w:t>The laws and regulations of some jurisdictions also prohibit an insurer from declaring or paying a dividend except out of its earned surplus or require the insurer to obtain prior regulatory approval. During 2022, our directly owned title insurers can pay dividends or make distributions to us of approximately $831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29"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4"/>
          <w:szCs w:val="14"/>
          <w:color w:val="auto"/>
        </w:rPr>
        <w:t>The combined statutory capital and surplus of our title insurers was approximately $1,903 million and $1,699 million as of December 31, 2021 and 2020, respectively. The combined statutory earnings of our title insurers were $936 million, $629 million, and $583 million for the years ended December 31, 2021, 2020, and 2019, respectively.</w:t>
      </w:r>
    </w:p>
    <w:p>
      <w:pPr>
        <w:spacing w:after="0" w:line="22"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15"/>
          <w:szCs w:val="15"/>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46" w:lineRule="exact"/>
        <w:rPr>
          <w:sz w:val="20"/>
          <w:szCs w:val="20"/>
          <w:color w:val="auto"/>
        </w:rPr>
      </w:pPr>
    </w:p>
    <w:p>
      <w:pPr>
        <w:jc w:val="both"/>
        <w:ind w:firstLine="285"/>
        <w:spacing w:after="0" w:line="262" w:lineRule="auto"/>
        <w:rPr>
          <w:sz w:val="20"/>
          <w:szCs w:val="20"/>
          <w:color w:val="auto"/>
        </w:rPr>
      </w:pPr>
      <w:r>
        <w:rPr>
          <w:rFonts w:ascii="Arial" w:cs="Arial" w:eastAsia="Arial" w:hAnsi="Arial"/>
          <w:sz w:val="15"/>
          <w:szCs w:val="15"/>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title insurers has complied with the minimum statutory requirements as of December 31,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 w:name="page13"/>
    <w:bookmarkEnd w:id="1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right="80" w:firstLine="285"/>
        <w:spacing w:after="0" w:line="262" w:lineRule="auto"/>
        <w:rPr>
          <w:sz w:val="20"/>
          <w:szCs w:val="20"/>
          <w:color w:val="auto"/>
        </w:rPr>
      </w:pPr>
      <w:r>
        <w:rPr>
          <w:rFonts w:ascii="Arial" w:cs="Arial" w:eastAsia="Arial" w:hAnsi="Arial"/>
          <w:sz w:val="15"/>
          <w:szCs w:val="15"/>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2021.</w:t>
      </w:r>
    </w:p>
    <w:p>
      <w:pPr>
        <w:spacing w:after="0" w:line="55" w:lineRule="exact"/>
        <w:rPr>
          <w:sz w:val="20"/>
          <w:szCs w:val="20"/>
          <w:color w:val="auto"/>
        </w:rPr>
      </w:pPr>
    </w:p>
    <w:p>
      <w:pPr>
        <w:jc w:val="both"/>
        <w:ind w:right="80" w:firstLine="274"/>
        <w:spacing w:after="0" w:line="279" w:lineRule="auto"/>
        <w:rPr>
          <w:sz w:val="20"/>
          <w:szCs w:val="20"/>
          <w:color w:val="auto"/>
        </w:rPr>
      </w:pPr>
      <w:r>
        <w:rPr>
          <w:rFonts w:ascii="Arial" w:cs="Arial" w:eastAsia="Arial" w:hAnsi="Arial"/>
          <w:sz w:val="14"/>
          <w:szCs w:val="14"/>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that may require us to pay fines or claims or take other actions. For further discussion, see Item 3, Legal Proceedings.</w:t>
      </w:r>
    </w:p>
    <w:p>
      <w:pPr>
        <w:spacing w:after="0" w:line="33" w:lineRule="exact"/>
        <w:rPr>
          <w:sz w:val="20"/>
          <w:szCs w:val="20"/>
          <w:color w:val="auto"/>
        </w:rPr>
      </w:pPr>
    </w:p>
    <w:p>
      <w:pPr>
        <w:jc w:val="both"/>
        <w:ind w:right="80" w:firstLine="270"/>
        <w:spacing w:after="0" w:line="275" w:lineRule="auto"/>
        <w:rPr>
          <w:sz w:val="20"/>
          <w:szCs w:val="20"/>
          <w:color w:val="auto"/>
        </w:rPr>
      </w:pPr>
      <w:r>
        <w:rPr>
          <w:rFonts w:ascii="Arial" w:cs="Arial" w:eastAsia="Arial" w:hAnsi="Arial"/>
          <w:sz w:val="14"/>
          <w:szCs w:val="14"/>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50" w:lineRule="exact"/>
        <w:rPr>
          <w:sz w:val="20"/>
          <w:szCs w:val="20"/>
          <w:color w:val="auto"/>
        </w:rPr>
      </w:pPr>
    </w:p>
    <w:p>
      <w:pPr>
        <w:jc w:val="both"/>
        <w:ind w:right="80" w:firstLine="274"/>
        <w:spacing w:after="0" w:line="262" w:lineRule="auto"/>
        <w:rPr>
          <w:sz w:val="20"/>
          <w:szCs w:val="20"/>
          <w:color w:val="auto"/>
        </w:rPr>
      </w:pPr>
      <w:r>
        <w:rPr>
          <w:rFonts w:ascii="Arial" w:cs="Arial" w:eastAsia="Arial" w:hAnsi="Arial"/>
          <w:sz w:val="15"/>
          <w:szCs w:val="15"/>
          <w:color w:val="auto"/>
        </w:rPr>
        <w:t>The National Association of Insurance Commissioners ("NAIC") has adopted an instruction requiring an annual certification of reserve adequacy by a 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55" w:lineRule="exact"/>
        <w:rPr>
          <w:sz w:val="20"/>
          <w:szCs w:val="20"/>
          <w:color w:val="auto"/>
        </w:rPr>
      </w:pPr>
    </w:p>
    <w:p>
      <w:pPr>
        <w:jc w:val="both"/>
        <w:ind w:right="80" w:firstLine="270"/>
        <w:spacing w:after="0" w:line="258" w:lineRule="auto"/>
        <w:rPr>
          <w:sz w:val="20"/>
          <w:szCs w:val="20"/>
          <w:color w:val="auto"/>
        </w:rPr>
      </w:pPr>
      <w:r>
        <w:rPr>
          <w:rFonts w:ascii="Arial" w:cs="Arial" w:eastAsia="Arial" w:hAnsi="Arial"/>
          <w:sz w:val="15"/>
          <w:szCs w:val="15"/>
          <w:i w:val="1"/>
          <w:iCs w:val="1"/>
          <w:color w:val="auto"/>
        </w:rPr>
        <w:t xml:space="preserve">Title Insurance Ratings. </w:t>
      </w:r>
      <w:r>
        <w:rPr>
          <w:rFonts w:ascii="Arial" w:cs="Arial" w:eastAsia="Arial" w:hAnsi="Arial"/>
          <w:sz w:val="15"/>
          <w:szCs w:val="15"/>
          <w:color w:val="auto"/>
        </w:rPr>
        <w:t>Our title insurance underwriters are regularly assigned ratings by independent agencies designed to indicate their financial condition and/or claims paying</w:t>
      </w:r>
      <w:r>
        <w:rPr>
          <w:rFonts w:ascii="Arial" w:cs="Arial" w:eastAsia="Arial" w:hAnsi="Arial"/>
          <w:sz w:val="15"/>
          <w:szCs w:val="15"/>
          <w:i w:val="1"/>
          <w:iCs w:val="1"/>
          <w:color w:val="auto"/>
        </w:rPr>
        <w:t xml:space="preserve"> </w:t>
      </w:r>
      <w:r>
        <w:rPr>
          <w:rFonts w:ascii="Arial" w:cs="Arial" w:eastAsia="Arial" w:hAnsi="Arial"/>
          <w:sz w:val="15"/>
          <w:szCs w:val="15"/>
          <w:color w:val="auto"/>
        </w:rPr>
        <w:t>ability. The rating agencies determine ratings by quantitatively and qualitatively analyzing financial data and other information. Our title subsidiaries include Alamo Title, Chicago Title, Commonwealth Land Title, FNTIC and National Title of New York. Standard &amp; Poor’s Ratings Group (“S&amp;P”) and Moody’s Investors Service (“Moody’s”) provide ratings for the entire FNF family of companies as a whole as follows:</w:t>
      </w:r>
    </w:p>
    <w:p>
      <w:pPr>
        <w:spacing w:after="0" w:line="72" w:lineRule="exact"/>
        <w:rPr>
          <w:sz w:val="20"/>
          <w:szCs w:val="20"/>
          <w:color w:val="auto"/>
        </w:rPr>
      </w:pPr>
    </w:p>
    <w:p>
      <w:pPr>
        <w:ind w:left="9320"/>
        <w:spacing w:after="0"/>
        <w:tabs>
          <w:tab w:leader="none" w:pos="10500" w:val="left"/>
        </w:tabs>
        <w:rPr>
          <w:sz w:val="20"/>
          <w:szCs w:val="20"/>
          <w:color w:val="auto"/>
        </w:rPr>
      </w:pPr>
      <w:r>
        <w:rPr>
          <w:rFonts w:ascii="Arial" w:cs="Arial" w:eastAsia="Arial" w:hAnsi="Arial"/>
          <w:sz w:val="12"/>
          <w:szCs w:val="12"/>
          <w:b w:val="1"/>
          <w:bCs w:val="1"/>
          <w:color w:val="auto"/>
        </w:rPr>
        <w:t>S&amp;P</w:t>
      </w:r>
      <w:r>
        <w:rPr>
          <w:sz w:val="20"/>
          <w:szCs w:val="20"/>
          <w:color w:val="auto"/>
        </w:rPr>
        <w:tab/>
      </w:r>
      <w:r>
        <w:rPr>
          <w:rFonts w:ascii="Arial" w:cs="Arial" w:eastAsia="Arial" w:hAnsi="Arial"/>
          <w:sz w:val="12"/>
          <w:szCs w:val="12"/>
          <w:b w:val="1"/>
          <w:bCs w:val="1"/>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17780</wp:posOffset>
            </wp:positionV>
            <wp:extent cx="145986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9865" cy="6985"/>
                    </a:xfrm>
                    <a:prstGeom prst="rect">
                      <a:avLst/>
                    </a:prstGeom>
                    <a:noFill/>
                  </pic:spPr>
                </pic:pic>
              </a:graphicData>
            </a:graphic>
          </wp:anchor>
        </w:drawing>
      </w:r>
    </w:p>
    <w:p>
      <w:pPr>
        <w:spacing w:after="0" w:line="20" w:lineRule="exact"/>
        <w:rPr>
          <w:sz w:val="20"/>
          <w:szCs w:val="20"/>
          <w:color w:val="auto"/>
        </w:rPr>
      </w:pPr>
    </w:p>
    <w:p>
      <w:pPr>
        <w:ind w:left="480"/>
        <w:spacing w:after="0"/>
        <w:tabs>
          <w:tab w:leader="none" w:pos="9360" w:val="left"/>
          <w:tab w:leader="none" w:pos="10640" w:val="left"/>
        </w:tabs>
        <w:rPr>
          <w:sz w:val="20"/>
          <w:szCs w:val="20"/>
          <w:color w:val="auto"/>
        </w:rPr>
      </w:pPr>
      <w:r>
        <w:rPr>
          <w:rFonts w:ascii="Arial" w:cs="Arial" w:eastAsia="Arial" w:hAnsi="Arial"/>
          <w:sz w:val="15"/>
          <w:szCs w:val="15"/>
          <w:color w:val="auto"/>
        </w:rPr>
        <w:t>FNF family of companies</w:t>
      </w:r>
      <w:r>
        <w:rPr>
          <w:sz w:val="20"/>
          <w:szCs w:val="20"/>
          <w:color w:val="auto"/>
        </w:rPr>
        <w:tab/>
      </w:r>
      <w:r>
        <w:rPr>
          <w:rFonts w:ascii="Arial" w:cs="Arial" w:eastAsia="Arial" w:hAnsi="Arial"/>
          <w:sz w:val="15"/>
          <w:szCs w:val="15"/>
          <w:color w:val="auto"/>
        </w:rPr>
        <w:t>A</w:t>
      </w:r>
      <w:r>
        <w:rPr>
          <w:sz w:val="20"/>
          <w:szCs w:val="20"/>
          <w:color w:val="auto"/>
        </w:rPr>
        <w:tab/>
      </w:r>
      <w:r>
        <w:rPr>
          <w:rFonts w:ascii="Arial" w:cs="Arial" w:eastAsia="Arial" w:hAnsi="Arial"/>
          <w:sz w:val="14"/>
          <w:szCs w:val="14"/>
          <w:color w:val="auto"/>
        </w:rPr>
        <w:t>A2</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relative position of each of our ratings among the ratings scale assigned by each rating agency is as follows:</w:t>
      </w:r>
    </w:p>
    <w:p>
      <w:pPr>
        <w:spacing w:after="0" w:line="87" w:lineRule="exact"/>
        <w:rPr>
          <w:sz w:val="20"/>
          <w:szCs w:val="20"/>
          <w:color w:val="auto"/>
        </w:rPr>
      </w:pPr>
    </w:p>
    <w:p>
      <w:pPr>
        <w:ind w:left="540" w:right="80" w:hanging="279"/>
        <w:spacing w:after="0" w:line="257" w:lineRule="auto"/>
        <w:tabs>
          <w:tab w:leader="none" w:pos="536"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 S&amp;P "A" rating is the third highest rating of 11 ratings for S&amp;P. According to S&amp;P, an insurer rated “A” has strong capacity to meet its financial commitments, but is somewhat more susceptible to adverse effects of changes in circumstances and economic conditions than insurers with "AAA" or "AA" ratings.</w:t>
      </w:r>
    </w:p>
    <w:p>
      <w:pPr>
        <w:ind w:left="540" w:right="80" w:hanging="279"/>
        <w:spacing w:after="0" w:line="261" w:lineRule="auto"/>
        <w:tabs>
          <w:tab w:leader="none" w:pos="536"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Moody's "A2" rating is the third highest rating of 9 ratings for Moody's. Moody's states that companies rated “A2” are judged to be upper-medium grade and are subject to low credit risk.</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Demotech provides financial strength/stability ratings for each of our title insurance underwriters individually, as follows:</w:t>
      </w:r>
    </w:p>
    <w:p>
      <w:pPr>
        <w:spacing w:after="0" w:line="120"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67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Alamo Title Insurance</w:t>
            </w:r>
          </w:p>
        </w:tc>
        <w:tc>
          <w:tcPr>
            <w:tcW w:w="4380" w:type="dxa"/>
            <w:vAlign w:val="bottom"/>
            <w:shd w:val="clear" w:color="auto" w:fill="CCEEFF"/>
          </w:tcPr>
          <w:p>
            <w:pPr>
              <w:ind w:left="4120"/>
              <w:spacing w:after="0"/>
              <w:rPr>
                <w:sz w:val="20"/>
                <w:szCs w:val="20"/>
                <w:color w:val="auto"/>
              </w:rPr>
            </w:pPr>
            <w:r>
              <w:rPr>
                <w:rFonts w:ascii="Arial" w:cs="Arial" w:eastAsia="Arial" w:hAnsi="Arial"/>
                <w:sz w:val="12"/>
                <w:szCs w:val="12"/>
                <w:color w:val="auto"/>
              </w:rPr>
              <w:t>A'</w:t>
            </w:r>
          </w:p>
        </w:tc>
      </w:tr>
      <w:tr>
        <w:trPr>
          <w:trHeight w:val="155"/>
        </w:trPr>
        <w:tc>
          <w:tcPr>
            <w:tcW w:w="6700" w:type="dxa"/>
            <w:vAlign w:val="bottom"/>
          </w:tcPr>
          <w:p>
            <w:pPr>
              <w:ind w:left="280"/>
              <w:spacing w:after="0"/>
              <w:rPr>
                <w:sz w:val="20"/>
                <w:szCs w:val="20"/>
                <w:color w:val="auto"/>
              </w:rPr>
            </w:pPr>
            <w:r>
              <w:rPr>
                <w:rFonts w:ascii="Arial" w:cs="Arial" w:eastAsia="Arial" w:hAnsi="Arial"/>
                <w:sz w:val="12"/>
                <w:szCs w:val="12"/>
                <w:color w:val="auto"/>
              </w:rPr>
              <w:t>Chicago Title Insurance Company</w:t>
            </w:r>
          </w:p>
        </w:tc>
        <w:tc>
          <w:tcPr>
            <w:tcW w:w="4380" w:type="dxa"/>
            <w:vAlign w:val="bottom"/>
          </w:tcPr>
          <w:p>
            <w:pPr>
              <w:ind w:left="4120"/>
              <w:spacing w:after="0"/>
              <w:rPr>
                <w:sz w:val="20"/>
                <w:szCs w:val="20"/>
                <w:color w:val="auto"/>
              </w:rPr>
            </w:pPr>
            <w:r>
              <w:rPr>
                <w:rFonts w:ascii="Arial" w:cs="Arial" w:eastAsia="Arial" w:hAnsi="Arial"/>
                <w:sz w:val="12"/>
                <w:szCs w:val="12"/>
                <w:color w:val="auto"/>
              </w:rPr>
              <w:t>A''</w:t>
            </w:r>
          </w:p>
        </w:tc>
      </w:tr>
      <w:tr>
        <w:trPr>
          <w:trHeight w:val="160"/>
        </w:trPr>
        <w:tc>
          <w:tcPr>
            <w:tcW w:w="67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Commonwealth Land Title Insurance Company</w:t>
            </w:r>
          </w:p>
        </w:tc>
        <w:tc>
          <w:tcPr>
            <w:tcW w:w="4380" w:type="dxa"/>
            <w:vAlign w:val="bottom"/>
            <w:shd w:val="clear" w:color="auto" w:fill="CCEEFF"/>
          </w:tcPr>
          <w:p>
            <w:pPr>
              <w:ind w:left="4120"/>
              <w:spacing w:after="0"/>
              <w:rPr>
                <w:sz w:val="20"/>
                <w:szCs w:val="20"/>
                <w:color w:val="auto"/>
              </w:rPr>
            </w:pPr>
            <w:r>
              <w:rPr>
                <w:rFonts w:ascii="Arial" w:cs="Arial" w:eastAsia="Arial" w:hAnsi="Arial"/>
                <w:sz w:val="12"/>
                <w:szCs w:val="12"/>
                <w:color w:val="auto"/>
              </w:rPr>
              <w:t>A'</w:t>
            </w:r>
          </w:p>
        </w:tc>
      </w:tr>
      <w:tr>
        <w:trPr>
          <w:trHeight w:val="155"/>
        </w:trPr>
        <w:tc>
          <w:tcPr>
            <w:tcW w:w="6700" w:type="dxa"/>
            <w:vAlign w:val="bottom"/>
          </w:tcPr>
          <w:p>
            <w:pPr>
              <w:ind w:left="280"/>
              <w:spacing w:after="0"/>
              <w:rPr>
                <w:sz w:val="20"/>
                <w:szCs w:val="20"/>
                <w:color w:val="auto"/>
              </w:rPr>
            </w:pPr>
            <w:r>
              <w:rPr>
                <w:rFonts w:ascii="Arial" w:cs="Arial" w:eastAsia="Arial" w:hAnsi="Arial"/>
                <w:sz w:val="12"/>
                <w:szCs w:val="12"/>
                <w:color w:val="auto"/>
              </w:rPr>
              <w:t>Fidelity National Title Insurance Company</w:t>
            </w:r>
          </w:p>
        </w:tc>
        <w:tc>
          <w:tcPr>
            <w:tcW w:w="4380" w:type="dxa"/>
            <w:vAlign w:val="bottom"/>
          </w:tcPr>
          <w:p>
            <w:pPr>
              <w:ind w:left="4120"/>
              <w:spacing w:after="0"/>
              <w:rPr>
                <w:sz w:val="20"/>
                <w:szCs w:val="20"/>
                <w:color w:val="auto"/>
              </w:rPr>
            </w:pPr>
            <w:r>
              <w:rPr>
                <w:rFonts w:ascii="Arial" w:cs="Arial" w:eastAsia="Arial" w:hAnsi="Arial"/>
                <w:sz w:val="12"/>
                <w:szCs w:val="12"/>
                <w:color w:val="auto"/>
              </w:rPr>
              <w:t>A'</w:t>
            </w:r>
          </w:p>
        </w:tc>
      </w:tr>
      <w:tr>
        <w:trPr>
          <w:trHeight w:val="160"/>
        </w:trPr>
        <w:tc>
          <w:tcPr>
            <w:tcW w:w="67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National Title Insurance of New York</w:t>
            </w:r>
          </w:p>
        </w:tc>
        <w:tc>
          <w:tcPr>
            <w:tcW w:w="4380" w:type="dxa"/>
            <w:vAlign w:val="bottom"/>
            <w:shd w:val="clear" w:color="auto" w:fill="CCEEFF"/>
          </w:tcPr>
          <w:p>
            <w:pPr>
              <w:ind w:left="4120"/>
              <w:spacing w:after="0"/>
              <w:rPr>
                <w:sz w:val="20"/>
                <w:szCs w:val="20"/>
                <w:color w:val="auto"/>
              </w:rPr>
            </w:pPr>
            <w:r>
              <w:rPr>
                <w:rFonts w:ascii="Arial" w:cs="Arial" w:eastAsia="Arial" w:hAnsi="Arial"/>
                <w:sz w:val="12"/>
                <w:szCs w:val="12"/>
                <w:color w:val="auto"/>
              </w:rPr>
              <w:t>A'</w:t>
            </w:r>
          </w:p>
        </w:tc>
      </w:tr>
    </w:tbl>
    <w:p>
      <w:pPr>
        <w:spacing w:after="0" w:line="80" w:lineRule="exact"/>
        <w:rPr>
          <w:sz w:val="20"/>
          <w:szCs w:val="20"/>
          <w:color w:val="auto"/>
        </w:rPr>
      </w:pPr>
    </w:p>
    <w:p>
      <w:pPr>
        <w:jc w:val="both"/>
        <w:ind w:right="80" w:firstLine="274"/>
        <w:spacing w:after="0" w:line="262" w:lineRule="auto"/>
        <w:rPr>
          <w:sz w:val="20"/>
          <w:szCs w:val="20"/>
          <w:color w:val="auto"/>
        </w:rPr>
      </w:pPr>
      <w:r>
        <w:rPr>
          <w:rFonts w:ascii="Arial" w:cs="Arial" w:eastAsia="Arial" w:hAnsi="Arial"/>
          <w:sz w:val="15"/>
          <w:szCs w:val="15"/>
          <w:color w:val="auto"/>
        </w:rPr>
        <w:t>Demotech states that its ratings of "A"(A double prime)" and "A' (A prime)" reflect its opinion that the insurer possesses "Unsurpassed" ability to maintain liquidity of invested assets, quality reinsurance, acceptable financial leverage and realistic pricing while simultaneously establishing loss and loss adjustment expense reserves at reasonable levels. The A'' and A' ratings are the two highest ratings of Demotech's six ratings.</w:t>
      </w:r>
    </w:p>
    <w:p>
      <w:pPr>
        <w:spacing w:after="0" w:line="44" w:lineRule="exact"/>
        <w:rPr>
          <w:sz w:val="20"/>
          <w:szCs w:val="20"/>
          <w:color w:val="auto"/>
        </w:rPr>
      </w:pPr>
    </w:p>
    <w:p>
      <w:pPr>
        <w:jc w:val="both"/>
        <w:ind w:right="100" w:firstLine="270"/>
        <w:spacing w:after="0" w:line="274" w:lineRule="auto"/>
        <w:rPr>
          <w:sz w:val="20"/>
          <w:szCs w:val="20"/>
          <w:color w:val="auto"/>
        </w:rPr>
      </w:pPr>
      <w:r>
        <w:rPr>
          <w:rFonts w:ascii="Arial" w:cs="Arial" w:eastAsia="Arial" w:hAnsi="Arial"/>
          <w:sz w:val="15"/>
          <w:szCs w:val="15"/>
          <w:color w:val="auto"/>
        </w:rPr>
        <w:t>The ratings of S&amp;P, Moody’s, and Demotech described above are not designed to be, and do not serve as, measures of protection or valuation offered to investors. These financial strength ratings should not be relied on with respect to making 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13" w:name="page14"/>
    <w:bookmarkEnd w:id="1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 xml:space="preserve">investment in our securities. See “Item 1A.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 If the rating agencies downgrade our Company, our results of operations and competitive position in the title insurance industry may suffer” for further information.</w:t>
      </w:r>
    </w:p>
    <w:p>
      <w:pPr>
        <w:spacing w:after="0" w:line="46"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5"/>
          <w:szCs w:val="15"/>
          <w:i w:val="1"/>
          <w:iCs w:val="1"/>
          <w:color w:val="auto"/>
        </w:rPr>
        <w:t xml:space="preserve">Investment Policies and Investment Portfolio. </w:t>
      </w:r>
      <w:r>
        <w:rPr>
          <w:rFonts w:ascii="Arial" w:cs="Arial" w:eastAsia="Arial" w:hAnsi="Arial"/>
          <w:sz w:val="15"/>
          <w:szCs w:val="15"/>
          <w:color w:val="auto"/>
        </w:rPr>
        <w:t>Within our Title segment, our investment policy is designed to maximize total return through investment income and capital</w:t>
      </w:r>
      <w:r>
        <w:rPr>
          <w:rFonts w:ascii="Arial" w:cs="Arial" w:eastAsia="Arial" w:hAnsi="Arial"/>
          <w:sz w:val="15"/>
          <w:szCs w:val="15"/>
          <w:i w:val="1"/>
          <w:iCs w:val="1"/>
          <w:color w:val="auto"/>
        </w:rPr>
        <w:t xml:space="preserve"> </w:t>
      </w:r>
      <w:r>
        <w:rPr>
          <w:rFonts w:ascii="Arial" w:cs="Arial" w:eastAsia="Arial" w:hAnsi="Arial"/>
          <w:sz w:val="15"/>
          <w:szCs w:val="15"/>
          <w:color w:val="auto"/>
        </w:rPr>
        <w:t>appreciation consistent with moderate risk of 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52"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As of December 31, 2021 and 2020, the carrying amount of total investments within our Title segment, which approximates the fair value, excluding investments in unconsolidated affiliates, was approximately $3.7 billion.</w:t>
      </w:r>
    </w:p>
    <w:p>
      <w:pPr>
        <w:spacing w:after="0" w:line="46" w:lineRule="exact"/>
        <w:rPr>
          <w:sz w:val="20"/>
          <w:szCs w:val="20"/>
          <w:color w:val="auto"/>
        </w:rPr>
      </w:pPr>
    </w:p>
    <w:p>
      <w:pPr>
        <w:jc w:val="both"/>
        <w:ind w:firstLine="274"/>
        <w:spacing w:after="0" w:line="274" w:lineRule="auto"/>
        <w:rPr>
          <w:sz w:val="20"/>
          <w:szCs w:val="20"/>
          <w:color w:val="auto"/>
        </w:rPr>
      </w:pPr>
      <w:r>
        <w:rPr>
          <w:rFonts w:ascii="Arial" w:cs="Arial" w:eastAsia="Arial" w:hAnsi="Arial"/>
          <w:sz w:val="15"/>
          <w:szCs w:val="15"/>
          <w:color w:val="auto"/>
        </w:rPr>
        <w:t>We purchase investment grade fixed maturity securities, selected non-investment grade fixed maturity securities, preferred stock and equity securities. The securities in our portfolio are subject to economic conditions and normal market risks and uncertainties.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certain information regarding the investment ratings of our fixed maturity securities and preferred stock portfolio at December 31, 2021 and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b w:val="1"/>
                <w:bCs w:val="1"/>
                <w:color w:val="auto"/>
                <w:w w:val="89"/>
              </w:rPr>
              <w:t>December 31,</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53"/>
        </w:trPr>
        <w:tc>
          <w:tcPr>
            <w:tcW w:w="2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2020</w:t>
            </w: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41"/>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Amortized</w:t>
            </w:r>
          </w:p>
        </w:tc>
        <w:tc>
          <w:tcPr>
            <w:tcW w:w="1140" w:type="dxa"/>
            <w:vAlign w:val="bottom"/>
            <w:gridSpan w:val="2"/>
          </w:tcPr>
          <w:p>
            <w:pPr>
              <w:ind w:left="400"/>
              <w:spacing w:after="0"/>
              <w:rPr>
                <w:sz w:val="20"/>
                <w:szCs w:val="20"/>
                <w:color w:val="auto"/>
              </w:rPr>
            </w:pPr>
            <w:r>
              <w:rPr>
                <w:rFonts w:ascii="Arial" w:cs="Arial" w:eastAsia="Arial" w:hAnsi="Arial"/>
                <w:sz w:val="12"/>
                <w:szCs w:val="12"/>
                <w:b w:val="1"/>
                <w:bCs w:val="1"/>
                <w:color w:val="auto"/>
              </w:rPr>
              <w:t>% of</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Fair</w:t>
            </w:r>
          </w:p>
        </w:tc>
        <w:tc>
          <w:tcPr>
            <w:tcW w:w="980" w:type="dxa"/>
            <w:vAlign w:val="bottom"/>
          </w:tcPr>
          <w:p>
            <w:pPr>
              <w:jc w:val="right"/>
              <w:ind w:right="300"/>
              <w:spacing w:after="0"/>
              <w:rPr>
                <w:sz w:val="20"/>
                <w:szCs w:val="20"/>
                <w:color w:val="auto"/>
              </w:rPr>
            </w:pPr>
            <w:r>
              <w:rPr>
                <w:rFonts w:ascii="Arial" w:cs="Arial" w:eastAsia="Arial" w:hAnsi="Arial"/>
                <w:sz w:val="12"/>
                <w:szCs w:val="12"/>
                <w:b w:val="1"/>
                <w:bCs w:val="1"/>
                <w:color w:val="auto"/>
              </w:rPr>
              <w: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Amortized</w:t>
            </w:r>
          </w:p>
        </w:tc>
        <w:tc>
          <w:tcPr>
            <w:tcW w:w="1140" w:type="dxa"/>
            <w:vAlign w:val="bottom"/>
            <w:gridSpan w:val="2"/>
          </w:tcPr>
          <w:p>
            <w:pPr>
              <w:ind w:left="400"/>
              <w:spacing w:after="0"/>
              <w:rPr>
                <w:sz w:val="20"/>
                <w:szCs w:val="20"/>
                <w:color w:val="auto"/>
              </w:rPr>
            </w:pPr>
            <w:r>
              <w:rPr>
                <w:rFonts w:ascii="Arial" w:cs="Arial" w:eastAsia="Arial" w:hAnsi="Arial"/>
                <w:sz w:val="12"/>
                <w:szCs w:val="12"/>
                <w:b w:val="1"/>
                <w:bCs w:val="1"/>
                <w:color w:val="auto"/>
              </w:rPr>
              <w:t>% of</w:t>
            </w:r>
          </w:p>
        </w:tc>
        <w:tc>
          <w:tcPr>
            <w:tcW w:w="220" w:type="dxa"/>
            <w:vAlign w:val="bottom"/>
          </w:tcPr>
          <w:p>
            <w:pPr>
              <w:spacing w:after="0"/>
              <w:rPr>
                <w:sz w:val="12"/>
                <w:szCs w:val="12"/>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Fair</w:t>
            </w:r>
          </w:p>
        </w:tc>
        <w:tc>
          <w:tcPr>
            <w:tcW w:w="1040" w:type="dxa"/>
            <w:vAlign w:val="bottom"/>
          </w:tcPr>
          <w:p>
            <w:pPr>
              <w:jc w:val="right"/>
              <w:ind w:right="340"/>
              <w:spacing w:after="0"/>
              <w:rPr>
                <w:sz w:val="20"/>
                <w:szCs w:val="20"/>
                <w:color w:val="auto"/>
              </w:rPr>
            </w:pPr>
            <w:r>
              <w:rPr>
                <w:rFonts w:ascii="Arial" w:cs="Arial" w:eastAsia="Arial" w:hAnsi="Arial"/>
                <w:sz w:val="12"/>
                <w:szCs w:val="12"/>
                <w:b w:val="1"/>
                <w:bCs w:val="1"/>
                <w:color w:val="auto"/>
              </w:rPr>
              <w:t>% of</w:t>
            </w:r>
          </w:p>
        </w:tc>
      </w:tr>
      <w:tr>
        <w:trPr>
          <w:trHeight w:val="162"/>
        </w:trPr>
        <w:tc>
          <w:tcPr>
            <w:tcW w:w="2420" w:type="dxa"/>
            <w:vAlign w:val="bottom"/>
          </w:tcPr>
          <w:p>
            <w:pPr>
              <w:spacing w:after="0"/>
              <w:rPr>
                <w:sz w:val="20"/>
                <w:szCs w:val="20"/>
                <w:color w:val="auto"/>
              </w:rPr>
            </w:pPr>
            <w:r>
              <w:rPr>
                <w:rFonts w:ascii="Arial" w:cs="Arial" w:eastAsia="Arial" w:hAnsi="Arial"/>
                <w:sz w:val="12"/>
                <w:szCs w:val="12"/>
                <w:b w:val="1"/>
                <w:bCs w:val="1"/>
                <w:color w:val="auto"/>
              </w:rPr>
              <w:t>Rating(1)</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9"/>
              </w:rPr>
              <w:t>Cost</w:t>
            </w:r>
          </w:p>
        </w:tc>
        <w:tc>
          <w:tcPr>
            <w:tcW w:w="1140" w:type="dxa"/>
            <w:vAlign w:val="bottom"/>
            <w:tcBorders>
              <w:bottom w:val="single" w:sz="8" w:color="auto"/>
            </w:tcBorders>
            <w:gridSpan w:val="2"/>
          </w:tcPr>
          <w:p>
            <w:pPr>
              <w:ind w:left="380"/>
              <w:spacing w:after="0"/>
              <w:rPr>
                <w:sz w:val="20"/>
                <w:szCs w:val="20"/>
                <w:color w:val="auto"/>
              </w:rPr>
            </w:pPr>
            <w:r>
              <w:rPr>
                <w:rFonts w:ascii="Arial" w:cs="Arial" w:eastAsia="Arial" w:hAnsi="Arial"/>
                <w:sz w:val="12"/>
                <w:szCs w:val="12"/>
                <w:b w:val="1"/>
                <w:bCs w:val="1"/>
                <w:color w:val="auto"/>
              </w:rPr>
              <w:t>Total</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3"/>
              </w:rPr>
              <w:t>Value</w:t>
            </w:r>
          </w:p>
        </w:tc>
        <w:tc>
          <w:tcPr>
            <w:tcW w:w="10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2"/>
                <w:szCs w:val="12"/>
                <w:b w:val="1"/>
                <w:bCs w:val="1"/>
                <w:color w:val="auto"/>
              </w:rPr>
              <w:t>Total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9"/>
              </w:rPr>
              <w:t>Cost</w:t>
            </w:r>
          </w:p>
        </w:tc>
        <w:tc>
          <w:tcPr>
            <w:tcW w:w="1140" w:type="dxa"/>
            <w:vAlign w:val="bottom"/>
            <w:tcBorders>
              <w:bottom w:val="single" w:sz="8" w:color="auto"/>
            </w:tcBorders>
            <w:gridSpan w:val="2"/>
          </w:tcPr>
          <w:p>
            <w:pPr>
              <w:ind w:left="400"/>
              <w:spacing w:after="0"/>
              <w:rPr>
                <w:sz w:val="20"/>
                <w:szCs w:val="20"/>
                <w:color w:val="auto"/>
              </w:rPr>
            </w:pPr>
            <w:r>
              <w:rPr>
                <w:rFonts w:ascii="Arial" w:cs="Arial" w:eastAsia="Arial" w:hAnsi="Arial"/>
                <w:sz w:val="12"/>
                <w:szCs w:val="12"/>
                <w:b w:val="1"/>
                <w:bCs w:val="1"/>
                <w:color w:val="auto"/>
              </w:rPr>
              <w:t>Total</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87"/>
              </w:rPr>
              <w:t>Value</w:t>
            </w: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Total</w:t>
            </w:r>
          </w:p>
        </w:tc>
      </w:tr>
      <w:tr>
        <w:trPr>
          <w:trHeight w:val="153"/>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1"/>
              </w:rPr>
              <w:t>(Dollars in millions)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8"/>
        </w:trPr>
        <w:tc>
          <w:tcPr>
            <w:tcW w:w="2420" w:type="dxa"/>
            <w:vAlign w:val="bottom"/>
            <w:shd w:val="clear" w:color="auto" w:fill="CCEEFF"/>
          </w:tcPr>
          <w:p>
            <w:pPr>
              <w:spacing w:after="0"/>
              <w:rPr>
                <w:sz w:val="20"/>
                <w:szCs w:val="20"/>
                <w:color w:val="auto"/>
              </w:rPr>
            </w:pPr>
            <w:r>
              <w:rPr>
                <w:rFonts w:ascii="Arial" w:cs="Arial" w:eastAsia="Arial" w:hAnsi="Arial"/>
                <w:sz w:val="12"/>
                <w:szCs w:val="12"/>
                <w:color w:val="auto"/>
              </w:rPr>
              <w:t>Aaa/AAA</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21.7 %</w:t>
            </w:r>
          </w:p>
        </w:tc>
      </w:tr>
      <w:tr>
        <w:trPr>
          <w:trHeight w:val="155"/>
        </w:trPr>
        <w:tc>
          <w:tcPr>
            <w:tcW w:w="2420" w:type="dxa"/>
            <w:vAlign w:val="bottom"/>
          </w:tcPr>
          <w:p>
            <w:pPr>
              <w:spacing w:after="0"/>
              <w:rPr>
                <w:sz w:val="20"/>
                <w:szCs w:val="20"/>
                <w:color w:val="auto"/>
              </w:rPr>
            </w:pPr>
            <w:r>
              <w:rPr>
                <w:rFonts w:ascii="Arial" w:cs="Arial" w:eastAsia="Arial" w:hAnsi="Arial"/>
                <w:sz w:val="12"/>
                <w:szCs w:val="12"/>
                <w:color w:val="auto"/>
              </w:rPr>
              <w:t>Aa/AA</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Pr>
          <w:p>
            <w:pPr>
              <w:spacing w:after="0"/>
              <w:rPr>
                <w:sz w:val="13"/>
                <w:szCs w:val="13"/>
                <w:color w:val="auto"/>
              </w:rPr>
            </w:pPr>
          </w:p>
        </w:tc>
        <w:tc>
          <w:tcPr>
            <w:tcW w:w="1040" w:type="dxa"/>
            <w:vAlign w:val="bottom"/>
          </w:tcPr>
          <w:p>
            <w:pPr>
              <w:jc w:val="right"/>
              <w:ind w:right="100"/>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164</w:t>
            </w:r>
          </w:p>
        </w:tc>
        <w:tc>
          <w:tcPr>
            <w:tcW w:w="100" w:type="dxa"/>
            <w:vAlign w:val="bottom"/>
          </w:tcPr>
          <w:p>
            <w:pPr>
              <w:spacing w:after="0"/>
              <w:rPr>
                <w:sz w:val="13"/>
                <w:szCs w:val="13"/>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201</w:t>
            </w:r>
          </w:p>
        </w:tc>
        <w:tc>
          <w:tcPr>
            <w:tcW w:w="100" w:type="dxa"/>
            <w:vAlign w:val="bottom"/>
          </w:tcPr>
          <w:p>
            <w:pPr>
              <w:spacing w:after="0"/>
              <w:rPr>
                <w:sz w:val="13"/>
                <w:szCs w:val="13"/>
                <w:color w:val="auto"/>
              </w:rPr>
            </w:pPr>
          </w:p>
        </w:tc>
        <w:tc>
          <w:tcPr>
            <w:tcW w:w="1040" w:type="dxa"/>
            <w:vAlign w:val="bottom"/>
          </w:tcPr>
          <w:p>
            <w:pPr>
              <w:jc w:val="right"/>
              <w:ind w:right="100"/>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214</w:t>
            </w:r>
          </w:p>
        </w:tc>
        <w:tc>
          <w:tcPr>
            <w:tcW w:w="100" w:type="dxa"/>
            <w:vAlign w:val="bottom"/>
          </w:tcPr>
          <w:p>
            <w:pPr>
              <w:spacing w:after="0"/>
              <w:rPr>
                <w:sz w:val="13"/>
                <w:szCs w:val="13"/>
                <w:color w:val="auto"/>
              </w:rPr>
            </w:pP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8.7</w:t>
            </w:r>
          </w:p>
        </w:tc>
      </w:tr>
      <w:tr>
        <w:trPr>
          <w:trHeight w:val="160"/>
        </w:trPr>
        <w:tc>
          <w:tcPr>
            <w:tcW w:w="2420" w:type="dxa"/>
            <w:vAlign w:val="bottom"/>
            <w:shd w:val="clear" w:color="auto" w:fill="CCEEFF"/>
          </w:tcPr>
          <w:p>
            <w:pPr>
              <w:spacing w:after="0"/>
              <w:rPr>
                <w:sz w:val="20"/>
                <w:szCs w:val="20"/>
                <w:color w:val="auto"/>
              </w:rPr>
            </w:pPr>
            <w:r>
              <w:rPr>
                <w:rFonts w:ascii="Arial" w:cs="Arial" w:eastAsia="Arial" w:hAnsi="Arial"/>
                <w:sz w:val="12"/>
                <w:szCs w:val="12"/>
                <w:color w:val="auto"/>
              </w:rPr>
              <w:t>A</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532</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22.6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22.8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28.7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29.0</w:t>
            </w:r>
          </w:p>
        </w:tc>
      </w:tr>
      <w:tr>
        <w:trPr>
          <w:trHeight w:val="155"/>
        </w:trPr>
        <w:tc>
          <w:tcPr>
            <w:tcW w:w="2420" w:type="dxa"/>
            <w:vAlign w:val="bottom"/>
          </w:tcPr>
          <w:p>
            <w:pPr>
              <w:spacing w:after="0"/>
              <w:rPr>
                <w:sz w:val="20"/>
                <w:szCs w:val="20"/>
                <w:color w:val="auto"/>
              </w:rPr>
            </w:pPr>
            <w:r>
              <w:rPr>
                <w:rFonts w:ascii="Arial" w:cs="Arial" w:eastAsia="Arial" w:hAnsi="Arial"/>
                <w:sz w:val="12"/>
                <w:szCs w:val="12"/>
                <w:color w:val="auto"/>
              </w:rPr>
              <w:t>Baa/BBB</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798</w:t>
            </w:r>
          </w:p>
        </w:tc>
        <w:tc>
          <w:tcPr>
            <w:tcW w:w="100" w:type="dxa"/>
            <w:vAlign w:val="bottom"/>
          </w:tcPr>
          <w:p>
            <w:pPr>
              <w:spacing w:after="0"/>
              <w:rPr>
                <w:sz w:val="13"/>
                <w:szCs w:val="13"/>
                <w:color w:val="auto"/>
              </w:rPr>
            </w:pPr>
          </w:p>
        </w:tc>
        <w:tc>
          <w:tcPr>
            <w:tcW w:w="1040" w:type="dxa"/>
            <w:vAlign w:val="bottom"/>
          </w:tcPr>
          <w:p>
            <w:pPr>
              <w:jc w:val="right"/>
              <w:ind w:right="100"/>
              <w:spacing w:after="0"/>
              <w:rPr>
                <w:sz w:val="20"/>
                <w:szCs w:val="20"/>
                <w:color w:val="auto"/>
              </w:rPr>
            </w:pPr>
            <w:r>
              <w:rPr>
                <w:rFonts w:ascii="Arial" w:cs="Arial" w:eastAsia="Arial" w:hAnsi="Arial"/>
                <w:sz w:val="12"/>
                <w:szCs w:val="12"/>
                <w:color w:val="auto"/>
              </w:rPr>
              <w:t>33.9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809</w:t>
            </w:r>
          </w:p>
        </w:tc>
        <w:tc>
          <w:tcPr>
            <w:tcW w:w="100" w:type="dxa"/>
            <w:vAlign w:val="bottom"/>
          </w:tcPr>
          <w:p>
            <w:pPr>
              <w:spacing w:after="0"/>
              <w:rPr>
                <w:sz w:val="13"/>
                <w:szCs w:val="13"/>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33.7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726</w:t>
            </w:r>
          </w:p>
        </w:tc>
        <w:tc>
          <w:tcPr>
            <w:tcW w:w="100" w:type="dxa"/>
            <w:vAlign w:val="bottom"/>
          </w:tcPr>
          <w:p>
            <w:pPr>
              <w:spacing w:after="0"/>
              <w:rPr>
                <w:sz w:val="13"/>
                <w:szCs w:val="13"/>
                <w:color w:val="auto"/>
              </w:rPr>
            </w:pPr>
          </w:p>
        </w:tc>
        <w:tc>
          <w:tcPr>
            <w:tcW w:w="1040" w:type="dxa"/>
            <w:vAlign w:val="bottom"/>
          </w:tcPr>
          <w:p>
            <w:pPr>
              <w:jc w:val="right"/>
              <w:ind w:right="100"/>
              <w:spacing w:after="0"/>
              <w:rPr>
                <w:sz w:val="20"/>
                <w:szCs w:val="20"/>
                <w:color w:val="auto"/>
              </w:rPr>
            </w:pPr>
            <w:r>
              <w:rPr>
                <w:rFonts w:ascii="Arial" w:cs="Arial" w:eastAsia="Arial" w:hAnsi="Arial"/>
                <w:sz w:val="12"/>
                <w:szCs w:val="12"/>
                <w:color w:val="auto"/>
              </w:rPr>
              <w:t>31.0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756</w:t>
            </w:r>
          </w:p>
        </w:tc>
        <w:tc>
          <w:tcPr>
            <w:tcW w:w="100" w:type="dxa"/>
            <w:vAlign w:val="bottom"/>
          </w:tcPr>
          <w:p>
            <w:pPr>
              <w:spacing w:after="0"/>
              <w:rPr>
                <w:sz w:val="13"/>
                <w:szCs w:val="13"/>
                <w:color w:val="auto"/>
              </w:rPr>
            </w:pP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30.7</w:t>
            </w:r>
          </w:p>
        </w:tc>
      </w:tr>
      <w:tr>
        <w:trPr>
          <w:trHeight w:val="160"/>
        </w:trPr>
        <w:tc>
          <w:tcPr>
            <w:tcW w:w="2420" w:type="dxa"/>
            <w:vAlign w:val="bottom"/>
            <w:shd w:val="clear" w:color="auto" w:fill="CCEEFF"/>
          </w:tcPr>
          <w:p>
            <w:pPr>
              <w:spacing w:after="0"/>
              <w:rPr>
                <w:sz w:val="20"/>
                <w:szCs w:val="20"/>
                <w:color w:val="auto"/>
              </w:rPr>
            </w:pPr>
            <w:r>
              <w:rPr>
                <w:rFonts w:ascii="Arial" w:cs="Arial" w:eastAsia="Arial" w:hAnsi="Arial"/>
                <w:sz w:val="12"/>
                <w:szCs w:val="12"/>
                <w:color w:val="auto"/>
              </w:rPr>
              <w:t>Lower</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6.1</w:t>
            </w:r>
          </w:p>
        </w:tc>
      </w:tr>
      <w:tr>
        <w:trPr>
          <w:trHeight w:val="155"/>
        </w:trPr>
        <w:tc>
          <w:tcPr>
            <w:tcW w:w="24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(2)</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3.2</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3.8</w:t>
            </w:r>
          </w:p>
        </w:tc>
      </w:tr>
      <w:tr>
        <w:trPr>
          <w:trHeight w:val="174"/>
        </w:trPr>
        <w:tc>
          <w:tcPr>
            <w:tcW w:w="2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2,353</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2,401</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2,342</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2,465</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520" w:hanging="259"/>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Ratings as assigned by Moody’s or S&amp;P if a Moody's rating is unavailable.</w:t>
      </w:r>
    </w:p>
    <w:p>
      <w:pPr>
        <w:spacing w:after="0" w:line="75" w:lineRule="exact"/>
        <w:rPr>
          <w:rFonts w:ascii="Arial" w:cs="Arial" w:eastAsia="Arial" w:hAnsi="Arial"/>
          <w:sz w:val="15"/>
          <w:szCs w:val="15"/>
          <w:color w:val="auto"/>
        </w:rPr>
      </w:pPr>
    </w:p>
    <w:p>
      <w:pPr>
        <w:ind w:left="520" w:hanging="259"/>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This category is composed of unrated securities.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presents certain information regarding contractual maturities of our fixed maturity securities at December 31,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90"/>
              </w:rPr>
              <w:t>December 31, 2021</w:t>
            </w:r>
          </w:p>
        </w:tc>
        <w:tc>
          <w:tcPr>
            <w:tcW w:w="1000" w:type="dxa"/>
            <w:vAlign w:val="bottom"/>
            <w:tcBorders>
              <w:bottom w:val="single" w:sz="8" w:color="auto"/>
            </w:tcBorders>
          </w:tcPr>
          <w:p>
            <w:pPr>
              <w:spacing w:after="0"/>
              <w:rPr>
                <w:sz w:val="14"/>
                <w:szCs w:val="14"/>
                <w:color w:val="auto"/>
              </w:rPr>
            </w:pPr>
          </w:p>
        </w:tc>
      </w:tr>
      <w:tr>
        <w:trPr>
          <w:trHeight w:val="145"/>
        </w:trPr>
        <w:tc>
          <w:tcPr>
            <w:tcW w:w="6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Amortized</w:t>
            </w:r>
          </w:p>
        </w:tc>
        <w:tc>
          <w:tcPr>
            <w:tcW w:w="1100" w:type="dxa"/>
            <w:vAlign w:val="bottom"/>
            <w:gridSpan w:val="2"/>
          </w:tcPr>
          <w:p>
            <w:pPr>
              <w:ind w:left="380"/>
              <w:spacing w:after="0"/>
              <w:rPr>
                <w:sz w:val="20"/>
                <w:szCs w:val="20"/>
                <w:color w:val="auto"/>
              </w:rPr>
            </w:pPr>
            <w:r>
              <w:rPr>
                <w:rFonts w:ascii="Arial" w:cs="Arial" w:eastAsia="Arial" w:hAnsi="Arial"/>
                <w:sz w:val="12"/>
                <w:szCs w:val="12"/>
                <w:b w:val="1"/>
                <w:bCs w:val="1"/>
                <w:color w:val="auto"/>
              </w:rPr>
              <w:t>% of</w:t>
            </w:r>
          </w:p>
        </w:tc>
        <w:tc>
          <w:tcPr>
            <w:tcW w:w="22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Fair</w:t>
            </w:r>
          </w:p>
        </w:tc>
        <w:tc>
          <w:tcPr>
            <w:tcW w:w="1000" w:type="dxa"/>
            <w:vAlign w:val="bottom"/>
          </w:tcPr>
          <w:p>
            <w:pPr>
              <w:jc w:val="right"/>
              <w:ind w:right="320"/>
              <w:spacing w:after="0"/>
              <w:rPr>
                <w:sz w:val="20"/>
                <w:szCs w:val="20"/>
                <w:color w:val="auto"/>
              </w:rPr>
            </w:pPr>
            <w:r>
              <w:rPr>
                <w:rFonts w:ascii="Arial" w:cs="Arial" w:eastAsia="Arial" w:hAnsi="Arial"/>
                <w:sz w:val="12"/>
                <w:szCs w:val="12"/>
                <w:b w:val="1"/>
                <w:bCs w:val="1"/>
                <w:color w:val="auto"/>
              </w:rPr>
              <w:t>% of</w:t>
            </w:r>
          </w:p>
        </w:tc>
      </w:tr>
      <w:tr>
        <w:trPr>
          <w:trHeight w:val="162"/>
        </w:trPr>
        <w:tc>
          <w:tcPr>
            <w:tcW w:w="6840" w:type="dxa"/>
            <w:vAlign w:val="bottom"/>
          </w:tcPr>
          <w:p>
            <w:pPr>
              <w:spacing w:after="0"/>
              <w:rPr>
                <w:sz w:val="20"/>
                <w:szCs w:val="20"/>
                <w:color w:val="auto"/>
              </w:rPr>
            </w:pPr>
            <w:r>
              <w:rPr>
                <w:rFonts w:ascii="Arial" w:cs="Arial" w:eastAsia="Arial" w:hAnsi="Arial"/>
                <w:sz w:val="12"/>
                <w:szCs w:val="12"/>
                <w:b w:val="1"/>
                <w:bCs w:val="1"/>
                <w:color w:val="auto"/>
              </w:rPr>
              <w:t>Maturity</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9"/>
              </w:rPr>
              <w:t>Cost</w:t>
            </w:r>
          </w:p>
        </w:tc>
        <w:tc>
          <w:tcPr>
            <w:tcW w:w="1100" w:type="dxa"/>
            <w:vAlign w:val="bottom"/>
            <w:tcBorders>
              <w:bottom w:val="single" w:sz="8" w:color="auto"/>
            </w:tcBorders>
            <w:gridSpan w:val="2"/>
          </w:tcPr>
          <w:p>
            <w:pPr>
              <w:ind w:left="360"/>
              <w:spacing w:after="0"/>
              <w:rPr>
                <w:sz w:val="20"/>
                <w:szCs w:val="20"/>
                <w:color w:val="auto"/>
              </w:rPr>
            </w:pPr>
            <w:r>
              <w:rPr>
                <w:rFonts w:ascii="Arial" w:cs="Arial" w:eastAsia="Arial" w:hAnsi="Arial"/>
                <w:sz w:val="12"/>
                <w:szCs w:val="12"/>
                <w:b w:val="1"/>
                <w:bCs w:val="1"/>
                <w:color w:val="auto"/>
              </w:rPr>
              <w:t>Total</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87"/>
              </w:rPr>
              <w:t>Value</w:t>
            </w: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Total</w:t>
            </w:r>
          </w:p>
        </w:tc>
      </w:tr>
      <w:tr>
        <w:trPr>
          <w:trHeight w:val="153"/>
        </w:trPr>
        <w:tc>
          <w:tcPr>
            <w:tcW w:w="6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1"/>
              </w:rPr>
              <w:t>(Dollars in millions)</w:t>
            </w:r>
          </w:p>
        </w:tc>
        <w:tc>
          <w:tcPr>
            <w:tcW w:w="1000" w:type="dxa"/>
            <w:vAlign w:val="bottom"/>
          </w:tcPr>
          <w:p>
            <w:pPr>
              <w:spacing w:after="0"/>
              <w:rPr>
                <w:sz w:val="13"/>
                <w:szCs w:val="13"/>
                <w:color w:val="auto"/>
              </w:rPr>
            </w:pPr>
          </w:p>
        </w:tc>
      </w:tr>
      <w:tr>
        <w:trPr>
          <w:trHeight w:val="158"/>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One year or less</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16.0 %</w:t>
            </w:r>
          </w:p>
        </w:tc>
      </w:tr>
      <w:tr>
        <w:trPr>
          <w:trHeight w:val="155"/>
        </w:trPr>
        <w:tc>
          <w:tcPr>
            <w:tcW w:w="6840" w:type="dxa"/>
            <w:vAlign w:val="bottom"/>
          </w:tcPr>
          <w:p>
            <w:pPr>
              <w:spacing w:after="0"/>
              <w:rPr>
                <w:sz w:val="20"/>
                <w:szCs w:val="20"/>
                <w:color w:val="auto"/>
              </w:rPr>
            </w:pPr>
            <w:r>
              <w:rPr>
                <w:rFonts w:ascii="Arial" w:cs="Arial" w:eastAsia="Arial" w:hAnsi="Arial"/>
                <w:sz w:val="12"/>
                <w:szCs w:val="12"/>
                <w:color w:val="auto"/>
              </w:rPr>
              <w:t>After one year through five years</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1,273</w:t>
            </w:r>
          </w:p>
        </w:tc>
        <w:tc>
          <w:tcPr>
            <w:tcW w:w="100" w:type="dxa"/>
            <w:vAlign w:val="bottom"/>
          </w:tcPr>
          <w:p>
            <w:pPr>
              <w:spacing w:after="0"/>
              <w:rPr>
                <w:sz w:val="13"/>
                <w:szCs w:val="13"/>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64.4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1,297</w:t>
            </w:r>
          </w:p>
        </w:tc>
        <w:tc>
          <w:tcPr>
            <w:tcW w:w="100" w:type="dxa"/>
            <w:vAlign w:val="bottom"/>
          </w:tcPr>
          <w:p>
            <w:pPr>
              <w:spacing w:after="0"/>
              <w:rPr>
                <w:sz w:val="13"/>
                <w:szCs w:val="1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64.0</w:t>
            </w:r>
          </w:p>
        </w:tc>
      </w:tr>
      <w:tr>
        <w:trPr>
          <w:trHeight w:val="160"/>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After five years through ten years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r>
      <w:tr>
        <w:trPr>
          <w:trHeight w:val="155"/>
        </w:trPr>
        <w:tc>
          <w:tcPr>
            <w:tcW w:w="6840" w:type="dxa"/>
            <w:vAlign w:val="bottom"/>
          </w:tcPr>
          <w:p>
            <w:pPr>
              <w:spacing w:after="0"/>
              <w:rPr>
                <w:sz w:val="20"/>
                <w:szCs w:val="20"/>
                <w:color w:val="auto"/>
              </w:rPr>
            </w:pPr>
            <w:r>
              <w:rPr>
                <w:rFonts w:ascii="Arial" w:cs="Arial" w:eastAsia="Arial" w:hAnsi="Arial"/>
                <w:sz w:val="12"/>
                <w:szCs w:val="12"/>
                <w:color w:val="auto"/>
              </w:rPr>
              <w:t>After ten years</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3"/>
                <w:szCs w:val="13"/>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4.6</w:t>
            </w:r>
          </w:p>
        </w:tc>
      </w:tr>
      <w:tr>
        <w:trPr>
          <w:trHeight w:val="158"/>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Mortgage-backed/asset-backed securities</w:t>
            </w: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2.7</w:t>
            </w:r>
          </w:p>
        </w:tc>
      </w:tr>
      <w:tr>
        <w:trPr>
          <w:trHeight w:val="149"/>
        </w:trPr>
        <w:tc>
          <w:tcPr>
            <w:tcW w:w="684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1,979</w:t>
            </w: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2,027</w:t>
            </w: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Expected maturities may differ from contractual maturities because certain borrowers have the right to call or prepay obligations with or without call or prepayment penalties.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Because of the potential for prepayment on mortgage-backed and asset-backed securities, they are not categorized by contractual maturity.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4" w:name="page15"/>
    <w:bookmarkEnd w:id="1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At December 31, 2021 and 2020, we held $136 million and $138 million, respectively, in investments that are accounted for using the equity method of accounting.</w:t>
      </w:r>
    </w:p>
    <w:p>
      <w:pPr>
        <w:spacing w:after="0" w:line="87" w:lineRule="exact"/>
        <w:rPr>
          <w:sz w:val="20"/>
          <w:szCs w:val="20"/>
          <w:color w:val="auto"/>
        </w:rPr>
      </w:pPr>
    </w:p>
    <w:p>
      <w:pPr>
        <w:ind w:firstLine="274"/>
        <w:spacing w:after="0" w:line="274" w:lineRule="auto"/>
        <w:rPr>
          <w:sz w:val="20"/>
          <w:szCs w:val="20"/>
          <w:color w:val="auto"/>
        </w:rPr>
      </w:pPr>
      <w:r>
        <w:rPr>
          <w:rFonts w:ascii="Arial" w:cs="Arial" w:eastAsia="Arial" w:hAnsi="Arial"/>
          <w:sz w:val="15"/>
          <w:szCs w:val="15"/>
          <w:color w:val="auto"/>
        </w:rPr>
        <w:t>As of December 31, 2021 and 2020, other long-term investments were $91 million and $33 million, respectively. Other long-term investments include other investments carried at fair value and company-owned life insurance policies carried at cash surrender value.</w:t>
      </w:r>
    </w:p>
    <w:p>
      <w:pPr>
        <w:spacing w:after="0" w:line="34" w:lineRule="exact"/>
        <w:rPr>
          <w:sz w:val="20"/>
          <w:szCs w:val="20"/>
          <w:color w:val="auto"/>
        </w:rPr>
      </w:pPr>
    </w:p>
    <w:p>
      <w:pPr>
        <w:ind w:right="20" w:firstLine="274"/>
        <w:spacing w:after="0" w:line="274" w:lineRule="auto"/>
        <w:rPr>
          <w:sz w:val="20"/>
          <w:szCs w:val="20"/>
          <w:color w:val="auto"/>
        </w:rPr>
      </w:pPr>
      <w:r>
        <w:rPr>
          <w:rFonts w:ascii="Arial" w:cs="Arial" w:eastAsia="Arial" w:hAnsi="Arial"/>
          <w:sz w:val="15"/>
          <w:szCs w:val="15"/>
          <w:color w:val="auto"/>
        </w:rPr>
        <w:t>Short-term investments, which consist primarily of commercial paper and money market instruments that have an original maturity of one year or less, are carried at amortized cost, which approximates fair value. As of December 31, 2021 and 2020, short-term investments amounted to $118 million and $312 million, respectively.</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investment results for the years ended December 31, 2021, 2020 and 2019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December 31,</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3"/>
        </w:trPr>
        <w:tc>
          <w:tcPr>
            <w:tcW w:w="75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9"/>
              </w:rPr>
              <w:t>2020</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2019</w:t>
            </w:r>
          </w:p>
        </w:tc>
      </w:tr>
      <w:tr>
        <w:trPr>
          <w:trHeight w:val="149"/>
        </w:trPr>
        <w:tc>
          <w:tcPr>
            <w:tcW w:w="7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80"/>
              <w:spacing w:after="0"/>
              <w:rPr>
                <w:sz w:val="20"/>
                <w:szCs w:val="20"/>
                <w:color w:val="auto"/>
              </w:rPr>
            </w:pPr>
            <w:r>
              <w:rPr>
                <w:rFonts w:ascii="Arial" w:cs="Arial" w:eastAsia="Arial" w:hAnsi="Arial"/>
                <w:sz w:val="12"/>
                <w:szCs w:val="12"/>
                <w:b w:val="1"/>
                <w:bCs w:val="1"/>
                <w:color w:val="auto"/>
                <w:w w:val="91"/>
              </w:rPr>
              <w:t>(Dollars in millions)</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8"/>
        </w:trPr>
        <w:tc>
          <w:tcPr>
            <w:tcW w:w="7520" w:type="dxa"/>
            <w:vAlign w:val="bottom"/>
            <w:shd w:val="clear" w:color="auto" w:fill="CCEEFF"/>
          </w:tcPr>
          <w:p>
            <w:pPr>
              <w:spacing w:after="0"/>
              <w:rPr>
                <w:sz w:val="20"/>
                <w:szCs w:val="20"/>
                <w:color w:val="auto"/>
              </w:rPr>
            </w:pPr>
            <w:r>
              <w:rPr>
                <w:rFonts w:ascii="Arial" w:cs="Arial" w:eastAsia="Arial" w:hAnsi="Arial"/>
                <w:sz w:val="12"/>
                <w:szCs w:val="12"/>
                <w:color w:val="auto"/>
              </w:rPr>
              <w:t>Net investment income (1)</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108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152</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206</w:t>
            </w:r>
          </w:p>
        </w:tc>
      </w:tr>
      <w:tr>
        <w:trPr>
          <w:trHeight w:val="155"/>
        </w:trPr>
        <w:tc>
          <w:tcPr>
            <w:tcW w:w="7520" w:type="dxa"/>
            <w:vAlign w:val="bottom"/>
          </w:tcPr>
          <w:p>
            <w:pPr>
              <w:spacing w:after="0"/>
              <w:rPr>
                <w:sz w:val="20"/>
                <w:szCs w:val="20"/>
                <w:color w:val="auto"/>
              </w:rPr>
            </w:pPr>
            <w:r>
              <w:rPr>
                <w:rFonts w:ascii="Arial" w:cs="Arial" w:eastAsia="Arial" w:hAnsi="Arial"/>
                <w:sz w:val="12"/>
                <w:szCs w:val="12"/>
                <w:color w:val="auto"/>
              </w:rPr>
              <w:t>Average invested assets</w:t>
            </w: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140"/>
              <w:spacing w:after="0"/>
              <w:rPr>
                <w:sz w:val="20"/>
                <w:szCs w:val="20"/>
                <w:color w:val="auto"/>
              </w:rPr>
            </w:pPr>
            <w:r>
              <w:rPr>
                <w:rFonts w:ascii="Arial" w:cs="Arial" w:eastAsia="Arial" w:hAnsi="Arial"/>
                <w:sz w:val="12"/>
                <w:szCs w:val="12"/>
                <w:color w:val="auto"/>
                <w:w w:val="93"/>
              </w:rPr>
              <w:t>3,759</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60"/>
              <w:spacing w:after="0"/>
              <w:rPr>
                <w:sz w:val="20"/>
                <w:szCs w:val="20"/>
                <w:color w:val="auto"/>
              </w:rPr>
            </w:pPr>
            <w:r>
              <w:rPr>
                <w:rFonts w:ascii="Arial" w:cs="Arial" w:eastAsia="Arial" w:hAnsi="Arial"/>
                <w:sz w:val="12"/>
                <w:szCs w:val="12"/>
                <w:color w:val="auto"/>
              </w:rPr>
              <w:t>3,736</w:t>
            </w:r>
          </w:p>
        </w:tc>
        <w:tc>
          <w:tcPr>
            <w:tcW w:w="3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rPr>
                <w:sz w:val="20"/>
                <w:szCs w:val="20"/>
                <w:color w:val="auto"/>
              </w:rPr>
            </w:pPr>
            <w:r>
              <w:rPr>
                <w:rFonts w:ascii="Arial" w:cs="Arial" w:eastAsia="Arial" w:hAnsi="Arial"/>
                <w:sz w:val="12"/>
                <w:szCs w:val="12"/>
                <w:color w:val="auto"/>
              </w:rPr>
              <w:t>3,768</w:t>
            </w:r>
          </w:p>
        </w:tc>
      </w:tr>
      <w:tr>
        <w:trPr>
          <w:trHeight w:val="160"/>
        </w:trPr>
        <w:tc>
          <w:tcPr>
            <w:tcW w:w="7520" w:type="dxa"/>
            <w:vAlign w:val="bottom"/>
            <w:shd w:val="clear" w:color="auto" w:fill="CCEEFF"/>
          </w:tcPr>
          <w:p>
            <w:pPr>
              <w:spacing w:after="0"/>
              <w:rPr>
                <w:sz w:val="20"/>
                <w:szCs w:val="20"/>
                <w:color w:val="auto"/>
              </w:rPr>
            </w:pPr>
            <w:r>
              <w:rPr>
                <w:rFonts w:ascii="Arial" w:cs="Arial" w:eastAsia="Arial" w:hAnsi="Arial"/>
                <w:sz w:val="12"/>
                <w:szCs w:val="12"/>
                <w:color w:val="auto"/>
              </w:rPr>
              <w:t>Effective return on average invested assets</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2.9 %</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4.1 %</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5.5 %</w:t>
            </w:r>
          </w:p>
        </w:tc>
      </w:tr>
    </w:tbl>
    <w:p>
      <w:pPr>
        <w:spacing w:after="0" w:line="80" w:lineRule="exact"/>
        <w:rPr>
          <w:sz w:val="20"/>
          <w:szCs w:val="20"/>
          <w:color w:val="auto"/>
        </w:rPr>
      </w:pPr>
    </w:p>
    <w:p>
      <w:pPr>
        <w:jc w:val="both"/>
        <w:ind w:left="540" w:hanging="279"/>
        <w:spacing w:after="0" w:line="258" w:lineRule="auto"/>
        <w:tabs>
          <w:tab w:leader="none" w:pos="5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Net investment income as reported in our Consolidated Statements of Earnings has been adjusted in the presentation above to provide the tax equivalent yield on tax exempt investments and to exclude interest earned on cash and cash equivalents. Net investment income includes fees earned by holding customer funds in escrow (off-balance sheet) during facilitation of tax-deferred property exchanges. See Note E </w:t>
      </w:r>
      <w:r>
        <w:rPr>
          <w:rFonts w:ascii="Arial" w:cs="Arial" w:eastAsia="Arial" w:hAnsi="Arial"/>
          <w:sz w:val="15"/>
          <w:szCs w:val="15"/>
          <w:i w:val="1"/>
          <w:iCs w:val="1"/>
          <w:color w:val="auto"/>
        </w:rPr>
        <w:t>Investments</w:t>
      </w:r>
      <w:r>
        <w:rPr>
          <w:rFonts w:ascii="Arial" w:cs="Arial" w:eastAsia="Arial" w:hAnsi="Arial"/>
          <w:sz w:val="15"/>
          <w:szCs w:val="15"/>
          <w:color w:val="auto"/>
        </w:rPr>
        <w:t xml:space="preserve"> to our Consolidated Financial Statements included in Item 8 of Part II of this Annual Report for a detail of our interest income.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F&amp;G</w:t>
      </w:r>
    </w:p>
    <w:p>
      <w:pPr>
        <w:spacing w:after="0" w:line="143"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15"/>
          <w:szCs w:val="15"/>
          <w:color w:val="auto"/>
        </w:rPr>
        <w:t>Through our wholly-owned subsidiary, F&amp;G, and its wholly-owned insurance subsidiaries, we market a broad portfolio of deferred annuities (fixed indexed and fixed rate annuities), immediate annuities, indexed universal life insurance, funding agreements and pension risk transfer solutions.</w:t>
      </w:r>
    </w:p>
    <w:p>
      <w:pPr>
        <w:spacing w:after="0" w:line="34"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color w:val="auto"/>
        </w:rPr>
        <w:t>For more than 60 years, F&amp;G has helped middle-income Americans prepare for retirement and for their loved ones' financial security. We partner with leading IMOs and their agents to serve the needs of the middle-income market and develop competitive products to align with their evolving needs. During 2020, F&amp;G entered into the bank and broker dealer distribution channels to connect with even more customers. As of December 31, 2021, F&amp;G has approximately 576,000 policyholders who count on the safety and protection features our fixed annuity and life insurance products provide.</w:t>
      </w:r>
    </w:p>
    <w:p>
      <w:pPr>
        <w:spacing w:after="0" w:line="47" w:lineRule="exact"/>
        <w:rPr>
          <w:sz w:val="20"/>
          <w:szCs w:val="20"/>
          <w:color w:val="auto"/>
        </w:rPr>
      </w:pPr>
    </w:p>
    <w:p>
      <w:pPr>
        <w:jc w:val="both"/>
        <w:ind w:firstLine="372"/>
        <w:spacing w:after="0" w:line="254" w:lineRule="auto"/>
        <w:rPr>
          <w:sz w:val="20"/>
          <w:szCs w:val="20"/>
          <w:color w:val="auto"/>
        </w:rPr>
      </w:pPr>
      <w:r>
        <w:rPr>
          <w:rFonts w:ascii="Arial" w:cs="Arial" w:eastAsia="Arial" w:hAnsi="Arial"/>
          <w:sz w:val="15"/>
          <w:szCs w:val="15"/>
          <w:color w:val="auto"/>
        </w:rPr>
        <w:t>Through the efforts of F&amp;G's approximately 600 employees, most of whom are located in Des Moines, Iowa, and through a network of approximately 240 IMOs and 17 leading banks and independent broker dealers, representing approximately 63,000 independent agents and advisers, we offer various types of fixed annuities and life insurance products. Our fixed annuities serve as a retirement and savings tool for which our customers rely on principal protection and predictable income streams. In addition, our IUL insurance products provide our customers with a complementary product that allows them to build on their savings and provide a payment to their designated beneficiaries upon the policyholder’s death. Our most popular products are FIAs that tie contractual returns to specific market indices, such as the S&amp;P 500 Index. Our customers value our FIAs, which provide a portion of the gains of an underlying market index, while also providing principal protection. We believe this mix of “some upside but limited downside” fills the need for middle-income Americans who must save for retirement but who want to limit the risk of decline in their savings.</w:t>
      </w:r>
    </w:p>
    <w:p>
      <w:pPr>
        <w:spacing w:after="0" w:line="52"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5"/>
          <w:szCs w:val="15"/>
          <w:color w:val="auto"/>
        </w:rPr>
        <w:t>For the year ended December 31, 2021, FIAs generated approximately 45% of our total sales. The remaining 55% of sales were primarily generated from funding agreements (24%), fixed rate annuities (18%), PRT sales (12%) and IUL (1%) during the year. We invest the proceeds primarily in fixed income securities, options and futures that hedge the index credit of our FIA and IUL liabilities by replicating the market index returns to our policyholders. We invest predominantly in call options on the S&amp;P 500 Index. The majority of our products contain provisions that permit us to adjust annually the formula by which we provide index credits in response to changing market conditions. In addition, our annuity contracts generally either cannot be surrendered or include surrender charges that discourage early redemptions.</w:t>
      </w:r>
    </w:p>
    <w:p>
      <w:pPr>
        <w:spacing w:after="0" w:line="49"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i w:val="1"/>
          <w:iCs w:val="1"/>
          <w:color w:val="auto"/>
        </w:rPr>
        <w:t>Product and Market Expertise</w:t>
      </w:r>
      <w:r>
        <w:rPr>
          <w:rFonts w:ascii="Arial" w:cs="Arial" w:eastAsia="Arial" w:hAnsi="Arial"/>
          <w:sz w:val="15"/>
          <w:szCs w:val="15"/>
          <w:color w:val="auto"/>
        </w:rPr>
        <w:t>. F&amp;G's expertise in annuities, life insurance, funding agreements, PRT solutions and other products will allow us to continue to introduce innovative</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and solutions designed to meet customers’ changing needs. We work hand-in-hand with our distributors and institutional advisors to devise the most suitable solutions for the ever-changing market.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5" w:name="page16"/>
    <w:bookmarkEnd w:id="1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i w:val="1"/>
          <w:iCs w:val="1"/>
          <w:color w:val="auto"/>
        </w:rPr>
        <w:t xml:space="preserve">Annuities. </w:t>
      </w:r>
      <w:r>
        <w:rPr>
          <w:rFonts w:ascii="Arial" w:cs="Arial" w:eastAsia="Arial" w:hAnsi="Arial"/>
          <w:sz w:val="15"/>
          <w:szCs w:val="15"/>
          <w:color w:val="auto"/>
        </w:rPr>
        <w:t>Through F&amp;G's insurance subsidiaries, we issue a broad portfolio of deferred annuities (FIA and fixed rate annuities) and immediate annuities. A deferred annuity is a</w:t>
      </w:r>
      <w:r>
        <w:rPr>
          <w:rFonts w:ascii="Arial" w:cs="Arial" w:eastAsia="Arial" w:hAnsi="Arial"/>
          <w:sz w:val="15"/>
          <w:szCs w:val="15"/>
          <w:i w:val="1"/>
          <w:iCs w:val="1"/>
          <w:color w:val="auto"/>
        </w:rPr>
        <w:t xml:space="preserve"> </w:t>
      </w:r>
      <w:r>
        <w:rPr>
          <w:rFonts w:ascii="Arial" w:cs="Arial" w:eastAsia="Arial" w:hAnsi="Arial"/>
          <w:sz w:val="15"/>
          <w:szCs w:val="15"/>
          <w:color w:val="auto"/>
        </w:rPr>
        <w:t>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pays principal and earnings in equal payments over some period of time.</w:t>
      </w:r>
    </w:p>
    <w:p>
      <w:pPr>
        <w:spacing w:after="0" w:line="47"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5"/>
          <w:szCs w:val="15"/>
          <w:i w:val="1"/>
          <w:iCs w:val="1"/>
          <w:color w:val="auto"/>
        </w:rPr>
        <w:t>Deferred Annuities - FIAs</w:t>
      </w:r>
      <w:r>
        <w:rPr>
          <w:rFonts w:ascii="Arial" w:cs="Arial" w:eastAsia="Arial" w:hAnsi="Arial"/>
          <w:sz w:val="15"/>
          <w:szCs w:val="15"/>
          <w:color w:val="auto"/>
        </w:rPr>
        <w:t>. Our FIAs allow contract owners the possibility of earning returns linked to the performance of a specified market index, predominantly the S&amp;P 500</w:t>
      </w:r>
      <w:r>
        <w:rPr>
          <w:rFonts w:ascii="Arial" w:cs="Arial" w:eastAsia="Arial" w:hAnsi="Arial"/>
          <w:sz w:val="15"/>
          <w:szCs w:val="15"/>
          <w:i w:val="1"/>
          <w:iCs w:val="1"/>
          <w:color w:val="auto"/>
        </w:rPr>
        <w:t xml:space="preserve"> </w:t>
      </w:r>
      <w:r>
        <w:rPr>
          <w:rFonts w:ascii="Arial" w:cs="Arial" w:eastAsia="Arial" w:hAnsi="Arial"/>
          <w:sz w:val="15"/>
          <w:szCs w:val="15"/>
          <w:color w:val="auto"/>
        </w:rPr>
        <w:t>Index, while providing principal protection. The contracts include a provision for a minimum guaranteed surrender value calculated in accordance with applicable law. A market index tracks the performance of a specific group of stocks representing a particular segment of the market, or in some cases an entire market. For example, the S&amp;P 500 Composite Stock Price Index is an index of 500 stocks intended to be representative of a broad segment of the market. All FIA products allow policyholders to allocate funds once a year among several different crediting strategies, including one or more index-based strategies and a traditional fixed rate strategy. High surrender charges apply for early withdrawal, typically from seven to fourteen years after purchase.</w:t>
      </w:r>
    </w:p>
    <w:p>
      <w:pPr>
        <w:spacing w:after="0" w:line="50" w:lineRule="exact"/>
        <w:rPr>
          <w:sz w:val="20"/>
          <w:szCs w:val="20"/>
          <w:color w:val="auto"/>
        </w:rPr>
      </w:pPr>
    </w:p>
    <w:p>
      <w:pPr>
        <w:jc w:val="both"/>
        <w:ind w:firstLine="372"/>
        <w:spacing w:after="0" w:line="254" w:lineRule="auto"/>
        <w:rPr>
          <w:sz w:val="20"/>
          <w:szCs w:val="20"/>
          <w:color w:val="auto"/>
        </w:rPr>
      </w:pPr>
      <w:r>
        <w:rPr>
          <w:rFonts w:ascii="Arial" w:cs="Arial" w:eastAsia="Arial" w:hAnsi="Arial"/>
          <w:sz w:val="15"/>
          <w:szCs w:val="15"/>
          <w:color w:val="auto"/>
        </w:rPr>
        <w:t>The contractholder account value of a FIA contract is equal to the sum of deposits paid, premium bonuses, if any, (described below), and index credits based on the change in the relevant market index (subject to a cap, spread and/or a participation rate) less any fees for riders and any withdrawals taken to-date. Caps (a maximum rate that may be credited) generally range from 1% to 5% when measured annually and 1% to 3% when measured monthly, spreads (a credited rate determined by deducting a specific rate from the index return) generally range from 0% to 3% when measured annually, and participation rates (a credited rate equal to a percentage of index return) generally range from 100% to 140% of the performance of the applicable market index. The cap, spread and participation rate can typically be reset annually and in some instances every two to five years. Certain riders provide a variety of benefits, such as the ability to increase their cap, lifetime income or additional liquidity for a set fee. As this fee is fixed, the contractholder may lose principal if the index credits received do not exceed the amount of such fee.</w:t>
      </w:r>
    </w:p>
    <w:p>
      <w:pPr>
        <w:spacing w:after="0" w:line="52"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color w:val="auto"/>
        </w:rPr>
        <w:t>Approximately 33% of the FIA sales for the year ended December 31, 2021 involved “premium bonuses” or vesting bonuses. Premium bonuses increase the initial annuity deposit by a specified rate of 2% to 3%. The vesting bonuses, which range from 1% to 9%, increase the initial annuity deposit liability but are subject to adjustment for unvested amounts in the event of surrender by the policyholder prior to the end of the vesting period. We made compensating adjustments in the commission paid to the agent or the surrender charges on the policy to offset the premium bonus.</w:t>
      </w:r>
    </w:p>
    <w:p>
      <w:pPr>
        <w:spacing w:after="0" w:line="47"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5"/>
          <w:szCs w:val="15"/>
          <w:color w:val="auto"/>
        </w:rPr>
        <w:t>Approximately 33% of our FIA contracts were issued with a guaranteed minimum withdrawal benefit (“GMWB”) rider for the year ended December 31, 2021. With this rider, a contract owner can elect to receive guaranteed payments for life from the FIA contract without requiring the owner to annuitize the FIA contract value. The amount of the income benefit available is determined by the growth in the policy's benefit base value as defined in the FIA contract rider. Typically this accumulates for 10 years based on a guaranteed rate of 3% to 8%. Guaranteed withdrawal payments may be stopped and restarted at the election of the contract owner. Some of the FIA contract riders that we offer include an additional death benefit or an increase in benefit amounts under chronic health conditions. Rider fees range from 0% to 1%.</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of December 31, 2021, the distribution of the FIA account values by cap rate and by strategy was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2"/>
                <w:szCs w:val="12"/>
                <w:b w:val="1"/>
                <w:bCs w:val="1"/>
                <w:color w:val="auto"/>
              </w:rPr>
              <w:t>Cap rate</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7"/>
        </w:trPr>
        <w:tc>
          <w:tcPr>
            <w:tcW w:w="48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Strategy</w:t>
            </w: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0% to 3%</w:t>
            </w: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b w:val="1"/>
                <w:bCs w:val="1"/>
                <w:color w:val="auto"/>
              </w:rPr>
              <w:t>3% to 5%</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&gt; 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Total</w:t>
            </w:r>
          </w:p>
        </w:tc>
      </w:tr>
      <w:tr>
        <w:trPr>
          <w:trHeight w:val="149"/>
        </w:trPr>
        <w:tc>
          <w:tcPr>
            <w:tcW w:w="4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jc w:val="right"/>
              <w:ind w:right="760"/>
              <w:spacing w:after="0"/>
              <w:rPr>
                <w:sz w:val="20"/>
                <w:szCs w:val="20"/>
                <w:color w:val="auto"/>
              </w:rPr>
            </w:pPr>
            <w:r>
              <w:rPr>
                <w:rFonts w:ascii="Arial" w:cs="Arial" w:eastAsia="Arial" w:hAnsi="Arial"/>
                <w:sz w:val="12"/>
                <w:szCs w:val="12"/>
                <w:b w:val="1"/>
                <w:bCs w:val="1"/>
                <w:color w:val="auto"/>
              </w:rPr>
              <w:t>(In millions)</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55"/>
        </w:trPr>
        <w:tc>
          <w:tcPr>
            <w:tcW w:w="4820" w:type="dxa"/>
            <w:vAlign w:val="bottom"/>
          </w:tcPr>
          <w:p>
            <w:pPr>
              <w:spacing w:after="0"/>
              <w:rPr>
                <w:sz w:val="20"/>
                <w:szCs w:val="20"/>
                <w:color w:val="auto"/>
              </w:rPr>
            </w:pPr>
            <w:r>
              <w:rPr>
                <w:rFonts w:ascii="Arial" w:cs="Arial" w:eastAsia="Arial" w:hAnsi="Arial"/>
                <w:sz w:val="12"/>
                <w:szCs w:val="12"/>
                <w:color w:val="auto"/>
              </w:rPr>
              <w:t>1 year gain trigger</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585</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258</w:t>
            </w:r>
          </w:p>
        </w:tc>
        <w:tc>
          <w:tcPr>
            <w:tcW w:w="100" w:type="dxa"/>
            <w:vAlign w:val="bottom"/>
          </w:tcPr>
          <w:p>
            <w:pPr>
              <w:spacing w:after="0"/>
              <w:rPr>
                <w:sz w:val="13"/>
                <w:szCs w:val="13"/>
                <w:color w:val="auto"/>
              </w:rPr>
            </w:pPr>
          </w:p>
        </w:tc>
        <w:tc>
          <w:tcPr>
            <w:tcW w:w="1080" w:type="dxa"/>
            <w:vAlign w:val="bottom"/>
          </w:tcPr>
          <w:p>
            <w:pPr>
              <w:jc w:val="right"/>
              <w:ind w:right="94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865</w:t>
            </w:r>
          </w:p>
        </w:tc>
      </w:tr>
      <w:tr>
        <w:trPr>
          <w:trHeight w:val="160"/>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1-2 year monthly average</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w:t>
            </w:r>
          </w:p>
        </w:tc>
      </w:tr>
      <w:tr>
        <w:trPr>
          <w:trHeight w:val="155"/>
        </w:trPr>
        <w:tc>
          <w:tcPr>
            <w:tcW w:w="4820" w:type="dxa"/>
            <w:vAlign w:val="bottom"/>
          </w:tcPr>
          <w:p>
            <w:pPr>
              <w:spacing w:after="0"/>
              <w:rPr>
                <w:sz w:val="20"/>
                <w:szCs w:val="20"/>
                <w:color w:val="auto"/>
              </w:rPr>
            </w:pPr>
            <w:r>
              <w:rPr>
                <w:rFonts w:ascii="Arial" w:cs="Arial" w:eastAsia="Arial" w:hAnsi="Arial"/>
                <w:sz w:val="12"/>
                <w:szCs w:val="12"/>
                <w:color w:val="auto"/>
              </w:rPr>
              <w:t>1-3 year monthly point-to-point</w:t>
            </w: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4,770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4,794</w:t>
            </w:r>
          </w:p>
        </w:tc>
      </w:tr>
      <w:tr>
        <w:trPr>
          <w:trHeight w:val="160"/>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1-3 year annual point-to-point</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5,116</w:t>
            </w:r>
          </w:p>
        </w:tc>
      </w:tr>
      <w:tr>
        <w:trPr>
          <w:trHeight w:val="155"/>
        </w:trPr>
        <w:tc>
          <w:tcPr>
            <w:tcW w:w="4820" w:type="dxa"/>
            <w:vAlign w:val="bottom"/>
          </w:tcPr>
          <w:p>
            <w:pPr>
              <w:spacing w:after="0"/>
              <w:rPr>
                <w:sz w:val="20"/>
                <w:szCs w:val="20"/>
                <w:color w:val="auto"/>
              </w:rPr>
            </w:pPr>
            <w:r>
              <w:rPr>
                <w:rFonts w:ascii="Arial" w:cs="Arial" w:eastAsia="Arial" w:hAnsi="Arial"/>
                <w:sz w:val="12"/>
                <w:szCs w:val="12"/>
                <w:color w:val="auto"/>
              </w:rPr>
              <w:t>3 year step forward</w:t>
            </w:r>
          </w:p>
        </w:tc>
        <w:tc>
          <w:tcPr>
            <w:tcW w:w="30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174"/>
        </w:trPr>
        <w:tc>
          <w:tcPr>
            <w:tcW w:w="48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8,638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ind w:right="940"/>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12,171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6" w:name="page17"/>
    <w:bookmarkEnd w:id="1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of December 31, 2021, the distribution of the FIA account values by cap rate and by index was as follows: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4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b w:val="1"/>
                <w:bCs w:val="1"/>
                <w:color w:val="auto"/>
              </w:rPr>
              <w:t>Cap rate</w:t>
            </w: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7"/>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Index</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b w:val="1"/>
                <w:bCs w:val="1"/>
                <w:color w:val="auto"/>
              </w:rPr>
              <w:t>0% to 3%</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b w:val="1"/>
                <w:bCs w:val="1"/>
                <w:color w:val="auto"/>
              </w:rPr>
              <w:t>3% to 5%</w:t>
            </w: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&gt; 5%</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Total</w:t>
            </w:r>
          </w:p>
        </w:tc>
      </w:tr>
      <w:tr>
        <w:trPr>
          <w:trHeight w:val="149"/>
        </w:trPr>
        <w:tc>
          <w:tcPr>
            <w:tcW w:w="4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(In millions)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55"/>
        </w:trPr>
        <w:tc>
          <w:tcPr>
            <w:tcW w:w="4880" w:type="dxa"/>
            <w:vAlign w:val="bottom"/>
          </w:tcPr>
          <w:p>
            <w:pPr>
              <w:ind w:left="20"/>
              <w:spacing w:after="0"/>
              <w:rPr>
                <w:sz w:val="20"/>
                <w:szCs w:val="20"/>
                <w:color w:val="auto"/>
              </w:rPr>
            </w:pPr>
            <w:r>
              <w:rPr>
                <w:rFonts w:ascii="Arial" w:cs="Arial" w:eastAsia="Arial" w:hAnsi="Arial"/>
                <w:sz w:val="12"/>
                <w:szCs w:val="12"/>
                <w:color w:val="auto"/>
              </w:rPr>
              <w:t>S&amp;P 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8,587</w:t>
            </w:r>
          </w:p>
        </w:tc>
        <w:tc>
          <w:tcPr>
            <w:tcW w:w="100" w:type="dxa"/>
            <w:vAlign w:val="bottom"/>
          </w:tcPr>
          <w:p>
            <w:pPr>
              <w:spacing w:after="0"/>
              <w:rPr>
                <w:sz w:val="13"/>
                <w:szCs w:val="13"/>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2,400</w:t>
            </w:r>
          </w:p>
        </w:tc>
        <w:tc>
          <w:tcPr>
            <w:tcW w:w="10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895</w:t>
            </w:r>
          </w:p>
        </w:tc>
        <w:tc>
          <w:tcPr>
            <w:tcW w:w="100" w:type="dxa"/>
            <w:vAlign w:val="bottom"/>
          </w:tcPr>
          <w:p>
            <w:pPr>
              <w:spacing w:after="0"/>
              <w:rPr>
                <w:sz w:val="13"/>
                <w:szCs w:val="13"/>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11,882</w:t>
            </w:r>
          </w:p>
        </w:tc>
      </w:tr>
      <w:tr>
        <w:trPr>
          <w:trHeight w:val="160"/>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Dow Jones</w:t>
            </w:r>
          </w:p>
        </w:tc>
        <w:tc>
          <w:tcPr>
            <w:tcW w:w="2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r>
      <w:tr>
        <w:trPr>
          <w:trHeight w:val="155"/>
        </w:trPr>
        <w:tc>
          <w:tcPr>
            <w:tcW w:w="4880" w:type="dxa"/>
            <w:vAlign w:val="bottom"/>
          </w:tcPr>
          <w:p>
            <w:pPr>
              <w:ind w:left="20"/>
              <w:spacing w:after="0"/>
              <w:rPr>
                <w:sz w:val="20"/>
                <w:szCs w:val="20"/>
                <w:color w:val="auto"/>
              </w:rPr>
            </w:pPr>
            <w:r>
              <w:rPr>
                <w:rFonts w:ascii="Arial" w:cs="Arial" w:eastAsia="Arial" w:hAnsi="Arial"/>
                <w:sz w:val="12"/>
                <w:szCs w:val="12"/>
                <w:color w:val="auto"/>
              </w:rPr>
              <w:t>Nasdaq</w:t>
            </w:r>
          </w:p>
        </w:tc>
        <w:tc>
          <w:tcPr>
            <w:tcW w:w="28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60"/>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Balanced ETF</w:t>
            </w:r>
          </w:p>
        </w:tc>
        <w:tc>
          <w:tcPr>
            <w:tcW w:w="2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r>
      <w:tr>
        <w:trPr>
          <w:trHeight w:val="155"/>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Gold</w:t>
            </w: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w:t>
            </w:r>
          </w:p>
        </w:tc>
      </w:tr>
      <w:tr>
        <w:trPr>
          <w:trHeight w:val="174"/>
        </w:trPr>
        <w:tc>
          <w:tcPr>
            <w:tcW w:w="48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8,638</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2,601</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12,171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ind w:firstLine="372"/>
        <w:spacing w:after="0" w:line="305" w:lineRule="auto"/>
        <w:rPr>
          <w:sz w:val="20"/>
          <w:szCs w:val="20"/>
          <w:color w:val="auto"/>
        </w:rPr>
      </w:pPr>
      <w:r>
        <w:rPr>
          <w:rFonts w:ascii="Arial" w:cs="Arial" w:eastAsia="Arial" w:hAnsi="Arial"/>
          <w:sz w:val="13"/>
          <w:szCs w:val="13"/>
          <w:i w:val="1"/>
          <w:iCs w:val="1"/>
          <w:color w:val="auto"/>
        </w:rPr>
        <w:t>Deferred Annuities - Fixed Rate Annuities</w:t>
      </w:r>
      <w:r>
        <w:rPr>
          <w:rFonts w:ascii="Arial" w:cs="Arial" w:eastAsia="Arial" w:hAnsi="Arial"/>
          <w:sz w:val="13"/>
          <w:szCs w:val="13"/>
          <w:color w:val="auto"/>
        </w:rPr>
        <w:t>. Fixed rate annuities include annual reset and multi-year rate guaranteed policies. Fixed rate annual reset annuities issued by us have an</w:t>
      </w:r>
      <w:r>
        <w:rPr>
          <w:rFonts w:ascii="Arial" w:cs="Arial" w:eastAsia="Arial" w:hAnsi="Arial"/>
          <w:sz w:val="13"/>
          <w:szCs w:val="13"/>
          <w:i w:val="1"/>
          <w:iCs w:val="1"/>
          <w:color w:val="auto"/>
        </w:rPr>
        <w:t xml:space="preserve"> </w:t>
      </w:r>
      <w:r>
        <w:rPr>
          <w:rFonts w:ascii="Arial" w:cs="Arial" w:eastAsia="Arial" w:hAnsi="Arial"/>
          <w:sz w:val="13"/>
          <w:szCs w:val="13"/>
          <w:color w:val="auto"/>
        </w:rPr>
        <w:t>annual interest rate (the “crediting rate”) that is guaranteed for the first policy year. After the first policy year, we have the discretionary ability to change the crediting rate once annually to any rate at or above a guaranteed minimum rate. Multi-year guaranteed annuities ("MYGA") are similar to fixed rate annual reset annuities except that the initial crediting rate is guaranteed for a specified number of years before it may be changed at our discretion. As of December 31, 2021, crediting rates on outstanding (i) single-year guaranteed annuities generally ranged from 2% to 6% and (ii) MYGA ranged from 1% to 6%. The average crediting rate on all outstanding fixed rate annuities at December 31, 2021 was 3%.</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of December 31, 2021, the distribution of the fixed rate annuity account values by crediting rate was as follows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Crediting rate</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 to 2%</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 to 3%</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 to 4%</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4% to 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5% to 6%</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Total</w:t>
            </w:r>
          </w:p>
        </w:tc>
      </w:tr>
      <w:tr>
        <w:trPr>
          <w:trHeight w:val="154"/>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Account value (gross)</w:t>
            </w: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1,688</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2,219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4,676</w:t>
            </w:r>
          </w:p>
        </w:tc>
      </w:tr>
    </w:tbl>
    <w:p>
      <w:pPr>
        <w:spacing w:after="0" w:line="6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of December 31, 2021, the fixed rate annuity expiring guaranty account values, net of reinsurance, by year were as follows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420" w:type="dxa"/>
            <w:vAlign w:val="bottom"/>
          </w:tcPr>
          <w:p>
            <w:pPr>
              <w:spacing w:after="0"/>
              <w:rPr>
                <w:sz w:val="20"/>
                <w:szCs w:val="20"/>
                <w:color w:val="auto"/>
              </w:rPr>
            </w:pPr>
            <w:r>
              <w:rPr>
                <w:rFonts w:ascii="Arial" w:cs="Arial" w:eastAsia="Arial" w:hAnsi="Arial"/>
                <w:sz w:val="12"/>
                <w:szCs w:val="12"/>
                <w:b w:val="1"/>
                <w:bCs w:val="1"/>
                <w:color w:val="auto"/>
              </w:rPr>
              <w:t>Year of expiry:</w:t>
            </w: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Account Value</w:t>
            </w:r>
          </w:p>
        </w:tc>
      </w:tr>
      <w:tr>
        <w:trPr>
          <w:trHeight w:val="155"/>
        </w:trPr>
        <w:tc>
          <w:tcPr>
            <w:tcW w:w="9420" w:type="dxa"/>
            <w:vAlign w:val="bottom"/>
          </w:tcPr>
          <w:p>
            <w:pPr>
              <w:spacing w:after="0"/>
              <w:rPr>
                <w:sz w:val="20"/>
                <w:szCs w:val="20"/>
                <w:color w:val="auto"/>
              </w:rPr>
            </w:pPr>
            <w:r>
              <w:rPr>
                <w:rFonts w:ascii="Arial" w:cs="Arial" w:eastAsia="Arial" w:hAnsi="Arial"/>
                <w:sz w:val="12"/>
                <w:szCs w:val="12"/>
                <w:color w:val="auto"/>
              </w:rPr>
              <w:t>2022</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1,014</w:t>
            </w:r>
          </w:p>
        </w:tc>
      </w:tr>
      <w:tr>
        <w:trPr>
          <w:trHeight w:val="160"/>
        </w:trPr>
        <w:tc>
          <w:tcPr>
            <w:tcW w:w="942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3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1,107</w:t>
            </w:r>
          </w:p>
        </w:tc>
      </w:tr>
      <w:tr>
        <w:trPr>
          <w:trHeight w:val="155"/>
        </w:trPr>
        <w:tc>
          <w:tcPr>
            <w:tcW w:w="9420" w:type="dxa"/>
            <w:vAlign w:val="bottom"/>
          </w:tcPr>
          <w:p>
            <w:pPr>
              <w:spacing w:after="0"/>
              <w:rPr>
                <w:sz w:val="20"/>
                <w:szCs w:val="20"/>
                <w:color w:val="auto"/>
              </w:rPr>
            </w:pPr>
            <w:r>
              <w:rPr>
                <w:rFonts w:ascii="Arial" w:cs="Arial" w:eastAsia="Arial" w:hAnsi="Arial"/>
                <w:sz w:val="12"/>
                <w:szCs w:val="12"/>
                <w:color w:val="auto"/>
              </w:rPr>
              <w:t>2024</w:t>
            </w:r>
          </w:p>
        </w:tc>
        <w:tc>
          <w:tcPr>
            <w:tcW w:w="3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918</w:t>
            </w:r>
          </w:p>
        </w:tc>
      </w:tr>
      <w:tr>
        <w:trPr>
          <w:trHeight w:val="160"/>
        </w:trPr>
        <w:tc>
          <w:tcPr>
            <w:tcW w:w="942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3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r>
      <w:tr>
        <w:trPr>
          <w:trHeight w:val="155"/>
        </w:trPr>
        <w:tc>
          <w:tcPr>
            <w:tcW w:w="9420" w:type="dxa"/>
            <w:vAlign w:val="bottom"/>
          </w:tcPr>
          <w:p>
            <w:pPr>
              <w:spacing w:after="0"/>
              <w:rPr>
                <w:sz w:val="20"/>
                <w:szCs w:val="20"/>
                <w:color w:val="auto"/>
              </w:rPr>
            </w:pPr>
            <w:r>
              <w:rPr>
                <w:rFonts w:ascii="Arial" w:cs="Arial" w:eastAsia="Arial" w:hAnsi="Arial"/>
                <w:sz w:val="12"/>
                <w:szCs w:val="12"/>
                <w:color w:val="auto"/>
              </w:rPr>
              <w:t>2026</w:t>
            </w:r>
          </w:p>
        </w:tc>
        <w:tc>
          <w:tcPr>
            <w:tcW w:w="3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925</w:t>
            </w:r>
          </w:p>
        </w:tc>
      </w:tr>
      <w:tr>
        <w:trPr>
          <w:trHeight w:val="158"/>
        </w:trPr>
        <w:tc>
          <w:tcPr>
            <w:tcW w:w="9420" w:type="dxa"/>
            <w:vAlign w:val="bottom"/>
            <w:shd w:val="clear" w:color="auto" w:fill="CCEEFF"/>
          </w:tcPr>
          <w:p>
            <w:pPr>
              <w:spacing w:after="0"/>
              <w:rPr>
                <w:sz w:val="20"/>
                <w:szCs w:val="20"/>
                <w:color w:val="auto"/>
              </w:rPr>
            </w:pPr>
            <w:r>
              <w:rPr>
                <w:rFonts w:ascii="Arial" w:cs="Arial" w:eastAsia="Arial" w:hAnsi="Arial"/>
                <w:sz w:val="12"/>
                <w:szCs w:val="12"/>
                <w:color w:val="auto"/>
              </w:rPr>
              <w:t>Thereafter</w:t>
            </w:r>
          </w:p>
        </w:tc>
        <w:tc>
          <w:tcPr>
            <w:tcW w:w="3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w:t>
            </w:r>
          </w:p>
        </w:tc>
      </w:tr>
      <w:tr>
        <w:trPr>
          <w:trHeight w:val="151"/>
        </w:trPr>
        <w:tc>
          <w:tcPr>
            <w:tcW w:w="9420" w:type="dxa"/>
            <w:vAlign w:val="bottom"/>
          </w:tcPr>
          <w:p>
            <w:pPr>
              <w:ind w:left="100"/>
              <w:spacing w:after="0"/>
              <w:rPr>
                <w:sz w:val="20"/>
                <w:szCs w:val="20"/>
                <w:color w:val="auto"/>
              </w:rPr>
            </w:pPr>
            <w:r>
              <w:rPr>
                <w:rFonts w:ascii="Arial" w:cs="Arial" w:eastAsia="Arial" w:hAnsi="Arial"/>
                <w:sz w:val="12"/>
                <w:szCs w:val="12"/>
                <w:color w:val="auto"/>
              </w:rPr>
              <w:t>Total</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4,676</w:t>
            </w:r>
          </w:p>
        </w:tc>
      </w:tr>
      <w:tr>
        <w:trPr>
          <w:trHeight w:val="20"/>
        </w:trPr>
        <w:tc>
          <w:tcPr>
            <w:tcW w:w="9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ind w:firstLine="372"/>
        <w:spacing w:after="0" w:line="266" w:lineRule="auto"/>
        <w:rPr>
          <w:sz w:val="20"/>
          <w:szCs w:val="20"/>
          <w:color w:val="auto"/>
        </w:rPr>
      </w:pPr>
      <w:r>
        <w:rPr>
          <w:rFonts w:ascii="Arial" w:cs="Arial" w:eastAsia="Arial" w:hAnsi="Arial"/>
          <w:sz w:val="13"/>
          <w:szCs w:val="13"/>
          <w:i w:val="1"/>
          <w:iCs w:val="1"/>
          <w:color w:val="auto"/>
        </w:rPr>
        <w:t>Withdrawal Options for Deferred Annuities</w:t>
      </w:r>
      <w:r>
        <w:rPr>
          <w:rFonts w:ascii="Arial" w:cs="Arial" w:eastAsia="Arial" w:hAnsi="Arial"/>
          <w:sz w:val="13"/>
          <w:szCs w:val="13"/>
          <w:color w:val="auto"/>
        </w:rPr>
        <w:t>. After the first year following the issuance of a deferred annuity policy, holders of deferred annuities are typically permitted penalty-free</w:t>
      </w:r>
      <w:r>
        <w:rPr>
          <w:rFonts w:ascii="Arial" w:cs="Arial" w:eastAsia="Arial" w:hAnsi="Arial"/>
          <w:sz w:val="13"/>
          <w:szCs w:val="13"/>
          <w:i w:val="1"/>
          <w:iCs w:val="1"/>
          <w:color w:val="auto"/>
        </w:rPr>
        <w:t xml:space="preserve"> </w:t>
      </w:r>
      <w:r>
        <w:rPr>
          <w:rFonts w:ascii="Arial" w:cs="Arial" w:eastAsia="Arial" w:hAnsi="Arial"/>
          <w:sz w:val="13"/>
          <w:szCs w:val="13"/>
          <w:color w:val="auto"/>
        </w:rPr>
        <w:t>withdrawals up to a contractually specified amount. The penalty-free withdrawal amount is typically 10% of the prior year account value for FIAs, and is typically up to accumulated interest for fixed rate annuities, subject to certain restrictions. Withdrawals in excess of allowable penalty-free amounts are assessed a surrender charge if such withdrawals are made during the penalty period of the deferred annuity policy. The penalty period typically ranges from seven to fourteen years for FIAs and three to ten years for fixed rate annuities. This surrender charge initially ranges from 8% to 15% of the contract value for FIAs and is 9% of the contract value for fixed rate annuities and generally decreases by approximately one to two percentage points per year during the penalty period. The average surrender charge is 8% for our FIAs and 7% for our fixed rate annuities as of December 31, 2021.</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7" w:name="page18"/>
    <w:bookmarkEnd w:id="1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our deferred annuity account values and surrender charge protection as of December 31, 2021 (dollars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Fixed Rate and Fixed</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1"/>
              </w:rPr>
              <w:t>Weighted Average Surrender</w:t>
            </w:r>
          </w:p>
        </w:tc>
        <w:tc>
          <w:tcPr>
            <w:tcW w:w="0" w:type="dxa"/>
            <w:vAlign w:val="bottom"/>
          </w:tcPr>
          <w:p>
            <w:pPr>
              <w:spacing w:after="0"/>
              <w:rPr>
                <w:sz w:val="1"/>
                <w:szCs w:val="1"/>
                <w:color w:val="auto"/>
              </w:rPr>
            </w:pPr>
          </w:p>
        </w:tc>
      </w:tr>
      <w:tr>
        <w:trPr>
          <w:trHeight w:val="113"/>
        </w:trPr>
        <w:tc>
          <w:tcPr>
            <w:tcW w:w="26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tcPr>
          <w:p>
            <w:pPr>
              <w:jc w:val="center"/>
              <w:ind w:right="220"/>
              <w:spacing w:after="0" w:line="113" w:lineRule="exact"/>
              <w:rPr>
                <w:sz w:val="20"/>
                <w:szCs w:val="20"/>
                <w:color w:val="auto"/>
              </w:rPr>
            </w:pPr>
            <w:r>
              <w:rPr>
                <w:rFonts w:ascii="Arial" w:cs="Arial" w:eastAsia="Arial" w:hAnsi="Arial"/>
                <w:sz w:val="12"/>
                <w:szCs w:val="12"/>
                <w:b w:val="1"/>
                <w:bCs w:val="1"/>
                <w:color w:val="auto"/>
                <w:w w:val="90"/>
              </w:rPr>
              <w:t>Indexed Annuities</w:t>
            </w:r>
          </w:p>
        </w:tc>
        <w:tc>
          <w:tcPr>
            <w:tcW w:w="15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Percent of Total</w:t>
            </w: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6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Account Value</w:t>
            </w:r>
          </w:p>
        </w:tc>
        <w:tc>
          <w:tcPr>
            <w:tcW w:w="1560" w:type="dxa"/>
            <w:vAlign w:val="bottom"/>
            <w:gridSpan w:val="2"/>
            <w:vMerge w:val="continue"/>
          </w:tcPr>
          <w:p>
            <w:pPr>
              <w:spacing w:after="0"/>
              <w:rPr>
                <w:sz w:val="13"/>
                <w:szCs w:val="13"/>
                <w:color w:val="auto"/>
              </w:rPr>
            </w:pPr>
          </w:p>
        </w:tc>
        <w:tc>
          <w:tcPr>
            <w:tcW w:w="1600" w:type="dxa"/>
            <w:vAlign w:val="bottom"/>
          </w:tcPr>
          <w:p>
            <w:pPr>
              <w:jc w:val="right"/>
              <w:ind w:right="560"/>
              <w:spacing w:after="0"/>
              <w:rPr>
                <w:sz w:val="20"/>
                <w:szCs w:val="20"/>
                <w:color w:val="auto"/>
              </w:rPr>
            </w:pPr>
            <w:r>
              <w:rPr>
                <w:rFonts w:ascii="Arial" w:cs="Arial" w:eastAsia="Arial" w:hAnsi="Arial"/>
                <w:sz w:val="12"/>
                <w:szCs w:val="12"/>
                <w:b w:val="1"/>
                <w:bCs w:val="1"/>
                <w:color w:val="auto"/>
              </w:rPr>
              <w:t>Charge</w:t>
            </w:r>
          </w:p>
        </w:tc>
        <w:tc>
          <w:tcPr>
            <w:tcW w:w="0" w:type="dxa"/>
            <w:vAlign w:val="bottom"/>
          </w:tcPr>
          <w:p>
            <w:pPr>
              <w:spacing w:after="0"/>
              <w:rPr>
                <w:sz w:val="1"/>
                <w:szCs w:val="1"/>
                <w:color w:val="auto"/>
              </w:rPr>
            </w:pPr>
          </w:p>
        </w:tc>
      </w:tr>
      <w:tr>
        <w:trPr>
          <w:trHeight w:val="112"/>
        </w:trPr>
        <w:tc>
          <w:tcPr>
            <w:tcW w:w="662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SURRENDER CHARGE EXPIRATION BY YEAR</w:t>
            </w:r>
          </w:p>
        </w:tc>
        <w:tc>
          <w:tcPr>
            <w:tcW w:w="1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Out of surrender charge</w:t>
            </w:r>
          </w:p>
        </w:tc>
        <w:tc>
          <w:tcPr>
            <w:tcW w:w="39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2,606</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20"/>
                <w:szCs w:val="20"/>
                <w:color w:val="auto"/>
              </w:rPr>
            </w:pPr>
            <w:r>
              <w:rPr>
                <w:rFonts w:ascii="Arial" w:cs="Arial" w:eastAsia="Arial" w:hAnsi="Arial"/>
                <w:sz w:val="12"/>
                <w:szCs w:val="12"/>
                <w:color w:val="auto"/>
              </w:rPr>
              <w:t>2022</w:t>
            </w: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1,260</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5 %</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60"/>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2023-2025</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5,162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19 %</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20"/>
                <w:szCs w:val="20"/>
                <w:color w:val="auto"/>
              </w:rPr>
            </w:pPr>
            <w:r>
              <w:rPr>
                <w:rFonts w:ascii="Arial" w:cs="Arial" w:eastAsia="Arial" w:hAnsi="Arial"/>
                <w:sz w:val="12"/>
                <w:szCs w:val="12"/>
                <w:color w:val="auto"/>
              </w:rPr>
              <w:t>2026-2027</w:t>
            </w: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4,400</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16 %</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7 %</w:t>
            </w:r>
          </w:p>
        </w:tc>
        <w:tc>
          <w:tcPr>
            <w:tcW w:w="0" w:type="dxa"/>
            <w:vAlign w:val="bottom"/>
          </w:tcPr>
          <w:p>
            <w:pPr>
              <w:spacing w:after="0"/>
              <w:rPr>
                <w:sz w:val="1"/>
                <w:szCs w:val="1"/>
                <w:color w:val="auto"/>
              </w:rPr>
            </w:pPr>
          </w:p>
        </w:tc>
      </w:tr>
      <w:tr>
        <w:trPr>
          <w:trHeight w:val="160"/>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2028-2029</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5,038</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19 %</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0" w:type="dxa"/>
            <w:vAlign w:val="bottom"/>
          </w:tcPr>
          <w:p>
            <w:pPr>
              <w:spacing w:after="0"/>
              <w:rPr>
                <w:sz w:val="1"/>
                <w:szCs w:val="1"/>
                <w:color w:val="auto"/>
              </w:rPr>
            </w:pPr>
          </w:p>
        </w:tc>
      </w:tr>
      <w:tr>
        <w:trPr>
          <w:trHeight w:val="155"/>
        </w:trPr>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8,206</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31 %</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10 %</w:t>
            </w:r>
          </w:p>
        </w:tc>
        <w:tc>
          <w:tcPr>
            <w:tcW w:w="0" w:type="dxa"/>
            <w:vAlign w:val="bottom"/>
          </w:tcPr>
          <w:p>
            <w:pPr>
              <w:spacing w:after="0"/>
              <w:rPr>
                <w:sz w:val="1"/>
                <w:szCs w:val="1"/>
                <w:color w:val="auto"/>
              </w:rPr>
            </w:pPr>
          </w:p>
        </w:tc>
      </w:tr>
      <w:tr>
        <w:trPr>
          <w:trHeight w:val="176"/>
        </w:trPr>
        <w:tc>
          <w:tcPr>
            <w:tcW w:w="6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26,672</w:t>
            </w:r>
          </w:p>
        </w:tc>
        <w:tc>
          <w:tcPr>
            <w:tcW w:w="1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Subsequent to the penalty period, the policyholder may elect to take the proceeds of the surrender either in a single payment or in a series of payments over the life of the policyholder or for a fixed number of years (or a combination of these payment options). In addition to the foregoing withdrawal rights, policyholders may also elect to have additional withdrawal benefits by purchasing a GMWB.</w:t>
      </w:r>
    </w:p>
    <w:p>
      <w:pPr>
        <w:spacing w:after="0" w:line="44" w:lineRule="exact"/>
        <w:rPr>
          <w:sz w:val="20"/>
          <w:szCs w:val="20"/>
          <w:color w:val="auto"/>
        </w:rPr>
      </w:pPr>
    </w:p>
    <w:p>
      <w:pPr>
        <w:jc w:val="both"/>
        <w:ind w:right="20" w:firstLine="372"/>
        <w:spacing w:after="0" w:line="255" w:lineRule="auto"/>
        <w:rPr>
          <w:sz w:val="20"/>
          <w:szCs w:val="20"/>
          <w:color w:val="auto"/>
        </w:rPr>
      </w:pPr>
      <w:r>
        <w:rPr>
          <w:rFonts w:ascii="Arial" w:cs="Arial" w:eastAsia="Arial" w:hAnsi="Arial"/>
          <w:sz w:val="15"/>
          <w:szCs w:val="15"/>
          <w:color w:val="auto"/>
        </w:rPr>
        <w:t>We also sell single premium immediate annuities (or “SPIAs”), which provide a series of periodic payments for a fixed period of time or for the life of the policyholder, according to the policyholder’s choice at the time of issue. The amounts, frequency and length of time of the payments are fixed at the outset of the annuity contract. SPIAs are often purchased by persons at or near retirement age who desire a steady stream of payments over a future period of years.</w:t>
      </w:r>
    </w:p>
    <w:p>
      <w:pPr>
        <w:spacing w:after="0" w:line="1" w:lineRule="exact"/>
        <w:rPr>
          <w:sz w:val="20"/>
          <w:szCs w:val="20"/>
          <w:color w:val="auto"/>
        </w:rPr>
      </w:pPr>
    </w:p>
    <w:p>
      <w:pPr>
        <w:jc w:val="both"/>
        <w:ind w:firstLine="372"/>
        <w:spacing w:after="0" w:line="261" w:lineRule="auto"/>
        <w:rPr>
          <w:sz w:val="20"/>
          <w:szCs w:val="20"/>
          <w:color w:val="auto"/>
        </w:rPr>
      </w:pPr>
      <w:r>
        <w:rPr>
          <w:rFonts w:ascii="Arial" w:cs="Arial" w:eastAsia="Arial" w:hAnsi="Arial"/>
          <w:sz w:val="15"/>
          <w:szCs w:val="15"/>
          <w:color w:val="auto"/>
        </w:rPr>
        <w:t>The following table presents the deposits on annuity policies issued for the year ended December 31, 2021 and the seven months ended December 31, 2020 as well as reserves required by U.S. generally accepted accounting principles (“U.S. GAAP”) for all policies in force as of December 31, 2021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2"/>
                <w:szCs w:val="12"/>
                <w:b w:val="1"/>
                <w:bCs w:val="1"/>
                <w:color w:val="auto"/>
              </w:rPr>
              <w:t>Year Ended December 31, 2021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2"/>
                <w:szCs w:val="12"/>
                <w:b w:val="1"/>
                <w:bCs w:val="1"/>
                <w:color w:val="auto"/>
              </w:rPr>
              <w:t>Seven Months Ended December 31, 2020</w:t>
            </w:r>
          </w:p>
        </w:tc>
      </w:tr>
      <w:tr>
        <w:trPr>
          <w:trHeight w:val="108"/>
        </w:trPr>
        <w:tc>
          <w:tcPr>
            <w:tcW w:w="4220" w:type="dxa"/>
            <w:vAlign w:val="bottom"/>
          </w:tcPr>
          <w:p>
            <w:pPr>
              <w:spacing w:after="0"/>
              <w:rPr>
                <w:sz w:val="9"/>
                <w:szCs w:val="9"/>
                <w:color w:val="auto"/>
              </w:rPr>
            </w:pPr>
          </w:p>
        </w:tc>
        <w:tc>
          <w:tcPr>
            <w:tcW w:w="1260" w:type="dxa"/>
            <w:vAlign w:val="bottom"/>
          </w:tcPr>
          <w:p>
            <w:pPr>
              <w:jc w:val="center"/>
              <w:ind w:left="380"/>
              <w:spacing w:after="0" w:line="109" w:lineRule="exact"/>
              <w:rPr>
                <w:sz w:val="20"/>
                <w:szCs w:val="20"/>
                <w:color w:val="auto"/>
              </w:rPr>
            </w:pPr>
            <w:r>
              <w:rPr>
                <w:rFonts w:ascii="Arial" w:cs="Arial" w:eastAsia="Arial" w:hAnsi="Arial"/>
                <w:sz w:val="12"/>
                <w:szCs w:val="12"/>
                <w:b w:val="1"/>
                <w:bCs w:val="1"/>
                <w:color w:val="auto"/>
                <w:w w:val="90"/>
              </w:rPr>
              <w:t>Deposits on</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440"/>
              <w:spacing w:after="0" w:line="109" w:lineRule="exact"/>
              <w:rPr>
                <w:sz w:val="20"/>
                <w:szCs w:val="20"/>
                <w:color w:val="auto"/>
              </w:rPr>
            </w:pPr>
            <w:r>
              <w:rPr>
                <w:rFonts w:ascii="Arial" w:cs="Arial" w:eastAsia="Arial" w:hAnsi="Arial"/>
                <w:sz w:val="12"/>
                <w:szCs w:val="12"/>
                <w:b w:val="1"/>
                <w:bCs w:val="1"/>
                <w:color w:val="auto"/>
                <w:w w:val="94"/>
              </w:rPr>
              <w:t>U.S.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2"/>
          </w:tcPr>
          <w:p>
            <w:pPr>
              <w:jc w:val="center"/>
              <w:ind w:right="380"/>
              <w:spacing w:after="0" w:line="109" w:lineRule="exact"/>
              <w:rPr>
                <w:sz w:val="20"/>
                <w:szCs w:val="20"/>
                <w:color w:val="auto"/>
              </w:rPr>
            </w:pPr>
            <w:r>
              <w:rPr>
                <w:rFonts w:ascii="Arial" w:cs="Arial" w:eastAsia="Arial" w:hAnsi="Arial"/>
                <w:sz w:val="12"/>
                <w:szCs w:val="12"/>
                <w:b w:val="1"/>
                <w:bCs w:val="1"/>
                <w:color w:val="auto"/>
                <w:w w:val="90"/>
              </w:rPr>
              <w:t>Deposits on</w:t>
            </w:r>
          </w:p>
        </w:tc>
        <w:tc>
          <w:tcPr>
            <w:tcW w:w="440" w:type="dxa"/>
            <w:vAlign w:val="bottom"/>
          </w:tcPr>
          <w:p>
            <w:pPr>
              <w:spacing w:after="0"/>
              <w:rPr>
                <w:sz w:val="9"/>
                <w:szCs w:val="9"/>
                <w:color w:val="auto"/>
              </w:rPr>
            </w:pPr>
          </w:p>
        </w:tc>
        <w:tc>
          <w:tcPr>
            <w:tcW w:w="1260" w:type="dxa"/>
            <w:vAlign w:val="bottom"/>
          </w:tcPr>
          <w:p>
            <w:pPr>
              <w:jc w:val="center"/>
              <w:ind w:right="380"/>
              <w:spacing w:after="0" w:line="109" w:lineRule="exact"/>
              <w:rPr>
                <w:sz w:val="20"/>
                <w:szCs w:val="20"/>
                <w:color w:val="auto"/>
              </w:rPr>
            </w:pPr>
            <w:r>
              <w:rPr>
                <w:rFonts w:ascii="Arial" w:cs="Arial" w:eastAsia="Arial" w:hAnsi="Arial"/>
                <w:sz w:val="12"/>
                <w:szCs w:val="12"/>
                <w:b w:val="1"/>
                <w:bCs w:val="1"/>
                <w:color w:val="auto"/>
                <w:w w:val="94"/>
              </w:rPr>
              <w:t>U.S.</w:t>
            </w:r>
          </w:p>
        </w:tc>
      </w:tr>
      <w:tr>
        <w:trPr>
          <w:trHeight w:val="113"/>
        </w:trPr>
        <w:tc>
          <w:tcPr>
            <w:tcW w:w="4220" w:type="dxa"/>
            <w:vAlign w:val="bottom"/>
          </w:tcPr>
          <w:p>
            <w:pPr>
              <w:spacing w:after="0"/>
              <w:rPr>
                <w:sz w:val="9"/>
                <w:szCs w:val="9"/>
                <w:color w:val="auto"/>
              </w:rPr>
            </w:pPr>
          </w:p>
        </w:tc>
        <w:tc>
          <w:tcPr>
            <w:tcW w:w="1260" w:type="dxa"/>
            <w:vAlign w:val="bottom"/>
          </w:tcPr>
          <w:p>
            <w:pPr>
              <w:jc w:val="center"/>
              <w:ind w:left="380"/>
              <w:spacing w:after="0" w:line="113" w:lineRule="exact"/>
              <w:rPr>
                <w:sz w:val="20"/>
                <w:szCs w:val="20"/>
                <w:color w:val="auto"/>
              </w:rPr>
            </w:pPr>
            <w:r>
              <w:rPr>
                <w:rFonts w:ascii="Arial" w:cs="Arial" w:eastAsia="Arial" w:hAnsi="Arial"/>
                <w:sz w:val="12"/>
                <w:szCs w:val="12"/>
                <w:b w:val="1"/>
                <w:bCs w:val="1"/>
                <w:color w:val="auto"/>
                <w:w w:val="93"/>
              </w:rPr>
              <w:t>Annuity</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440"/>
              <w:spacing w:after="0" w:line="113" w:lineRule="exact"/>
              <w:rPr>
                <w:sz w:val="20"/>
                <w:szCs w:val="20"/>
                <w:color w:val="auto"/>
              </w:rPr>
            </w:pPr>
            <w:r>
              <w:rPr>
                <w:rFonts w:ascii="Arial" w:cs="Arial" w:eastAsia="Arial" w:hAnsi="Arial"/>
                <w:sz w:val="12"/>
                <w:szCs w:val="12"/>
                <w:b w:val="1"/>
                <w:bCs w:val="1"/>
                <w:color w:val="auto"/>
                <w:w w:val="97"/>
              </w:rPr>
              <w:t>GAAP</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2"/>
          </w:tcPr>
          <w:p>
            <w:pPr>
              <w:jc w:val="center"/>
              <w:ind w:right="380"/>
              <w:spacing w:after="0" w:line="113" w:lineRule="exact"/>
              <w:rPr>
                <w:sz w:val="20"/>
                <w:szCs w:val="20"/>
                <w:color w:val="auto"/>
              </w:rPr>
            </w:pPr>
            <w:r>
              <w:rPr>
                <w:rFonts w:ascii="Arial" w:cs="Arial" w:eastAsia="Arial" w:hAnsi="Arial"/>
                <w:sz w:val="12"/>
                <w:szCs w:val="12"/>
                <w:b w:val="1"/>
                <w:bCs w:val="1"/>
                <w:color w:val="auto"/>
                <w:w w:val="93"/>
              </w:rPr>
              <w:t>Annuity</w:t>
            </w:r>
          </w:p>
        </w:tc>
        <w:tc>
          <w:tcPr>
            <w:tcW w:w="440" w:type="dxa"/>
            <w:vAlign w:val="bottom"/>
          </w:tcPr>
          <w:p>
            <w:pPr>
              <w:spacing w:after="0"/>
              <w:rPr>
                <w:sz w:val="9"/>
                <w:szCs w:val="9"/>
                <w:color w:val="auto"/>
              </w:rPr>
            </w:pPr>
          </w:p>
        </w:tc>
        <w:tc>
          <w:tcPr>
            <w:tcW w:w="1260" w:type="dxa"/>
            <w:vAlign w:val="bottom"/>
          </w:tcPr>
          <w:p>
            <w:pPr>
              <w:jc w:val="center"/>
              <w:ind w:right="380"/>
              <w:spacing w:after="0" w:line="113" w:lineRule="exact"/>
              <w:rPr>
                <w:sz w:val="20"/>
                <w:szCs w:val="20"/>
                <w:color w:val="auto"/>
              </w:rPr>
            </w:pPr>
            <w:r>
              <w:rPr>
                <w:rFonts w:ascii="Arial" w:cs="Arial" w:eastAsia="Arial" w:hAnsi="Arial"/>
                <w:sz w:val="12"/>
                <w:szCs w:val="12"/>
                <w:b w:val="1"/>
                <w:bCs w:val="1"/>
                <w:color w:val="auto"/>
                <w:w w:val="97"/>
              </w:rPr>
              <w:t>GAAP</w:t>
            </w:r>
          </w:p>
        </w:tc>
      </w:tr>
      <w:tr>
        <w:trPr>
          <w:trHeight w:val="157"/>
        </w:trPr>
        <w:tc>
          <w:tcPr>
            <w:tcW w:w="4220" w:type="dxa"/>
            <w:vAlign w:val="bottom"/>
          </w:tcPr>
          <w:p>
            <w:pPr>
              <w:spacing w:after="0"/>
              <w:rPr>
                <w:sz w:val="13"/>
                <w:szCs w:val="13"/>
                <w:color w:val="auto"/>
              </w:rPr>
            </w:pPr>
          </w:p>
        </w:tc>
        <w:tc>
          <w:tcPr>
            <w:tcW w:w="1260" w:type="dxa"/>
            <w:vAlign w:val="bottom"/>
            <w:tcBorders>
              <w:bottom w:val="single" w:sz="8" w:color="auto"/>
            </w:tcBorders>
          </w:tcPr>
          <w:p>
            <w:pPr>
              <w:jc w:val="center"/>
              <w:ind w:left="360"/>
              <w:spacing w:after="0"/>
              <w:rPr>
                <w:sz w:val="20"/>
                <w:szCs w:val="20"/>
                <w:color w:val="auto"/>
              </w:rPr>
            </w:pPr>
            <w:r>
              <w:rPr>
                <w:rFonts w:ascii="Arial" w:cs="Arial" w:eastAsia="Arial" w:hAnsi="Arial"/>
                <w:sz w:val="12"/>
                <w:szCs w:val="12"/>
                <w:b w:val="1"/>
                <w:bCs w:val="1"/>
                <w:color w:val="auto"/>
                <w:w w:val="88"/>
              </w:rPr>
              <w:t>Policies</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left="440"/>
              <w:spacing w:after="0"/>
              <w:rPr>
                <w:sz w:val="20"/>
                <w:szCs w:val="20"/>
                <w:color w:val="auto"/>
              </w:rPr>
            </w:pPr>
            <w:r>
              <w:rPr>
                <w:rFonts w:ascii="Arial" w:cs="Arial" w:eastAsia="Arial" w:hAnsi="Arial"/>
                <w:sz w:val="12"/>
                <w:szCs w:val="12"/>
                <w:b w:val="1"/>
                <w:bCs w:val="1"/>
                <w:color w:val="auto"/>
                <w:w w:val="86"/>
              </w:rPr>
              <w:t>Reserves</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2"/>
                <w:szCs w:val="12"/>
                <w:b w:val="1"/>
                <w:bCs w:val="1"/>
                <w:color w:val="auto"/>
                <w:w w:val="88"/>
              </w:rPr>
              <w:t>Policies</w:t>
            </w: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380"/>
              <w:spacing w:after="0"/>
              <w:rPr>
                <w:sz w:val="20"/>
                <w:szCs w:val="20"/>
                <w:color w:val="auto"/>
              </w:rPr>
            </w:pPr>
            <w:r>
              <w:rPr>
                <w:rFonts w:ascii="Arial" w:cs="Arial" w:eastAsia="Arial" w:hAnsi="Arial"/>
                <w:sz w:val="12"/>
                <w:szCs w:val="12"/>
                <w:b w:val="1"/>
                <w:bCs w:val="1"/>
                <w:color w:val="auto"/>
                <w:w w:val="86"/>
              </w:rPr>
              <w:t>Reserves</w:t>
            </w:r>
          </w:p>
        </w:tc>
      </w:tr>
      <w:tr>
        <w:trPr>
          <w:trHeight w:val="149"/>
        </w:trPr>
        <w:tc>
          <w:tcPr>
            <w:tcW w:w="4220" w:type="dxa"/>
            <w:vAlign w:val="bottom"/>
          </w:tcPr>
          <w:p>
            <w:pPr>
              <w:spacing w:after="0"/>
              <w:rPr>
                <w:sz w:val="20"/>
                <w:szCs w:val="20"/>
                <w:color w:val="auto"/>
              </w:rPr>
            </w:pPr>
            <w:r>
              <w:rPr>
                <w:rFonts w:ascii="Arial" w:cs="Arial" w:eastAsia="Arial" w:hAnsi="Arial"/>
                <w:sz w:val="12"/>
                <w:szCs w:val="12"/>
                <w:b w:val="1"/>
                <w:bCs w:val="1"/>
                <w:color w:val="auto"/>
              </w:rPr>
              <w:t>Products (net of reinsurance)</w:t>
            </w:r>
          </w:p>
        </w:tc>
        <w:tc>
          <w:tcPr>
            <w:tcW w:w="1260" w:type="dxa"/>
            <w:vAlign w:val="bottom"/>
          </w:tcPr>
          <w:p>
            <w:pPr>
              <w:spacing w:after="0"/>
              <w:rPr>
                <w:sz w:val="12"/>
                <w:szCs w:val="12"/>
                <w:color w:val="auto"/>
              </w:rPr>
            </w:pPr>
          </w:p>
        </w:tc>
        <w:tc>
          <w:tcPr>
            <w:tcW w:w="1720" w:type="dxa"/>
            <w:vAlign w:val="bottom"/>
            <w:gridSpan w:val="3"/>
          </w:tcPr>
          <w:p>
            <w:pPr>
              <w:jc w:val="right"/>
              <w:ind w:right="860"/>
              <w:spacing w:after="0"/>
              <w:rPr>
                <w:sz w:val="20"/>
                <w:szCs w:val="20"/>
                <w:color w:val="auto"/>
              </w:rPr>
            </w:pPr>
            <w:r>
              <w:rPr>
                <w:rFonts w:ascii="Arial" w:cs="Arial" w:eastAsia="Arial" w:hAnsi="Arial"/>
                <w:sz w:val="12"/>
                <w:szCs w:val="12"/>
                <w:b w:val="1"/>
                <w:bCs w:val="1"/>
                <w:color w:val="auto"/>
              </w:rPr>
              <w:t>(In millions)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(In millions)</w:t>
            </w:r>
          </w:p>
        </w:tc>
        <w:tc>
          <w:tcPr>
            <w:tcW w:w="1260" w:type="dxa"/>
            <w:vAlign w:val="bottom"/>
          </w:tcPr>
          <w:p>
            <w:pPr>
              <w:spacing w:after="0"/>
              <w:rPr>
                <w:sz w:val="12"/>
                <w:szCs w:val="12"/>
                <w:color w:val="auto"/>
              </w:rPr>
            </w:pPr>
          </w:p>
        </w:tc>
      </w:tr>
      <w:tr>
        <w:trPr>
          <w:trHeight w:val="158"/>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Fixed indexed annuities</w:t>
            </w:r>
          </w:p>
        </w:tc>
        <w:tc>
          <w:tcPr>
            <w:tcW w:w="1260" w:type="dxa"/>
            <w:vAlign w:val="bottom"/>
            <w:shd w:val="clear" w:color="auto" w:fill="CCEEFF"/>
          </w:tcPr>
          <w:p>
            <w:pPr>
              <w:jc w:val="right"/>
              <w:ind w:right="112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4,420</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6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23,370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20,239</w:t>
            </w:r>
          </w:p>
        </w:tc>
      </w:tr>
      <w:tr>
        <w:trPr>
          <w:trHeight w:val="155"/>
        </w:trPr>
        <w:tc>
          <w:tcPr>
            <w:tcW w:w="4220" w:type="dxa"/>
            <w:vAlign w:val="bottom"/>
          </w:tcPr>
          <w:p>
            <w:pPr>
              <w:spacing w:after="0"/>
              <w:rPr>
                <w:sz w:val="20"/>
                <w:szCs w:val="20"/>
                <w:color w:val="auto"/>
              </w:rPr>
            </w:pPr>
            <w:r>
              <w:rPr>
                <w:rFonts w:ascii="Arial" w:cs="Arial" w:eastAsia="Arial" w:hAnsi="Arial"/>
                <w:sz w:val="12"/>
                <w:szCs w:val="12"/>
                <w:color w:val="auto"/>
              </w:rPr>
              <w:t>Fixed rate annuities</w:t>
            </w:r>
          </w:p>
        </w:tc>
        <w:tc>
          <w:tcPr>
            <w:tcW w:w="12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878</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6,369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631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5,144</w:t>
            </w:r>
          </w:p>
        </w:tc>
      </w:tr>
      <w:tr>
        <w:trPr>
          <w:trHeight w:val="158"/>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Single premium immediate annuities</w:t>
            </w:r>
          </w:p>
        </w:tc>
        <w:tc>
          <w:tcPr>
            <w:tcW w:w="12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2,240</w:t>
            </w:r>
          </w:p>
        </w:tc>
      </w:tr>
      <w:tr>
        <w:trPr>
          <w:trHeight w:val="149"/>
        </w:trPr>
        <w:tc>
          <w:tcPr>
            <w:tcW w:w="4220" w:type="dxa"/>
            <w:vAlign w:val="bottom"/>
          </w:tcPr>
          <w:p>
            <w:pPr>
              <w:spacing w:after="0"/>
              <w:rPr>
                <w:sz w:val="12"/>
                <w:szCs w:val="12"/>
                <w:color w:val="auto"/>
              </w:rPr>
            </w:pPr>
          </w:p>
        </w:tc>
        <w:tc>
          <w:tcPr>
            <w:tcW w:w="1260" w:type="dxa"/>
            <w:vAlign w:val="bottom"/>
            <w:tcBorders>
              <w:bottom w:val="single" w:sz="8" w:color="auto"/>
            </w:tcBorders>
          </w:tcPr>
          <w:p>
            <w:pPr>
              <w:jc w:val="right"/>
              <w:ind w:right="112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5,344</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ind w:right="106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31,853</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2,626</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27,623</w:t>
            </w:r>
          </w:p>
        </w:tc>
      </w:tr>
      <w:tr>
        <w:trPr>
          <w:trHeight w:val="20"/>
        </w:trPr>
        <w:tc>
          <w:tcPr>
            <w:tcW w:w="4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i w:val="1"/>
          <w:iCs w:val="1"/>
          <w:color w:val="auto"/>
        </w:rPr>
        <w:t xml:space="preserve">Life Insurance. </w:t>
      </w:r>
      <w:r>
        <w:rPr>
          <w:rFonts w:ascii="Arial" w:cs="Arial" w:eastAsia="Arial" w:hAnsi="Arial"/>
          <w:sz w:val="15"/>
          <w:szCs w:val="15"/>
          <w:color w:val="auto"/>
        </w:rPr>
        <w:t>We currently offer IUL insurance policies and have previously sold universal life, term and whole life insurance products. Holders of universal life insurance policies</w:t>
      </w:r>
      <w:r>
        <w:rPr>
          <w:rFonts w:ascii="Arial" w:cs="Arial" w:eastAsia="Arial" w:hAnsi="Arial"/>
          <w:sz w:val="15"/>
          <w:szCs w:val="15"/>
          <w:i w:val="1"/>
          <w:iCs w:val="1"/>
          <w:color w:val="auto"/>
        </w:rPr>
        <w:t xml:space="preserve"> </w:t>
      </w:r>
      <w:r>
        <w:rPr>
          <w:rFonts w:ascii="Arial" w:cs="Arial" w:eastAsia="Arial" w:hAnsi="Arial"/>
          <w:sz w:val="15"/>
          <w:szCs w:val="15"/>
          <w:color w:val="auto"/>
        </w:rPr>
        <w:t>earn returns on their policies, which are credited to the policyholder’s cash value account. The insurer periodically deducts its expenses and the cost of life insurance protection from the cash value account. The balance of the cash value account is credited interest at a fixed rate or returns based on the performance of a market index, or both, at the option of the policyholder, using a method similar to that described above for FIAs.</w:t>
      </w:r>
    </w:p>
    <w:p>
      <w:pPr>
        <w:spacing w:after="0" w:line="47" w:lineRule="exact"/>
        <w:rPr>
          <w:sz w:val="20"/>
          <w:szCs w:val="20"/>
          <w:color w:val="auto"/>
        </w:rPr>
      </w:pPr>
    </w:p>
    <w:p>
      <w:pPr>
        <w:jc w:val="both"/>
        <w:ind w:firstLine="372"/>
        <w:spacing w:after="0" w:line="311" w:lineRule="auto"/>
        <w:rPr>
          <w:sz w:val="20"/>
          <w:szCs w:val="20"/>
          <w:color w:val="auto"/>
        </w:rPr>
      </w:pPr>
      <w:r>
        <w:rPr>
          <w:rFonts w:ascii="Arial" w:cs="Arial" w:eastAsia="Arial" w:hAnsi="Arial"/>
          <w:sz w:val="14"/>
          <w:szCs w:val="14"/>
          <w:color w:val="auto"/>
        </w:rPr>
        <w:t>Almost all of the life insurance policies in force, except for the return of premium benefits on term life insurance products and universal life contracts issued after March 1, 2010, are subject to an arrangement with Wilton Reassurance Company (“Wilton Re”). See section titled “Reinsurance-Wilton Re Transaction” in Item 1. Business.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8" w:name="page19"/>
    <w:bookmarkEnd w:id="1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of December 31, 2021, the distribution of the retained IUL account values by cap rate and by strategy was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440"/>
              <w:spacing w:after="0"/>
              <w:rPr>
                <w:sz w:val="20"/>
                <w:szCs w:val="20"/>
                <w:color w:val="auto"/>
              </w:rPr>
            </w:pPr>
            <w:r>
              <w:rPr>
                <w:rFonts w:ascii="Arial" w:cs="Arial" w:eastAsia="Arial" w:hAnsi="Arial"/>
                <w:sz w:val="12"/>
                <w:szCs w:val="12"/>
                <w:b w:val="1"/>
                <w:bCs w:val="1"/>
                <w:color w:val="auto"/>
                <w:w w:val="95"/>
              </w:rPr>
              <w:t>Cap rate</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r>
      <w:tr>
        <w:trPr>
          <w:trHeight w:val="157"/>
        </w:trPr>
        <w:tc>
          <w:tcPr>
            <w:tcW w:w="518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Strategy</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2.5-5.0%</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5.0-7.5%</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7.5-10.0%</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10.0-12.5%</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12.5+%</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97"/>
              </w:rPr>
              <w:t>Total</w:t>
            </w:r>
          </w:p>
        </w:tc>
      </w:tr>
      <w:tr>
        <w:trPr>
          <w:trHeight w:val="149"/>
        </w:trPr>
        <w:tc>
          <w:tcPr>
            <w:tcW w:w="5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(In millions)</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5"/>
        </w:trPr>
        <w:tc>
          <w:tcPr>
            <w:tcW w:w="5180" w:type="dxa"/>
            <w:vAlign w:val="bottom"/>
          </w:tcPr>
          <w:p>
            <w:pPr>
              <w:spacing w:after="0"/>
              <w:rPr>
                <w:sz w:val="20"/>
                <w:szCs w:val="20"/>
                <w:color w:val="auto"/>
              </w:rPr>
            </w:pPr>
            <w:r>
              <w:rPr>
                <w:rFonts w:ascii="Arial" w:cs="Arial" w:eastAsia="Arial" w:hAnsi="Arial"/>
                <w:sz w:val="12"/>
                <w:szCs w:val="12"/>
                <w:color w:val="auto"/>
              </w:rPr>
              <w:t>1 year annual point-to-point, Gold Index</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60"/>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1 year monthly point-to-point, S&amp;P Index</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r>
      <w:tr>
        <w:trPr>
          <w:trHeight w:val="155"/>
        </w:trPr>
        <w:tc>
          <w:tcPr>
            <w:tcW w:w="5180" w:type="dxa"/>
            <w:vAlign w:val="bottom"/>
          </w:tcPr>
          <w:p>
            <w:pPr>
              <w:spacing w:after="0"/>
              <w:rPr>
                <w:sz w:val="20"/>
                <w:szCs w:val="20"/>
                <w:color w:val="auto"/>
              </w:rPr>
            </w:pPr>
            <w:r>
              <w:rPr>
                <w:rFonts w:ascii="Arial" w:cs="Arial" w:eastAsia="Arial" w:hAnsi="Arial"/>
                <w:sz w:val="12"/>
                <w:szCs w:val="12"/>
                <w:color w:val="auto"/>
              </w:rPr>
              <w:t>1 year annual point-to-point with 100% par rate, S&amp;P Index</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535</w:t>
            </w:r>
          </w:p>
        </w:tc>
      </w:tr>
      <w:tr>
        <w:trPr>
          <w:trHeight w:val="158"/>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1 year annual point-to-point with 140% par rate, S&amp;P Index</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r>
      <w:tr>
        <w:trPr>
          <w:trHeight w:val="149"/>
        </w:trPr>
        <w:tc>
          <w:tcPr>
            <w:tcW w:w="51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677</w:t>
            </w: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i w:val="1"/>
          <w:iCs w:val="1"/>
          <w:color w:val="auto"/>
        </w:rPr>
        <w:t xml:space="preserve">Funding Agreements. </w:t>
      </w:r>
      <w:r>
        <w:rPr>
          <w:rFonts w:ascii="Arial" w:cs="Arial" w:eastAsia="Arial" w:hAnsi="Arial"/>
          <w:sz w:val="15"/>
          <w:szCs w:val="15"/>
          <w:color w:val="auto"/>
        </w:rPr>
        <w:t>In June 2021, we established a FABN program, pursuant to which Fidelity &amp; Guaranty Life Insurance Company (“FGL Insurance”) may issue funding</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agreements to a special purpose statutory trust for spread lending purposes. The maximum aggregate principal amount permitted to be outstanding at any one time under the FABN Program is currently $5.0 billion. As of December 31, 2021, we had approximately $1.9 billion outstanding under the FABN program. In January 2022, we issued an additional $0.4 billion funding agreement. We also issue funding agreements through the Federal Home Loan Bank of Atlanta ("FHLB").</w:t>
      </w:r>
    </w:p>
    <w:p>
      <w:pPr>
        <w:spacing w:after="0" w:line="47"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i w:val="1"/>
          <w:iCs w:val="1"/>
          <w:color w:val="auto"/>
        </w:rPr>
        <w:t xml:space="preserve">Pension Risk Transfer. </w:t>
      </w:r>
      <w:r>
        <w:rPr>
          <w:rFonts w:ascii="Arial" w:cs="Arial" w:eastAsia="Arial" w:hAnsi="Arial"/>
          <w:sz w:val="15"/>
          <w:szCs w:val="15"/>
          <w:color w:val="auto"/>
        </w:rPr>
        <w:t>In July 2021, we entered the pension risk transfer market, pursuant to which FGL Insurance and Fidelity &amp; Guaranty Life Insurance Company of New York</w:t>
      </w:r>
      <w:r>
        <w:rPr>
          <w:rFonts w:ascii="Arial" w:cs="Arial" w:eastAsia="Arial" w:hAnsi="Arial"/>
          <w:sz w:val="15"/>
          <w:szCs w:val="15"/>
          <w:i w:val="1"/>
          <w:iCs w:val="1"/>
          <w:color w:val="auto"/>
        </w:rPr>
        <w:t xml:space="preserve"> </w:t>
      </w:r>
      <w:r>
        <w:rPr>
          <w:rFonts w:ascii="Arial" w:cs="Arial" w:eastAsia="Arial" w:hAnsi="Arial"/>
          <w:sz w:val="15"/>
          <w:szCs w:val="15"/>
          <w:color w:val="auto"/>
        </w:rPr>
        <w:t>(“FGL NY Insurance”) may issue group annuity contracts to discharge pension plan liabilities from a pension plan sponsor. As of December 31, 2021, we closed pension risk transfer transactions that represent pension obligations of $1.1 billion.</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Distribution</w:t>
      </w:r>
      <w:r>
        <w:rPr>
          <w:rFonts w:ascii="Arial" w:cs="Arial" w:eastAsia="Arial" w:hAnsi="Arial"/>
          <w:sz w:val="15"/>
          <w:szCs w:val="15"/>
          <w:color w:val="auto"/>
        </w:rPr>
        <w:t>. We distribute our annuity and life insurance products through three main channels of distribution: independent agents, banks, and broker dealers.</w:t>
      </w:r>
    </w:p>
    <w:p>
      <w:pPr>
        <w:spacing w:after="0" w:line="75"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4"/>
          <w:szCs w:val="14"/>
          <w:color w:val="auto"/>
        </w:rPr>
        <w:t>In our independent agent channel, the sale of our products typically occurs as part of a four-party, three stage sales process between FGL Insurance, an IMO, the agent and the customer. FGL Insurance designs, manufactures, issues, and services the product. The IMOs will typically sign contracts with multiple insurance carriers to provide their agents with a broad and competitive product portfolio. The IMO provides training and discusses product options with agents in preparation for meetings with clients. The IMO staff also provide assistance to the agent during the selling and application process. The agent may get customer leads from the IMOs. The agent conducts a fact finding and presents suitable product choices to the customers. We monitor the business issued by each distribution partner for pricing metrics, mortality, persistency, as well as market conduct and suitability.</w:t>
      </w:r>
    </w:p>
    <w:p>
      <w:pPr>
        <w:spacing w:after="0" w:line="33"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color w:val="auto"/>
        </w:rPr>
        <w:t>We offer our products through a network of approximately 240 IMOs, representing approximately 56,000 agents. We identify "Power Partners" as those who have demonstrated the ability to generate significant production for our F&amp;G business. We currently have 26 Power Partners, comprised of 16 annuity IMOs and 10 life insurance IMOs. During the year ended December 31, 2021, these Power Partners accounted for approximately 93% of our sales volume within the IMO channel. We believe that our relationships with these IMOs are strong. The average tenure of the top ten Power Partners is approximately 17 years.</w:t>
      </w:r>
    </w:p>
    <w:p>
      <w:pPr>
        <w:spacing w:after="0" w:line="47"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color w:val="auto"/>
        </w:rPr>
        <w:t>Our Power Partners play an important role in the development of our products by providing feedback integral to the development process and by securing “shelf space” for new products. Over the last ten years, the majority of our best-selling products have been developed with our Power Partners. We intend to continue to involve Power Partners in the development of our products in the future. We took a similar approach in launching products as a new entrant into the bank and broker dealer channels by partnering with one of the largest broker dealers in the industry.</w:t>
      </w:r>
    </w:p>
    <w:p>
      <w:pPr>
        <w:spacing w:after="0" w:line="47" w:lineRule="exact"/>
        <w:rPr>
          <w:sz w:val="20"/>
          <w:szCs w:val="20"/>
          <w:color w:val="auto"/>
        </w:rPr>
      </w:pPr>
    </w:p>
    <w:p>
      <w:pPr>
        <w:jc w:val="both"/>
        <w:ind w:firstLine="372"/>
        <w:spacing w:after="0" w:line="254" w:lineRule="auto"/>
        <w:rPr>
          <w:sz w:val="20"/>
          <w:szCs w:val="20"/>
          <w:color w:val="auto"/>
        </w:rPr>
      </w:pPr>
      <w:r>
        <w:rPr>
          <w:rFonts w:ascii="Arial" w:cs="Arial" w:eastAsia="Arial" w:hAnsi="Arial"/>
          <w:sz w:val="15"/>
          <w:szCs w:val="15"/>
          <w:color w:val="auto"/>
        </w:rPr>
        <w:t>In 2020, F&amp;G launched a set of fixed rate annuity and FIA products to banks and broker dealers, and gained selling agreements with some of the largest banks and broker dealers in the United States. We offer our products through a network of approximately 17 banks and broker dealers, representing approximately 7,000 financial advisers. The financial advisers at our bank and broker dealer partners are able to offer their clients guaranteed rates of return, protected growth, and income for life through our Secure series of annuity products. We employ a hybrid distribution model in this channel, whereby some financial institutions partner directly with F&amp;G and our sales team, and others work with an intermediary. As such, we partner with a select number of financial institution intermediaries who have expertise in the channel and maintain the appropriate field wholesaling forces to be successful in this channel. In 2021, the top 5 firms represented 98% of channel sales. The first full year of sales in banks and broker dealers represented almost 29% of annuity sales in a year that marked record sales for F&amp;G.</w:t>
      </w:r>
    </w:p>
    <w:p>
      <w:pPr>
        <w:spacing w:after="0" w:line="52" w:lineRule="exact"/>
        <w:rPr>
          <w:sz w:val="20"/>
          <w:szCs w:val="20"/>
          <w:color w:val="auto"/>
        </w:rPr>
      </w:pPr>
    </w:p>
    <w:p>
      <w:pPr>
        <w:jc w:val="both"/>
        <w:ind w:firstLine="372"/>
        <w:spacing w:after="0" w:line="274" w:lineRule="auto"/>
        <w:rPr>
          <w:sz w:val="20"/>
          <w:szCs w:val="20"/>
          <w:color w:val="auto"/>
        </w:rPr>
      </w:pPr>
      <w:r>
        <w:rPr>
          <w:rFonts w:ascii="Arial" w:cs="Arial" w:eastAsia="Arial" w:hAnsi="Arial"/>
          <w:sz w:val="15"/>
          <w:szCs w:val="15"/>
          <w:color w:val="auto"/>
        </w:rPr>
        <w:t>The top five states for the distribution of FGL Insurance’s products in the year ended December 31, 2021 were California, Florida, Texas, New Jersey and Ohio, which together accounted for 38% of FGL Insurance’s premiums.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9" w:name="page20"/>
    <w:bookmarkEnd w:id="1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72"/>
        <w:spacing w:after="0" w:line="321" w:lineRule="auto"/>
        <w:rPr>
          <w:sz w:val="20"/>
          <w:szCs w:val="20"/>
          <w:color w:val="auto"/>
        </w:rPr>
      </w:pPr>
      <w:r>
        <w:rPr>
          <w:rFonts w:ascii="Arial" w:cs="Arial" w:eastAsia="Arial" w:hAnsi="Arial"/>
          <w:sz w:val="13"/>
          <w:szCs w:val="13"/>
          <w:color w:val="auto"/>
        </w:rPr>
        <w:t>In addition, beginning in 2021, our institutional business offers funding agreement products to institutional clients by means of capital markets transactions through investment banks. Funding agreements are also executed through the FHLB. In 2021, we also entered the PRT solutions business by building an experienced team and then working with brokers and institutional consultants for distribution. These institutional solutions leverage our existing team's spread-based capabilities as well as our strategic partnership with Blackstone.</w:t>
      </w:r>
    </w:p>
    <w:p>
      <w:pPr>
        <w:spacing w:after="0" w:line="9" w:lineRule="exact"/>
        <w:rPr>
          <w:sz w:val="20"/>
          <w:szCs w:val="20"/>
          <w:color w:val="auto"/>
        </w:rPr>
      </w:pPr>
    </w:p>
    <w:p>
      <w:pPr>
        <w:jc w:val="both"/>
        <w:ind w:right="20" w:firstLine="372"/>
        <w:spacing w:after="0" w:line="274" w:lineRule="auto"/>
        <w:rPr>
          <w:sz w:val="20"/>
          <w:szCs w:val="20"/>
          <w:color w:val="auto"/>
        </w:rPr>
      </w:pPr>
      <w:r>
        <w:rPr>
          <w:rFonts w:ascii="Arial" w:cs="Arial" w:eastAsia="Arial" w:hAnsi="Arial"/>
          <w:sz w:val="15"/>
          <w:szCs w:val="15"/>
          <w:i w:val="1"/>
          <w:iCs w:val="1"/>
          <w:color w:val="auto"/>
        </w:rPr>
        <w:t xml:space="preserve">Investments. </w:t>
      </w:r>
      <w:r>
        <w:rPr>
          <w:rFonts w:ascii="Arial" w:cs="Arial" w:eastAsia="Arial" w:hAnsi="Arial"/>
          <w:sz w:val="15"/>
          <w:szCs w:val="15"/>
          <w:color w:val="auto"/>
        </w:rPr>
        <w:t>Within our F&amp;G segment, we embrace a long-term conservative investment philosophy, investing nearly all the insurance premiums we receive in a wide range of fixed</w:t>
      </w:r>
      <w:r>
        <w:rPr>
          <w:rFonts w:ascii="Arial" w:cs="Arial" w:eastAsia="Arial" w:hAnsi="Arial"/>
          <w:sz w:val="15"/>
          <w:szCs w:val="15"/>
          <w:i w:val="1"/>
          <w:iCs w:val="1"/>
          <w:color w:val="auto"/>
        </w:rPr>
        <w:t xml:space="preserve"> </w:t>
      </w:r>
      <w:r>
        <w:rPr>
          <w:rFonts w:ascii="Arial" w:cs="Arial" w:eastAsia="Arial" w:hAnsi="Arial"/>
          <w:sz w:val="15"/>
          <w:szCs w:val="15"/>
          <w:color w:val="auto"/>
        </w:rPr>
        <w:t>income interest-bearing securities.</w:t>
      </w:r>
    </w:p>
    <w:p>
      <w:pPr>
        <w:spacing w:after="0" w:line="34"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5"/>
          <w:szCs w:val="15"/>
          <w:color w:val="auto"/>
        </w:rPr>
        <w:t>FGL Insurance, and certain subsidiaries of F&amp;G, entered into investment management agreements (“IMAs”) with Blackstone ISG-I Advisors LLC (“BISGA”), pursuant to which BISGA was appointed as investment manager of F&amp;G’s general accounts (the “F&amp;G Accounts”). BISGA delegated certain investment services to its affiliates, Blackstone Real Estate Special Situations Advisors L.L.C. and GSO Capital Advisors II LLC, pursuant to separate sub-management agreements executed between BISGA and each affiliate. Additionally, three other subsidiaries of F&amp;G entered into IMAs with BISGA on substantially the same terms as the FGL Insurance IMA.</w:t>
      </w:r>
    </w:p>
    <w:p>
      <w:pPr>
        <w:spacing w:after="0" w:line="70"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4"/>
          <w:szCs w:val="14"/>
          <w:color w:val="auto"/>
        </w:rPr>
        <w:t>BISGA manages the bulk of the investment portfolio. For certain asset classes, we utilize experienced third party companies. As of December 31, 2021, 93% of our $37 billion investment portfolio was managed by BISGA, with 6% managed by other third parties, and the remaining 1% internally managed. BISGA appointed MVB Management, an entity owned by affiliates of our Chairman, as Sub-Adviser of the FGL Account pursuant to a sub-advisory agreement (the “Sub-Advisory Agreement”). Under the Sub-Advisory Agreement, MVB Management will provide portfolio review, and consulting services, including such recommendations as the Investment Manager shall reasonably request. Payment or reimbursement of the sub-advisory fee to MVB Management is solely the obligation of BISGA and is not an obligation of FGL Insurance or F&amp;G. Subject to certain conditions, the Sub-Advisory Agreement cannot be terminated by BISGA unless FGL Insurance terminates the FGL Insurance IMA.</w:t>
      </w:r>
    </w:p>
    <w:p>
      <w:pPr>
        <w:spacing w:after="0" w:line="57" w:lineRule="exact"/>
        <w:rPr>
          <w:sz w:val="20"/>
          <w:szCs w:val="20"/>
          <w:color w:val="auto"/>
        </w:rPr>
      </w:pPr>
    </w:p>
    <w:p>
      <w:pPr>
        <w:jc w:val="both"/>
        <w:ind w:firstLine="372"/>
        <w:spacing w:after="0" w:line="283" w:lineRule="auto"/>
        <w:rPr>
          <w:sz w:val="20"/>
          <w:szCs w:val="20"/>
          <w:color w:val="auto"/>
        </w:rPr>
      </w:pPr>
      <w:r>
        <w:rPr>
          <w:rFonts w:ascii="Arial" w:cs="Arial" w:eastAsia="Arial" w:hAnsi="Arial"/>
          <w:sz w:val="14"/>
          <w:szCs w:val="14"/>
          <w:color w:val="auto"/>
        </w:rPr>
        <w:t>Our investment strategy is designed to (i) achieve strong absolute returns, (ii) provide consistent yield and investment income, and (iii) preserve capital. We base all of our decisions on fundamental, bottom-up research, coupled with a top-down view that respects the cyclicality of certain asset classes. The types of assets in which we may invest are influenced by various state laws, which prescribe qualified investment assets applicable to insurance companies. Additionally, we define risk tolerance across a wide range of factors, including credit risk, liquidity risk, concentration (issuer and sector) risk, and caps on specific asset classes, which in turn establish conservative risk thresholds.</w:t>
      </w:r>
    </w:p>
    <w:p>
      <w:pPr>
        <w:spacing w:after="0" w:line="29" w:lineRule="exact"/>
        <w:rPr>
          <w:sz w:val="20"/>
          <w:szCs w:val="20"/>
          <w:color w:val="auto"/>
        </w:rPr>
      </w:pPr>
    </w:p>
    <w:p>
      <w:pPr>
        <w:jc w:val="both"/>
        <w:ind w:firstLine="372"/>
        <w:spacing w:after="0" w:line="305" w:lineRule="auto"/>
        <w:rPr>
          <w:sz w:val="20"/>
          <w:szCs w:val="20"/>
          <w:color w:val="auto"/>
        </w:rPr>
      </w:pPr>
      <w:r>
        <w:rPr>
          <w:rFonts w:ascii="Arial" w:cs="Arial" w:eastAsia="Arial" w:hAnsi="Arial"/>
          <w:sz w:val="13"/>
          <w:szCs w:val="13"/>
          <w:color w:val="auto"/>
        </w:rPr>
        <w:t>Our investment portfolio consists of high quality fixed maturities, including publicly issued and privately issued corporate bonds, municipal and other government bonds, asset-backed securities ("ABS"), residential mortgage-backed securities ("RMBS"), commercial mortgage-backed securities ("CMBS"), commercial mortgage loans ("CMLs"), residential mortgage loans ("RMLs"), limited partnership investments, and fund investments. We also maintain holdings in floating rate, and less rate-sensitive investments, including senior tranches of collateralized loan obligations (“CLOs”), non-agency RMBS, and various types of ABS. It is our expectation that our investment portfolio will broaden in scope and diversity to include other asset classes held by life and annuity insurance writers. We also have a small amount of equity holdings required as part of our funding arrangements with the FHLB.</w:t>
      </w:r>
    </w:p>
    <w:p>
      <w:pPr>
        <w:spacing w:after="0" w:line="19"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color w:val="auto"/>
        </w:rPr>
        <w:t>Over the last year, we continued to work with BISGA and the other third party asset managers to broaden the portfolio’s exposure to include United States dollar ("USD") denominated emerging market bonds, highly rated preferred stocks and hybrids, and structured securities including ABS. As a result of these portfolio repositionings, we currently maintain:</w:t>
      </w:r>
    </w:p>
    <w:p>
      <w:pPr>
        <w:spacing w:after="0" w:line="44" w:lineRule="exact"/>
        <w:rPr>
          <w:sz w:val="20"/>
          <w:szCs w:val="20"/>
          <w:color w:val="auto"/>
        </w:rPr>
      </w:pPr>
    </w:p>
    <w:p>
      <w:pPr>
        <w:ind w:left="520" w:hanging="158"/>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 well matched asset/liability profile (asset duration, including cash and cash equivalents, of 6.4 years vs. liability duration of 7.2 years); and</w:t>
      </w:r>
    </w:p>
    <w:p>
      <w:pPr>
        <w:spacing w:after="0" w:line="75" w:lineRule="exact"/>
        <w:rPr>
          <w:rFonts w:ascii="Arial" w:cs="Arial" w:eastAsia="Arial" w:hAnsi="Arial"/>
          <w:sz w:val="15"/>
          <w:szCs w:val="15"/>
          <w:color w:val="auto"/>
        </w:rPr>
      </w:pPr>
    </w:p>
    <w:p>
      <w:pPr>
        <w:ind w:left="540" w:hanging="178"/>
        <w:spacing w:after="0" w:line="274" w:lineRule="auto"/>
        <w:tabs>
          <w:tab w:leader="none" w:pos="536" w:val="left"/>
        </w:tabs>
        <w:numPr>
          <w:ilvl w:val="0"/>
          <w:numId w:val="15"/>
        </w:numPr>
        <w:rPr>
          <w:rFonts w:ascii="Arial" w:cs="Arial" w:eastAsia="Arial" w:hAnsi="Arial"/>
          <w:sz w:val="15"/>
          <w:szCs w:val="15"/>
          <w:color w:val="auto"/>
        </w:rPr>
      </w:pPr>
      <w:r>
        <w:rPr>
          <w:rFonts w:ascii="Arial" w:cs="Arial" w:eastAsia="Arial" w:hAnsi="Arial"/>
          <w:sz w:val="15"/>
          <w:szCs w:val="15"/>
          <w:color w:val="auto"/>
        </w:rPr>
        <w:t>an exposure to less rate-sensitive assets of 27% of invested assets which is made up of 17% being floating rate assets and 10% being non-floating rate assets with duration of less than 6 months.</w:t>
      </w:r>
    </w:p>
    <w:p>
      <w:pPr>
        <w:spacing w:after="0" w:line="34" w:lineRule="exact"/>
        <w:rPr>
          <w:sz w:val="20"/>
          <w:szCs w:val="20"/>
          <w:color w:val="auto"/>
        </w:rPr>
      </w:pPr>
    </w:p>
    <w:p>
      <w:pPr>
        <w:jc w:val="both"/>
        <w:ind w:firstLine="372"/>
        <w:spacing w:after="0" w:line="274" w:lineRule="auto"/>
        <w:rPr>
          <w:sz w:val="20"/>
          <w:szCs w:val="20"/>
          <w:color w:val="auto"/>
        </w:rPr>
      </w:pPr>
      <w:r>
        <w:rPr>
          <w:rFonts w:ascii="Arial" w:cs="Arial" w:eastAsia="Arial" w:hAnsi="Arial"/>
          <w:sz w:val="15"/>
          <w:szCs w:val="15"/>
          <w:color w:val="auto"/>
        </w:rPr>
        <w:t>For further discussion of portfolio activity, see Item 7 of Part II of this Annual Report, under Management’s Discussion and Analysis of Financial Condition and Results of Operations-Investment Portfolio.</w:t>
      </w:r>
    </w:p>
    <w:p>
      <w:pPr>
        <w:spacing w:after="0" w:line="34"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5"/>
          <w:szCs w:val="15"/>
          <w:i w:val="1"/>
          <w:iCs w:val="1"/>
          <w:color w:val="auto"/>
        </w:rPr>
        <w:t xml:space="preserve">Derivatives. </w:t>
      </w:r>
      <w:r>
        <w:rPr>
          <w:rFonts w:ascii="Arial" w:cs="Arial" w:eastAsia="Arial" w:hAnsi="Arial"/>
          <w:sz w:val="15"/>
          <w:szCs w:val="15"/>
          <w:color w:val="auto"/>
        </w:rPr>
        <w:t>Our FIA and IUL contracts permit the holder to elect to receive a return based on an interest rate or the performance of a market index, most typically the S&amp;P 500</w:t>
      </w:r>
      <w:r>
        <w:rPr>
          <w:rFonts w:ascii="Arial" w:cs="Arial" w:eastAsia="Arial" w:hAnsi="Arial"/>
          <w:sz w:val="15"/>
          <w:szCs w:val="15"/>
          <w:i w:val="1"/>
          <w:iCs w:val="1"/>
          <w:color w:val="auto"/>
        </w:rPr>
        <w:t xml:space="preserve"> </w:t>
      </w:r>
      <w:r>
        <w:rPr>
          <w:rFonts w:ascii="Arial" w:cs="Arial" w:eastAsia="Arial" w:hAnsi="Arial"/>
          <w:sz w:val="15"/>
          <w:szCs w:val="15"/>
          <w:color w:val="auto"/>
        </w:rPr>
        <w:t>Index. We purchase derivatives consisting predominantly of call options and, to a lesser degree, futures contracts (specifically for FIA contracts) on the equity indices underlying the applicable policy. These derivatives are used to fund the index credits due to policyholders under the FIA and IUL contracts based upon policyholders' contract elections. The majority of all such call options are one-year options purchased to match the funding requirements underlying the FIA/IUL contracts. On the anniversary dates of the FIA/IUL contracts, the market index used to compute the annual index credit under the contracts is reset. At such time, we purchase new call options to fund the next index credit. We manage the cost of these purchases through the terms of our FIA/IUL contracts, which permit us to change caps or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0" w:name="page21"/>
    <w:bookmarkEnd w:id="2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participation rates, subject to certain guaranteed minimums on each contracts anniversary date. The change in the fair value of the call options and futures contracts is generally designed to offset the equity market related change in the fair value of the FIA/IUL contract’s related reserve liability.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 or upon early termination and the changes in fair value of open positions.</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Outsourcing. </w:t>
      </w:r>
      <w:r>
        <w:rPr>
          <w:rFonts w:ascii="Arial" w:cs="Arial" w:eastAsia="Arial" w:hAnsi="Arial"/>
          <w:sz w:val="15"/>
          <w:szCs w:val="15"/>
          <w:color w:val="auto"/>
        </w:rPr>
        <w:t>Our F&amp;G segment outsources the following functions to third-party service providers:</w:t>
      </w:r>
    </w:p>
    <w:p>
      <w:pPr>
        <w:spacing w:after="0" w:line="75" w:lineRule="exact"/>
        <w:rPr>
          <w:sz w:val="20"/>
          <w:szCs w:val="20"/>
          <w:color w:val="auto"/>
        </w:rPr>
      </w:pPr>
    </w:p>
    <w:p>
      <w:pPr>
        <w:ind w:left="520" w:hanging="158"/>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new business administration (data entry and policy issue only);</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service of existing policies;</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underwriting administration of life insurance applications;</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life reinsurance administration;</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call centers;</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information technology development and maintenance;</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investment accounting and custody; and</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co-located data centers and hosting of financial systems.</w:t>
      </w:r>
    </w:p>
    <w:p>
      <w:pPr>
        <w:spacing w:after="0" w:line="75"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color w:val="auto"/>
        </w:rPr>
        <w:t>We closely manage our outsourcing partners and integrate their services into our operations. We believe that outsourcing such functions allows us to focus capital and our employees on our core business operations and perform differentiating functions, such as investment, actuarial, product development and risk management functions. In addition, we believe an outsourcing model provides predictable pricing, service levels and volume capabilities and allows us to benefit from technological developments that enhance our customer self-service and sales processes. We believe that we have a good relationship with our principal outsource service providers.</w:t>
      </w:r>
    </w:p>
    <w:p>
      <w:pPr>
        <w:spacing w:after="0" w:line="47"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i w:val="1"/>
          <w:iCs w:val="1"/>
          <w:color w:val="auto"/>
        </w:rPr>
        <w:t xml:space="preserve">Ratings. </w:t>
      </w:r>
      <w:r>
        <w:rPr>
          <w:rFonts w:ascii="Arial" w:cs="Arial" w:eastAsia="Arial" w:hAnsi="Arial"/>
          <w:sz w:val="15"/>
          <w:szCs w:val="15"/>
          <w:color w:val="auto"/>
        </w:rPr>
        <w:t>Within our F&amp;G segment, access to funding and our related cost of borrowing, the attractiveness of certain of our products to customers and requirements for derivatives</w:t>
      </w:r>
      <w:r>
        <w:rPr>
          <w:rFonts w:ascii="Arial" w:cs="Arial" w:eastAsia="Arial" w:hAnsi="Arial"/>
          <w:sz w:val="15"/>
          <w:szCs w:val="15"/>
          <w:i w:val="1"/>
          <w:iCs w:val="1"/>
          <w:color w:val="auto"/>
        </w:rPr>
        <w:t xml:space="preserve"> </w:t>
      </w:r>
      <w:r>
        <w:rPr>
          <w:rFonts w:ascii="Arial" w:cs="Arial" w:eastAsia="Arial" w:hAnsi="Arial"/>
          <w:sz w:val="15"/>
          <w:szCs w:val="15"/>
          <w:color w:val="auto"/>
        </w:rPr>
        <w:t>collateral posting are affected by our credit ratings and insurance financial strength ratings, which are periodically reviewed by the rating agencies. Financial strength ratings and credit ratings are important factors affecting public confidence in an insurer and its competitive position in marketing products.</w:t>
      </w:r>
    </w:p>
    <w:p>
      <w:pPr>
        <w:spacing w:after="0" w:line="44" w:lineRule="exact"/>
        <w:rPr>
          <w:sz w:val="20"/>
          <w:szCs w:val="20"/>
          <w:color w:val="auto"/>
        </w:rPr>
      </w:pPr>
    </w:p>
    <w:p>
      <w:pPr>
        <w:jc w:val="both"/>
        <w:ind w:firstLine="372"/>
        <w:spacing w:after="0" w:line="275" w:lineRule="auto"/>
        <w:rPr>
          <w:sz w:val="20"/>
          <w:szCs w:val="20"/>
          <w:color w:val="auto"/>
        </w:rPr>
      </w:pPr>
      <w:r>
        <w:rPr>
          <w:rFonts w:ascii="Arial" w:cs="Arial" w:eastAsia="Arial" w:hAnsi="Arial"/>
          <w:sz w:val="14"/>
          <w:szCs w:val="14"/>
          <w:color w:val="auto"/>
        </w:rPr>
        <w:t>As of the date of this Annual Report, A.M. Best Company ("A.M. Best"), Fitch Ratings ("Fitch"), Moody's, and S&amp;P had issued credit ratings, financial strength ratings and/or outlook statements regarding us, as listed below. Credit ratings represent the opinions of rating agencies regarding an entity’s ability to repay its indebtedness. Financial strength ratings represent the opinions of rating agencies regarding the ability of an insurance company to meet its financial obligations under an insurance policy and generally involve quantitative and qualitative evaluations by rating agencies of a company’s financial condition and operating performance. Generally, rating agencies base their financial strength ratings upon information furnished to them by the insurer and upon their own investigations, studies and assumptions. Financial strength ratings are based upon factors of concern to policyholders, agents and intermediaries and are not directed toward the protection of investors. Credit and financial strength ratings are not recommendations to buy, sell or hold securities and they may be revised or revoked at any time at the sole discretion of the rating organization.</w:t>
      </w:r>
    </w:p>
    <w:p>
      <w:pPr>
        <w:spacing w:after="0" w:line="38"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5"/>
          <w:szCs w:val="15"/>
          <w:color w:val="auto"/>
        </w:rPr>
        <w:t>In addition to the financial strength ratings, rating agencies use an “outlook statement” to indicate a medium or long term trend that, if continued, may lead to a rating change. A positive outlook indicates a rating may be raised and a negative outlook indicates a rating may be lowered. A stable outlook is assigned when ratings are not likely to be changed. A developing outlook is assigned when a rating may be raised, lowered, or affirmed. Outlooks should not be confused with expected stability of the issuer’s financial or economic performance. A rating may have a "stable" outlook to indicate that the rating is not expected to change, but a "stable" outlook does not preclude a rating agency from changing a rating at any time without notice.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1" w:name="page22"/>
    <w:bookmarkEnd w:id="2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rating organizations may take various actions, positive or negative. Such actions are beyond our control and we cannot predict what these actions may be and the timing thereof.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A.M. Best</w:t>
            </w: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S&amp;P</w:t>
            </w:r>
          </w:p>
        </w:tc>
        <w:tc>
          <w:tcPr>
            <w:tcW w:w="1300" w:type="dxa"/>
            <w:vAlign w:val="bottom"/>
            <w:gridSpan w:val="2"/>
          </w:tcPr>
          <w:p>
            <w:pPr>
              <w:ind w:left="460"/>
              <w:spacing w:after="0"/>
              <w:rPr>
                <w:sz w:val="20"/>
                <w:szCs w:val="20"/>
                <w:color w:val="auto"/>
              </w:rPr>
            </w:pPr>
            <w:r>
              <w:rPr>
                <w:rFonts w:ascii="Arial" w:cs="Arial" w:eastAsia="Arial" w:hAnsi="Arial"/>
                <w:sz w:val="12"/>
                <w:szCs w:val="12"/>
                <w:b w:val="1"/>
                <w:bCs w:val="1"/>
                <w:color w:val="auto"/>
              </w:rPr>
              <w:t>Fitch</w:t>
            </w: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1"/>
              </w:rPr>
              <w:t>Moody's</w:t>
            </w:r>
          </w:p>
        </w:tc>
      </w:tr>
      <w:tr>
        <w:trPr>
          <w:trHeight w:val="120"/>
        </w:trPr>
        <w:tc>
          <w:tcPr>
            <w:tcW w:w="1380" w:type="dxa"/>
            <w:vAlign w:val="bottom"/>
            <w:tcBorders>
              <w:bottom w:val="single" w:sz="8" w:color="auto"/>
            </w:tcBorders>
          </w:tcPr>
          <w:p>
            <w:pPr>
              <w:spacing w:after="0" w:line="113" w:lineRule="exact"/>
              <w:rPr>
                <w:sz w:val="20"/>
                <w:szCs w:val="20"/>
                <w:color w:val="auto"/>
              </w:rPr>
            </w:pPr>
            <w:r>
              <w:rPr>
                <w:rFonts w:ascii="Arial" w:cs="Arial" w:eastAsia="Arial" w:hAnsi="Arial"/>
                <w:sz w:val="12"/>
                <w:szCs w:val="12"/>
                <w:b w:val="1"/>
                <w:bCs w:val="1"/>
                <w:color w:val="auto"/>
                <w:w w:val="90"/>
              </w:rPr>
              <w:t>Holding Company Ratings</w:t>
            </w:r>
          </w:p>
        </w:tc>
        <w:tc>
          <w:tcPr>
            <w:tcW w:w="4800" w:type="dxa"/>
            <w:vAlign w:val="bottom"/>
            <w:gridSpan w:val="2"/>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r>
      <w:tr>
        <w:trPr>
          <w:trHeight w:val="165"/>
        </w:trPr>
        <w:tc>
          <w:tcPr>
            <w:tcW w:w="61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F&amp;G Annuities &amp; Life, Inc.</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55"/>
        </w:trPr>
        <w:tc>
          <w:tcPr>
            <w:tcW w:w="6180" w:type="dxa"/>
            <w:vAlign w:val="bottom"/>
            <w:gridSpan w:val="3"/>
          </w:tcPr>
          <w:p>
            <w:pPr>
              <w:ind w:left="180"/>
              <w:spacing w:after="0"/>
              <w:rPr>
                <w:sz w:val="20"/>
                <w:szCs w:val="20"/>
                <w:color w:val="auto"/>
              </w:rPr>
            </w:pPr>
            <w:r>
              <w:rPr>
                <w:rFonts w:ascii="Arial" w:cs="Arial" w:eastAsia="Arial" w:hAnsi="Arial"/>
                <w:sz w:val="12"/>
                <w:szCs w:val="12"/>
                <w:color w:val="auto"/>
              </w:rPr>
              <w:t>Issuer Credit / Default Rating</w:t>
            </w: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Not Rated</w:t>
            </w: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BBB-</w:t>
            </w:r>
          </w:p>
        </w:tc>
        <w:tc>
          <w:tcPr>
            <w:tcW w:w="13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BBB</w:t>
            </w:r>
          </w:p>
        </w:tc>
        <w:tc>
          <w:tcPr>
            <w:tcW w:w="1200" w:type="dxa"/>
            <w:vAlign w:val="bottom"/>
          </w:tcPr>
          <w:p>
            <w:pPr>
              <w:jc w:val="center"/>
              <w:spacing w:after="0"/>
              <w:rPr>
                <w:sz w:val="20"/>
                <w:szCs w:val="20"/>
                <w:color w:val="auto"/>
              </w:rPr>
            </w:pPr>
            <w:r>
              <w:rPr>
                <w:rFonts w:ascii="Arial" w:cs="Arial" w:eastAsia="Arial" w:hAnsi="Arial"/>
                <w:sz w:val="12"/>
                <w:szCs w:val="12"/>
                <w:color w:val="auto"/>
                <w:w w:val="93"/>
              </w:rPr>
              <w:t>Ba2</w:t>
            </w:r>
          </w:p>
        </w:tc>
      </w:tr>
      <w:tr>
        <w:trPr>
          <w:trHeight w:val="160"/>
        </w:trPr>
        <w:tc>
          <w:tcPr>
            <w:tcW w:w="618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Outlook</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Stable</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Stable</w:t>
            </w: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Positive</w:t>
            </w:r>
          </w:p>
        </w:tc>
      </w:tr>
      <w:tr>
        <w:trPr>
          <w:trHeight w:val="155"/>
        </w:trPr>
        <w:tc>
          <w:tcPr>
            <w:tcW w:w="6180" w:type="dxa"/>
            <w:vAlign w:val="bottom"/>
            <w:gridSpan w:val="3"/>
          </w:tcPr>
          <w:p>
            <w:pPr>
              <w:spacing w:after="0"/>
              <w:rPr>
                <w:sz w:val="20"/>
                <w:szCs w:val="20"/>
                <w:color w:val="auto"/>
              </w:rPr>
            </w:pPr>
            <w:r>
              <w:rPr>
                <w:rFonts w:ascii="Arial" w:cs="Arial" w:eastAsia="Arial" w:hAnsi="Arial"/>
                <w:sz w:val="12"/>
                <w:szCs w:val="12"/>
                <w:color w:val="auto"/>
              </w:rPr>
              <w:t>CF Bermuda Holdings Limited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618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Issuer Credit / Default Rating</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2"/>
              </w:rPr>
              <w:t>Not Rated</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BBB-</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BBB</w:t>
            </w: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Ba1</w:t>
            </w:r>
          </w:p>
        </w:tc>
      </w:tr>
      <w:tr>
        <w:trPr>
          <w:trHeight w:val="155"/>
        </w:trPr>
        <w:tc>
          <w:tcPr>
            <w:tcW w:w="6180" w:type="dxa"/>
            <w:vAlign w:val="bottom"/>
            <w:gridSpan w:val="3"/>
          </w:tcPr>
          <w:p>
            <w:pPr>
              <w:ind w:left="180"/>
              <w:spacing w:after="0"/>
              <w:rPr>
                <w:sz w:val="20"/>
                <w:szCs w:val="20"/>
                <w:color w:val="auto"/>
              </w:rPr>
            </w:pPr>
            <w:r>
              <w:rPr>
                <w:rFonts w:ascii="Arial" w:cs="Arial" w:eastAsia="Arial" w:hAnsi="Arial"/>
                <w:sz w:val="12"/>
                <w:szCs w:val="12"/>
                <w:color w:val="auto"/>
              </w:rPr>
              <w:t>Outlook</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Stable</w:t>
            </w:r>
          </w:p>
        </w:tc>
        <w:tc>
          <w:tcPr>
            <w:tcW w:w="13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Stable</w:t>
            </w:r>
          </w:p>
        </w:tc>
        <w:tc>
          <w:tcPr>
            <w:tcW w:w="1200" w:type="dxa"/>
            <w:vAlign w:val="bottom"/>
          </w:tcPr>
          <w:p>
            <w:pPr>
              <w:jc w:val="center"/>
              <w:spacing w:after="0"/>
              <w:rPr>
                <w:sz w:val="20"/>
                <w:szCs w:val="20"/>
                <w:color w:val="auto"/>
              </w:rPr>
            </w:pPr>
            <w:r>
              <w:rPr>
                <w:rFonts w:ascii="Arial" w:cs="Arial" w:eastAsia="Arial" w:hAnsi="Arial"/>
                <w:sz w:val="12"/>
                <w:szCs w:val="12"/>
                <w:color w:val="auto"/>
                <w:w w:val="95"/>
              </w:rPr>
              <w:t>Positive</w:t>
            </w:r>
          </w:p>
        </w:tc>
      </w:tr>
      <w:tr>
        <w:trPr>
          <w:trHeight w:val="160"/>
        </w:trPr>
        <w:tc>
          <w:tcPr>
            <w:tcW w:w="61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Fidelity &amp; Guaranty Life Holdings, Inc.</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5"/>
        </w:trPr>
        <w:tc>
          <w:tcPr>
            <w:tcW w:w="6180" w:type="dxa"/>
            <w:vAlign w:val="bottom"/>
            <w:gridSpan w:val="3"/>
          </w:tcPr>
          <w:p>
            <w:pPr>
              <w:ind w:left="180"/>
              <w:spacing w:after="0"/>
              <w:rPr>
                <w:sz w:val="20"/>
                <w:szCs w:val="20"/>
                <w:color w:val="auto"/>
              </w:rPr>
            </w:pPr>
            <w:r>
              <w:rPr>
                <w:rFonts w:ascii="Arial" w:cs="Arial" w:eastAsia="Arial" w:hAnsi="Arial"/>
                <w:sz w:val="12"/>
                <w:szCs w:val="12"/>
                <w:color w:val="auto"/>
              </w:rPr>
              <w:t>Issuer Credit / Default Rating</w:t>
            </w: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bbb-</w:t>
            </w: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BBB-</w:t>
            </w:r>
          </w:p>
        </w:tc>
        <w:tc>
          <w:tcPr>
            <w:tcW w:w="13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BBB</w:t>
            </w:r>
          </w:p>
        </w:tc>
        <w:tc>
          <w:tcPr>
            <w:tcW w:w="1200" w:type="dxa"/>
            <w:vAlign w:val="bottom"/>
          </w:tcPr>
          <w:p>
            <w:pPr>
              <w:jc w:val="center"/>
              <w:spacing w:after="0"/>
              <w:rPr>
                <w:sz w:val="20"/>
                <w:szCs w:val="20"/>
                <w:color w:val="auto"/>
              </w:rPr>
            </w:pPr>
            <w:r>
              <w:rPr>
                <w:rFonts w:ascii="Arial" w:cs="Arial" w:eastAsia="Arial" w:hAnsi="Arial"/>
                <w:sz w:val="12"/>
                <w:szCs w:val="12"/>
                <w:color w:val="auto"/>
                <w:w w:val="88"/>
              </w:rPr>
              <w:t>Not Rated</w:t>
            </w:r>
          </w:p>
        </w:tc>
      </w:tr>
      <w:tr>
        <w:trPr>
          <w:trHeight w:val="160"/>
        </w:trPr>
        <w:tc>
          <w:tcPr>
            <w:tcW w:w="618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Outlook</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Stable</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Stable</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Stable</w:t>
            </w:r>
          </w:p>
        </w:tc>
        <w:tc>
          <w:tcPr>
            <w:tcW w:w="1200" w:type="dxa"/>
            <w:vAlign w:val="bottom"/>
            <w:shd w:val="clear" w:color="auto" w:fill="CCEEFF"/>
          </w:tcPr>
          <w:p>
            <w:pPr>
              <w:spacing w:after="0"/>
              <w:rPr>
                <w:sz w:val="13"/>
                <w:szCs w:val="13"/>
                <w:color w:val="auto"/>
              </w:rPr>
            </w:pPr>
          </w:p>
        </w:tc>
      </w:tr>
      <w:tr>
        <w:trPr>
          <w:trHeight w:val="155"/>
        </w:trPr>
        <w:tc>
          <w:tcPr>
            <w:tcW w:w="6180" w:type="dxa"/>
            <w:vAlign w:val="bottom"/>
            <w:gridSpan w:val="3"/>
          </w:tcPr>
          <w:p>
            <w:pPr>
              <w:ind w:left="180"/>
              <w:spacing w:after="0"/>
              <w:rPr>
                <w:sz w:val="20"/>
                <w:szCs w:val="20"/>
                <w:color w:val="auto"/>
              </w:rPr>
            </w:pPr>
            <w:r>
              <w:rPr>
                <w:rFonts w:ascii="Arial" w:cs="Arial" w:eastAsia="Arial" w:hAnsi="Arial"/>
                <w:sz w:val="12"/>
                <w:szCs w:val="12"/>
                <w:color w:val="auto"/>
              </w:rPr>
              <w:t>Senior Unsecured Notes</w:t>
            </w: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bbb-</w:t>
            </w: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BBB</w:t>
            </w:r>
          </w:p>
        </w:tc>
        <w:tc>
          <w:tcPr>
            <w:tcW w:w="13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BBB</w:t>
            </w: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Baa2</w:t>
            </w:r>
          </w:p>
        </w:tc>
      </w:tr>
      <w:tr>
        <w:trPr>
          <w:trHeight w:val="160"/>
        </w:trPr>
        <w:tc>
          <w:tcPr>
            <w:tcW w:w="618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Outlook</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Stable</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Stable</w:t>
            </w:r>
          </w:p>
        </w:tc>
      </w:tr>
      <w:tr>
        <w:trPr>
          <w:trHeight w:val="131"/>
        </w:trPr>
        <w:tc>
          <w:tcPr>
            <w:tcW w:w="154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2"/>
                <w:szCs w:val="12"/>
                <w:b w:val="1"/>
                <w:bCs w:val="1"/>
                <w:color w:val="auto"/>
                <w:w w:val="90"/>
              </w:rPr>
              <w:t>Operating Subsidiary Ratings</w:t>
            </w:r>
          </w:p>
        </w:tc>
        <w:tc>
          <w:tcPr>
            <w:tcW w:w="4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65"/>
        </w:trPr>
        <w:tc>
          <w:tcPr>
            <w:tcW w:w="61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Fidelity &amp; Guaranty Life Insurance Company</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55"/>
        </w:trPr>
        <w:tc>
          <w:tcPr>
            <w:tcW w:w="6180" w:type="dxa"/>
            <w:vAlign w:val="bottom"/>
            <w:gridSpan w:val="3"/>
          </w:tcPr>
          <w:p>
            <w:pPr>
              <w:ind w:left="180"/>
              <w:spacing w:after="0"/>
              <w:rPr>
                <w:sz w:val="20"/>
                <w:szCs w:val="20"/>
                <w:color w:val="auto"/>
              </w:rPr>
            </w:pPr>
            <w:r>
              <w:rPr>
                <w:rFonts w:ascii="Arial" w:cs="Arial" w:eastAsia="Arial" w:hAnsi="Arial"/>
                <w:sz w:val="12"/>
                <w:szCs w:val="12"/>
                <w:color w:val="auto"/>
              </w:rPr>
              <w:t>Financial Strength Rating</w:t>
            </w:r>
          </w:p>
        </w:tc>
        <w:tc>
          <w:tcPr>
            <w:tcW w:w="13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A-</w:t>
            </w:r>
          </w:p>
        </w:tc>
        <w:tc>
          <w:tcPr>
            <w:tcW w:w="1260" w:type="dxa"/>
            <w:vAlign w:val="bottom"/>
            <w:gridSpan w:val="2"/>
          </w:tcPr>
          <w:p>
            <w:pPr>
              <w:jc w:val="center"/>
              <w:ind w:right="80"/>
              <w:spacing w:after="0"/>
              <w:rPr>
                <w:sz w:val="20"/>
                <w:szCs w:val="20"/>
                <w:color w:val="auto"/>
              </w:rPr>
            </w:pPr>
            <w:r>
              <w:rPr>
                <w:rFonts w:ascii="Arial" w:cs="Arial" w:eastAsia="Arial" w:hAnsi="Arial"/>
                <w:sz w:val="12"/>
                <w:szCs w:val="12"/>
                <w:color w:val="auto"/>
              </w:rPr>
              <w:t>A-</w:t>
            </w:r>
          </w:p>
        </w:tc>
        <w:tc>
          <w:tcPr>
            <w:tcW w:w="13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A-</w:t>
            </w: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Baa1</w:t>
            </w:r>
          </w:p>
        </w:tc>
      </w:tr>
      <w:tr>
        <w:trPr>
          <w:trHeight w:val="160"/>
        </w:trPr>
        <w:tc>
          <w:tcPr>
            <w:tcW w:w="618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Outlook</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Stable</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Stable</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Stable</w:t>
            </w: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Positive</w:t>
            </w:r>
          </w:p>
        </w:tc>
      </w:tr>
      <w:tr>
        <w:trPr>
          <w:trHeight w:val="155"/>
        </w:trPr>
        <w:tc>
          <w:tcPr>
            <w:tcW w:w="6180" w:type="dxa"/>
            <w:vAlign w:val="bottom"/>
            <w:gridSpan w:val="3"/>
          </w:tcPr>
          <w:p>
            <w:pPr>
              <w:spacing w:after="0"/>
              <w:rPr>
                <w:sz w:val="20"/>
                <w:szCs w:val="20"/>
                <w:color w:val="auto"/>
              </w:rPr>
            </w:pPr>
            <w:r>
              <w:rPr>
                <w:rFonts w:ascii="Arial" w:cs="Arial" w:eastAsia="Arial" w:hAnsi="Arial"/>
                <w:sz w:val="12"/>
                <w:szCs w:val="12"/>
                <w:color w:val="auto"/>
              </w:rPr>
              <w:t>Fidelity &amp; Guaranty Life Insurance Company of New York</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618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Financial Strength Rating</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A-</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rPr>
              <w:t>A-</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A-</w:t>
            </w: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Not Rated</w:t>
            </w:r>
          </w:p>
        </w:tc>
      </w:tr>
      <w:tr>
        <w:trPr>
          <w:trHeight w:val="155"/>
        </w:trPr>
        <w:tc>
          <w:tcPr>
            <w:tcW w:w="6180" w:type="dxa"/>
            <w:vAlign w:val="bottom"/>
            <w:gridSpan w:val="3"/>
          </w:tcPr>
          <w:p>
            <w:pPr>
              <w:ind w:left="180"/>
              <w:spacing w:after="0"/>
              <w:rPr>
                <w:sz w:val="20"/>
                <w:szCs w:val="20"/>
                <w:color w:val="auto"/>
              </w:rPr>
            </w:pPr>
            <w:r>
              <w:rPr>
                <w:rFonts w:ascii="Arial" w:cs="Arial" w:eastAsia="Arial" w:hAnsi="Arial"/>
                <w:sz w:val="12"/>
                <w:szCs w:val="12"/>
                <w:color w:val="auto"/>
              </w:rPr>
              <w:t>Outlook</w:t>
            </w: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Stable</w:t>
            </w:r>
          </w:p>
        </w:tc>
        <w:tc>
          <w:tcPr>
            <w:tcW w:w="126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Stable</w:t>
            </w:r>
          </w:p>
        </w:tc>
        <w:tc>
          <w:tcPr>
            <w:tcW w:w="13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Stable</w:t>
            </w:r>
          </w:p>
        </w:tc>
        <w:tc>
          <w:tcPr>
            <w:tcW w:w="1200" w:type="dxa"/>
            <w:vAlign w:val="bottom"/>
          </w:tcPr>
          <w:p>
            <w:pPr>
              <w:spacing w:after="0"/>
              <w:rPr>
                <w:sz w:val="13"/>
                <w:szCs w:val="13"/>
                <w:color w:val="auto"/>
              </w:rPr>
            </w:pPr>
          </w:p>
        </w:tc>
      </w:tr>
      <w:tr>
        <w:trPr>
          <w:trHeight w:val="160"/>
        </w:trPr>
        <w:tc>
          <w:tcPr>
            <w:tcW w:w="61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F&amp;G Life Re Ltd</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5"/>
        </w:trPr>
        <w:tc>
          <w:tcPr>
            <w:tcW w:w="6180" w:type="dxa"/>
            <w:vAlign w:val="bottom"/>
            <w:gridSpan w:val="3"/>
          </w:tcPr>
          <w:p>
            <w:pPr>
              <w:ind w:left="180"/>
              <w:spacing w:after="0"/>
              <w:rPr>
                <w:sz w:val="20"/>
                <w:szCs w:val="20"/>
                <w:color w:val="auto"/>
              </w:rPr>
            </w:pPr>
            <w:r>
              <w:rPr>
                <w:rFonts w:ascii="Arial" w:cs="Arial" w:eastAsia="Arial" w:hAnsi="Arial"/>
                <w:sz w:val="12"/>
                <w:szCs w:val="12"/>
                <w:color w:val="auto"/>
              </w:rPr>
              <w:t>Financial Strength Rating</w:t>
            </w: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Not Rated</w:t>
            </w:r>
          </w:p>
        </w:tc>
        <w:tc>
          <w:tcPr>
            <w:tcW w:w="1260" w:type="dxa"/>
            <w:vAlign w:val="bottom"/>
            <w:gridSpan w:val="2"/>
          </w:tcPr>
          <w:p>
            <w:pPr>
              <w:jc w:val="center"/>
              <w:ind w:right="80"/>
              <w:spacing w:after="0"/>
              <w:rPr>
                <w:sz w:val="20"/>
                <w:szCs w:val="20"/>
                <w:color w:val="auto"/>
              </w:rPr>
            </w:pPr>
            <w:r>
              <w:rPr>
                <w:rFonts w:ascii="Arial" w:cs="Arial" w:eastAsia="Arial" w:hAnsi="Arial"/>
                <w:sz w:val="12"/>
                <w:szCs w:val="12"/>
                <w:color w:val="auto"/>
              </w:rPr>
              <w:t>A-</w:t>
            </w:r>
          </w:p>
        </w:tc>
        <w:tc>
          <w:tcPr>
            <w:tcW w:w="13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A-</w:t>
            </w: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Baa1</w:t>
            </w:r>
          </w:p>
        </w:tc>
      </w:tr>
      <w:tr>
        <w:trPr>
          <w:trHeight w:val="160"/>
        </w:trPr>
        <w:tc>
          <w:tcPr>
            <w:tcW w:w="618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Outlook</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Stable</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Stable</w:t>
            </w: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Positive</w:t>
            </w:r>
          </w:p>
        </w:tc>
      </w:tr>
      <w:tr>
        <w:trPr>
          <w:trHeight w:val="155"/>
        </w:trPr>
        <w:tc>
          <w:tcPr>
            <w:tcW w:w="6180" w:type="dxa"/>
            <w:vAlign w:val="bottom"/>
            <w:gridSpan w:val="3"/>
          </w:tcPr>
          <w:p>
            <w:pPr>
              <w:spacing w:after="0"/>
              <w:rPr>
                <w:sz w:val="20"/>
                <w:szCs w:val="20"/>
                <w:color w:val="auto"/>
              </w:rPr>
            </w:pPr>
            <w:r>
              <w:rPr>
                <w:rFonts w:ascii="Arial" w:cs="Arial" w:eastAsia="Arial" w:hAnsi="Arial"/>
                <w:sz w:val="12"/>
                <w:szCs w:val="12"/>
                <w:color w:val="auto"/>
              </w:rPr>
              <w:t>F&amp;G Cayman Re Ltd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618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Financial Strength Rating</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2"/>
              </w:rPr>
              <w:t>Not Rated</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Not Rated</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A-</w:t>
            </w: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Not Rated</w:t>
            </w:r>
          </w:p>
        </w:tc>
      </w:tr>
      <w:tr>
        <w:trPr>
          <w:trHeight w:val="153"/>
        </w:trPr>
        <w:tc>
          <w:tcPr>
            <w:tcW w:w="6180" w:type="dxa"/>
            <w:vAlign w:val="bottom"/>
            <w:gridSpan w:val="3"/>
          </w:tcPr>
          <w:p>
            <w:pPr>
              <w:ind w:left="180"/>
              <w:spacing w:after="0"/>
              <w:rPr>
                <w:sz w:val="20"/>
                <w:szCs w:val="20"/>
                <w:color w:val="auto"/>
              </w:rPr>
            </w:pPr>
            <w:r>
              <w:rPr>
                <w:rFonts w:ascii="Arial" w:cs="Arial" w:eastAsia="Arial" w:hAnsi="Arial"/>
                <w:sz w:val="12"/>
                <w:szCs w:val="12"/>
                <w:color w:val="auto"/>
              </w:rPr>
              <w:t>Outlook</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Stable</w:t>
            </w:r>
          </w:p>
        </w:tc>
        <w:tc>
          <w:tcPr>
            <w:tcW w:w="1200" w:type="dxa"/>
            <w:vAlign w:val="bottom"/>
          </w:tcPr>
          <w:p>
            <w:pPr>
              <w:spacing w:after="0"/>
              <w:rPr>
                <w:sz w:val="13"/>
                <w:szCs w:val="13"/>
                <w:color w:val="auto"/>
              </w:rPr>
            </w:pPr>
          </w:p>
        </w:tc>
      </w:tr>
    </w:tbl>
    <w:p>
      <w:pPr>
        <w:spacing w:after="0" w:line="152"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color w:val="auto"/>
        </w:rPr>
        <w:t>A.M. Best, S&amp;P, Fitch and Moody’s review their ratings of insurance companies from time to time. There can be no assurance that any particular rating will continue for any given period of time or that it will not be changed or withdrawn entirely if, in their judgment, circumstances so warrant. While the degree to which ratings adjustments will affect sales and persistency is unknown, we believe if our ratings were to be negatively adjusted for any reason, we could experience a material decline in the sales of our products and the persistency of our existing business. See “Item 1A. Risk Factors”.</w:t>
      </w:r>
    </w:p>
    <w:p>
      <w:pPr>
        <w:spacing w:after="0" w:line="81"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4"/>
          <w:szCs w:val="14"/>
          <w:i w:val="1"/>
          <w:iCs w:val="1"/>
          <w:color w:val="auto"/>
        </w:rPr>
        <w:t xml:space="preserve">Potential Impact of a Ratings Downgrade. </w:t>
      </w:r>
      <w:r>
        <w:rPr>
          <w:rFonts w:ascii="Arial" w:cs="Arial" w:eastAsia="Arial" w:hAnsi="Arial"/>
          <w:sz w:val="14"/>
          <w:szCs w:val="14"/>
          <w:color w:val="auto"/>
        </w:rPr>
        <w:t>F&amp;G is required to maintain minimum ratings as a matter of routine practice as part of its over-the-counter derivatives agreements on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ISDA forms. Under some ISDA agreements, we have agreed to maintain certain financial strength ratings. Please refer to </w:t>
      </w:r>
      <w:r>
        <w:rPr>
          <w:rFonts w:ascii="Arial" w:cs="Arial" w:eastAsia="Arial" w:hAnsi="Arial"/>
          <w:sz w:val="14"/>
          <w:szCs w:val="14"/>
          <w:i w:val="1"/>
          <w:iCs w:val="1"/>
          <w:color w:val="auto"/>
        </w:rPr>
        <w:t>Note F</w:t>
      </w:r>
      <w:r>
        <w:rPr>
          <w:rFonts w:ascii="Arial" w:cs="Arial" w:eastAsia="Arial" w:hAnsi="Arial"/>
          <w:sz w:val="14"/>
          <w:szCs w:val="14"/>
          <w:color w:val="auto"/>
        </w:rPr>
        <w:t>. Derivative Financial Instruments to our audited Consolidated Financial Statements included in Item 8 of Part II of this Annual Report for disclosure around the Company's requirement to maintain minimum ratings.</w:t>
      </w:r>
    </w:p>
    <w:p>
      <w:pPr>
        <w:spacing w:after="0" w:line="25" w:lineRule="exact"/>
        <w:rPr>
          <w:sz w:val="20"/>
          <w:szCs w:val="20"/>
          <w:color w:val="auto"/>
        </w:rPr>
      </w:pPr>
    </w:p>
    <w:p>
      <w:pPr>
        <w:jc w:val="both"/>
        <w:ind w:firstLine="372"/>
        <w:spacing w:after="0" w:line="290" w:lineRule="auto"/>
        <w:rPr>
          <w:sz w:val="20"/>
          <w:szCs w:val="20"/>
          <w:color w:val="auto"/>
        </w:rPr>
      </w:pPr>
      <w:r>
        <w:rPr>
          <w:rFonts w:ascii="Arial" w:cs="Arial" w:eastAsia="Arial" w:hAnsi="Arial"/>
          <w:sz w:val="14"/>
          <w:szCs w:val="14"/>
          <w:color w:val="auto"/>
        </w:rPr>
        <w:t>If the insurance subsidiaries held net short positions against a counterparty, and the subsidiaries’ financial strength ratings were below the levels required in the ISDA agreement with the counterparty, the counterparty would demand immediate further collateralization, which could negatively impact overall liquidity. Based on the fair value of our derivatives as of December 31, 2021, we hold no net short positions against a counterparty; therefore, there is currently no potential exposure for us to post collateral.</w:t>
      </w:r>
    </w:p>
    <w:p>
      <w:pPr>
        <w:spacing w:after="0" w:line="25"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color w:val="auto"/>
        </w:rPr>
        <w:t>A downgrade of the financial strength rating of one of our principal insurance subsidiaries could affect our competitive position in the insurance industry and make it more difficult for us to market our products, as potential customers may select companies with higher financial strength ratings. A downgrade of the financial strength rating could also impact our borrowing costs.</w:t>
      </w:r>
    </w:p>
    <w:p>
      <w:pPr>
        <w:spacing w:after="0" w:line="44"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i w:val="1"/>
          <w:iCs w:val="1"/>
          <w:color w:val="auto"/>
        </w:rPr>
        <w:t xml:space="preserve">Risk Management. </w:t>
      </w:r>
      <w:r>
        <w:rPr>
          <w:rFonts w:ascii="Arial" w:cs="Arial" w:eastAsia="Arial" w:hAnsi="Arial"/>
          <w:sz w:val="15"/>
          <w:szCs w:val="15"/>
          <w:color w:val="auto"/>
        </w:rPr>
        <w:t>Risk management is a critical part of our business. We seek to assess risk to our business through a formalized process involving (i) identifying short-term and</w:t>
      </w:r>
      <w:r>
        <w:rPr>
          <w:rFonts w:ascii="Arial" w:cs="Arial" w:eastAsia="Arial" w:hAnsi="Arial"/>
          <w:sz w:val="15"/>
          <w:szCs w:val="15"/>
          <w:i w:val="1"/>
          <w:iCs w:val="1"/>
          <w:color w:val="auto"/>
        </w:rPr>
        <w:t xml:space="preserve"> </w:t>
      </w:r>
      <w:r>
        <w:rPr>
          <w:rFonts w:ascii="Arial" w:cs="Arial" w:eastAsia="Arial" w:hAnsi="Arial"/>
          <w:sz w:val="15"/>
          <w:szCs w:val="15"/>
          <w:color w:val="auto"/>
        </w:rPr>
        <w:t>long-term strategic and operational objectives, (ii) development of risk appetite statements that establish what the company is willing to accept in terms of risks to achieving its goals and objectives, (iii) identifying the levers that control the risk appetite of the company, (iv) establishing the overall limits of risk acceptable for a given risk driver, (v) establishing operational risk limits that are aligned with the tolerances, (vi) assigning risk</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2" w:name="page23"/>
    <w:bookmarkEnd w:id="2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limit quantification and mitigation responsibilities to individual team members within functional groups, (vii) analyzing the potential qualitative and quantitative impact of individual risks, including but not limited to stress and scenario testing covering over eight economic and insurance related risks, (viii) mitigating risks by appropriate actions and (ix) identifying, documenting and communicating key business risks in a timely fashion.</w:t>
      </w:r>
    </w:p>
    <w:p>
      <w:pPr>
        <w:spacing w:after="0" w:line="44" w:lineRule="exact"/>
        <w:rPr>
          <w:sz w:val="20"/>
          <w:szCs w:val="20"/>
          <w:color w:val="auto"/>
        </w:rPr>
      </w:pPr>
    </w:p>
    <w:p>
      <w:pPr>
        <w:jc w:val="both"/>
        <w:ind w:right="20" w:firstLine="372"/>
        <w:spacing w:after="0" w:line="274" w:lineRule="auto"/>
        <w:rPr>
          <w:sz w:val="20"/>
          <w:szCs w:val="20"/>
          <w:color w:val="auto"/>
        </w:rPr>
      </w:pPr>
      <w:r>
        <w:rPr>
          <w:rFonts w:ascii="Arial" w:cs="Arial" w:eastAsia="Arial" w:hAnsi="Arial"/>
          <w:sz w:val="15"/>
          <w:szCs w:val="15"/>
          <w:color w:val="auto"/>
        </w:rPr>
        <w:t>The responsibility for monitoring, evaluating and responding to risk is assigned first to our management and employees, second to those occupying specialist functions, such as legal compliance and risk teams, and third to those occupying supervisory functions, such as internal audit and the board of directors.</w:t>
      </w:r>
    </w:p>
    <w:p>
      <w:pPr>
        <w:spacing w:after="0" w:line="34"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i w:val="1"/>
          <w:iCs w:val="1"/>
          <w:color w:val="auto"/>
        </w:rPr>
        <w:t xml:space="preserve">Reinsurance. </w:t>
      </w:r>
      <w:r>
        <w:rPr>
          <w:rFonts w:ascii="Arial" w:cs="Arial" w:eastAsia="Arial" w:hAnsi="Arial"/>
          <w:sz w:val="15"/>
          <w:szCs w:val="15"/>
          <w:color w:val="auto"/>
        </w:rPr>
        <w:t>Within our F&amp;G segment, we cede insurance to other insurance companies. We use reinsurance to diversify risks and earnings, to manage loss exposures, to enhance</w:t>
      </w:r>
      <w:r>
        <w:rPr>
          <w:rFonts w:ascii="Arial" w:cs="Arial" w:eastAsia="Arial" w:hAnsi="Arial"/>
          <w:sz w:val="15"/>
          <w:szCs w:val="15"/>
          <w:i w:val="1"/>
          <w:iCs w:val="1"/>
          <w:color w:val="auto"/>
        </w:rPr>
        <w:t xml:space="preserve"> </w:t>
      </w:r>
      <w:r>
        <w:rPr>
          <w:rFonts w:ascii="Arial" w:cs="Arial" w:eastAsia="Arial" w:hAnsi="Arial"/>
          <w:sz w:val="15"/>
          <w:szCs w:val="15"/>
          <w:color w:val="auto"/>
        </w:rPr>
        <w:t>our capital position, and to manage new business volume. The effects of certain reinsurance agreements are not accounted for as reinsurance as they do not reinsure insurance contracts or they do not transfer the risks of the reinsured policies.</w:t>
      </w:r>
    </w:p>
    <w:p>
      <w:pPr>
        <w:spacing w:after="0" w:line="44"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color w:val="auto"/>
        </w:rPr>
        <w:t>In instances where we are the ceding company, we pay a premium to a reinsurer in exchange for the reinsurer assuming a portion of our liabilities under the policies we issued and collect expense allowances in return for our administration of the ceded policies. Use of reinsurance does not discharge our liability as the ceding company because we remain directly liable to our policyholders and are required to pay the full amount of our policy obligations in the event that our reinsurers fail to satisfy their obligations. We collect reimbursement from our reinsurers when we pay claims on policies that are reinsured.</w:t>
      </w:r>
    </w:p>
    <w:p>
      <w:pPr>
        <w:spacing w:after="0" w:line="47"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color w:val="auto"/>
        </w:rPr>
        <w:t>We monitor the credit risk related to the ability of our reinsurers to honor their obligations under various agreements. To minimize the risk of credit loss on such contracts, we generally diversify our exposures among many reinsurers and limit the amount of exposure to each based on financial strength ratings, which are reviewed annually. We are able to further manage risk via funds withheld arrangements.</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7A. Quantitative and Qualitative Disclosures About Market Risk” for further discussion on credit risk and counterparty risk.</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“Item 1A. Risk Factors” for further discussion of credit risk related to reinsurance agreements. A description of significant ceded reinsurance transactions appears below.</w:t>
      </w:r>
    </w:p>
    <w:p>
      <w:pPr>
        <w:spacing w:after="0" w:line="87"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i w:val="1"/>
          <w:iCs w:val="1"/>
          <w:color w:val="auto"/>
        </w:rPr>
        <w:t xml:space="preserve">Wilton RE Transaction. </w:t>
      </w:r>
      <w:r>
        <w:rPr>
          <w:rFonts w:ascii="Arial" w:cs="Arial" w:eastAsia="Arial" w:hAnsi="Arial"/>
          <w:sz w:val="15"/>
          <w:szCs w:val="15"/>
          <w:color w:val="auto"/>
        </w:rPr>
        <w:t>Pursuant to the agreed upon terms, Wilton Re purchased through a 100% quota share reinsurance agreement certain FGL Insurance life insurance policies</w:t>
      </w:r>
      <w:r>
        <w:rPr>
          <w:rFonts w:ascii="Arial" w:cs="Arial" w:eastAsia="Arial" w:hAnsi="Arial"/>
          <w:sz w:val="15"/>
          <w:szCs w:val="15"/>
          <w:i w:val="1"/>
          <w:iCs w:val="1"/>
          <w:color w:val="auto"/>
        </w:rPr>
        <w:t xml:space="preserve"> </w:t>
      </w:r>
      <w:r>
        <w:rPr>
          <w:rFonts w:ascii="Arial" w:cs="Arial" w:eastAsia="Arial" w:hAnsi="Arial"/>
          <w:sz w:val="15"/>
          <w:szCs w:val="15"/>
          <w:color w:val="auto"/>
        </w:rPr>
        <w:t>that are subject to redundant reserves, reported on a statutory basis, under Regulation XXX and Guideline AXXX, as well as another block of FGL Insurance’s in-force traditional, universal life and IUL insurance policies. The effects of this agreement are accounted for as reinsurance as the ceded policies qualify as insurance products and because the agreement satisfies the risk transfer requirements for GAAP.</w:t>
      </w:r>
    </w:p>
    <w:p>
      <w:pPr>
        <w:spacing w:after="0" w:line="47" w:lineRule="exact"/>
        <w:rPr>
          <w:sz w:val="20"/>
          <w:szCs w:val="20"/>
          <w:color w:val="auto"/>
        </w:rPr>
      </w:pPr>
    </w:p>
    <w:p>
      <w:pPr>
        <w:jc w:val="both"/>
        <w:ind w:firstLine="338"/>
        <w:spacing w:after="0" w:line="283" w:lineRule="auto"/>
        <w:rPr>
          <w:sz w:val="20"/>
          <w:szCs w:val="20"/>
          <w:color w:val="auto"/>
        </w:rPr>
      </w:pPr>
      <w:r>
        <w:rPr>
          <w:rFonts w:ascii="Arial" w:cs="Arial" w:eastAsia="Arial" w:hAnsi="Arial"/>
          <w:sz w:val="14"/>
          <w:szCs w:val="14"/>
          <w:i w:val="1"/>
          <w:iCs w:val="1"/>
          <w:color w:val="auto"/>
        </w:rPr>
        <w:t>Hannover Reinsurance Transaction</w:t>
      </w:r>
      <w:r>
        <w:rPr>
          <w:rFonts w:ascii="Arial" w:cs="Arial" w:eastAsia="Arial" w:hAnsi="Arial"/>
          <w:sz w:val="14"/>
          <w:szCs w:val="14"/>
          <w:color w:val="auto"/>
        </w:rPr>
        <w:t>. FGL Insurance has a reinsurance agreement with Hannover Life Reassurance Company of America (Bermuda) Ltd. ("Hannover Re"), an</w:t>
      </w:r>
      <w:r>
        <w:rPr>
          <w:rFonts w:ascii="Arial" w:cs="Arial" w:eastAsia="Arial" w:hAnsi="Arial"/>
          <w:sz w:val="14"/>
          <w:szCs w:val="14"/>
          <w:i w:val="1"/>
          <w:iCs w:val="1"/>
          <w:color w:val="auto"/>
        </w:rPr>
        <w:t xml:space="preserve"> </w:t>
      </w:r>
      <w:r>
        <w:rPr>
          <w:rFonts w:ascii="Arial" w:cs="Arial" w:eastAsia="Arial" w:hAnsi="Arial"/>
          <w:sz w:val="14"/>
          <w:szCs w:val="14"/>
          <w:color w:val="auto"/>
        </w:rPr>
        <w:t>unaffiliated reinsurer, to reinsure an in-force block of its FIA and fixed deferred annuity contracts with GMWB and Guaranteed Minimum Death Benefit (“GMDB”) guarantees. In accordance with the terms of this agreement, we cede 70% net retention of secondary guarantee payments in excess of account value for GMWB and GMDB guarantees. The effects of this agreement are not accounted for as reinsurance as it does not satisfy the risk transfer requirements for GAAP; therefore, deposit accounting is applied.</w:t>
      </w:r>
    </w:p>
    <w:p>
      <w:pPr>
        <w:spacing w:after="0" w:line="29"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5"/>
          <w:szCs w:val="15"/>
          <w:i w:val="1"/>
          <w:iCs w:val="1"/>
          <w:color w:val="auto"/>
        </w:rPr>
        <w:t>Canada Life Transaction</w:t>
      </w:r>
      <w:r>
        <w:rPr>
          <w:rFonts w:ascii="Arial" w:cs="Arial" w:eastAsia="Arial" w:hAnsi="Arial"/>
          <w:sz w:val="15"/>
          <w:szCs w:val="15"/>
          <w:color w:val="auto"/>
        </w:rPr>
        <w:t>. Effective May 1, 2020, FGL Insurance entered into an indemnity reinsurance agreement with Canada Life Assurance Company United States Branch, a</w:t>
      </w:r>
      <w:r>
        <w:rPr>
          <w:rFonts w:ascii="Arial" w:cs="Arial" w:eastAsia="Arial" w:hAnsi="Arial"/>
          <w:sz w:val="15"/>
          <w:szCs w:val="15"/>
          <w:i w:val="1"/>
          <w:iCs w:val="1"/>
          <w:color w:val="auto"/>
        </w:rPr>
        <w:t xml:space="preserve"> </w:t>
      </w:r>
      <w:r>
        <w:rPr>
          <w:rFonts w:ascii="Arial" w:cs="Arial" w:eastAsia="Arial" w:hAnsi="Arial"/>
          <w:sz w:val="15"/>
          <w:szCs w:val="15"/>
          <w:color w:val="auto"/>
        </w:rPr>
        <w:t>third-party reinsurer, to reinsure FIA policies with GMWB. In accordance with the terms of this agreement, FGL Insurance cedes a quota share percentage of the net retention of guarantee payments in excess of account value for GMWB. The effects of this agreement are not accounted for as reinsurance as it does not satisfy the risk transfer requirements for GAAP; therefore, deposit accounting is applied.</w:t>
      </w:r>
    </w:p>
    <w:p>
      <w:pPr>
        <w:spacing w:after="0" w:line="47" w:lineRule="exact"/>
        <w:rPr>
          <w:sz w:val="20"/>
          <w:szCs w:val="20"/>
          <w:color w:val="auto"/>
        </w:rPr>
      </w:pPr>
    </w:p>
    <w:p>
      <w:pPr>
        <w:jc w:val="both"/>
        <w:ind w:firstLine="338"/>
        <w:spacing w:after="0" w:line="305" w:lineRule="auto"/>
        <w:rPr>
          <w:sz w:val="20"/>
          <w:szCs w:val="20"/>
          <w:color w:val="auto"/>
        </w:rPr>
      </w:pPr>
      <w:r>
        <w:rPr>
          <w:rFonts w:ascii="Arial" w:cs="Arial" w:eastAsia="Arial" w:hAnsi="Arial"/>
          <w:sz w:val="13"/>
          <w:szCs w:val="13"/>
          <w:i w:val="1"/>
          <w:iCs w:val="1"/>
          <w:color w:val="auto"/>
        </w:rPr>
        <w:t xml:space="preserve">Kubera Reinsurance Transactions. </w:t>
      </w:r>
      <w:r>
        <w:rPr>
          <w:rFonts w:ascii="Arial" w:cs="Arial" w:eastAsia="Arial" w:hAnsi="Arial"/>
          <w:sz w:val="13"/>
          <w:szCs w:val="13"/>
          <w:color w:val="auto"/>
        </w:rPr>
        <w:t>FGL Insurance entered into a reinsurance agreement with Kubera Insurance (SAC) Ltd. ("Kubera"), an unaffiliated reinsurer, effective December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31, 2018, to cede certain MYGA and deferred annuity GAAP and statutory reserves on a coinsurance funds withheld basis, net of applicable existing reinsurance. Effective October 31, 2021, this agreement was novated from Kubera to Somerset, a certified third party reinsurer. As the policies ceded to Somerset are investment contracts, there is no significant insurance risk present and therefore the reinsurance agreement is accounted for as a separate investment contract. The presentation of this agreement is similar to other reinsurance agreements that apply reinsurance accounting as discussed in further detail within </w:t>
      </w:r>
      <w:r>
        <w:rPr>
          <w:rFonts w:ascii="Arial" w:cs="Arial" w:eastAsia="Arial" w:hAnsi="Arial"/>
          <w:sz w:val="13"/>
          <w:szCs w:val="13"/>
          <w:i w:val="1"/>
          <w:iCs w:val="1"/>
          <w:color w:val="auto"/>
        </w:rPr>
        <w:t>Note O. Reinsurance</w:t>
      </w:r>
      <w:r>
        <w:rPr>
          <w:rFonts w:ascii="Arial" w:cs="Arial" w:eastAsia="Arial" w:hAnsi="Arial"/>
          <w:sz w:val="13"/>
          <w:szCs w:val="13"/>
          <w:color w:val="auto"/>
        </w:rPr>
        <w:t xml:space="preserve"> to our Consolidated Financial Statements included in Item 8 of Part II of this Annual Report.</w:t>
      </w:r>
    </w:p>
    <w:p>
      <w:pPr>
        <w:spacing w:after="0" w:line="19"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FGL Insurance has a reinsurance agreement with Kubera to cede certain FIA statutory reserves on a coinsurance funds withheld basis, net of applicable existing reinsurance. In accordance with the terms of this agreement, F&amp;G cedes a quota share percentage of FIA policies for certain issue years to Kubera. Effective October 31, 2021, this agreement was amended to increase the ceded reserves from approximately $4 billion to approximately $10 billion. As the policies ceded to Kubera are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3" w:name="page24"/>
    <w:bookmarkEnd w:id="2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investment contracts, there is no significant insurance risk present and therefore the reinsurance agreement is accounted for as a separate investment contract.</w:t>
      </w:r>
    </w:p>
    <w:p>
      <w:pPr>
        <w:spacing w:after="0" w:line="75" w:lineRule="exact"/>
        <w:rPr>
          <w:sz w:val="20"/>
          <w:szCs w:val="20"/>
          <w:color w:val="auto"/>
        </w:rPr>
      </w:pPr>
    </w:p>
    <w:p>
      <w:pPr>
        <w:jc w:val="both"/>
        <w:ind w:firstLine="338"/>
        <w:spacing w:after="0" w:line="283" w:lineRule="auto"/>
        <w:rPr>
          <w:sz w:val="20"/>
          <w:szCs w:val="20"/>
          <w:color w:val="auto"/>
        </w:rPr>
      </w:pPr>
      <w:r>
        <w:rPr>
          <w:rFonts w:ascii="Arial" w:cs="Arial" w:eastAsia="Arial" w:hAnsi="Arial"/>
          <w:sz w:val="14"/>
          <w:szCs w:val="14"/>
          <w:i w:val="1"/>
          <w:iCs w:val="1"/>
          <w:color w:val="auto"/>
        </w:rPr>
        <w:t xml:space="preserve">Aspida Re Transaction. </w:t>
      </w:r>
      <w:r>
        <w:rPr>
          <w:rFonts w:ascii="Arial" w:cs="Arial" w:eastAsia="Arial" w:hAnsi="Arial"/>
          <w:sz w:val="14"/>
          <w:szCs w:val="14"/>
          <w:color w:val="auto"/>
        </w:rPr>
        <w:t>FGL Insurance has a reinsurance agreement with Aspida Re, an unaffiliated reinsurer, to cede certain MYGA business, on a funds withheld coinsurance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basis, net of applicable existing reinsurance. As the policies ceded to Aspida Re are investment contracts, there is no significant insurance risk present and therefore the reinsurance agreement is accounted for as a separate investment contract. The presentation of this agreement is similar to other reinsurance agreements that apply reinsurance accounting as discussed in further detail within </w:t>
      </w:r>
      <w:r>
        <w:rPr>
          <w:rFonts w:ascii="Arial" w:cs="Arial" w:eastAsia="Arial" w:hAnsi="Arial"/>
          <w:sz w:val="14"/>
          <w:szCs w:val="14"/>
          <w:i w:val="1"/>
          <w:iCs w:val="1"/>
          <w:color w:val="auto"/>
        </w:rPr>
        <w:t>Note O. Reinsurance</w:t>
      </w:r>
      <w:r>
        <w:rPr>
          <w:rFonts w:ascii="Arial" w:cs="Arial" w:eastAsia="Arial" w:hAnsi="Arial"/>
          <w:sz w:val="14"/>
          <w:szCs w:val="14"/>
          <w:color w:val="auto"/>
        </w:rPr>
        <w:t xml:space="preserve"> to our Consolidated Financial Statements included in Item 8 of Part II of this Annual Report.</w:t>
      </w:r>
    </w:p>
    <w:p>
      <w:pPr>
        <w:spacing w:after="0" w:line="29"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i w:val="1"/>
          <w:iCs w:val="1"/>
          <w:color w:val="auto"/>
        </w:rPr>
        <w:t xml:space="preserve">The CARVM Facility. </w:t>
      </w:r>
      <w:r>
        <w:rPr>
          <w:rFonts w:ascii="Arial" w:cs="Arial" w:eastAsia="Arial" w:hAnsi="Arial"/>
          <w:sz w:val="15"/>
          <w:szCs w:val="15"/>
          <w:color w:val="auto"/>
        </w:rPr>
        <w:t>Life insurance companies operating in the United States must calculate required reserves for life and annuity policies based on statutory principles. The</w:t>
      </w:r>
      <w:r>
        <w:rPr>
          <w:rFonts w:ascii="Arial" w:cs="Arial" w:eastAsia="Arial" w:hAnsi="Arial"/>
          <w:sz w:val="15"/>
          <w:szCs w:val="15"/>
          <w:i w:val="1"/>
          <w:iCs w:val="1"/>
          <w:color w:val="auto"/>
        </w:rPr>
        <w:t xml:space="preserve"> </w:t>
      </w:r>
      <w:r>
        <w:rPr>
          <w:rFonts w:ascii="Arial" w:cs="Arial" w:eastAsia="Arial" w:hAnsi="Arial"/>
          <w:sz w:val="15"/>
          <w:szCs w:val="15"/>
          <w:color w:val="auto"/>
        </w:rPr>
        <w:t>insurance division has adopted the methodology contained in the NAIC Valuation Manual (VM) as the prescribed methodology for the insurance industry. The industry has reduced or eliminated redundancies thereby increasing capital using a variety of techniques including reserve facilities.</w:t>
      </w:r>
    </w:p>
    <w:p>
      <w:pPr>
        <w:spacing w:after="0" w:line="44"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4"/>
          <w:szCs w:val="14"/>
          <w:color w:val="auto"/>
        </w:rPr>
        <w:t>FGL Insurance has a reinsurance treaty with Raven Reinsurance Company ("Raven Re"), its wholly-owned captive reinsurance company, to cede the Commissioners Annuity Reserve Valuation Method (CARVM) liability for annuity benefits where surrender charges are waived. In connection with the CARVM reinsurance agreement, FGL Insurance and Raven Re entered into an agreement with Nomura Bank International plc (“NBI”) to establish a reserve financing facility in the form of a letter of credit issued by NBI. The financing facility has $85 million available to draw on as of December 31, 2021. The facility may terminate earlier than the current termination date of October 1, 2022, in accordance with the terms of the Reimbursement Agreement. Under the terms of the reimbursement agreement, in the event the letter of credit is drawn upon, Raven Re is required to repay the amounts utilized, and Fidelity &amp; Guaranty Life Holdings, Inc. ("FGLH") is obligated to repay the amounts utilized if Raven Re fails to make the required reimbursement. FGLH also is required to make capital contributions to Raven Re in the event that Raven Re’s statutory capital and surplus falls below certain defined levels. As of December 31, 2021 and December 31, 2020, Raven Re’s statutory capital and surplus was $62 million and $29 million, respectively, in excess of the minimum level required under the Reimbursement Agreement. As this letter of credit is provided by an unaffiliated financial institution, Raven Re is permitted to carry the letter of credit as an admitted asset on the Raven Re statutory balance sheet.</w:t>
      </w:r>
    </w:p>
    <w:p>
      <w:pPr>
        <w:spacing w:after="0" w:line="36" w:lineRule="exact"/>
        <w:rPr>
          <w:sz w:val="20"/>
          <w:szCs w:val="20"/>
          <w:color w:val="auto"/>
        </w:rPr>
      </w:pPr>
    </w:p>
    <w:p>
      <w:pPr>
        <w:jc w:val="both"/>
        <w:ind w:firstLine="372"/>
        <w:spacing w:after="0" w:line="254" w:lineRule="auto"/>
        <w:rPr>
          <w:sz w:val="20"/>
          <w:szCs w:val="20"/>
          <w:color w:val="auto"/>
        </w:rPr>
      </w:pPr>
      <w:r>
        <w:rPr>
          <w:rFonts w:ascii="Arial" w:cs="Arial" w:eastAsia="Arial" w:hAnsi="Arial"/>
          <w:sz w:val="15"/>
          <w:szCs w:val="15"/>
          <w:i w:val="1"/>
          <w:iCs w:val="1"/>
          <w:color w:val="auto"/>
        </w:rPr>
        <w:t xml:space="preserve">Regulation - U.S. </w:t>
      </w:r>
      <w:r>
        <w:rPr>
          <w:rFonts w:ascii="Arial" w:cs="Arial" w:eastAsia="Arial" w:hAnsi="Arial"/>
          <w:sz w:val="15"/>
          <w:szCs w:val="15"/>
          <w:color w:val="auto"/>
        </w:rPr>
        <w:t>FGL Insurance, Fidelity &amp; Guaranty Life Insurance Company of New York (“FGL NY Insurance”) and Raven Re are subject to comprehensive regulation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supervision in their domiciles, Iowa, New York and Vermont, respectively, and in each state in which they do business. FGL Insurance does business throughout the United States, except for New York. FGL NY Insurance only does business in New York. Raven Re is a special purpose captive reinsurance company that only provides reinsurance to FGL Insurance under the CARVM Treaty. FGL Insurance’s principal insurance regulatory authority is the Iowa Insurance Division ("IID"); however, state insurance departments throughout the United States also monitor FGL Insurance’s insurance operations as a licensed insurer. The New York State Department of Financial Services (“NYDFS”) regulates the operations of FGL NY Insurance. The purpose of these regulations is primarily to protect policyholders and beneficiaries and not general creditors and shareholders of those insurers. Many of the laws and regulations to which FGL Insurance and FGL NY Insurance are subject are regularly re-examined and existing or future laws and regulations may become more restrictive or otherwise adversely affect their operations.</w:t>
      </w:r>
    </w:p>
    <w:p>
      <w:pPr>
        <w:spacing w:after="0" w:line="50"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4"/>
          <w:szCs w:val="14"/>
          <w:color w:val="auto"/>
        </w:rPr>
        <w:t>Generally, insurance products underwritten by and rates used by FGL Insurance and FGL NY Insurance must be approved by the insurance regulators in each state in which they are sold. Those products are also substantially affected by federal and state tax laws. For example, changes in tax law could reduce or eliminate the tax-deferred accumulation of earnings on the deposits paid by the holders of annuities and life insurance products, which could make such products less attractive to potential purchasers. A shift away from life insurance and annuity products could reduce FGL Insurance’s and FGL NY Insurance’s income from the sale of such products, as well as the assets upon which FGL Insurance and FGL NY Insurance earn investment income. In addition, insurance products may also be subject to the Employee Retirement Income Security Act of 1974 ("ERISA").</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State insurance authorities have broad administrative powers over FGL Insurance and FGL NY Insurance with respect to all aspects of the insurance business including:</w:t>
      </w:r>
    </w:p>
    <w:p>
      <w:pPr>
        <w:spacing w:after="0" w:line="87" w:lineRule="exact"/>
        <w:rPr>
          <w:sz w:val="20"/>
          <w:szCs w:val="20"/>
          <w:color w:val="auto"/>
        </w:rPr>
      </w:pPr>
    </w:p>
    <w:p>
      <w:pPr>
        <w:ind w:left="520" w:hanging="158"/>
        <w:spacing w:after="0"/>
        <w:tabs>
          <w:tab w:leader="none" w:pos="5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licensing to transact business;</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licensing agents;</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prescribing which assets and liabilities are to be considered in determining statutory surplus;</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regulating premium rates for certain insurance products;</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approving policy forms and certain related materials;</w:t>
      </w:r>
    </w:p>
    <w:p>
      <w:pPr>
        <w:spacing w:after="0" w:line="75" w:lineRule="exact"/>
        <w:rPr>
          <w:rFonts w:ascii="Arial" w:cs="Arial" w:eastAsia="Arial" w:hAnsi="Arial"/>
          <w:sz w:val="15"/>
          <w:szCs w:val="15"/>
          <w:color w:val="auto"/>
        </w:rPr>
      </w:pPr>
    </w:p>
    <w:p>
      <w:pPr>
        <w:ind w:left="520" w:hanging="158"/>
        <w:spacing w:after="0"/>
        <w:tabs>
          <w:tab w:leader="none" w:pos="5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determining whether a reasonable basis exists as to the suitability of the annuity purchase recommendations producers make;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4" w:name="page25"/>
    <w:bookmarkEnd w:id="24"/>
    <w:p>
      <w:pPr>
        <w:ind w:left="1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0" w:hanging="158"/>
        <w:spacing w:after="0"/>
        <w:tabs>
          <w:tab w:leader="none" w:pos="53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regulating unfair trade and claims practices;</w:t>
      </w:r>
    </w:p>
    <w:p>
      <w:pPr>
        <w:spacing w:after="0" w:line="75" w:lineRule="exact"/>
        <w:rPr>
          <w:rFonts w:ascii="Arial" w:cs="Arial" w:eastAsia="Arial" w:hAnsi="Arial"/>
          <w:sz w:val="15"/>
          <w:szCs w:val="15"/>
          <w:color w:val="auto"/>
        </w:rPr>
      </w:pPr>
    </w:p>
    <w:p>
      <w:pPr>
        <w:ind w:left="530" w:hanging="158"/>
        <w:spacing w:after="0"/>
        <w:tabs>
          <w:tab w:leader="none" w:pos="53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establishing reserve requirements and solvency standards;</w:t>
      </w:r>
    </w:p>
    <w:p>
      <w:pPr>
        <w:spacing w:after="0" w:line="75" w:lineRule="exact"/>
        <w:rPr>
          <w:rFonts w:ascii="Arial" w:cs="Arial" w:eastAsia="Arial" w:hAnsi="Arial"/>
          <w:sz w:val="15"/>
          <w:szCs w:val="15"/>
          <w:color w:val="auto"/>
        </w:rPr>
      </w:pPr>
    </w:p>
    <w:p>
      <w:pPr>
        <w:ind w:left="530" w:hanging="158"/>
        <w:spacing w:after="0"/>
        <w:tabs>
          <w:tab w:leader="none" w:pos="53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regulating the amount of dividends that may be paid in any year;</w:t>
      </w:r>
    </w:p>
    <w:p>
      <w:pPr>
        <w:spacing w:after="0" w:line="75" w:lineRule="exact"/>
        <w:rPr>
          <w:rFonts w:ascii="Arial" w:cs="Arial" w:eastAsia="Arial" w:hAnsi="Arial"/>
          <w:sz w:val="15"/>
          <w:szCs w:val="15"/>
          <w:color w:val="auto"/>
        </w:rPr>
      </w:pPr>
    </w:p>
    <w:p>
      <w:pPr>
        <w:ind w:left="550" w:hanging="178"/>
        <w:spacing w:after="0" w:line="274" w:lineRule="auto"/>
        <w:tabs>
          <w:tab w:leader="none" w:pos="546"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regulating the availability of reinsurance or other substitute financing solutions, the terms thereof and the ability of an insurer to take credit on its financial statements for insurance ceded to reinsurers or other substitute financing solutions;</w:t>
      </w:r>
    </w:p>
    <w:p>
      <w:pPr>
        <w:spacing w:after="0" w:line="34" w:lineRule="exact"/>
        <w:rPr>
          <w:rFonts w:ascii="Arial" w:cs="Arial" w:eastAsia="Arial" w:hAnsi="Arial"/>
          <w:sz w:val="15"/>
          <w:szCs w:val="15"/>
          <w:color w:val="auto"/>
        </w:rPr>
      </w:pPr>
    </w:p>
    <w:p>
      <w:pPr>
        <w:ind w:left="530" w:hanging="158"/>
        <w:spacing w:after="0"/>
        <w:tabs>
          <w:tab w:leader="none" w:pos="53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fixing maximum interest rates on life insurance policy loans and minimum accumulation or surrender values; and</w:t>
      </w:r>
    </w:p>
    <w:p>
      <w:pPr>
        <w:spacing w:after="0" w:line="75" w:lineRule="exact"/>
        <w:rPr>
          <w:rFonts w:ascii="Arial" w:cs="Arial" w:eastAsia="Arial" w:hAnsi="Arial"/>
          <w:sz w:val="15"/>
          <w:szCs w:val="15"/>
          <w:color w:val="auto"/>
        </w:rPr>
      </w:pPr>
    </w:p>
    <w:p>
      <w:pPr>
        <w:ind w:left="530" w:hanging="158"/>
        <w:spacing w:after="0"/>
        <w:tabs>
          <w:tab w:leader="none" w:pos="53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regulating the type, amounts, and valuations of investments permitted, transactions with affiliates, and other matters.</w:t>
      </w:r>
    </w:p>
    <w:p>
      <w:pPr>
        <w:spacing w:after="0" w:line="75" w:lineRule="exact"/>
        <w:rPr>
          <w:sz w:val="20"/>
          <w:szCs w:val="20"/>
          <w:color w:val="auto"/>
        </w:rPr>
      </w:pPr>
    </w:p>
    <w:p>
      <w:pPr>
        <w:jc w:val="both"/>
        <w:ind w:left="10" w:firstLine="372"/>
        <w:spacing w:after="0" w:line="290" w:lineRule="auto"/>
        <w:rPr>
          <w:sz w:val="20"/>
          <w:szCs w:val="20"/>
          <w:color w:val="auto"/>
        </w:rPr>
      </w:pPr>
      <w:r>
        <w:rPr>
          <w:rFonts w:ascii="Arial" w:cs="Arial" w:eastAsia="Arial" w:hAnsi="Arial"/>
          <w:sz w:val="14"/>
          <w:szCs w:val="14"/>
          <w:color w:val="auto"/>
        </w:rPr>
        <w:t>State insurance laws and regulations require FGL Insurance, FGL NY Insurance and Raven Re to file reports, including financial statements, with state insurance departments in each state in which they do business, and their operations and accounts are subject to examination by those departments at any time. FGL Insurance, FGL NY Insurance and Raven Re prepare statutory financial statements in accordance with accounting practices and procedures prescribed or permitted by these departments.</w:t>
      </w:r>
    </w:p>
    <w:p>
      <w:pPr>
        <w:spacing w:after="0" w:line="25" w:lineRule="exact"/>
        <w:rPr>
          <w:sz w:val="20"/>
          <w:szCs w:val="20"/>
          <w:color w:val="auto"/>
        </w:rPr>
      </w:pPr>
    </w:p>
    <w:p>
      <w:pPr>
        <w:jc w:val="both"/>
        <w:ind w:left="10" w:firstLine="372"/>
        <w:spacing w:after="0" w:line="254" w:lineRule="auto"/>
        <w:rPr>
          <w:sz w:val="20"/>
          <w:szCs w:val="20"/>
          <w:color w:val="auto"/>
        </w:rPr>
      </w:pPr>
      <w:r>
        <w:rPr>
          <w:rFonts w:ascii="Arial" w:cs="Arial" w:eastAsia="Arial" w:hAnsi="Arial"/>
          <w:sz w:val="15"/>
          <w:szCs w:val="15"/>
          <w:color w:val="auto"/>
        </w:rPr>
        <w:t>The NAIC has approved a series of statutory accounting principles and various model regulations that have been adopted, in some cases with certain modifications, by all state insurance departments. These statutory principles are subject to ongoing change and modification. Moreover, compliance with any particular regulator’s interpretation of a legal or accounting issue may not result in compliance with another regulator’s interpretation of the same issue, particularly when compliance is judged in hindsight. Any particular regulator’s interpretation of a legal or accounting issue may change over time to FGL Insurance’s or FGL NY Insurance’s detriment, or changes to the overall legal or market environment, even absent any change of interpretation by a particular regulator, may cause FGL Insurance and FGL NY Insurance to change their views regarding the actions they need to take from a legal risk management perspective, which could necessitate changes to FGL Insurance’s or FGL NY Insurance’s practices that may, in some cases, limit their ability to grow and improve profitability.</w:t>
      </w:r>
    </w:p>
    <w:p>
      <w:pPr>
        <w:spacing w:after="0" w:line="52" w:lineRule="exact"/>
        <w:rPr>
          <w:sz w:val="20"/>
          <w:szCs w:val="20"/>
          <w:color w:val="auto"/>
        </w:rPr>
      </w:pPr>
    </w:p>
    <w:p>
      <w:pPr>
        <w:jc w:val="both"/>
        <w:ind w:left="10" w:firstLine="372"/>
        <w:spacing w:after="0" w:line="321" w:lineRule="auto"/>
        <w:rPr>
          <w:sz w:val="20"/>
          <w:szCs w:val="20"/>
          <w:color w:val="auto"/>
        </w:rPr>
      </w:pPr>
      <w:r>
        <w:rPr>
          <w:rFonts w:ascii="Arial" w:cs="Arial" w:eastAsia="Arial" w:hAnsi="Arial"/>
          <w:sz w:val="13"/>
          <w:szCs w:val="13"/>
          <w:color w:val="auto"/>
        </w:rPr>
        <w:t>State insurance departments conduct periodic examinations of the books and records, financial reporting, policy and rate filings, market conduct and business practices of insurance companies domiciled in their states, generally once every three to five years. Examinations are generally carried out in cooperation with the insurance departments of other states under guidelines promulgated by the NAIC. State insurance departments also have the authority to conduct examinations of non-domiciliary insurers that are licensed in their states.</w:t>
      </w:r>
    </w:p>
    <w:p>
      <w:pPr>
        <w:spacing w:after="0" w:line="9" w:lineRule="exact"/>
        <w:rPr>
          <w:sz w:val="20"/>
          <w:szCs w:val="20"/>
          <w:color w:val="auto"/>
        </w:rPr>
      </w:pPr>
    </w:p>
    <w:p>
      <w:pPr>
        <w:ind w:left="370"/>
        <w:spacing w:after="0"/>
        <w:rPr>
          <w:sz w:val="20"/>
          <w:szCs w:val="20"/>
          <w:color w:val="auto"/>
        </w:rPr>
      </w:pPr>
      <w:r>
        <w:rPr>
          <w:rFonts w:ascii="Arial" w:cs="Arial" w:eastAsia="Arial" w:hAnsi="Arial"/>
          <w:sz w:val="14"/>
          <w:szCs w:val="14"/>
          <w:color w:val="auto"/>
        </w:rPr>
        <w:t>The Iowa insurance law and the New York insurance law regulate the amount of dividends that may be paid in any year by FGL Insurance and FGL NY Insurance, respectively.</w:t>
      </w:r>
    </w:p>
    <w:p>
      <w:pPr>
        <w:spacing w:after="0" w:line="87" w:lineRule="exact"/>
        <w:rPr>
          <w:sz w:val="20"/>
          <w:szCs w:val="20"/>
          <w:color w:val="auto"/>
        </w:rPr>
      </w:pPr>
    </w:p>
    <w:p>
      <w:pPr>
        <w:jc w:val="both"/>
        <w:ind w:left="10" w:right="20" w:firstLine="372"/>
        <w:spacing w:after="0" w:line="262" w:lineRule="auto"/>
        <w:rPr>
          <w:sz w:val="20"/>
          <w:szCs w:val="20"/>
          <w:color w:val="auto"/>
        </w:rPr>
      </w:pPr>
      <w:r>
        <w:rPr>
          <w:rFonts w:ascii="Arial" w:cs="Arial" w:eastAsia="Arial" w:hAnsi="Arial"/>
          <w:sz w:val="15"/>
          <w:szCs w:val="15"/>
          <w:color w:val="auto"/>
        </w:rPr>
        <w:t>Each year, FGL NY Insurance may pay a certain limited amount of ordinary dividends or other distributions without being required to obtain the prior consent of or the NYDFS. However, to pay any dividends or distributions (including the payment of any dividends or distributions for which prior consent is not required), FGL NY Insurance must provide advance written notice to the NYDFS.</w:t>
      </w:r>
    </w:p>
    <w:p>
      <w:pPr>
        <w:spacing w:after="0" w:line="44" w:lineRule="exact"/>
        <w:rPr>
          <w:sz w:val="20"/>
          <w:szCs w:val="20"/>
          <w:color w:val="auto"/>
        </w:rPr>
      </w:pPr>
    </w:p>
    <w:p>
      <w:pPr>
        <w:ind w:left="370"/>
        <w:spacing w:after="0"/>
        <w:rPr>
          <w:sz w:val="20"/>
          <w:szCs w:val="20"/>
          <w:color w:val="auto"/>
        </w:rPr>
      </w:pPr>
      <w:r>
        <w:rPr>
          <w:rFonts w:ascii="Arial" w:cs="Arial" w:eastAsia="Arial" w:hAnsi="Arial"/>
          <w:sz w:val="14"/>
          <w:szCs w:val="14"/>
          <w:color w:val="auto"/>
        </w:rPr>
        <w:t>Pursuant to Iowa insurance law, ordinary dividends are payments, together with all other such payments within the preceding twelve months, that do not exceed the greater of</w:t>
      </w:r>
    </w:p>
    <w:p>
      <w:pPr>
        <w:spacing w:after="0" w:line="29" w:lineRule="exact"/>
        <w:rPr>
          <w:sz w:val="20"/>
          <w:szCs w:val="20"/>
          <w:color w:val="auto"/>
        </w:rPr>
      </w:pPr>
    </w:p>
    <w:p>
      <w:pPr>
        <w:ind w:left="10" w:right="20" w:hanging="10"/>
        <w:spacing w:after="0" w:line="261" w:lineRule="auto"/>
        <w:tabs>
          <w:tab w:leader="none" w:pos="194" w:val="left"/>
        </w:tabs>
        <w:numPr>
          <w:ilvl w:val="0"/>
          <w:numId w:val="19"/>
        </w:numPr>
        <w:rPr>
          <w:rFonts w:ascii="Arial" w:cs="Arial" w:eastAsia="Arial" w:hAnsi="Arial"/>
          <w:sz w:val="15"/>
          <w:szCs w:val="15"/>
          <w:color w:val="auto"/>
        </w:rPr>
      </w:pPr>
      <w:r>
        <w:rPr>
          <w:rFonts w:ascii="Arial" w:cs="Arial" w:eastAsia="Arial" w:hAnsi="Arial"/>
          <w:sz w:val="15"/>
          <w:szCs w:val="15"/>
          <w:color w:val="auto"/>
        </w:rPr>
        <w:t>10% of FGL Insurance’s statutory surplus as regards policyholders as of December 31 of the preceding year; or (ii) the net gain from operations of FGL Insurance (excluding realized capital gains) for the 12-month period ending December 31 of the preceding year.</w:t>
      </w:r>
    </w:p>
    <w:p>
      <w:pPr>
        <w:spacing w:after="0" w:line="43" w:lineRule="exact"/>
        <w:rPr>
          <w:sz w:val="20"/>
          <w:szCs w:val="20"/>
          <w:color w:val="auto"/>
        </w:rPr>
      </w:pPr>
    </w:p>
    <w:p>
      <w:pPr>
        <w:jc w:val="both"/>
        <w:ind w:left="10" w:firstLine="372"/>
        <w:spacing w:after="0" w:line="258" w:lineRule="auto"/>
        <w:rPr>
          <w:sz w:val="20"/>
          <w:szCs w:val="20"/>
          <w:color w:val="auto"/>
        </w:rPr>
      </w:pPr>
      <w:r>
        <w:rPr>
          <w:rFonts w:ascii="Arial" w:cs="Arial" w:eastAsia="Arial" w:hAnsi="Arial"/>
          <w:sz w:val="15"/>
          <w:szCs w:val="15"/>
          <w:color w:val="auto"/>
        </w:rPr>
        <w:t>Dividends in excess of FGL Insurance’s ordinary dividend capacity are referred to as extraordinary and require prior approval of the Iowa Commissioner. In deciding whether to approve a request to pay an extraordinary dividend, Iowa insurance law requires the Iowa Commissioner to consider the effect of the dividend payment on FGL Insurance’s surplus and financial condition generally and whether the payment of the dividend will cause FGL Insurance to fail to meet its required RBC ratio. Dividends may only be paid out of statutory earned surplus.</w:t>
      </w:r>
    </w:p>
    <w:p>
      <w:pPr>
        <w:spacing w:after="0" w:line="2" w:lineRule="exact"/>
        <w:rPr>
          <w:sz w:val="20"/>
          <w:szCs w:val="20"/>
          <w:color w:val="auto"/>
        </w:rPr>
      </w:pPr>
    </w:p>
    <w:p>
      <w:pPr>
        <w:jc w:val="both"/>
        <w:ind w:left="10" w:firstLine="372"/>
        <w:spacing w:after="0" w:line="302" w:lineRule="auto"/>
        <w:rPr>
          <w:sz w:val="20"/>
          <w:szCs w:val="20"/>
          <w:color w:val="auto"/>
        </w:rPr>
      </w:pPr>
      <w:r>
        <w:rPr>
          <w:rFonts w:ascii="Arial" w:cs="Arial" w:eastAsia="Arial" w:hAnsi="Arial"/>
          <w:sz w:val="13"/>
          <w:szCs w:val="13"/>
          <w:color w:val="auto"/>
        </w:rPr>
        <w:t>Any payment of dividends by FGL Insurance is subject to the regulatory restrictions described above and the approval of such payment by the board of directors of FGL Insurance, which must consider various factors, including general economic and business conditions, tax considerations, FGL Insurance’s strategic plans, financial results and condition, FGL Insurance’s expansion plans, any contractual, legal or regulatory restrictions on the payment of dividends and its effect on RBC and such other factors the board of directors of FGL Insurance considers relevant. For example, payments of dividends could reduce FGL Insurance’s RBC and financial condition and lead to a reduction in FGL Insurance’s financial strength rating. See section titled "Risks Relating to Our Business-A financial strength ratings downgrade, potential downgrade, or any other negative action by a rating agency could make our products less attractive and increase our cost of capital, and thereby adversely affect our financial condition and results of operations” in Item 1A. Risk Factors.</w:t>
      </w:r>
    </w:p>
    <w:p>
      <w:pPr>
        <w:spacing w:after="0" w:line="21" w:lineRule="exact"/>
        <w:rPr>
          <w:sz w:val="20"/>
          <w:szCs w:val="20"/>
          <w:color w:val="auto"/>
        </w:rPr>
      </w:pPr>
    </w:p>
    <w:p>
      <w:pPr>
        <w:ind w:left="370"/>
        <w:spacing w:after="0"/>
        <w:rPr>
          <w:sz w:val="20"/>
          <w:szCs w:val="20"/>
          <w:color w:val="auto"/>
        </w:rPr>
      </w:pPr>
      <w:r>
        <w:rPr>
          <w:rFonts w:ascii="Arial" w:cs="Arial" w:eastAsia="Arial" w:hAnsi="Arial"/>
          <w:sz w:val="15"/>
          <w:szCs w:val="15"/>
          <w:color w:val="auto"/>
        </w:rPr>
        <w:t>FGL NY Insurance has historically not paid dividends.</w:t>
      </w:r>
    </w:p>
    <w:p>
      <w:pPr>
        <w:spacing w:after="0" w:line="200" w:lineRule="exact"/>
        <w:rPr>
          <w:sz w:val="20"/>
          <w:szCs w:val="20"/>
          <w:color w:val="auto"/>
        </w:rPr>
      </w:pPr>
    </w:p>
    <w:p>
      <w:pPr>
        <w:spacing w:after="0" w:line="371"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8058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70"/>
          </w:cols>
          <w:pgMar w:left="310" w:top="129" w:right="319" w:bottom="1440" w:gutter="0" w:footer="0" w:header="0"/>
        </w:sectPr>
      </w:pPr>
    </w:p>
    <w:bookmarkStart w:id="25" w:name="page26"/>
    <w:bookmarkEnd w:id="2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372"/>
        <w:spacing w:after="0" w:line="262" w:lineRule="auto"/>
        <w:rPr>
          <w:sz w:val="20"/>
          <w:szCs w:val="20"/>
          <w:color w:val="auto"/>
        </w:rPr>
      </w:pPr>
      <w:r>
        <w:rPr>
          <w:rFonts w:ascii="Arial" w:cs="Arial" w:eastAsia="Arial" w:hAnsi="Arial"/>
          <w:sz w:val="15"/>
          <w:szCs w:val="15"/>
          <w:color w:val="auto"/>
        </w:rPr>
        <w:t>FGL Insurance and FGL NY Insurance are subject to the supervision of the regulators in states where they are licensed to transact business. Regulators have discretionary authority in connection with the continuing licensing of these entities to limit or prohibit sales to policyholders if, in their judgment, the regulators determine that such entities have not maintained the minimum surplus or capital or that the further transaction of business will be hazardous to policyholders.</w:t>
      </w:r>
    </w:p>
    <w:p>
      <w:pPr>
        <w:spacing w:after="0" w:line="44" w:lineRule="exact"/>
        <w:rPr>
          <w:sz w:val="20"/>
          <w:szCs w:val="20"/>
          <w:color w:val="auto"/>
        </w:rPr>
      </w:pPr>
    </w:p>
    <w:p>
      <w:pPr>
        <w:jc w:val="both"/>
        <w:ind w:firstLine="372"/>
        <w:spacing w:after="0" w:line="274" w:lineRule="auto"/>
        <w:rPr>
          <w:sz w:val="20"/>
          <w:szCs w:val="20"/>
          <w:color w:val="auto"/>
        </w:rPr>
      </w:pPr>
      <w:r>
        <w:rPr>
          <w:rFonts w:ascii="Arial" w:cs="Arial" w:eastAsia="Arial" w:hAnsi="Arial"/>
          <w:sz w:val="14"/>
          <w:szCs w:val="14"/>
          <w:color w:val="auto"/>
        </w:rPr>
        <w:t>In order to enhance the regulation of insurers’ solvency, the NAIC adopted a model law to implement RBC requirements for life, health and property and casualty insurance companies. All states have adopted the NAIC’s model law or a substantially similar law. RBC is used to evaluate the adequacy of capital and surplus maintained by an insurance company in relation to risks associated with: (i) asset risk, (ii) insurance risk, (iii) interest rate risk, and (iv) business risk. In general, RBC is calculated by applying factors to various asset, premium and reserve items, taking into account the risk characteristics of the insurer. Within a given risk category, these factors are higher for those items with greater underlying risk and lower for items with lower underlying risk. The RBC formula is used as an early warning regulatory tool to identify possible inadequately capitalized insurers for purposes of initiating regulatory action, and not as a means to rank insurers generally. Insurers that have less statutory capital than the RBC calculation requires are considered to have inadequate capital and are subject to varying degrees of regulatory action depending upon the level of capital inadequacy. As of the most recent annual statutory financial statements filed with insurance regulators, the RBC ratios for FGL Insurance and FGL NY Insurance each exceeded the minimum RBC requirements.</w:t>
      </w:r>
    </w:p>
    <w:p>
      <w:pPr>
        <w:spacing w:after="0" w:line="39"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5"/>
          <w:szCs w:val="15"/>
          <w:color w:val="auto"/>
        </w:rPr>
        <w:t>It is desirable to maintain an RBC ratio in excess of the minimum requirements in order to maintain or improve our financial strength ratings. We ended the year with an RBC ratio above our 400% target for FGL Insurance. See section titled “Risks Relating to Our Business-A financial strength ratings downgrade, potential downgrade, or any other negative action by a rating agency, could make our product offerings less attractive and increase our cost of capital, and thereby adversely affect our financial condition and results of operations” in Item 1A. Risk Factors.</w:t>
      </w:r>
    </w:p>
    <w:p>
      <w:pPr>
        <w:spacing w:after="0" w:line="47" w:lineRule="exact"/>
        <w:rPr>
          <w:sz w:val="20"/>
          <w:szCs w:val="20"/>
          <w:color w:val="auto"/>
        </w:rPr>
      </w:pPr>
    </w:p>
    <w:p>
      <w:pPr>
        <w:jc w:val="both"/>
        <w:ind w:firstLine="372"/>
        <w:spacing w:after="0" w:line="296" w:lineRule="auto"/>
        <w:rPr>
          <w:sz w:val="20"/>
          <w:szCs w:val="20"/>
          <w:color w:val="auto"/>
        </w:rPr>
      </w:pPr>
      <w:r>
        <w:rPr>
          <w:rFonts w:ascii="Arial" w:cs="Arial" w:eastAsia="Arial" w:hAnsi="Arial"/>
          <w:sz w:val="13"/>
          <w:szCs w:val="13"/>
          <w:color w:val="auto"/>
        </w:rPr>
        <w:t>The NAIC has developed a set of financial relationships or tests known as the Insurance Regulatory Information System ("IRIS") to assist state regulators in monitoring the financial condition of U.S. insurance companies and identifying companies that require special attention or action by insurance regulatory authorities. A ratio falling outside the prescribed “usual range” is not considered a failing result. Rather, unusual values are viewed as part of the regulatory early monitoring system. In many cases, it is not unusual for financially sound companies to have one or more ratios that fall outside the usual range. Insurance companies generally submit data annually to the NAIC, which in turn analyzes the data using prescribed financial data ratios, each with defined “usual ranges”. Generally, regulators will begin to investigate or monitor an insurance company if its ratios fall outside the usual ranges for four or more of the ratios. IRIS consists of a statistical phase and an analytical phase whereby financial examiners review insurers’ annual statements and financial ratios. The statistical phase consists of 12 key financial ratios based on year-end data that are generated from the NAIC database annually; each ratio has a “usual range” of results. As of December 31, 2021, FGL Insurance, FGL NY Insurance and Raven Re had two, three and two ratios outside the usual range, respectively. The IRIS ratios for total affiliated investments to capital and surplus and change in premium for FGL Insurance were outside the usual range. The IRIS ratios for change in premium, change in product mix, and change in reserving ratio for FGL NY Insurance were outside the usual range. The IRIS ratios for change in premium and adequacy of investment income for Raven Re were outside the usual range.</w:t>
      </w:r>
    </w:p>
    <w:p>
      <w:pPr>
        <w:spacing w:after="0" w:line="27" w:lineRule="exact"/>
        <w:rPr>
          <w:sz w:val="20"/>
          <w:szCs w:val="20"/>
          <w:color w:val="auto"/>
        </w:rPr>
      </w:pPr>
    </w:p>
    <w:p>
      <w:pPr>
        <w:jc w:val="both"/>
        <w:ind w:right="20" w:firstLine="372"/>
        <w:spacing w:after="0" w:line="274" w:lineRule="auto"/>
        <w:rPr>
          <w:sz w:val="20"/>
          <w:szCs w:val="20"/>
          <w:color w:val="auto"/>
        </w:rPr>
      </w:pPr>
      <w:r>
        <w:rPr>
          <w:rFonts w:ascii="Arial" w:cs="Arial" w:eastAsia="Arial" w:hAnsi="Arial"/>
          <w:sz w:val="15"/>
          <w:szCs w:val="15"/>
          <w:color w:val="auto"/>
        </w:rPr>
        <w:t>In all instances in prior years, regulators have been satisfied upon follow-up that no regulatory action was required. FGL Insurance, FGL NY Insurance and Raven Re are not currently subject to regulatory restrictions based on these ratios.</w:t>
      </w:r>
    </w:p>
    <w:p>
      <w:pPr>
        <w:spacing w:after="0" w:line="34" w:lineRule="exact"/>
        <w:rPr>
          <w:sz w:val="20"/>
          <w:szCs w:val="20"/>
          <w:color w:val="auto"/>
        </w:rPr>
      </w:pPr>
    </w:p>
    <w:p>
      <w:pPr>
        <w:jc w:val="both"/>
        <w:ind w:firstLine="372"/>
        <w:spacing w:after="0" w:line="283" w:lineRule="auto"/>
        <w:rPr>
          <w:sz w:val="20"/>
          <w:szCs w:val="20"/>
          <w:color w:val="auto"/>
        </w:rPr>
      </w:pPr>
      <w:r>
        <w:rPr>
          <w:rFonts w:ascii="Arial" w:cs="Arial" w:eastAsia="Arial" w:hAnsi="Arial"/>
          <w:sz w:val="14"/>
          <w:szCs w:val="14"/>
          <w:color w:val="auto"/>
        </w:rPr>
        <w:t>State insurance laws require insurers to analyze the adequacy of reserves. The respective appointed actuaries for FGL Insurance, FGL NY Insurance and Raven Re must each submit an opinion on an annual basis that their respective reserves, when considered in light of the respective assets FGL Insurance, FGL NY Insurance and Raven Re hold with respect to those reserves, make adequate provision for the contractual obligations and related expenses of FGL Insurance, FGL NY Insurance and Raven Re. FGL Insurance, FGL NY Insurance and Raven Re have filed all of the required opinions with the insurance departments in the states in which they do business.</w:t>
      </w:r>
    </w:p>
    <w:p>
      <w:pPr>
        <w:spacing w:after="0" w:line="29" w:lineRule="exact"/>
        <w:rPr>
          <w:sz w:val="20"/>
          <w:szCs w:val="20"/>
          <w:color w:val="auto"/>
        </w:rPr>
      </w:pPr>
    </w:p>
    <w:p>
      <w:pPr>
        <w:jc w:val="both"/>
        <w:ind w:firstLine="372"/>
        <w:spacing w:after="0" w:line="274" w:lineRule="auto"/>
        <w:rPr>
          <w:sz w:val="20"/>
          <w:szCs w:val="20"/>
          <w:color w:val="auto"/>
        </w:rPr>
      </w:pPr>
      <w:r>
        <w:rPr>
          <w:rFonts w:ascii="Arial" w:cs="Arial" w:eastAsia="Arial" w:hAnsi="Arial"/>
          <w:sz w:val="14"/>
          <w:szCs w:val="14"/>
          <w:color w:val="auto"/>
        </w:rPr>
        <w:t>States regulate the extent to which insurers are permitted to take credit on their financial statements for the financial obligations that the insurers cede to reinsurers. Where an insurer cedes obligations to a reinsurer that is neither licensed nor accredited by the state insurance department, the ceding insurer is not permitted to take such financial statement credit unless the unlicensed or unaccredited reinsurer secures the liabilities it will owe under the reinsurance contract. Under the laws regulating credit for reinsurance issued by such unlicensed or unaccredited reinsurers, the permissible means of securing such liabilities are (i) the establishment of a trust account by the reinsurer to hold certain qualifying assets in a qualified U.S. financial institution, such as a member of the Federal Reserve, with the ceding insurer as the exclusive beneficiary of such trust account with the unconditional right to demand, without notice to the reinsurer, that the trustee pay over to it the assets in the trust account equal to the liabilities owed by the reinsurer; (ii) the posting of an unconditional and irrevocable letter of credit by a qualified U.S. financial institution in favor of the ceding company allowing the ceding company to draw upon the letter of credit up to the amount of the unpaid liabilities of the reinsurer and (iii) a “funds withheld” arrangement by which the ceding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6" w:name="page27"/>
    <w:bookmarkEnd w:id="2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company withholds transfer to the reinsurer of the assets, which support the liabilities to be owed by the reinsurer, with the ceding insurer retaining title to and exclusive control over such assets. In addition, on January 1, 2014, the NAIC Model Credit for Reinsurance Act became effective in Iowa, which adds the concept of “certified reinsurer”, whereby a ceding insurer may take financial statement credit for reinsurance provided by an unaccredited and unlicensed reinsurer, which has been certified by the Iowa Commissioner. The Iowa Commissioner certifies reinsurers based on several factors, including their financial strength ratings, and imposes collateral requirements based on such factors. Effective January 1, 2020 reciprocal jurisdiction was added and adopted in Iowa. FGL Insurance and FGL NY Insurance are subject to such credit for reinsurance rules in Iowa and New York, respectively, insofar as they enter into any reinsurance contracts with reinsurers that are neither licensed nor accredited in Iowa and New York, respectively.</w:t>
      </w:r>
    </w:p>
    <w:p>
      <w:pPr>
        <w:spacing w:after="0" w:line="34"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5"/>
          <w:szCs w:val="15"/>
          <w:color w:val="auto"/>
        </w:rPr>
        <w:t>F&amp;G, as the parent company of FGL Insurance and the indirect parent company of FGL NY Insurance, is subject to the insurance holding company laws in Iowa and New York. These laws generally require each insurance company directly or indirectly owned by the holding company to register with the insurance department in the insurance company’s state of domicile and to furnish annually financial and other information about the operations of companies within the holding company system. Generally, all transactions between insurers and affiliates within the holding company system are subject to regulation and must be fair and reasonable, and may require prior notice and approval or non-disapproval by its domiciliary insurance regulator.</w:t>
      </w:r>
    </w:p>
    <w:p>
      <w:pPr>
        <w:spacing w:after="0" w:line="49" w:lineRule="exact"/>
        <w:rPr>
          <w:sz w:val="20"/>
          <w:szCs w:val="20"/>
          <w:color w:val="auto"/>
        </w:rPr>
      </w:pPr>
    </w:p>
    <w:p>
      <w:pPr>
        <w:jc w:val="both"/>
        <w:ind w:firstLine="372"/>
        <w:spacing w:after="0" w:line="298" w:lineRule="auto"/>
        <w:rPr>
          <w:sz w:val="20"/>
          <w:szCs w:val="20"/>
          <w:color w:val="auto"/>
        </w:rPr>
      </w:pPr>
      <w:r>
        <w:rPr>
          <w:rFonts w:ascii="Arial" w:cs="Arial" w:eastAsia="Arial" w:hAnsi="Arial"/>
          <w:sz w:val="13"/>
          <w:szCs w:val="13"/>
          <w:color w:val="auto"/>
        </w:rPr>
        <w:t>Most states, including Iowa and New York, have insurance laws that require regulatory approval of a direct or indirect change of control of an insurer or an insurer’s holding company. Such laws prevent any person from acquiring control, directly or indirectly, of F&amp;G Annuities &amp; Life, FGL US Holdings, CF Bermuda, FGLH, FGL Insurance or FGL NY Insurance unless that person has filed a statement with specified information with the insurance regulators and has obtained their prior approval. In addition, investors deemed to have a direct or indirect controlling interest are required to make regulatory filings and respond to regulatory inquiries. Under most states’ statutes, including those of Iowa and New York, acquiring 10% or more of the voting stock of an insurance company or its parent company is presumptively considered a change of control, although such presumption may be rebutted. Accordingly, any person who acquires 10% or more of our voting securities or that of F&amp;G Annuities &amp; Life, FGL US Holdings, CF Bermuda, FGLH, FGL Insurance or FGL NY Insurance without the prior approval of the insurance regulators of Iowa and New York will be in violation of those states’ laws and may be subject to injunctive action requiring the disposition or seizure of those securities by the relevant insurance regulator or prohibiting the voting of those securities and to other actions determined by the relevant insurance regulator.</w:t>
      </w:r>
    </w:p>
    <w:p>
      <w:pPr>
        <w:spacing w:after="0" w:line="25" w:lineRule="exact"/>
        <w:rPr>
          <w:sz w:val="20"/>
          <w:szCs w:val="20"/>
          <w:color w:val="auto"/>
        </w:rPr>
      </w:pPr>
    </w:p>
    <w:p>
      <w:pPr>
        <w:jc w:val="both"/>
        <w:ind w:firstLine="372"/>
        <w:spacing w:after="0" w:line="311" w:lineRule="auto"/>
        <w:rPr>
          <w:sz w:val="20"/>
          <w:szCs w:val="20"/>
          <w:color w:val="auto"/>
        </w:rPr>
      </w:pPr>
      <w:r>
        <w:rPr>
          <w:rFonts w:ascii="Arial" w:cs="Arial" w:eastAsia="Arial" w:hAnsi="Arial"/>
          <w:sz w:val="13"/>
          <w:szCs w:val="13"/>
          <w:color w:val="auto"/>
        </w:rPr>
        <w:t>Each state has insurance guaranty association laws under which insurers doing business in the state may be assessed by state insurance guaranty associations for certain obligations of insolvent insurance companies to policyholders and claimants. Typically, states assess each member insurer in an amount related to the member insurer’s proportionate share of the business written by all member insurers in the state. Although no prediction can be made as to the amount and timing of any future assessments under these laws, FGL Insurance and FGL NY Insurance have established reserves that they believe are adequate for assessments relating to insurance companies that are currently subject to insolvency proceedings.</w:t>
      </w:r>
    </w:p>
    <w:p>
      <w:pPr>
        <w:spacing w:after="0" w:line="14" w:lineRule="exact"/>
        <w:rPr>
          <w:sz w:val="20"/>
          <w:szCs w:val="20"/>
          <w:color w:val="auto"/>
        </w:rPr>
      </w:pPr>
    </w:p>
    <w:p>
      <w:pPr>
        <w:jc w:val="both"/>
        <w:ind w:firstLine="372"/>
        <w:spacing w:after="0" w:line="302" w:lineRule="auto"/>
        <w:rPr>
          <w:sz w:val="20"/>
          <w:szCs w:val="20"/>
          <w:color w:val="auto"/>
        </w:rPr>
      </w:pPr>
      <w:r>
        <w:rPr>
          <w:rFonts w:ascii="Arial" w:cs="Arial" w:eastAsia="Arial" w:hAnsi="Arial"/>
          <w:sz w:val="13"/>
          <w:szCs w:val="13"/>
          <w:color w:val="auto"/>
        </w:rPr>
        <w:t>State insurance laws and regulations include numerous provisions governing the marketplace activities of insurers, including provisions governing the form and content of disclosure to consumers, illustrations, advertising, sales and complaint process practices. State regulatory authorities generally enforce these provisions through periodic market conduct examinations. In addition, FGL Insurance and FGL NY Insurance must file, and in many jurisdictions and for some lines of business obtain regulatory approval for, rates and forms relating to the insurance written in the jurisdictions in which they operate. FGL Insurance is currently the subject of four ongoing market conduct examinations in various states. Market conduct examinations can result in monetary fines or remediation and generally require FGL Insurance to devote significant resources to the management of such examinations. FGL Insurance does not believe that any of the current market conduct examinations it is subject to will result in any fines or remediation orders that will be material to its business.</w:t>
      </w:r>
    </w:p>
    <w:p>
      <w:pPr>
        <w:spacing w:after="0" w:line="21"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4"/>
          <w:szCs w:val="14"/>
          <w:color w:val="auto"/>
        </w:rPr>
        <w:t>FGL Insurance, FGL NY Insurance, and Raven Re are subject to state laws and regulations that require diversification of their investment portfolios and limit the amount of investments in certain asset categories, such as below investment grade fixed income securities, equity, real estate, other equity investments and derivatives. Failure to comply with these laws and regulations would cause investments exceeding regulatory limitations to be treated as either non-admitted assets for purposes of measuring surplus or as not qualified as an asset held for reserve purposes and, in some instances, would require divestiture or replacement of such non-qualifying investments. We believe that the investment portfolios of FGL Insurance, FGL NY Insurance, and Raven Re as of December 31, 2021 complied in all material respects with such regulations.</w:t>
      </w:r>
    </w:p>
    <w:p>
      <w:pPr>
        <w:spacing w:after="0" w:line="33"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color w:val="auto"/>
        </w:rPr>
        <w:t>Our operations are subject to certain federal and state laws and regulations that require financial institutions and other businesses to protect the security and confidentiality of personal information, including health-related and customer information, and to notify customers and other individuals about their policies and practices relating to their collection and disclosure of health-related and customer information and their practices relating to protecting the security and confidentiality of such information. These laws and regulations require notice to affected individuals, law enforcement agencies, regulators and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7" w:name="page28"/>
    <w:bookmarkEnd w:id="2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others if there is a breach of the security of certain personal information, including social security numbers, and require holders of certain personal information to protect the security of the data. Our operations are also subject to certain federal regulations that require financial institutions and creditors to implement effective programs to detect, prevent, and mitigate identity theft. In addition, our ability to make telemarketing calls and to send unsolicited e-mail or fax messages to consumers and customers and our uses of certain personal information, including consumer report information, are regulated. Federal and state governments and regulatory bodies may be expected to consider additional or more detailed regulation regarding these subjects and the privacy and security of personal information.</w:t>
      </w:r>
    </w:p>
    <w:p>
      <w:pPr>
        <w:spacing w:after="0" w:line="49" w:lineRule="exact"/>
        <w:rPr>
          <w:sz w:val="20"/>
          <w:szCs w:val="20"/>
          <w:color w:val="auto"/>
        </w:rPr>
      </w:pPr>
    </w:p>
    <w:p>
      <w:pPr>
        <w:jc w:val="both"/>
        <w:ind w:firstLine="372"/>
        <w:spacing w:after="0" w:line="275" w:lineRule="auto"/>
        <w:rPr>
          <w:sz w:val="20"/>
          <w:szCs w:val="20"/>
          <w:color w:val="auto"/>
        </w:rPr>
      </w:pPr>
      <w:r>
        <w:rPr>
          <w:rFonts w:ascii="Arial" w:cs="Arial" w:eastAsia="Arial" w:hAnsi="Arial"/>
          <w:sz w:val="14"/>
          <w:szCs w:val="14"/>
          <w:color w:val="auto"/>
        </w:rPr>
        <w:t>In recent years, the U.S. Securities and Exchange Commission (“SEC”) and state securities regulators have questioned whether FIAs, such as those sold by us, should be treated as securities under the federal and state securities laws rather than as insurance products exempted from such laws. Treatment of these products as securities would require additional registration and licensing of these products and the agents selling them, as well as cause us to seek additional marketing relationships for these products, any of which may impose significant restrictions on our ability to conduct operations as currently operated. Under the Dodd-Frank Act, annuities that meet specific requirements, including requirements relating to certain state suitability rules, are specifically exempted from being treated as securities by the SEC. We expect the types of FIAs that FGL Insurance and FGL NY Insurance sell will meet these requirements and; therefore, are exempt from being treated as securities by the SEC and state securities regulators. However, there can be no assurance that federal or state securities laws or state insurance laws and regulations will not be amended or interpreted to impose further requirements on FIAs.</w:t>
      </w:r>
    </w:p>
    <w:p>
      <w:pPr>
        <w:spacing w:after="0" w:line="38" w:lineRule="exact"/>
        <w:rPr>
          <w:sz w:val="20"/>
          <w:szCs w:val="20"/>
          <w:color w:val="auto"/>
        </w:rPr>
      </w:pPr>
    </w:p>
    <w:p>
      <w:pPr>
        <w:jc w:val="both"/>
        <w:ind w:firstLine="372"/>
        <w:spacing w:after="0" w:line="290" w:lineRule="auto"/>
        <w:rPr>
          <w:sz w:val="20"/>
          <w:szCs w:val="20"/>
          <w:color w:val="auto"/>
        </w:rPr>
      </w:pPr>
      <w:r>
        <w:rPr>
          <w:rFonts w:ascii="Arial" w:cs="Arial" w:eastAsia="Arial" w:hAnsi="Arial"/>
          <w:sz w:val="14"/>
          <w:szCs w:val="14"/>
          <w:color w:val="auto"/>
        </w:rPr>
        <w:t>The Dodd-Frank Act made sweeping changes to the regulation of financial services entities, products and markets. Certain provisions of the Dodd-Frank Act are applicable to us, our competitors or those entities with which we do business. These provisions may impact us in many ways, including, but not limited to, having an effect on the overall business climate, requiring the allocation of certain resources to government affairs, and increasing our legal and compliance related activities and the costs associated therewith.</w:t>
      </w:r>
    </w:p>
    <w:p>
      <w:pPr>
        <w:spacing w:after="0" w:line="25"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color w:val="auto"/>
        </w:rPr>
        <w:t>We may offer certain insurance and annuity products to employee benefit plans governed by ERISA and/or the Code, including group annuity contracts designated to fund tax-qualified retirement plans. ERISA and the Code provide (among other requirements) standards of conduct for employee benefit plan fiduciaries, including investment managers and investment advisers with respect to the assets of such plans, and holds fiduciaries liable if they fail to satisfy fiduciary standards of conduct.</w:t>
      </w:r>
    </w:p>
    <w:p>
      <w:pPr>
        <w:spacing w:after="0" w:line="44"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4"/>
          <w:szCs w:val="14"/>
          <w:color w:val="auto"/>
        </w:rPr>
        <w:t>State and federal regulators have been adopting stronger consumer protection regulations that may materially impact our company, business, distribution, and products. The NAIC adopted an amended Suitability in Annuity Transactions Model Regulation in February 2020 incorporating a requirement that agents act in the best interest of consumers without putting their own financial interests or insurer’s interests ahead of consumer interests. The best interest requirement is satisfied by complying with four regulatory obligations relating to care, disclosure, conflict of interest, and documentation. The amended model regulation also requires agents to provide certain disclosures to consumers, obligates insurers to supervise agent compliance with the new requirements, and prohibits sales contests or other incentives based on sales of specific annuities within a limited period of time.</w:t>
      </w:r>
    </w:p>
    <w:p>
      <w:pPr>
        <w:spacing w:after="0" w:line="33"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5"/>
          <w:szCs w:val="15"/>
          <w:color w:val="auto"/>
        </w:rPr>
        <w:t>At this time nineteen states have adopted the revised NAIC model regulation, including FGL Insurance’s domiciliary state of Iowa, and at least another six states are considering adoption of the revised NAIC model regulation. Management has instituted new business procedures to comply with these revised requirements where required. FGL NY Insurance separately instituted new business procedures in response to the New York Department of Financial Services (NYDFS) best interest rule adopted in August 2019 which deviates from the NAIC model regulation and is considered more onerous in certain respects including its broader application to life insurance sales. Management is monitoring an ongoing legal challenge to nullify the NYDFS rule.</w:t>
      </w:r>
    </w:p>
    <w:p>
      <w:pPr>
        <w:spacing w:after="0" w:line="49"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4"/>
          <w:szCs w:val="14"/>
          <w:color w:val="auto"/>
        </w:rPr>
        <w:t>In December 2020 the U. S. Department of Labor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ERISA and the Internal Revenue Code and sets forth a new prohibited transaction class exemption (PTE) referred to as PTE 2020-02. The rule’s preamble also contains the DOL’s reinterpretation of elements of the five-part test that appears to encompass more insurance agents selling IRA products and withdraws the agency’s longstanding position that rollover recommendations out of employer plans are not subject to ERISA. The new rule took effect on February 16, 2021.</w:t>
      </w:r>
    </w:p>
    <w:p>
      <w:pPr>
        <w:spacing w:after="0" w:line="33"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5"/>
          <w:szCs w:val="15"/>
          <w:color w:val="auto"/>
        </w:rPr>
        <w:t>The DOL investment advice rule leaves in place PTE 84-24 which is a longstanding class exemption providing prohibited transaction relief for insurance agents selling annuity products provided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FGL Insurance, along with FGL NY Insurance, designed and launched a compliance program in January 2022 requiring all agents selling IRA products to submit an acknowledgment with each IRA application indicating the agent has satisfied PTE 84-24 requirements 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8" w:name="page29"/>
    <w:bookmarkEnd w:id="28"/>
    <w:p>
      <w:pPr>
        <w:ind w:left="1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
        <w:spacing w:after="0" w:line="274" w:lineRule="auto"/>
        <w:rPr>
          <w:sz w:val="20"/>
          <w:szCs w:val="20"/>
          <w:color w:val="auto"/>
        </w:rPr>
      </w:pPr>
      <w:r>
        <w:rPr>
          <w:rFonts w:ascii="Arial" w:cs="Arial" w:eastAsia="Arial" w:hAnsi="Arial"/>
          <w:sz w:val="15"/>
          <w:szCs w:val="15"/>
          <w:color w:val="auto"/>
        </w:rPr>
        <w:t>a precautionary basis in case the agent acted or is found to have acted as a fiduciary. Meanwhile the DOL has publicly announced its intention to consider future rulemaking that would revoke or modify PTE 84-24.</w:t>
      </w:r>
    </w:p>
    <w:p>
      <w:pPr>
        <w:spacing w:after="0" w:line="34" w:lineRule="exact"/>
        <w:rPr>
          <w:sz w:val="20"/>
          <w:szCs w:val="20"/>
          <w:color w:val="auto"/>
        </w:rPr>
      </w:pPr>
    </w:p>
    <w:p>
      <w:pPr>
        <w:jc w:val="both"/>
        <w:ind w:left="10" w:firstLine="372"/>
        <w:spacing w:after="0" w:line="258" w:lineRule="auto"/>
        <w:rPr>
          <w:sz w:val="20"/>
          <w:szCs w:val="20"/>
          <w:color w:val="auto"/>
        </w:rPr>
      </w:pPr>
      <w:r>
        <w:rPr>
          <w:rFonts w:ascii="Arial" w:cs="Arial" w:eastAsia="Arial" w:hAnsi="Arial"/>
          <w:sz w:val="15"/>
          <w:szCs w:val="15"/>
          <w:color w:val="auto"/>
        </w:rPr>
        <w:t>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the company supervises its distribution force, compensation practices, and liability exposure and costs. In addition to implementing the compliance procedures described above, management is monitoring further developments closely and will be working with IMOs and distributors to adapt to evolving regulatory requirements and risks.</w:t>
      </w:r>
    </w:p>
    <w:p>
      <w:pPr>
        <w:spacing w:after="0" w:line="47" w:lineRule="exact"/>
        <w:rPr>
          <w:sz w:val="20"/>
          <w:szCs w:val="20"/>
          <w:color w:val="auto"/>
        </w:rPr>
      </w:pPr>
    </w:p>
    <w:p>
      <w:pPr>
        <w:jc w:val="both"/>
        <w:ind w:left="10" w:firstLine="372"/>
        <w:spacing w:after="0" w:line="274" w:lineRule="auto"/>
        <w:rPr>
          <w:sz w:val="20"/>
          <w:szCs w:val="20"/>
          <w:color w:val="auto"/>
        </w:rPr>
      </w:pPr>
      <w:r>
        <w:rPr>
          <w:rFonts w:ascii="Arial" w:cs="Arial" w:eastAsia="Arial" w:hAnsi="Arial"/>
          <w:sz w:val="15"/>
          <w:szCs w:val="15"/>
          <w:i w:val="1"/>
          <w:iCs w:val="1"/>
          <w:color w:val="auto"/>
        </w:rPr>
        <w:t xml:space="preserve">Regulation - Bermuda. </w:t>
      </w:r>
      <w:r>
        <w:rPr>
          <w:rFonts w:ascii="Arial" w:cs="Arial" w:eastAsia="Arial" w:hAnsi="Arial"/>
          <w:sz w:val="15"/>
          <w:szCs w:val="15"/>
          <w:color w:val="auto"/>
        </w:rPr>
        <w:t>F&amp;G Life Re is a Bermuda exempted company incorporated under the Companies Act 1981, as amended (the “Companies Act”) and registered as a Class C</w:t>
      </w:r>
      <w:r>
        <w:rPr>
          <w:rFonts w:ascii="Arial" w:cs="Arial" w:eastAsia="Arial" w:hAnsi="Arial"/>
          <w:sz w:val="15"/>
          <w:szCs w:val="15"/>
          <w:i w:val="1"/>
          <w:iCs w:val="1"/>
          <w:color w:val="auto"/>
        </w:rPr>
        <w:t xml:space="preserve"> </w:t>
      </w:r>
      <w:r>
        <w:rPr>
          <w:rFonts w:ascii="Arial" w:cs="Arial" w:eastAsia="Arial" w:hAnsi="Arial"/>
          <w:sz w:val="15"/>
          <w:szCs w:val="15"/>
          <w:color w:val="auto"/>
        </w:rPr>
        <w:t>insurer under the Insurance Act 1978, as amended, and its related regulations (the “Insurance Act”). F&amp;G Life Re is regulated by the BMA.</w:t>
      </w:r>
    </w:p>
    <w:p>
      <w:pPr>
        <w:spacing w:after="0" w:line="34" w:lineRule="exact"/>
        <w:rPr>
          <w:sz w:val="20"/>
          <w:szCs w:val="20"/>
          <w:color w:val="auto"/>
        </w:rPr>
      </w:pPr>
    </w:p>
    <w:p>
      <w:pPr>
        <w:jc w:val="both"/>
        <w:ind w:left="10" w:firstLine="338"/>
        <w:spacing w:after="0" w:line="274" w:lineRule="auto"/>
        <w:rPr>
          <w:sz w:val="20"/>
          <w:szCs w:val="20"/>
          <w:color w:val="auto"/>
        </w:rPr>
      </w:pPr>
      <w:r>
        <w:rPr>
          <w:rFonts w:ascii="Arial" w:cs="Arial" w:eastAsia="Arial" w:hAnsi="Arial"/>
          <w:sz w:val="15"/>
          <w:szCs w:val="15"/>
          <w:color w:val="auto"/>
        </w:rPr>
        <w:t>Bermuda has been awarded full equivalence for commercial insurers under Europe’s Solvency II regime applicable to insurance companies, which regime came into effect on January 1, 2016. In addition, the Insurance Act required BMA approval of increases in control or dispositions of control of an insurance company.</w:t>
      </w:r>
    </w:p>
    <w:p>
      <w:pPr>
        <w:spacing w:after="0" w:line="34" w:lineRule="exact"/>
        <w:rPr>
          <w:sz w:val="20"/>
          <w:szCs w:val="20"/>
          <w:color w:val="auto"/>
        </w:rPr>
      </w:pPr>
    </w:p>
    <w:p>
      <w:pPr>
        <w:jc w:val="both"/>
        <w:ind w:left="10" w:firstLine="338"/>
        <w:spacing w:after="0" w:line="258" w:lineRule="auto"/>
        <w:rPr>
          <w:sz w:val="20"/>
          <w:szCs w:val="20"/>
          <w:color w:val="auto"/>
        </w:rPr>
      </w:pPr>
      <w:r>
        <w:rPr>
          <w:rFonts w:ascii="Arial" w:cs="Arial" w:eastAsia="Arial" w:hAnsi="Arial"/>
          <w:sz w:val="15"/>
          <w:szCs w:val="15"/>
          <w:color w:val="auto"/>
        </w:rPr>
        <w:t>The BMA utilizes a risk-based approach when it comes to licensing and supervising insurance and reinsurance companies. As part of the BMA’s risk-based system, an assessment of the inherent risks within each particular class of insurer or reinsurer is used to determine the limitations and specific requirements that may be imposed. Thereafter the BMA keeps its analysis of relative risk within individual institutions under review on an ongoing basis, including through the scrutiny of audited financial statements, and, as appropriate, meeting with senior management during onsite visits.</w:t>
      </w:r>
    </w:p>
    <w:p>
      <w:pPr>
        <w:spacing w:after="0" w:line="47" w:lineRule="exact"/>
        <w:rPr>
          <w:sz w:val="20"/>
          <w:szCs w:val="20"/>
          <w:color w:val="auto"/>
        </w:rPr>
      </w:pPr>
    </w:p>
    <w:p>
      <w:pPr>
        <w:jc w:val="both"/>
        <w:ind w:left="10" w:firstLine="338"/>
        <w:spacing w:after="0" w:line="274" w:lineRule="auto"/>
        <w:rPr>
          <w:sz w:val="20"/>
          <w:szCs w:val="20"/>
          <w:color w:val="auto"/>
        </w:rPr>
      </w:pPr>
      <w:r>
        <w:rPr>
          <w:rFonts w:ascii="Arial" w:cs="Arial" w:eastAsia="Arial" w:hAnsi="Arial"/>
          <w:sz w:val="15"/>
          <w:szCs w:val="15"/>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34" w:lineRule="exact"/>
        <w:rPr>
          <w:sz w:val="20"/>
          <w:szCs w:val="20"/>
          <w:color w:val="auto"/>
        </w:rPr>
      </w:pPr>
    </w:p>
    <w:p>
      <w:pPr>
        <w:jc w:val="both"/>
        <w:ind w:left="10" w:right="20" w:firstLine="338"/>
        <w:spacing w:after="0" w:line="274" w:lineRule="auto"/>
        <w:rPr>
          <w:sz w:val="20"/>
          <w:szCs w:val="20"/>
          <w:color w:val="auto"/>
        </w:rPr>
      </w:pPr>
      <w:r>
        <w:rPr>
          <w:rFonts w:ascii="Arial" w:cs="Arial" w:eastAsia="Arial" w:hAnsi="Arial"/>
          <w:sz w:val="15"/>
          <w:szCs w:val="15"/>
          <w:u w:val="single" w:color="auto"/>
          <w:color w:val="auto"/>
        </w:rPr>
        <w:t>Minimum Solvency Margin</w:t>
      </w:r>
      <w:r>
        <w:rPr>
          <w:rFonts w:ascii="Arial" w:cs="Arial" w:eastAsia="Arial" w:hAnsi="Arial"/>
          <w:sz w:val="15"/>
          <w:szCs w:val="15"/>
          <w:color w:val="auto"/>
        </w:rPr>
        <w:t>. The Insurance Act provides that the value of the assets of an insurer must exceed the value of its liabilities by an amount greater than its prescribed minimum solvency margin.</w:t>
      </w:r>
    </w:p>
    <w:p>
      <w:pPr>
        <w:spacing w:after="0" w:line="34" w:lineRule="exact"/>
        <w:rPr>
          <w:sz w:val="20"/>
          <w:szCs w:val="20"/>
          <w:color w:val="auto"/>
        </w:rPr>
      </w:pPr>
    </w:p>
    <w:p>
      <w:pPr>
        <w:jc w:val="both"/>
        <w:ind w:left="10" w:firstLine="338"/>
        <w:spacing w:after="0" w:line="274" w:lineRule="auto"/>
        <w:rPr>
          <w:sz w:val="20"/>
          <w:szCs w:val="20"/>
          <w:color w:val="auto"/>
        </w:rPr>
      </w:pPr>
      <w:r>
        <w:rPr>
          <w:rFonts w:ascii="Arial" w:cs="Arial" w:eastAsia="Arial" w:hAnsi="Arial"/>
          <w:sz w:val="15"/>
          <w:szCs w:val="15"/>
          <w:color w:val="auto"/>
        </w:rPr>
        <w:t>The minimum solvency margin that must be maintained by a Class C insurer is the greater of: (i) $500,000; (ii) 1.5% of assets; and (iii) 25% of that insurer’s enhanced capital requirement (“ECR”). An insurer may file an application under the Insurance Act to waive the aforementioned requirements.</w:t>
      </w:r>
    </w:p>
    <w:p>
      <w:pPr>
        <w:spacing w:after="0" w:line="34" w:lineRule="exact"/>
        <w:rPr>
          <w:sz w:val="20"/>
          <w:szCs w:val="20"/>
          <w:color w:val="auto"/>
        </w:rPr>
      </w:pPr>
    </w:p>
    <w:p>
      <w:pPr>
        <w:jc w:val="both"/>
        <w:ind w:left="10" w:firstLine="338"/>
        <w:spacing w:after="0" w:line="258" w:lineRule="auto"/>
        <w:rPr>
          <w:sz w:val="20"/>
          <w:szCs w:val="20"/>
          <w:color w:val="auto"/>
        </w:rPr>
      </w:pPr>
      <w:r>
        <w:rPr>
          <w:rFonts w:ascii="Arial" w:cs="Arial" w:eastAsia="Arial" w:hAnsi="Arial"/>
          <w:sz w:val="15"/>
          <w:szCs w:val="15"/>
          <w:u w:val="single" w:color="auto"/>
          <w:color w:val="auto"/>
        </w:rPr>
        <w:t>ECR and Bermuda Solvency Capital Requirements (“BSCR”)</w:t>
      </w:r>
      <w:r>
        <w:rPr>
          <w:rFonts w:ascii="Arial" w:cs="Arial" w:eastAsia="Arial" w:hAnsi="Arial"/>
          <w:sz w:val="15"/>
          <w:szCs w:val="15"/>
          <w:color w:val="auto"/>
        </w:rPr>
        <w:t>. Class C insurers are required to maintain available capital and surplus at a level equal to or in excess of the applicable ECR, which is established by reference to either the applicable BSCR model or an approved internal capital model. Furthermore, to enable the BMA to better assess the quality of the insurer’s capital resources, a Class C insurer is required to disclose the makeup of its capital in accordance with its 3-tiered capital system. An insurer may file an application under the Insurance Act to have the aforementioned ECR requirements waived.</w:t>
      </w:r>
    </w:p>
    <w:p>
      <w:pPr>
        <w:spacing w:after="0" w:line="47" w:lineRule="exact"/>
        <w:rPr>
          <w:sz w:val="20"/>
          <w:szCs w:val="20"/>
          <w:color w:val="auto"/>
        </w:rPr>
      </w:pPr>
    </w:p>
    <w:p>
      <w:pPr>
        <w:jc w:val="both"/>
        <w:ind w:left="10" w:firstLine="338"/>
        <w:spacing w:after="0" w:line="274" w:lineRule="auto"/>
        <w:rPr>
          <w:sz w:val="20"/>
          <w:szCs w:val="20"/>
          <w:color w:val="auto"/>
        </w:rPr>
      </w:pPr>
      <w:r>
        <w:rPr>
          <w:rFonts w:ascii="Arial" w:cs="Arial" w:eastAsia="Arial" w:hAnsi="Arial"/>
          <w:sz w:val="15"/>
          <w:szCs w:val="15"/>
          <w:u w:val="single" w:color="auto"/>
          <w:color w:val="auto"/>
        </w:rPr>
        <w:t>Restrictions on Dividends and Distributions</w:t>
      </w:r>
      <w:r>
        <w:rPr>
          <w:rFonts w:ascii="Arial" w:cs="Arial" w:eastAsia="Arial" w:hAnsi="Arial"/>
          <w:sz w:val="15"/>
          <w:szCs w:val="15"/>
          <w:color w:val="auto"/>
        </w:rPr>
        <w:t>. In addition to the requirements under the Companies Act (as discussed below), the Insurance Act limits the maximum amount of annual dividends and distributions that may be paid or distributed by F&amp;G Life Re without prior regulatory approval.</w:t>
      </w:r>
    </w:p>
    <w:p>
      <w:pPr>
        <w:spacing w:after="0" w:line="34" w:lineRule="exact"/>
        <w:rPr>
          <w:sz w:val="20"/>
          <w:szCs w:val="20"/>
          <w:color w:val="auto"/>
        </w:rPr>
      </w:pPr>
    </w:p>
    <w:p>
      <w:pPr>
        <w:jc w:val="both"/>
        <w:ind w:left="10" w:firstLine="338"/>
        <w:spacing w:after="0" w:line="262" w:lineRule="auto"/>
        <w:rPr>
          <w:sz w:val="20"/>
          <w:szCs w:val="20"/>
          <w:color w:val="auto"/>
        </w:rPr>
      </w:pPr>
      <w:r>
        <w:rPr>
          <w:rFonts w:ascii="Arial" w:cs="Arial" w:eastAsia="Arial" w:hAnsi="Arial"/>
          <w:sz w:val="15"/>
          <w:szCs w:val="15"/>
          <w:color w:val="auto"/>
        </w:rPr>
        <w:t>F&amp;G Life Re is prohibited from declaring or paying a dividend if it fails to meet its minimum solvency margin, or ECR, or if the declaration or payment of such dividend would cause such breach. If F&amp;G Life Re were to fail to meet its minimum solvency margin on the last day of any financial year, it would be prohibited from declaring or paying any dividends during the next financial year without the approval of the BMA.</w:t>
      </w:r>
    </w:p>
    <w:p>
      <w:pPr>
        <w:spacing w:after="0" w:line="44" w:lineRule="exact"/>
        <w:rPr>
          <w:sz w:val="20"/>
          <w:szCs w:val="20"/>
          <w:color w:val="auto"/>
        </w:rPr>
      </w:pPr>
    </w:p>
    <w:p>
      <w:pPr>
        <w:jc w:val="both"/>
        <w:ind w:left="10" w:firstLine="338"/>
        <w:spacing w:after="0" w:line="297" w:lineRule="auto"/>
        <w:rPr>
          <w:sz w:val="20"/>
          <w:szCs w:val="20"/>
          <w:color w:val="auto"/>
        </w:rPr>
      </w:pPr>
      <w:r>
        <w:rPr>
          <w:rFonts w:ascii="Arial" w:cs="Arial" w:eastAsia="Arial" w:hAnsi="Arial"/>
          <w:sz w:val="13"/>
          <w:szCs w:val="13"/>
          <w:color w:val="auto"/>
        </w:rPr>
        <w:t>In addition, as a Class C insurer, F&amp;G Life Re must: (i) not make any payment from its long-term business fund for any purpose other than a purpose of the insurer’s long-term business, except in so far as such payment can be made out of any surplus certified by the insurer’s approved actuary to be available for distribution otherwise than to policyholders; and</w:t>
      </w:r>
    </w:p>
    <w:p>
      <w:pPr>
        <w:jc w:val="both"/>
        <w:ind w:left="10" w:hanging="10"/>
        <w:spacing w:after="0" w:line="254" w:lineRule="auto"/>
        <w:tabs>
          <w:tab w:leader="none" w:pos="247" w:val="left"/>
        </w:tabs>
        <w:numPr>
          <w:ilvl w:val="0"/>
          <w:numId w:val="20"/>
        </w:numPr>
        <w:rPr>
          <w:rFonts w:ascii="Arial" w:cs="Arial" w:eastAsia="Arial" w:hAnsi="Arial"/>
          <w:sz w:val="15"/>
          <w:szCs w:val="15"/>
          <w:color w:val="auto"/>
        </w:rPr>
      </w:pPr>
      <w:r>
        <w:rPr>
          <w:rFonts w:ascii="Arial" w:cs="Arial" w:eastAsia="Arial" w:hAnsi="Arial"/>
          <w:sz w:val="15"/>
          <w:szCs w:val="15"/>
          <w:color w:val="auto"/>
        </w:rPr>
        <w:t>not declare or pay a dividend to any person other than a policyholder unless the value of the assets of its long-term business fund, as certified by the insurer’s approved actuary, exceeds the extent (as to certified) of the liabilities of the insurer’s long-term business. In the event a dividend complies with the above, F&amp;G Life Re must ensure the amount of any such dividend does not exceed the aggregate of (i) that excess and (ii) any other funds properly available for the payment of dividend, being funds arising out of business of the insurer other than long-term business.</w:t>
      </w:r>
    </w:p>
    <w:p>
      <w:pPr>
        <w:spacing w:after="0" w:line="49" w:lineRule="exact"/>
        <w:rPr>
          <w:sz w:val="20"/>
          <w:szCs w:val="20"/>
          <w:color w:val="auto"/>
        </w:rPr>
      </w:pPr>
    </w:p>
    <w:p>
      <w:pPr>
        <w:jc w:val="both"/>
        <w:ind w:left="10" w:firstLine="338"/>
        <w:spacing w:after="0" w:line="343" w:lineRule="auto"/>
        <w:rPr>
          <w:sz w:val="20"/>
          <w:szCs w:val="20"/>
          <w:color w:val="auto"/>
        </w:rPr>
      </w:pPr>
      <w:r>
        <w:rPr>
          <w:rFonts w:ascii="Arial" w:cs="Arial" w:eastAsia="Arial" w:hAnsi="Arial"/>
          <w:sz w:val="13"/>
          <w:szCs w:val="13"/>
          <w:color w:val="auto"/>
        </w:rPr>
        <w:t>Furthermore, as a Class C insurer, F&amp;G Life Re must not declare or pay a dividend to any person other than a policyholder unless the value of the assets of the insurer, as certified by its approved actuary, exceeds its liabilities (as so certified) by the greater of its margin of solvency or its ECR and the amount of any such dividend shall not exceed that excess.</w:t>
      </w:r>
    </w:p>
    <w:p>
      <w:pPr>
        <w:spacing w:after="0" w:line="1" w:lineRule="exact"/>
        <w:rPr>
          <w:sz w:val="20"/>
          <w:szCs w:val="20"/>
          <w:color w:val="auto"/>
        </w:rPr>
      </w:pPr>
    </w:p>
    <w:p>
      <w:pPr>
        <w:jc w:val="both"/>
        <w:ind w:left="10" w:firstLine="338"/>
        <w:spacing w:after="0" w:line="262" w:lineRule="auto"/>
        <w:rPr>
          <w:sz w:val="20"/>
          <w:szCs w:val="20"/>
          <w:color w:val="auto"/>
        </w:rPr>
      </w:pPr>
      <w:r>
        <w:rPr>
          <w:rFonts w:ascii="Arial" w:cs="Arial" w:eastAsia="Arial" w:hAnsi="Arial"/>
          <w:sz w:val="15"/>
          <w:szCs w:val="15"/>
          <w:color w:val="auto"/>
        </w:rPr>
        <w:t>The Companies Act also limits F&amp;G Life Re’s ability to pay dividends and make distributions to its shareholders. F&amp;G Life Re is not permitted to declare or pay a dividend, or make a distribution out of its contributed surplus, if it is, or would after the payment be, unable to pay its liabilities as they become due or if the realizable value of its assets would be less than its liabilities.</w:t>
      </w:r>
    </w:p>
    <w:p>
      <w:pPr>
        <w:spacing w:after="0" w:line="200" w:lineRule="exact"/>
        <w:rPr>
          <w:sz w:val="20"/>
          <w:szCs w:val="20"/>
          <w:color w:val="auto"/>
        </w:rPr>
      </w:pPr>
    </w:p>
    <w:p>
      <w:pPr>
        <w:spacing w:after="0" w:line="339"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8058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70"/>
          </w:cols>
          <w:pgMar w:left="310" w:top="129" w:right="319" w:bottom="1440" w:gutter="0" w:footer="0" w:header="0"/>
        </w:sectPr>
      </w:pPr>
    </w:p>
    <w:bookmarkStart w:id="29" w:name="page30"/>
    <w:bookmarkEnd w:id="2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338"/>
        <w:spacing w:after="0" w:line="262" w:lineRule="auto"/>
        <w:rPr>
          <w:sz w:val="20"/>
          <w:szCs w:val="20"/>
          <w:color w:val="auto"/>
        </w:rPr>
      </w:pPr>
      <w:r>
        <w:rPr>
          <w:rFonts w:ascii="Arial" w:cs="Arial" w:eastAsia="Arial" w:hAnsi="Arial"/>
          <w:sz w:val="15"/>
          <w:szCs w:val="15"/>
          <w:u w:val="single" w:color="auto"/>
          <w:color w:val="auto"/>
        </w:rPr>
        <w:t>Reduction of Capital</w:t>
      </w:r>
      <w:r>
        <w:rPr>
          <w:rFonts w:ascii="Arial" w:cs="Arial" w:eastAsia="Arial" w:hAnsi="Arial"/>
          <w:sz w:val="15"/>
          <w:szCs w:val="15"/>
          <w:color w:val="auto"/>
        </w:rPr>
        <w:t>. F&amp;G Life Re may not reduce its total statutory capital by 15% or more, as set out in its previous year’s financial statements, unless it has received the prior approval of the BMA. Total statutory capital consists of the insurer’s paid in share capital, its contributed surplus (sometimes called additional paid in capital) and any other fixed capital designated by the BMA as statutory capital.</w:t>
      </w:r>
    </w:p>
    <w:p>
      <w:pPr>
        <w:spacing w:after="0" w:line="44" w:lineRule="exact"/>
        <w:rPr>
          <w:sz w:val="20"/>
          <w:szCs w:val="20"/>
          <w:color w:val="auto"/>
        </w:rPr>
      </w:pPr>
    </w:p>
    <w:p>
      <w:pPr>
        <w:jc w:val="both"/>
        <w:ind w:firstLine="372"/>
        <w:spacing w:after="0" w:line="290" w:lineRule="auto"/>
        <w:rPr>
          <w:sz w:val="20"/>
          <w:szCs w:val="20"/>
          <w:color w:val="auto"/>
        </w:rPr>
      </w:pPr>
      <w:r>
        <w:rPr>
          <w:rFonts w:ascii="Arial" w:cs="Arial" w:eastAsia="Arial" w:hAnsi="Arial"/>
          <w:sz w:val="14"/>
          <w:szCs w:val="14"/>
          <w:i w:val="1"/>
          <w:iCs w:val="1"/>
          <w:color w:val="auto"/>
        </w:rPr>
        <w:t xml:space="preserve">Regulation - Cayman. </w:t>
      </w:r>
      <w:r>
        <w:rPr>
          <w:rFonts w:ascii="Arial" w:cs="Arial" w:eastAsia="Arial" w:hAnsi="Arial"/>
          <w:sz w:val="14"/>
          <w:szCs w:val="14"/>
          <w:color w:val="auto"/>
        </w:rPr>
        <w:t>F&amp;G Cayman Re is licensed as a class D insurer in the Cayman Islands by the Cayman Islands Monetary Authority (“CIMA”). As a regulated insurance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F&amp;G Cayman Re is subject to the supervision of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laws and regulations of the Cayman Islands require that, among other things, F&amp;G Cayman Re maintain minimum levels of statutory capital, surplus and liquidity, meet</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solvency standards, submit to periodic examinations of its financial condition and restrict payments of dividends and reductions of capital. Statutes, regulations and policies that F&amp;G Cayman Re is subject to may also restrict the ability of F&amp;G Cayman Re to write insurance and reinsurance policies, make certain investments and distribute funds. Any failure to meet the applicable requirements or minimum statutory capital requirements could subject it to further examination or corrective action by CIMA, including restrictions on dividend payments, limitations on our writing of additional business or engaging in finance activities, supervision or liquidation.</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Sustainability</w:t>
      </w:r>
    </w:p>
    <w:p>
      <w:pPr>
        <w:spacing w:after="0" w:line="7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FNF’s work to address Environmental, Social and Governance (“ESG”) issues is important to who we are as a company. Our Company and our Board of Directors are committed to addressing ESG issues to better serve our employees, business partners, and the communities impacted by our business. To honor that commitment, our management team leads our ESG efforts with oversight from the Audit Committee, who reports our ESG progress and efforts to the Board of Directors.</w:t>
      </w:r>
    </w:p>
    <w:p>
      <w:pPr>
        <w:spacing w:after="0" w:line="44"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4"/>
          <w:szCs w:val="14"/>
          <w:color w:val="auto"/>
        </w:rPr>
        <w:t>Building a sustainable business starts with being transparent about our business practices, corporate governance, environmental impact, and our commitments to our stakeholders. In 2019, we shared our inaugural Sustainability report. Since then, we have continued to enhance our ESG efforts and publish updates on our progress annually.</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FNF’s core ESG commitments include:</w:t>
      </w:r>
    </w:p>
    <w:p>
      <w:pPr>
        <w:spacing w:after="0" w:line="71" w:lineRule="exact"/>
        <w:rPr>
          <w:sz w:val="20"/>
          <w:szCs w:val="20"/>
          <w:color w:val="auto"/>
        </w:rPr>
      </w:pPr>
    </w:p>
    <w:p>
      <w:pPr>
        <w:jc w:val="both"/>
        <w:ind w:firstLine="270"/>
        <w:spacing w:after="0" w:line="265" w:lineRule="auto"/>
        <w:rPr>
          <w:sz w:val="20"/>
          <w:szCs w:val="20"/>
          <w:color w:val="auto"/>
        </w:rPr>
      </w:pPr>
      <w:r>
        <w:rPr>
          <w:rFonts w:ascii="Arial" w:cs="Arial" w:eastAsia="Arial" w:hAnsi="Arial"/>
          <w:sz w:val="15"/>
          <w:szCs w:val="15"/>
          <w:b w:val="1"/>
          <w:bCs w:val="1"/>
          <w:color w:val="auto"/>
        </w:rPr>
        <w:t xml:space="preserve">Protecting Property Owners: </w:t>
      </w:r>
      <w:r>
        <w:rPr>
          <w:rFonts w:ascii="Arial" w:cs="Arial" w:eastAsia="Arial" w:hAnsi="Arial"/>
          <w:sz w:val="15"/>
          <w:szCs w:val="15"/>
          <w:color w:val="auto"/>
        </w:rPr>
        <w:t>The safety and security of our customers is our top priority. This means ensuring rigorous information security and internal auditing protocols, and</w:t>
      </w:r>
      <w:r>
        <w:rPr>
          <w:rFonts w:ascii="Arial" w:cs="Arial" w:eastAsia="Arial" w:hAnsi="Arial"/>
          <w:sz w:val="15"/>
          <w:szCs w:val="15"/>
          <w:b w:val="1"/>
          <w:bCs w:val="1"/>
          <w:color w:val="auto"/>
        </w:rPr>
        <w:t xml:space="preserve"> </w:t>
      </w:r>
      <w:r>
        <w:rPr>
          <w:rFonts w:ascii="Arial" w:cs="Arial" w:eastAsia="Arial" w:hAnsi="Arial"/>
          <w:sz w:val="15"/>
          <w:szCs w:val="15"/>
          <w:color w:val="auto"/>
        </w:rPr>
        <w:t>monitoring to help ensure the safety of funds and private information when it is in our custody. We are also always working hard to educate and protect our customers from fraud, through enhancing our fraud prevention programs.</w:t>
      </w:r>
    </w:p>
    <w:p>
      <w:pPr>
        <w:spacing w:after="0" w:line="37" w:lineRule="exact"/>
        <w:rPr>
          <w:sz w:val="20"/>
          <w:szCs w:val="20"/>
          <w:color w:val="auto"/>
        </w:rPr>
      </w:pPr>
    </w:p>
    <w:p>
      <w:pPr>
        <w:jc w:val="both"/>
        <w:ind w:firstLine="270"/>
        <w:spacing w:after="0" w:line="260" w:lineRule="auto"/>
        <w:rPr>
          <w:sz w:val="20"/>
          <w:szCs w:val="20"/>
          <w:color w:val="auto"/>
        </w:rPr>
      </w:pPr>
      <w:r>
        <w:rPr>
          <w:rFonts w:ascii="Arial" w:cs="Arial" w:eastAsia="Arial" w:hAnsi="Arial"/>
          <w:sz w:val="15"/>
          <w:szCs w:val="15"/>
          <w:b w:val="1"/>
          <w:bCs w:val="1"/>
          <w:color w:val="auto"/>
        </w:rPr>
        <w:t xml:space="preserve">Preserving the Environment: </w:t>
      </w:r>
      <w:r>
        <w:rPr>
          <w:rFonts w:ascii="Arial" w:cs="Arial" w:eastAsia="Arial" w:hAnsi="Arial"/>
          <w:sz w:val="15"/>
          <w:szCs w:val="15"/>
          <w:color w:val="auto"/>
        </w:rPr>
        <w:t>FNF works to integrate environmental management practices into our operations, including our facilities. As part of our commitment to preserve the</w:t>
      </w:r>
      <w:r>
        <w:rPr>
          <w:rFonts w:ascii="Arial" w:cs="Arial" w:eastAsia="Arial" w:hAnsi="Arial"/>
          <w:sz w:val="15"/>
          <w:szCs w:val="15"/>
          <w:b w:val="1"/>
          <w:bCs w:val="1"/>
          <w:color w:val="auto"/>
        </w:rPr>
        <w:t xml:space="preserve"> </w:t>
      </w:r>
      <w:r>
        <w:rPr>
          <w:rFonts w:ascii="Arial" w:cs="Arial" w:eastAsia="Arial" w:hAnsi="Arial"/>
          <w:sz w:val="15"/>
          <w:szCs w:val="15"/>
          <w:color w:val="auto"/>
        </w:rPr>
        <w:t>environment, we understand that we not only have a duty to protect the local environments where we operate, but that environmental change also poses risks and opportunities to our business. In 2021, we conducted our first climate risk assessment to understand climate-related risks that may impact our business and to manage these risks through our enterprise risk management systems.</w:t>
      </w:r>
    </w:p>
    <w:p>
      <w:pPr>
        <w:spacing w:after="0" w:line="4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We have a number of efforts underway to reduce our environmental footprint across our locations. Our efforts include: monitoring and mitigating our carbon footprint, eliminating the use of plastic water bottles, and participating in recycling programs. As part of a traditionally paper-intensive industry, we have implemented customer-focused technology to significantly reduce paper consumption in real estate transactions, moving the title insurance industry in a more sustainable direction.</w:t>
      </w:r>
    </w:p>
    <w:p>
      <w:pPr>
        <w:spacing w:after="0" w:line="40" w:lineRule="exact"/>
        <w:rPr>
          <w:sz w:val="20"/>
          <w:szCs w:val="20"/>
          <w:color w:val="auto"/>
        </w:rPr>
      </w:pPr>
    </w:p>
    <w:p>
      <w:pPr>
        <w:jc w:val="both"/>
        <w:ind w:firstLine="270"/>
        <w:spacing w:after="0" w:line="319" w:lineRule="auto"/>
        <w:rPr>
          <w:sz w:val="20"/>
          <w:szCs w:val="20"/>
          <w:color w:val="auto"/>
        </w:rPr>
      </w:pPr>
      <w:r>
        <w:rPr>
          <w:rFonts w:ascii="Arial" w:cs="Arial" w:eastAsia="Arial" w:hAnsi="Arial"/>
          <w:sz w:val="13"/>
          <w:szCs w:val="13"/>
          <w:b w:val="1"/>
          <w:bCs w:val="1"/>
          <w:color w:val="auto"/>
        </w:rPr>
        <w:t xml:space="preserve">Supporting Our Employees and Communities: </w:t>
      </w:r>
      <w:r>
        <w:rPr>
          <w:rFonts w:ascii="Arial" w:cs="Arial" w:eastAsia="Arial" w:hAnsi="Arial"/>
          <w:sz w:val="13"/>
          <w:szCs w:val="13"/>
          <w:color w:val="auto"/>
        </w:rPr>
        <w:t>As one of our greatest assets, we are committed to providing our employees with opportunities to expand their knowledge base and</w:t>
      </w:r>
      <w:r>
        <w:rPr>
          <w:rFonts w:ascii="Arial" w:cs="Arial" w:eastAsia="Arial" w:hAnsi="Arial"/>
          <w:sz w:val="13"/>
          <w:szCs w:val="13"/>
          <w:b w:val="1"/>
          <w:bCs w:val="1"/>
          <w:color w:val="auto"/>
        </w:rPr>
        <w:t xml:space="preserve"> </w:t>
      </w:r>
      <w:r>
        <w:rPr>
          <w:rFonts w:ascii="Arial" w:cs="Arial" w:eastAsia="Arial" w:hAnsi="Arial"/>
          <w:sz w:val="13"/>
          <w:szCs w:val="13"/>
          <w:color w:val="auto"/>
        </w:rPr>
        <w:t>develop skills for career advancement. Additionally, we are committed to building a diverse and inclusive workplace, and we strongly believe that the diversity of our clients should be</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reflected among our employees. With over 1,300 locations throughout the United States and Canada and over 28,000 employees, we are positioned to make a difference within the communities in which we operate. Through local community involvement, corporate initiatives, and philanthropic giving – as well as an active community volunteer ethos – we work hard each day to support the communities in which we live. This community outreach and support has become even more pertinent in the ongoing battle against COVID-19, and we continue to provide resources to ensure the health and safety of our employees, their families, our customers, and our community.</w:t>
      </w:r>
    </w:p>
    <w:p>
      <w:pPr>
        <w:spacing w:after="0" w:line="25" w:lineRule="exact"/>
        <w:rPr>
          <w:sz w:val="20"/>
          <w:szCs w:val="20"/>
          <w:color w:val="auto"/>
        </w:rPr>
      </w:pPr>
    </w:p>
    <w:p>
      <w:pPr>
        <w:jc w:val="both"/>
        <w:ind w:firstLine="270"/>
        <w:spacing w:after="0" w:line="265" w:lineRule="auto"/>
        <w:rPr>
          <w:sz w:val="20"/>
          <w:szCs w:val="20"/>
          <w:color w:val="auto"/>
        </w:rPr>
      </w:pPr>
      <w:r>
        <w:rPr>
          <w:rFonts w:ascii="Arial" w:cs="Arial" w:eastAsia="Arial" w:hAnsi="Arial"/>
          <w:sz w:val="15"/>
          <w:szCs w:val="15"/>
          <w:b w:val="1"/>
          <w:bCs w:val="1"/>
          <w:color w:val="auto"/>
        </w:rPr>
        <w:t xml:space="preserve">Operating Ethically: </w:t>
      </w:r>
      <w:r>
        <w:rPr>
          <w:rFonts w:ascii="Arial" w:cs="Arial" w:eastAsia="Arial" w:hAnsi="Arial"/>
          <w:sz w:val="15"/>
          <w:szCs w:val="15"/>
          <w:color w:val="auto"/>
        </w:rPr>
        <w:t>Our reputation for integrity is one of our most important assets, and each of our employees and directors is expected to contribute to the care and preservation</w:t>
      </w:r>
      <w:r>
        <w:rPr>
          <w:rFonts w:ascii="Arial" w:cs="Arial" w:eastAsia="Arial" w:hAnsi="Arial"/>
          <w:sz w:val="15"/>
          <w:szCs w:val="15"/>
          <w:b w:val="1"/>
          <w:bCs w:val="1"/>
          <w:color w:val="auto"/>
        </w:rPr>
        <w:t xml:space="preserve"> </w:t>
      </w:r>
      <w:r>
        <w:rPr>
          <w:rFonts w:ascii="Arial" w:cs="Arial" w:eastAsia="Arial" w:hAnsi="Arial"/>
          <w:sz w:val="15"/>
          <w:szCs w:val="15"/>
          <w:color w:val="auto"/>
        </w:rPr>
        <w:t>of that asset. We operate in ways that are fair, transparent, and compliant with applicable regulations. We implement strong governance practices, policies, training, and reporting avenues to encourage and promote that all employees adhere to the highest standards for business integrity.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0" w:name="page31"/>
    <w:bookmarkEnd w:id="3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Human Capital Resources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Employees</w:t>
      </w:r>
    </w:p>
    <w:p>
      <w:pPr>
        <w:spacing w:after="0" w:line="75"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color w:val="auto"/>
        </w:rPr>
        <w:t>As of January 31, 2022, we had 28,290 full-time equivalent employees, which includes 27,054 in our Title segment, 627 in our F&amp;G segment and 609 in our Corporate and other segment. In our Title segment, we monitor our staffing levels based on current economic activity. In our F&amp;G segment, our employee base increased approximately 40% during 2021 as our F&amp;G business continues to grow. None of our employees are subject to collective bargaining agreements. We believe that our relations with employees are generally good.</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Diversity</w:t>
      </w:r>
    </w:p>
    <w:p>
      <w:pPr>
        <w:spacing w:after="0" w:line="109"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Diversity is a key component of FNF’s success. We believe that the diversity of our employees allows us to offer our clientele meaningful customized products and services. FNF aims to have diverse and inclusive practices in all aspects of our business operations; particularly for hiring, compensation, and opportunity. We are committed to being an equal opportunity employer and enhancing diversity and inclusion efforts across our business. Our goal is to foster an inclusive workplace where each employee, regardless of race, ethnicity, sexual orientation, or gender identification, receives equal access to opportunities throughout the organization.</w:t>
      </w:r>
    </w:p>
    <w:p>
      <w:pPr>
        <w:spacing w:after="0" w:line="47"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FNF’s Code of Business Conduct &amp; Ethics prohibits discrimination and harassment. We have a written nondiscrimination policy that is distributed to all employees as part of our employee handbook, which employees must acknowledge annually. Our employees participate in annual trainings including Code of Business Conduct and Ethics Training, and Reporting Harassment: Everyone’s Responsibility Training.</w:t>
      </w:r>
    </w:p>
    <w:p>
      <w:pPr>
        <w:spacing w:after="0" w:line="44"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We have many women in leadership roles throughout our organization. As of January 31, 2022, out of the 23,710 U.S. based employees under FNF, 71% of the total workforce are women and 29% are men. Two out of eleven board members are women; 40% percent of the members of FNF’s Executive Team are women; and 67% of FNF’s Non-Executive Managers are women. Our annual Women in Leadership Program for female executives, managers, and future managers is designed to encourage and promote women into more active leadership roles within FNF.</w:t>
      </w:r>
    </w:p>
    <w:p>
      <w:pPr>
        <w:spacing w:after="0" w:line="47" w:lineRule="exact"/>
        <w:rPr>
          <w:sz w:val="20"/>
          <w:szCs w:val="20"/>
          <w:color w:val="auto"/>
        </w:rPr>
      </w:pPr>
    </w:p>
    <w:p>
      <w:pPr>
        <w:jc w:val="both"/>
        <w:ind w:firstLine="270"/>
        <w:spacing w:after="0" w:line="354" w:lineRule="auto"/>
        <w:rPr>
          <w:sz w:val="20"/>
          <w:szCs w:val="20"/>
          <w:color w:val="auto"/>
        </w:rPr>
      </w:pPr>
      <w:r>
        <w:rPr>
          <w:rFonts w:ascii="Arial" w:cs="Arial" w:eastAsia="Arial" w:hAnsi="Arial"/>
          <w:sz w:val="13"/>
          <w:szCs w:val="13"/>
          <w:color w:val="auto"/>
        </w:rPr>
        <w:t>Our Board of Directors leads by example in its commitment to diversity. In 2018, our board codified its commitment to diversity when selecting new director nominees, including candidates with a diversity of age, gender, nationality, race, ethnicity, and sexual orientation by integrating it into the director selection criteria in our Corporate Governance Guidelines.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Training and Personal Development</w:t>
      </w:r>
    </w:p>
    <w:p>
      <w:pPr>
        <w:spacing w:after="0" w:line="75"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We believe that our employees are one of our greatest assets, and we are committed to providing opportunities for them to expand their knowledge base and develop opportunities for advancement, which in turn results in improved employee performance and morale.</w:t>
      </w:r>
    </w:p>
    <w:p>
      <w:pPr>
        <w:spacing w:after="0" w:line="3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color w:val="auto"/>
        </w:rPr>
        <w:t>FNF offers a variety of training and educational opportunities for employees. We provide training on escrow policies and procedures, advanced escrow processing and practices, title loss reduction, title underwriting, advanced title practices and procedures, fraud prevention, as well as software, soft skills, sales, and time management trainings. Our Commercial Sales University is a course for new commercial sales reps and our Leadership Development Program provides employees mentorship from senior executives.</w:t>
      </w:r>
    </w:p>
    <w:p>
      <w:pPr>
        <w:spacing w:after="0" w:line="21"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b w:val="1"/>
          <w:bCs w:val="1"/>
          <w:color w:val="auto"/>
        </w:rPr>
        <w:t xml:space="preserve">Leadership Development Program: </w:t>
      </w:r>
      <w:r>
        <w:rPr>
          <w:rFonts w:ascii="Arial" w:cs="Arial" w:eastAsia="Arial" w:hAnsi="Arial"/>
          <w:sz w:val="15"/>
          <w:szCs w:val="15"/>
          <w:color w:val="auto"/>
        </w:rPr>
        <w:t>Our Leadership Development Program helps employees advance their careers through professional development. Candidates are nominated</w:t>
      </w:r>
      <w:r>
        <w:rPr>
          <w:rFonts w:ascii="Arial" w:cs="Arial" w:eastAsia="Arial" w:hAnsi="Arial"/>
          <w:sz w:val="15"/>
          <w:szCs w:val="15"/>
          <w:b w:val="1"/>
          <w:bCs w:val="1"/>
          <w:color w:val="auto"/>
        </w:rPr>
        <w:t xml:space="preserve"> </w:t>
      </w:r>
      <w:r>
        <w:rPr>
          <w:rFonts w:ascii="Arial" w:cs="Arial" w:eastAsia="Arial" w:hAnsi="Arial"/>
          <w:sz w:val="15"/>
          <w:szCs w:val="15"/>
          <w:color w:val="auto"/>
        </w:rPr>
        <w:t>once a year by their manager to participate in an intensive program, where they are asked to prepare and present a managers’ report and to participate in the process of preparing an annual budget. In addition, the program includes thought-provoking discussions between candidates and our management team about leadership, business, the economy, and other industry-related topics. This process enables candidates to gain a better understanding of our Company culture and management expectations. Candidates also gain access to mentorship and engagement with senior executives.</w:t>
      </w:r>
    </w:p>
    <w:p>
      <w:pPr>
        <w:spacing w:after="0" w:line="46"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Many departments provide Continuing Education (CE) and Continuing Legal Education (CLE) opportunities for state land title and legal associations. Some offices provide financial assistance to join professional organizations and offer education reimbursement.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Financial Information by Operating Segment</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For financial information by operating segment, see Note J </w:t>
      </w:r>
      <w:r>
        <w:rPr>
          <w:rFonts w:ascii="Arial" w:cs="Arial" w:eastAsia="Arial" w:hAnsi="Arial"/>
          <w:sz w:val="14"/>
          <w:szCs w:val="14"/>
          <w:i w:val="1"/>
          <w:iCs w:val="1"/>
          <w:color w:val="auto"/>
        </w:rPr>
        <w:t>Segment Information</w:t>
      </w:r>
      <w:r>
        <w:rPr>
          <w:rFonts w:ascii="Arial" w:cs="Arial" w:eastAsia="Arial" w:hAnsi="Arial"/>
          <w:sz w:val="14"/>
          <w:szCs w:val="14"/>
          <w:color w:val="auto"/>
        </w:rPr>
        <w:t xml:space="preserve"> to our Consolidated Financial Statements included in Item 8 of Part II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1" w:name="page32"/>
    <w:bookmarkEnd w:id="3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Statement Regarding Forward-Looking Information</w:t>
      </w:r>
    </w:p>
    <w:p>
      <w:pPr>
        <w:spacing w:after="0" w:line="87" w:lineRule="exact"/>
        <w:rPr>
          <w:sz w:val="20"/>
          <w:szCs w:val="20"/>
          <w:color w:val="auto"/>
        </w:rPr>
      </w:pPr>
    </w:p>
    <w:p>
      <w:pPr>
        <w:jc w:val="both"/>
        <w:ind w:firstLine="285"/>
        <w:spacing w:after="0" w:line="255" w:lineRule="auto"/>
        <w:rPr>
          <w:sz w:val="20"/>
          <w:szCs w:val="20"/>
          <w:color w:val="auto"/>
        </w:rPr>
      </w:pPr>
      <w:r>
        <w:rPr>
          <w:rFonts w:ascii="Arial" w:cs="Arial" w:eastAsia="Arial" w:hAnsi="Arial"/>
          <w:sz w:val="15"/>
          <w:szCs w:val="15"/>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50" w:lineRule="exact"/>
        <w:rPr>
          <w:sz w:val="20"/>
          <w:szCs w:val="20"/>
          <w:color w:val="auto"/>
        </w:rPr>
      </w:pPr>
    </w:p>
    <w:p>
      <w:pPr>
        <w:ind w:left="540" w:hanging="279"/>
        <w:spacing w:after="0" w:line="257" w:lineRule="auto"/>
        <w:tabs>
          <w:tab w:leader="none" w:pos="536"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adverse changes in the level of real estate activity, which may be caused by, among other things, high or increasing interest rates, a limited supply of mortgage funding, increased mortgage defaults, or a weak U.S. economy;</w:t>
      </w:r>
    </w:p>
    <w:p>
      <w:pPr>
        <w:ind w:left="520" w:hanging="259"/>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severity of our title insurance claims;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downgrade of our credit rating by rating agencies;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compliance with extensive government regulation of our operating subsidiaries and adverse changes in applicable laws or regulations or in their application by regulators;</w:t>
      </w:r>
    </w:p>
    <w:p>
      <w:pPr>
        <w:spacing w:after="0" w:line="19" w:lineRule="exact"/>
        <w:rPr>
          <w:rFonts w:ascii="Arial" w:cs="Arial" w:eastAsia="Arial" w:hAnsi="Arial"/>
          <w:sz w:val="14"/>
          <w:szCs w:val="14"/>
          <w:color w:val="auto"/>
        </w:rPr>
      </w:pPr>
    </w:p>
    <w:p>
      <w:pPr>
        <w:ind w:left="520" w:hanging="259"/>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potential impact of the consummation of the F&amp;G acquisition on relationships, including employees, suppliers, customers and competitors;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regulatory investigations of the title insurance industry;</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loss of key personnel that could negatively affect our financial results and impair our operating abilities;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business concentration in the States of California and Texas are the source of approximately 14.6% and 13.0%, respectively, of our title insurance premiums;</w:t>
      </w:r>
    </w:p>
    <w:p>
      <w:pPr>
        <w:spacing w:after="0" w:line="7" w:lineRule="exact"/>
        <w:rPr>
          <w:rFonts w:ascii="Arial" w:cs="Arial" w:eastAsia="Arial" w:hAnsi="Arial"/>
          <w:sz w:val="15"/>
          <w:szCs w:val="15"/>
          <w:color w:val="auto"/>
        </w:rPr>
      </w:pPr>
    </w:p>
    <w:p>
      <w:pPr>
        <w:ind w:left="540" w:hanging="279"/>
        <w:spacing w:after="0" w:line="250" w:lineRule="auto"/>
        <w:tabs>
          <w:tab w:leader="none" w:pos="536"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1" w:lineRule="exact"/>
        <w:rPr>
          <w:rFonts w:ascii="Arial" w:cs="Arial" w:eastAsia="Arial" w:hAnsi="Arial"/>
          <w:sz w:val="15"/>
          <w:szCs w:val="15"/>
          <w:color w:val="auto"/>
        </w:rPr>
      </w:pPr>
    </w:p>
    <w:p>
      <w:pPr>
        <w:ind w:left="520" w:hanging="259"/>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dependence on distributions from our title insurance underwriters as our main source of cash flow;</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competition from other title insurance companies;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general economic, business, and political conditions, including changes in the financial markets and COVID-19 conditions;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impacts to our business operations caused by the occurrence of a catastrophe or global crisis, including the spread of COVID-19 variants; and</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other risks detailed in "Risk Factors" below and elsewhere in this document and in our other filings with the SEC.</w:t>
      </w:r>
    </w:p>
    <w:p>
      <w:pPr>
        <w:spacing w:after="0" w:line="77" w:lineRule="exact"/>
        <w:rPr>
          <w:sz w:val="20"/>
          <w:szCs w:val="20"/>
          <w:color w:val="auto"/>
        </w:rPr>
      </w:pPr>
    </w:p>
    <w:p>
      <w:pPr>
        <w:jc w:val="both"/>
        <w:ind w:firstLine="274"/>
        <w:spacing w:after="0" w:line="274" w:lineRule="auto"/>
        <w:rPr>
          <w:sz w:val="20"/>
          <w:szCs w:val="20"/>
          <w:color w:val="auto"/>
        </w:rPr>
      </w:pPr>
      <w:r>
        <w:rPr>
          <w:rFonts w:ascii="Arial" w:cs="Arial" w:eastAsia="Arial" w:hAnsi="Arial"/>
          <w:sz w:val="15"/>
          <w:szCs w:val="15"/>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Additional Information</w:t>
      </w:r>
    </w:p>
    <w:p>
      <w:pPr>
        <w:spacing w:after="0" w:line="75" w:lineRule="exact"/>
        <w:rPr>
          <w:sz w:val="20"/>
          <w:szCs w:val="20"/>
          <w:color w:val="auto"/>
        </w:rPr>
      </w:pPr>
    </w:p>
    <w:p>
      <w:pPr>
        <w:jc w:val="both"/>
        <w:ind w:firstLine="285"/>
        <w:spacing w:after="0" w:line="262" w:lineRule="auto"/>
        <w:rPr>
          <w:sz w:val="20"/>
          <w:szCs w:val="20"/>
          <w:color w:val="auto"/>
        </w:rPr>
      </w:pPr>
      <w:r>
        <w:rPr>
          <w:rFonts w:ascii="Arial" w:cs="Arial" w:eastAsia="Arial" w:hAnsi="Arial"/>
          <w:sz w:val="15"/>
          <w:szCs w:val="15"/>
          <w:color w:val="auto"/>
        </w:rPr>
        <w:t>Our website address is www.fnf.com. We make available free of charge on or through our website our Annual Report on Form 10-K, Quarterly Reports on Form 10-Q, Current Reports on Form 8-K and all amendments to those reports filed or furnished pursuant to Section 13(a) or 15(d) of the Exchange Act as soon as reasonably practicable after such material is electronically filed with or furnished to the SEC. However, the information found on our website is not part of this or any other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2" w:name="page33"/>
    <w:bookmarkEnd w:id="3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91"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In addition to the normal risks of business, we are subject to significant risks and uncertainties, including those listed below and others described elsewhere in this Annual Report. Any of the risks described herein could result in a significant or material adverse effect on our results of operations or financial condition.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 Relating to Our Business</w:t>
      </w:r>
    </w:p>
    <w:p>
      <w:pPr>
        <w:spacing w:after="0" w:line="9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46" w:lineRule="exact"/>
        <w:rPr>
          <w:sz w:val="20"/>
          <w:szCs w:val="20"/>
          <w:color w:val="auto"/>
        </w:rPr>
      </w:pPr>
    </w:p>
    <w:p>
      <w:pPr>
        <w:jc w:val="both"/>
        <w:ind w:firstLine="270"/>
        <w:spacing w:after="0" w:line="275" w:lineRule="auto"/>
        <w:rPr>
          <w:sz w:val="20"/>
          <w:szCs w:val="20"/>
          <w:color w:val="auto"/>
        </w:rPr>
      </w:pPr>
      <w:r>
        <w:rPr>
          <w:rFonts w:ascii="Arial" w:cs="Arial" w:eastAsia="Arial" w:hAnsi="Arial"/>
          <w:sz w:val="14"/>
          <w:szCs w:val="14"/>
          <w:color w:val="auto"/>
        </w:rPr>
        <w:t>Goodwill aggregated approximately $4,539 million, or 7.5% of our total assets, as of December 31, 2021.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For the years ended December 31, 2021, 2020 and 2019, no goodwill impairment charge was recorded. However, if there is an economic downturn in the future,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3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Our substantial indebtedness could adversely affect our ability to raise additional capital to fund our operations, limit our ability to react to changes in the economy or our industry and prevent us from meeting our obligations under our indebtedness.</w:t>
      </w:r>
    </w:p>
    <w:p>
      <w:pPr>
        <w:spacing w:after="0" w:line="4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As of December 31, 2021, our outstanding debt was $3,096 million. Our high degree of leverage could have important consequences, including the following: (i) a substantial portion of our cash flow from operations is dedicated to the payment of principal and interest on indebtedness, thereby reducing the funds available for operations, future business opportunities and capital expenditures; (ii) our ability to obtain additional financing for working capital, capital expenditures, debt service requirements, acquisitions and general corporate purposes in the future may be limited; (iii) we may be unable to adjust rapidly to changing market conditions; (iv) the debt service requirements of our other indebtedness could make it more difficult for us to satisfy our financial obligations; and (v) we may be vulnerable in a downturn in general economic conditions or in our business and we may be unable to carry out activities that are important to our growth.</w:t>
      </w:r>
    </w:p>
    <w:p>
      <w:pPr>
        <w:spacing w:after="0" w:line="6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Our ability to make scheduled payments of the principal of, or to pay interest on, or to refinance indebtedness depends on and is subject to our financial and operating performance, which in turn is affected by general and regional economic, financial, competitive, business and other factors beyond our control. If we are unable to generate sufficient cash flow to service our debt or to fund our other liquidity needs, we will need to restructure or refinance all or a portion of our debt, which could cause us to default on our obligations and impair our liquidity. Any refinancing of our indebtedness could be at higher interest rates and may require us to comply with more stringent covenants that could further restrict our business operations. We from time to time may increase the amount of our indebtedness, modify the terms of our financing arrangements, issue dividends, make capital expenditures and take other actions that may substantially increase our leverage.</w:t>
      </w:r>
    </w:p>
    <w:p>
      <w:pPr>
        <w:spacing w:after="0" w:line="50"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The pattern of amortizing our DAC, DSI, and VOBA balances relies on assumptions and estimates made by management. Changes in these assumptions and estimates could impact our results of operations and financial condition.</w:t>
      </w:r>
    </w:p>
    <w:p>
      <w:pPr>
        <w:spacing w:after="0" w:line="46"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color w:val="auto"/>
        </w:rPr>
        <w:t>Amortization of our deferred acquisition costs ("DAC"), deferred sales inducements ("DSI") and value of business acquired ("VOBA") balances depends on the actual and expected profits generated by the respective lines of business that incurred the expenses. Expected profits are dependent on assumptions regarding a number of factors including investment returns, benefit payments, expenses, mortality, and policy lapse. Due to the uncertainty associated with establishing these assumptions, we cannot, with precision, determine the exact pattern of profit emergence. As a result, amortization of these balances will vary from period to period. Any difference in actual experience versus expected results could require us to, among other things, accelerate the amortization of DAC, DSI and VOBA that would reduce profitability for such lines of business in the current period.</w:t>
      </w:r>
    </w:p>
    <w:p>
      <w:pPr>
        <w:spacing w:after="0" w:line="45"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For additional information, see Item 7 of Part II of this Annual Report, under Management’s Discussion and Analysis of Financial Condition and Results of Operations-Critical Accounting Policies and Estimates.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losses if our actual experience differs significantly from our reserving assumptions.</w:t>
      </w:r>
    </w:p>
    <w:p>
      <w:pPr>
        <w:spacing w:after="0" w:line="87" w:lineRule="exact"/>
        <w:rPr>
          <w:sz w:val="20"/>
          <w:szCs w:val="20"/>
          <w:color w:val="auto"/>
        </w:rPr>
      </w:pPr>
    </w:p>
    <w:p>
      <w:pPr>
        <w:jc w:val="both"/>
        <w:ind w:firstLine="383"/>
        <w:spacing w:after="0" w:line="274" w:lineRule="auto"/>
        <w:rPr>
          <w:sz w:val="20"/>
          <w:szCs w:val="20"/>
          <w:color w:val="auto"/>
        </w:rPr>
      </w:pPr>
      <w:r>
        <w:rPr>
          <w:rFonts w:ascii="Arial" w:cs="Arial" w:eastAsia="Arial" w:hAnsi="Arial"/>
          <w:sz w:val="15"/>
          <w:szCs w:val="15"/>
          <w:color w:val="auto"/>
        </w:rPr>
        <w:t>Our profitability depends significantly upon the extent to which our actual experience is consistent with the assumptions used in setting rates for our products and establishing liabilities for future life insurance, annuity, and PRT policy benefits and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3" w:name="page34"/>
    <w:bookmarkEnd w:id="3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claims. However, due to the nature of the underlying risks and the high degree of uncertainty associated with the determination of the liabilities for unpaid policy benefits and claims, we cannot determine precisely the amounts we will ultimately pay to settle these liabilities. As a result, we may experience volatility in our profitability and our reserves from period to period. To the extent that actual experience is less favorable than our underlying assumptions, we could be required to increase our liabilities, which may reduce our profitability and impact our financial strength.</w:t>
      </w:r>
    </w:p>
    <w:p>
      <w:pPr>
        <w:spacing w:after="0" w:line="58" w:lineRule="exact"/>
        <w:rPr>
          <w:sz w:val="20"/>
          <w:szCs w:val="20"/>
          <w:color w:val="auto"/>
        </w:rPr>
      </w:pPr>
    </w:p>
    <w:p>
      <w:pPr>
        <w:jc w:val="both"/>
        <w:ind w:firstLine="383"/>
        <w:spacing w:after="0" w:line="243" w:lineRule="auto"/>
        <w:rPr>
          <w:sz w:val="20"/>
          <w:szCs w:val="20"/>
          <w:color w:val="auto"/>
        </w:rPr>
      </w:pPr>
      <w:r>
        <w:rPr>
          <w:rFonts w:ascii="Arial" w:cs="Arial" w:eastAsia="Arial" w:hAnsi="Arial"/>
          <w:sz w:val="15"/>
          <w:szCs w:val="15"/>
          <w:color w:val="auto"/>
        </w:rPr>
        <w:t>We have minimal experience to date on policyholder behavior for our GMWB products that we began issuing in 2008. If emerging experience deviates from our assumptions on GMWB utilization, it could have a significant effect on our reserve levels and related results of operations. Based on experience on GMWB utilization, which continues to emerge, we updated our GMWB utilization assumption during 2019, with a favorable impact on reserves. We will continue to monitor the GMWB utilization assumption and update our best estimate as applicable.</w:t>
      </w:r>
    </w:p>
    <w:p>
      <w:pPr>
        <w:spacing w:after="0" w:line="180"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5"/>
          <w:szCs w:val="15"/>
          <w:color w:val="auto"/>
        </w:rPr>
        <w:t>See Item 7 of Part II of this Annual Report, under. Management’s Discussion and Analysis of Financial Condition and Results of Operations-Critical Accounting Policies and Estimates.</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Our management has historically sought to grow through acquisitions, both in our current lines of business as well as in lines of business outside of our traditional areas of focus or geographic areas. This expansion of our business subjects us to associated risks, such as risks and uncertainties associated with new companies, the diversion of management’s attention and lack of experience in operating unrelated businesses, and may affect our credit and ability to repay our debt.</w:t>
      </w:r>
    </w:p>
    <w:p>
      <w:pPr>
        <w:spacing w:after="0" w:line="25"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color w:val="auto"/>
        </w:rPr>
        <w:t>Our management has historically sought to grow through acquisitions, both in our current lines of business, as well as lines of business that are not directly tied to or synergistic with our current operations. Accordingly, we have in the past acquired, and may in the future acquire, businesses in industries or geographic areas with which management is less familiar than we are with our current businesses. These activities involve risks that could adversely affect our operating results, due to uncertainties involved with new companies,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holding company and depend on distributions from our subsidiaries for cash.</w:t>
      </w:r>
    </w:p>
    <w:p>
      <w:pPr>
        <w:spacing w:after="0" w:line="87"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44"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2022, our title insurers may pay dividends or make distributions to us of approximately $831 million; however, insurance regulators have the authority to prohibit the payment of ordinary dividends or other payments by our title insurers to us if they determine that such payment could be adverse to our policyholders.</w:t>
      </w:r>
    </w:p>
    <w:p>
      <w:pPr>
        <w:spacing w:after="0" w:line="58"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Our F&amp;G subsidiaries are also subject to state laws with respect to the payment of dividends. The Iowa insurance law and the New York insurance law regulate the amount of dividends that may be paid in any year by FGL Insurance and FGL NY Insurance, respectively. Compliance with these state regulations will limit the amounts that FGL Insurance and FGL NY Insurance may dividend to us. Any dividends in excess of a threshold amount are subject to advance state notice or approval.</w:t>
      </w:r>
    </w:p>
    <w:p>
      <w:pPr>
        <w:spacing w:after="0" w:line="55"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interrupted or compromised if we experience difficulties arising from outsourcing relationships.</w:t>
      </w:r>
    </w:p>
    <w:p>
      <w:pPr>
        <w:spacing w:after="0" w:line="8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If we do not maintain an effective outsourcing strategy or third-party providers do not perform as contracted, we may experience operational difficulties, increased costs and a loss of business that could have a material adverse effect on our results of operations. If there is a delay in our third-party providers’ introduction of our new products or if our third-party providers are unable to service our customers appropriately, we may experience a loss of business that could have a material adverse effect on our results of operations. In addition, our reliance on third-party service providers that we do not control does not relieve us of our responsibilities and requirements. Any failure or negligence by such third-party service providers in carrying out their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4" w:name="page35"/>
    <w:bookmarkEnd w:id="3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contractual duties may result in us becoming subjected to liability to parties who are harmed and ensuing litigation. Any litigation relating to such matters could be costly, expensive and time-consuming, and the outcome of any such litigation may be uncertain. Moreover, any adverse publicity arising from such litigation, even if the litigation is not successful, could adversely affect our reputation and sales of our products.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See section titled "Outsourcing” in Item 1. Business for functions we outsource to third-party service providers.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attract and retain national marketing organizations and independent agents, sales of our products may be reduced.</w:t>
      </w:r>
    </w:p>
    <w:p>
      <w:pPr>
        <w:spacing w:after="0" w:line="8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Within our F&amp;G operating segment, we must attract and retain our network of IMOs and independent agents to sell our products. Insurance companies compete vigorously for productive agents. We compete with other life insurance companies for marketers and agents primarily on the basis of our financial position, support services, compensation and product features. Such marketers and agents may promote products offered by other life insurance companies that offer a larger variety of products than we do. If we are unable to attract and retain a sufficient number of marketers and agents to sell our products, our ability to compete and our revenues would suffer.</w:t>
      </w:r>
    </w:p>
    <w:p>
      <w:pPr>
        <w:spacing w:after="0" w:line="41"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b w:val="1"/>
          <w:bCs w:val="1"/>
          <w:i w:val="1"/>
          <w:iCs w:val="1"/>
          <w:color w:val="auto"/>
        </w:rPr>
        <w:t>Failure of our enterprise-wide risk management processes could result in unexpected monetary losses, damage to our reputation, additional costs or impairment of our ability to conduct business effectively.</w:t>
      </w:r>
    </w:p>
    <w:p>
      <w:pPr>
        <w:spacing w:after="0" w:line="34" w:lineRule="exact"/>
        <w:rPr>
          <w:sz w:val="20"/>
          <w:szCs w:val="20"/>
          <w:color w:val="auto"/>
        </w:rPr>
      </w:pPr>
    </w:p>
    <w:p>
      <w:pPr>
        <w:jc w:val="both"/>
        <w:ind w:firstLine="270"/>
        <w:spacing w:after="0" w:line="305" w:lineRule="auto"/>
        <w:rPr>
          <w:sz w:val="20"/>
          <w:szCs w:val="20"/>
          <w:color w:val="auto"/>
        </w:rPr>
      </w:pPr>
      <w:r>
        <w:rPr>
          <w:rFonts w:ascii="Arial" w:cs="Arial" w:eastAsia="Arial" w:hAnsi="Arial"/>
          <w:sz w:val="13"/>
          <w:szCs w:val="13"/>
          <w:color w:val="auto"/>
        </w:rPr>
        <w:t>As a large insurance entity and a publicly traded company, we have always had risk management functions, policies and procedures throughout our operations and management. These functions include but are not limited to departments dedicated to enterprise risk management and information technology risk management, information security, business continuity, lender strategy and development, and vendor risk management. These policies and procedures have evolved over the years as we continually reassess our processes both internally and to comply with changes in the regulatory environment. Due to limitations inherent in any internal process, if our risk management processes prove unsuccessful at identifying and responding to risks, we could incur unexpected monetary losses, damage to our reputation, additional costs or impairment of our ability to conduct business effectively.</w:t>
      </w:r>
    </w:p>
    <w:p>
      <w:pPr>
        <w:spacing w:after="0" w:line="30"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4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4"/>
          <w:szCs w:val="14"/>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3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3"/>
          <w:szCs w:val="13"/>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rating agencies downgrade our insurance companies, our results of operations and competitive position in the title insurance industry may suffer.</w:t>
      </w:r>
    </w:p>
    <w:p>
      <w:pPr>
        <w:spacing w:after="0" w:line="87"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Ratings have always been an important factor in establishing the competitive position of insurance companies. Our title insurance subsidiaries are rated by S&amp;P, Moody’s, and Demotech. Our F&amp;G insurance subsidiaries are rated by A.M. Best, Fitch, Moody's, and S&amp;P.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5" w:name="page36"/>
    <w:bookmarkEnd w:id="3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retention of those ratings cannot be assured. If our ratings are reduced from their current levels by those entities, our results of operations could be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claim loss prevention procedures fail, we could incur significant claim losses.</w:t>
      </w:r>
    </w:p>
    <w:p>
      <w:pPr>
        <w:spacing w:after="0" w:line="7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In the ordinary course of our title insurance business, we assume risks related to insuring clear title to residential and commercial properties. We have established procedures to mitigate the risk of loss from title claims, including extensive underwriting and risk assessment procedures. We also mitigate the risk of large claim losses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If inherent limitations cause our claim loss risk mitigation procedures to fail, we could incur substantial losses having an adverse effect on our results of operations or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independent agents for a significant amount of our title insurance policies could adversely impact the frequency and severity of title claims.</w:t>
      </w:r>
    </w:p>
    <w:p>
      <w:pPr>
        <w:spacing w:after="0" w:line="87"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3"/>
          <w:szCs w:val="13"/>
          <w:color w:val="auto"/>
        </w:rPr>
        <w:t>In our agency operations, an independent agent performs the search and examination function or the agent may purchase a search product from us. In either case, the agent is responsible for ensuring that the search and examination is completed. The agent thus retains the majority of the title premium collected, with the balance remitted to the title underwriter for bearing the risk of loss in the event that a claim is made under the title insurance policy. Our relationship with each agent is governed by an agency agreement defining how the agent issues a title insurance policy on our behalf. The agency agreement also sets forth the agent’s liability to us for policy losses attributable to the agent’s errors. For each agent with whom we enter into an agency agreement, financial and loss experience records are maintained. Periodic audits of our agents are also conducted and the number of agents with whom we transact business is strategically managed in an effort to reduce future expenses and manage risks. Despite efforts to monitor the independent agents with which we transact business, there is no guarantee that an agent will comply with their contractual obligations to us. Furthermore, we cannot be certain that, due to changes in the regulatory environment and litigation trends, we will not be held liable for errors and omissions by agents. Accordingly, our use of independent agents could adversely impact the frequency and severity of title claims.</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 Relating to the Geographic Concentrations of our Business Segments</w:t>
      </w:r>
    </w:p>
    <w:p>
      <w:pPr>
        <w:spacing w:after="0" w:line="9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Because we are dependent upon California and Texas for approximately 14.6% and 13.0% and of our title insurance premiums, respectively, our Title segment may be adversely affected by regulatory conditions in California and/or Texas.</w:t>
      </w:r>
    </w:p>
    <w:p>
      <w:pPr>
        <w:spacing w:after="0" w:line="34"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3"/>
          <w:szCs w:val="13"/>
          <w:color w:val="auto"/>
        </w:rPr>
        <w:t>California and Texas are the two largest sources of revenue for our Title segment. In 2021, California-based premiums accounted for approximately 30.0% of premiums earned by our direct operations and 1.0% of our agency premium revenues, while Texas-based premiums accounted for 17.4% of premiums earned by our direct operations and 9.2% of our agency premium revenues. In the aggregate, California and Texas accounted for approximately 14.6% and 13.0%, respectively, of our total title insurance premiums for 2021. A significant part of our revenues and profitability are therefore subject to our operations in California and Texas and to the prevailing regulatory conditions in these states. Adverse regulatory developments in California and Texas, which could include reductions in the maximum rates permitted to be charged, inadequate rate increases or more fundamental changes in the design or implementation of the California and Texas title insurance regulatory framework, could have a material adverse effect on our results of operations and financial condition.</w:t>
      </w:r>
    </w:p>
    <w:p>
      <w:pPr>
        <w:spacing w:after="0" w:line="32"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b w:val="1"/>
          <w:bCs w:val="1"/>
          <w:i w:val="1"/>
          <w:iCs w:val="1"/>
          <w:color w:val="auto"/>
        </w:rPr>
        <w:t>Concentration in certain states for the distribution of our life insurance and annuity products in our F&amp;G segment may subject us to losses attributable to economic downturns or catastrophes in those states.</w:t>
      </w:r>
    </w:p>
    <w:p>
      <w:pPr>
        <w:spacing w:after="0" w:line="46"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Our top five states for the distribution of our life insurance and annuity products in our F&amp;G segment are California, Florida, Texas, New Jersey and Ohio. Any adverse economic developments or catastrophes in these states could have an adverse impact on our F&amp;G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6" w:name="page37"/>
    <w:bookmarkEnd w:id="3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 Relating to Government Regulation of the Insurance Industry</w:t>
      </w:r>
    </w:p>
    <w:p>
      <w:pPr>
        <w:spacing w:after="0" w:line="91" w:lineRule="exact"/>
        <w:rPr>
          <w:sz w:val="20"/>
          <w:szCs w:val="20"/>
          <w:color w:val="auto"/>
        </w:rPr>
      </w:pPr>
    </w:p>
    <w:p>
      <w:pPr>
        <w:spacing w:after="0" w:line="274" w:lineRule="auto"/>
        <w:rPr>
          <w:sz w:val="20"/>
          <w:szCs w:val="20"/>
          <w:color w:val="auto"/>
        </w:rPr>
      </w:pPr>
      <w:r>
        <w:rPr>
          <w:rFonts w:ascii="Arial" w:cs="Arial" w:eastAsia="Arial" w:hAnsi="Arial"/>
          <w:sz w:val="15"/>
          <w:szCs w:val="15"/>
          <w:b w:val="1"/>
          <w:bCs w:val="1"/>
          <w:i w:val="1"/>
          <w:iCs w:val="1"/>
          <w:color w:val="auto"/>
        </w:rPr>
        <w:t>Our subsidiaries must comply with extensive regulations. These regulations may increase our costs or impede or impose burdensome conditions on actions that we might seek to take to increase the revenues of those subsidiaries.</w:t>
      </w:r>
    </w:p>
    <w:p>
      <w:pPr>
        <w:spacing w:after="0" w:line="34" w:lineRule="exact"/>
        <w:rPr>
          <w:sz w:val="20"/>
          <w:szCs w:val="20"/>
          <w:color w:val="auto"/>
        </w:rPr>
      </w:pPr>
    </w:p>
    <w:p>
      <w:pPr>
        <w:ind w:right="20" w:firstLine="270"/>
        <w:spacing w:after="0" w:line="274" w:lineRule="auto"/>
        <w:rPr>
          <w:sz w:val="20"/>
          <w:szCs w:val="20"/>
          <w:color w:val="auto"/>
        </w:rPr>
      </w:pPr>
      <w:r>
        <w:rPr>
          <w:rFonts w:ascii="Arial" w:cs="Arial" w:eastAsia="Arial" w:hAnsi="Arial"/>
          <w:sz w:val="15"/>
          <w:szCs w:val="15"/>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46" w:lineRule="exact"/>
        <w:rPr>
          <w:sz w:val="20"/>
          <w:szCs w:val="20"/>
          <w:color w:val="auto"/>
        </w:rPr>
      </w:pPr>
    </w:p>
    <w:p>
      <w:pPr>
        <w:ind w:left="520" w:hanging="259"/>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licensing requirements;</w:t>
      </w:r>
    </w:p>
    <w:p>
      <w:pPr>
        <w:spacing w:after="0" w:line="17" w:lineRule="exact"/>
        <w:rPr>
          <w:rFonts w:ascii="Arial" w:cs="Arial" w:eastAsia="Arial" w:hAnsi="Arial"/>
          <w:sz w:val="15"/>
          <w:szCs w:val="15"/>
          <w:color w:val="auto"/>
        </w:rPr>
      </w:pPr>
    </w:p>
    <w:p>
      <w:pPr>
        <w:ind w:left="520" w:hanging="259"/>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trade and marketing practices;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accounting and financing practices;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disclosure requirements on key terms of mortgage loans;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capital and surplus requirements;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amount of dividends and other payments made by insurance subsidiaries;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investment practices;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rate schedules;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deposits of securities for the benefit of policyholders;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establishing reserves; and</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regulation of reinsurance.</w:t>
      </w:r>
    </w:p>
    <w:p>
      <w:pPr>
        <w:spacing w:after="0" w:line="7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5"/>
          <w:szCs w:val="15"/>
          <w:i w:val="1"/>
          <w:iCs w:val="1"/>
          <w:color w:val="auto"/>
        </w:rPr>
        <w:t>Business</w:t>
      </w:r>
      <w:r>
        <w:rPr>
          <w:rFonts w:ascii="Arial" w:cs="Arial" w:eastAsia="Arial" w:hAnsi="Arial"/>
          <w:sz w:val="15"/>
          <w:szCs w:val="15"/>
          <w:color w:val="auto"/>
        </w:rPr>
        <w:t xml:space="preserve"> — Regulation” for further discussion of the current regulatory environment.</w:t>
      </w:r>
    </w:p>
    <w:p>
      <w:pPr>
        <w:spacing w:after="0" w:line="50" w:lineRule="exact"/>
        <w:rPr>
          <w:sz w:val="20"/>
          <w:szCs w:val="20"/>
          <w:color w:val="auto"/>
        </w:rPr>
      </w:pPr>
    </w:p>
    <w:p>
      <w:pPr>
        <w:jc w:val="both"/>
        <w:ind w:firstLine="270"/>
        <w:spacing w:after="0" w:line="305" w:lineRule="auto"/>
        <w:rPr>
          <w:sz w:val="20"/>
          <w:szCs w:val="20"/>
          <w:color w:val="auto"/>
        </w:rPr>
      </w:pPr>
      <w:r>
        <w:rPr>
          <w:rFonts w:ascii="Arial" w:cs="Arial" w:eastAsia="Arial" w:hAnsi="Arial"/>
          <w:sz w:val="13"/>
          <w:szCs w:val="13"/>
          <w:color w:val="auto"/>
        </w:rPr>
        <w:t>Our ServiceLink subsidiary provides mortgage transaction services including title-related services and facilitation of production and management of mortgage loans. Certain of these businesses are subject to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 requests, subpoenas, and orders for documents, testimony and information in connection with various aspects of its or its clients’ regulated activities.</w:t>
      </w:r>
    </w:p>
    <w:p>
      <w:pPr>
        <w:spacing w:after="0" w:line="30"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 comply with any of these laws, should the states take an opposing interpretation, could have an adverse effect on LoanCare in the event and to the extent that they apply to some or all of its servicing activities.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State regulation of the rates we charge for title insurance could adversely affect our results of operations.</w:t>
      </w:r>
    </w:p>
    <w:p>
      <w:pPr>
        <w:spacing w:after="0" w:line="7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Our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subsidiaries operate,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our business operating results and financial conditions.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F&amp;G business is highly regulated and subject to numerous legal restrictions and regulations.</w:t>
      </w:r>
    </w:p>
    <w:p>
      <w:pPr>
        <w:spacing w:after="0" w:line="87"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3"/>
          <w:szCs w:val="13"/>
          <w:color w:val="auto"/>
        </w:rPr>
        <w:t>State insurance regulators, the NAIC and federal regulators continually reexamine existing laws and regulations and may impose changes in the future. New interpretations of existing laws and the passage of new legislation may harm our ability to sell new policies, increase our claims exposure on policies we issued previously and adversely affect our profitability and financial strength. We are also subject to the risk that compliance with any particular regulator’s interpretation of a legal or accounting issue may not result in compliance with another regulator’s interpretation of the same issue, particularly when compliance is judged in hindsight. Regulators and other authorities have the power to bring administrative or judicial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7" w:name="page38"/>
    <w:bookmarkEnd w:id="3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proceedings against us, which could result in, among other things, suspension or revocation of our licenses, cease and desist orders, fines, civil penalties, criminal penalties or other disciplinary action, which could materially harm our results of operations and financial condition.</w:t>
      </w:r>
    </w:p>
    <w:p>
      <w:pPr>
        <w:spacing w:after="0" w:line="46"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We cannot predict what form any future changes in these or other areas of regulation affecting the insurance industry might take or what effect, if any, such proposals might have on us if enacted into law. In addition, because our activities are relatively concentrated in a small number of lines of business, any change in law or regulation affecting one of those lines of business could have a disproportionate impact on us as compared to other more diversified insurance companies. See section titled “Regulation” in Item 1. Business for further discussion of the impact of regulations on our business.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State Regulation</w:t>
      </w:r>
    </w:p>
    <w:p>
      <w:pPr>
        <w:spacing w:after="0" w:line="8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color w:val="auto"/>
        </w:rPr>
        <w:t>Our business is subject to government regulation in each of the states in which we conduct business and is concerned primarily with the protection of policyholders and other customers rather than shareholders. Such regulation is vested in state agencies having broad administrative and discretionary authority, which may include, among other things, premium rates and increases thereto, underwriting practices, reserve requirements, marketing practices, advertising, privacy, policy forms, reinsurance reserve requirements, acquisitions, mergers and capital adequacy. At any given time, we and our insurance subsidiaries may be the subject of a number of ongoing financial or market conduct, audits or inquiries. From time to time, regulators raise issues during such examinations or audits that could have a material impact on our business.</w:t>
      </w:r>
    </w:p>
    <w:p>
      <w:pPr>
        <w:spacing w:after="0" w:line="4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4"/>
          <w:szCs w:val="14"/>
          <w:color w:val="auto"/>
        </w:rPr>
        <w:t>We have received inquiries from a number of state regulatory authorities regarding our use of the U.S. Social Security Administration’s Death Master File (“Death Master File”) and compliance with state claims practices regulations and unclaimed property or escheatment laws. We have established procedures to periodically compare our in-force life insurance and annuity policies against the Death Master File or similar databases; investigate any identified potential matches to confirm the death of the insured; determine whether benefits are due; and attempt to locate the beneficiaries of any benefits due or, if no beneficiary can be located, escheat the benefit to the state as unclaimed property. We believe we have established sufficient reserves with respect to these matters; however, it is possible that third parties could dispute these amounts and additional payments or additional unreported claims or liabilities could be identified which could be significant and could have a material adverse effect on our results of operations.</w:t>
      </w:r>
    </w:p>
    <w:p>
      <w:pPr>
        <w:spacing w:after="0" w:line="34"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Under insurance guaranty fund laws in most states, insurance companies doing business therein can be assessed up to prescribed limits for policyholder losses incurred by insolvent companies. We cannot predict the amount or timing of any such future assessments and therefore the liability we have established for these potential assessments may not be adequate. In addition, regulators may change their interpretation or application of existing laws and regulations such as the case with broadening the scope of carriers that must contribute towards Long Term Care insolvencies.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NAIC</w:t>
      </w:r>
    </w:p>
    <w:p>
      <w:pPr>
        <w:spacing w:after="0" w:line="87"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4"/>
          <w:szCs w:val="14"/>
          <w:color w:val="auto"/>
        </w:rPr>
        <w:t>Although our business is subject to regulation in each state in which we conduct business, in many instances the state regulatory models emanate from the NAIC. Some of the NAIC pronouncements, particularly as they affect accounting issues, take effect automatically in the various states without affirmative action by the states. Statutes, regulations and interpretations may be applied with retroactive impact, particularly in areas such as accounting and reserve requirements. The NAIC continues to work to reform state regulation in various areas, including comprehensive reforms relating to cyber security regulations, best interest standards, RBC and life insurance reserves.</w:t>
      </w:r>
    </w:p>
    <w:p>
      <w:pPr>
        <w:spacing w:after="0" w:line="29"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3"/>
          <w:szCs w:val="13"/>
          <w:color w:val="auto"/>
        </w:rPr>
        <w:t>Our insurance subsidiaries are subject to minimum capitalization requirements based on RBC formulas for life insurance companies that establish capital requirements relating to insurance, business, asset, interest rate and certain other risks. Changes to statutory reserve or risk-based capital requirements may increase the amount of reserves or capital our insurance companies are required to hold and may impact our ability to pay dividends. In addition, changes in statutory reserve or risk-based capital requirements may adversely impact our financial strength ratings. Changes currently under consideration include adding an operational risk component, factors for asset credit risk, and group wide capital calculations.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“Fiduciary” Rule Proposals</w:t>
      </w:r>
    </w:p>
    <w:p>
      <w:pPr>
        <w:spacing w:after="0" w:line="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The DOL investment advice rule leaves in place PTE 84-24 which is a longstanding class exemption providing prohibited transaction relief for insurance agents selling annuity products provided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F&amp;G, along with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 Meanwhile the DOL has publicly announced its intention to consider future rulemaking that would revoke or modify PTE 84-24.</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8" w:name="page39"/>
    <w:bookmarkEnd w:id="3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the company supervises its distribution force, compensation practices, and liability exposure and costs. In addition to implementing the compliance procedures described above, management is monitoring further developments closely and will be working with IMOs and distributors to adapt to these evolving regulatory requirements and risks.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Bermuda and Cayman Islands Regulation</w:t>
      </w:r>
    </w:p>
    <w:p>
      <w:pPr>
        <w:spacing w:after="0" w:line="17"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5"/>
          <w:szCs w:val="15"/>
          <w:color w:val="auto"/>
        </w:rPr>
        <w:t>Our business is subject to regulation in Bermuda and the Cayman Islands, including the BMA and the CIMA. These regulations may limit or curtail our activities, including activities that might be profitable, and changes to existing regulations may affect our ability to continue to offer our existing products and services, or new products and services we may wish to offer in the future.</w:t>
      </w:r>
    </w:p>
    <w:p>
      <w:pPr>
        <w:spacing w:after="0" w:line="58"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4"/>
          <w:szCs w:val="14"/>
          <w:color w:val="auto"/>
        </w:rPr>
        <w:t>Our reinsurance subsidiary, F&amp;G Life Re, is registered in Bermuda under the Bermuda Insurance Act and subject to the rules and regulations promulgated thereunder. The BMA has sought regulatory equivalency, which enables Bermuda’s commercial insurers to transact business with the EU on a “level playing field.” In connection with its initial efforts to achieve equivalency under the European Union’s Directive (2009/138/EC) (“Solvency II”), the BMA implemented and imposed additional requirements on the companies it regulates. The European Commission in 2016 granted Bermuda’s commercial insurers full equivalence in all areas of Solvency II for an indefinite period of time.</w:t>
      </w:r>
    </w:p>
    <w:p>
      <w:pPr>
        <w:spacing w:after="0" w:line="29" w:lineRule="exact"/>
        <w:rPr>
          <w:sz w:val="20"/>
          <w:szCs w:val="20"/>
          <w:color w:val="auto"/>
        </w:rPr>
      </w:pPr>
    </w:p>
    <w:p>
      <w:pPr>
        <w:jc w:val="both"/>
        <w:ind w:firstLine="383"/>
        <w:spacing w:after="0" w:line="262" w:lineRule="auto"/>
        <w:rPr>
          <w:sz w:val="20"/>
          <w:szCs w:val="20"/>
          <w:color w:val="auto"/>
        </w:rPr>
      </w:pPr>
      <w:r>
        <w:rPr>
          <w:rFonts w:ascii="Arial" w:cs="Arial" w:eastAsia="Arial" w:hAnsi="Arial"/>
          <w:sz w:val="15"/>
          <w:szCs w:val="15"/>
          <w:color w:val="auto"/>
        </w:rPr>
        <w:t>Our reinsurance subsidiary, F&amp;G Cayman Re, is licensed in the Cayman Islands by the CIMA and is subject to supervision by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Regulatory investigations of the insurance industry may lead to fines, settlements, new regulation or legal uncertainty, which could negatively affect our results of operations.</w:t>
      </w:r>
    </w:p>
    <w:p>
      <w:pPr>
        <w:spacing w:after="0" w:line="110"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 Relating to the Credit Risk of our Counterparties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the credit risk of our counterparties, including companies with whom we have reinsurance agreements or we have purchased call options.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F&amp;G insurance subsidiaries cede material amounts of insurance and transfer related assets and certain liabilities to other insurance companies through reinsurance. Accordingly, we bear credit risk with respect to our reinsurers. The failure, insolvency, inability or unwillingness of any reinsurer to pay under the terms of reinsurance agreements with us could materially adversely affect our business, financial condition and results of operations. We regularly monitor the credit rating and performance of our reinsurance parties. Wilton Re represents our largest reinsurance counterparty exposure. We also utilize funds withheld reinsurance counterparty risk. Under funds withheld arrangements, F&amp;G retains possession and legal title to assets backing ceded liabilities.</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Our F&amp;G insurance subsidiaries are also exposed to credit loss in the event of non-performance by our counterparties on call options. We seek to reduce the risk associated with such agreements by purchasing such options from large, well-established financial institutions, and by holding collateral. There can be no assurance we will not suffer losses in the event of counterparty non-performance.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financial institutions at which we hold escrow funds fail, it could have a material adverse impact on our company.</w:t>
      </w:r>
    </w:p>
    <w:p>
      <w:pPr>
        <w:spacing w:after="0" w:line="75"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4"/>
          <w:szCs w:val="14"/>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$30.5 billion at December 31, 2021.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9" w:name="page40"/>
    <w:bookmarkEnd w:id="3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 Relating to Market Conditions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economic and credit market conditions deteriorate, it could have a material adverse impact on our investment portfolio.</w:t>
      </w:r>
    </w:p>
    <w:p>
      <w:pPr>
        <w:spacing w:after="0" w:line="75" w:lineRule="exact"/>
        <w:rPr>
          <w:sz w:val="20"/>
          <w:szCs w:val="20"/>
          <w:color w:val="auto"/>
        </w:rPr>
      </w:pPr>
    </w:p>
    <w:p>
      <w:pPr>
        <w:jc w:val="both"/>
        <w:ind w:firstLine="270"/>
        <w:spacing w:after="0" w:line="275" w:lineRule="auto"/>
        <w:rPr>
          <w:sz w:val="20"/>
          <w:szCs w:val="20"/>
          <w:color w:val="auto"/>
        </w:rPr>
      </w:pPr>
      <w:r>
        <w:rPr>
          <w:rFonts w:ascii="Arial" w:cs="Arial" w:eastAsia="Arial" w:hAnsi="Arial"/>
          <w:sz w:val="14"/>
          <w:szCs w:val="14"/>
          <w:color w:val="auto"/>
        </w:rPr>
        <w:t>Our investment portfolio is exposed to economic and financial market risks, including changes in interest rates, credit markets and prices of marketable equity and fixed-income securities. Our investment policy in our title business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Economic and credit market conditions may adversely affect the ability of some issuers of investment securities to repay their obligations and affect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50" w:lineRule="exact"/>
        <w:rPr>
          <w:sz w:val="20"/>
          <w:szCs w:val="20"/>
          <w:color w:val="auto"/>
        </w:rPr>
      </w:pPr>
    </w:p>
    <w:p>
      <w:pPr>
        <w:jc w:val="both"/>
        <w:ind w:firstLine="270"/>
        <w:spacing w:after="0" w:line="241" w:lineRule="auto"/>
        <w:rPr>
          <w:sz w:val="20"/>
          <w:szCs w:val="20"/>
          <w:color w:val="auto"/>
        </w:rPr>
      </w:pPr>
      <w:r>
        <w:rPr>
          <w:rFonts w:ascii="Arial" w:cs="Arial" w:eastAsia="Arial" w:hAnsi="Arial"/>
          <w:sz w:val="15"/>
          <w:szCs w:val="15"/>
          <w:color w:val="auto"/>
        </w:rPr>
        <w:t>Fixed maturities, equity securities and derivatives represent the majority of total cash and invested assets reported at fair value on our balance sheets. Fair value is defined as the price that would be received to sell an asset or paid to transfer a liability in an orderly transaction between market participants at the measurement date (an exit price). Fair value estimates are made based on available market information and judgments about the financial instrument at a specific point in time. Expectations that our investments will continue to perform in accordance with their contractual terms are based on evidence gathered through our normal credit surveillance process and on assumptions a market participant would use in determining the current fair value.</w:t>
      </w:r>
    </w:p>
    <w:p>
      <w:pPr>
        <w:spacing w:after="0" w:line="58"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value and performance of certain of our assets are dependent upon the performance of collateral underlying these investments. It is possible the collateral will not meet performance expectations leading to adverse changes in the cash flows on our holdings of these types of securities.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market volatility could negatively impact our business.</w:t>
      </w:r>
    </w:p>
    <w:p>
      <w:pPr>
        <w:spacing w:after="0" w:line="87" w:lineRule="exact"/>
        <w:rPr>
          <w:sz w:val="20"/>
          <w:szCs w:val="20"/>
          <w:color w:val="auto"/>
        </w:rPr>
      </w:pPr>
    </w:p>
    <w:p>
      <w:pPr>
        <w:jc w:val="both"/>
        <w:spacing w:after="0" w:line="311" w:lineRule="auto"/>
        <w:rPr>
          <w:sz w:val="20"/>
          <w:szCs w:val="20"/>
          <w:color w:val="auto"/>
        </w:rPr>
      </w:pPr>
      <w:r>
        <w:rPr>
          <w:rFonts w:ascii="Arial" w:cs="Arial" w:eastAsia="Arial" w:hAnsi="Arial"/>
          <w:sz w:val="13"/>
          <w:szCs w:val="13"/>
          <w:color w:val="auto"/>
        </w:rPr>
        <w:t>The estimated cost of providing GMWB associated with our annuity products incorporates various assumptions about the overall performance of equity markets over certain time periods. Periods of significant and sustained downturns in equity markets or increased equity volatility could result in an increase in the valuation of the future policy benefit or policyholder account balance liabilities associated with such products, resulting in a reduction in our revenues and net earnings (loss). The rate of amortization of DAC, DSI, and VOBA relating to FIA products could also increase if equity market performance is worse than assumed and have a materially adverse impact on our results of operations and financial condition.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are subject to market and credit risks. These risks could be heightened during periods of extreme volatility or disruption in financial and credit markets.</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invested assets and derivative financial instruments are subject to risks of credit defaults and changes in market values. Periods of extreme volatility or disruption in the financial and credit markets could increase these risks. Changes in interest rates and credit spreads could cause market price and cash flow variability in the fixed income instruments in our investment portfolio. Significant volatility and lack of liquidity in the credit markets could cause issuers of the fixed-income securities we own to default on either principal or interest payments. Additionally, market price valuations may not accurately reflect the underlying expected cash flows of securities within our investment portfolio. Finally, market volatility could cause investment income fluctuations in regards to our alternative investments that may differ significantly from period to period.</w:t>
      </w:r>
    </w:p>
    <w:p>
      <w:pPr>
        <w:spacing w:after="0" w:line="45" w:lineRule="exact"/>
        <w:rPr>
          <w:sz w:val="20"/>
          <w:szCs w:val="20"/>
          <w:color w:val="auto"/>
        </w:rPr>
      </w:pPr>
    </w:p>
    <w:p>
      <w:pPr>
        <w:jc w:val="both"/>
        <w:spacing w:after="0" w:line="311" w:lineRule="auto"/>
        <w:rPr>
          <w:sz w:val="20"/>
          <w:szCs w:val="20"/>
          <w:color w:val="auto"/>
        </w:rPr>
      </w:pPr>
      <w:r>
        <w:rPr>
          <w:rFonts w:ascii="Arial" w:cs="Arial" w:eastAsia="Arial" w:hAnsi="Arial"/>
          <w:sz w:val="13"/>
          <w:szCs w:val="13"/>
          <w:color w:val="auto"/>
        </w:rPr>
        <w:t>The value of our mortgage-backed securities and our commercial and residential mortgage loan investments depends in part on the financial condition of the borrowers and tenants for the properties underlying those investments, as well as general and specific economic trends affecting the overall default rate. We are also subject to the risk that cash flows resulting from the payments on pools of mortgages that serve as collateral underlying the mortgage-backed securities we own may differ from our expectations in timing or size. Any event reducing the estimated fair value of these securities, other than on a temporary basis, could have an adverse effect on our business, results of operations and financial condition.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adverse changes in the levels of real estate activity occur, our revenues may decline.</w:t>
      </w:r>
    </w:p>
    <w:p>
      <w:pPr>
        <w:spacing w:after="0" w:line="75"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15"/>
          <w:szCs w:val="15"/>
          <w:color w:val="auto"/>
        </w:rPr>
        <w:t>Title insurance revenue is closely related to the level of real estate activity that includes sales, mortgage financing and mortgage refinancing. The levels of real estate activity are primarily affected by the average price of real estate sales, the availability of funds to finance purchases and mortgage interest rates.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have found that residential real estate activity generally decreases in the following situations:</w:t>
      </w:r>
    </w:p>
    <w:p>
      <w:pPr>
        <w:spacing w:after="0" w:line="87" w:lineRule="exact"/>
        <w:rPr>
          <w:sz w:val="20"/>
          <w:szCs w:val="20"/>
          <w:color w:val="auto"/>
        </w:rPr>
      </w:pPr>
    </w:p>
    <w:p>
      <w:pPr>
        <w:ind w:left="520" w:hanging="259"/>
        <w:spacing w:after="0"/>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when mortgage interest rates are high or increasing;</w:t>
      </w:r>
    </w:p>
    <w:p>
      <w:pPr>
        <w:spacing w:after="0" w:line="17" w:lineRule="exact"/>
        <w:rPr>
          <w:rFonts w:ascii="Arial" w:cs="Arial" w:eastAsia="Arial" w:hAnsi="Arial"/>
          <w:sz w:val="15"/>
          <w:szCs w:val="15"/>
          <w:color w:val="auto"/>
        </w:rPr>
      </w:pPr>
    </w:p>
    <w:p>
      <w:pPr>
        <w:ind w:left="520" w:hanging="259"/>
        <w:spacing w:after="0"/>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when the mortgage funding supply is limited;</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when housing inventory is limited or home prices are high or increasing;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0" w:name="page41"/>
    <w:bookmarkEnd w:id="4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520" w:hanging="259"/>
        <w:spacing w:after="0"/>
        <w:tabs>
          <w:tab w:leader="none" w:pos="5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when the United States economy is weak, including high unemployment levels.</w:t>
      </w:r>
    </w:p>
    <w:p>
      <w:pPr>
        <w:spacing w:after="0" w:line="9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 xml:space="preserve">Declines in the level of real estate activity or the average price of real estate sales are likely to adversely affect our title insurance revenues. The Mortgage Bankers Association's ("MBA") Mortgage Finance Forecast as of January 21, 2022 calculates an approximately $4.0 trillion mortgage origination market for 2021, which would be an decrease from 2020 resulting primarily from decreased refinance activity. The MBA predicts overall mortgage originations in 2022 and 2023 will also decrease when compared to 2021 as a result of decreases in refinance activity. Our revenues in future periods will continue to be subject to these and other factors that are beyond our control and, as a result, are likely to fluctuate. See discussion under 'Business Trends and Conditions' within </w:t>
      </w:r>
      <w:r>
        <w:rPr>
          <w:rFonts w:ascii="Arial" w:cs="Arial" w:eastAsia="Arial" w:hAnsi="Arial"/>
          <w:sz w:val="15"/>
          <w:szCs w:val="15"/>
          <w:i w:val="1"/>
          <w:iCs w:val="1"/>
          <w:color w:val="auto"/>
        </w:rPr>
        <w:t>Management's Discussion and Analysis of Financial Condition and Results of Operations</w:t>
      </w:r>
      <w:r>
        <w:rPr>
          <w:rFonts w:ascii="Arial" w:cs="Arial" w:eastAsia="Arial" w:hAnsi="Arial"/>
          <w:sz w:val="15"/>
          <w:szCs w:val="15"/>
          <w:color w:val="auto"/>
        </w:rPr>
        <w:t xml:space="preserve"> included in Item 7 of Part II of this Annual Report for further discussion of current market trends.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fluctuations could adversely affect our business, financial condition, liquidity, results of operations and cash flows.</w:t>
      </w:r>
    </w:p>
    <w:p>
      <w:pPr>
        <w:spacing w:after="0" w:line="17"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Interest rate risk is a significant market risk as our F&amp;G business involves issuing interest rate sensitive obligations backed primarily by investments in fixed income assets. For the past several years interest rates have remained at or near historically low levels. The prolonged period of low rates exposes us to the risk of not achieving returns sufficient to meet our earnings targets and/or our contractual obligations. Furthermore, low or declining interest rates may reduce the rate of policyholder surrenders and withdrawals on our life insurance and annuity products, thus increasing the duration of the liabilities, creating asset and liability duration mismatches and increasing the risk of having to reinvest assets at yields below the amounts required to support our obligations. Lower interest rates may also result in decreased sales of certain insurance products, negatively impacting our profitability from new business.</w:t>
      </w:r>
    </w:p>
    <w:p>
      <w:pPr>
        <w:spacing w:after="0" w:line="2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During periods of increasing interest rates, which are expected in 2022, we may offer higher crediting rates on interest-sensitive products, such as universal life insurance and fixed annuities, and we may increase crediting rates on in-force products to keep these products competitive. We may be required to accept lower spread income (the difference between the returns we earn on our investments and the amounts we credit to contractholders) thus reducing our profitability, as returns on our portfolio of invested assets may not increase as quickly as current interest rates. Rapidly rising interest rates may also expose us to the risk of financial disintermediation, which is an increase in policy surrenders, withdrawals and requests for policy loans as customers seek to achieve higher returns elsewhere requiring us to liquidate assets in an unrealized loss position. If we experience unexpected withdrawal activity, we could exhaust our liquid assets and be forced to liquidate other less liquid assets such as limited partnership investments. We may have difficulty selling these investments in a timely manner and/or be forced to sell them for less than we otherwise would have been able to realize, which could have a material adverse effect on our business, financial condition and results of operations. We have developed and maintain ALM programs and procedures designed to mitigate interest rate risk by matching asset cash flows to expected liability cash flows. In addition, we assess surrender charges on withdrawals in excess of allowable penalty-free amounts that occur during the surrender charge period. There can be no assurance actual withdrawals, contract benefits, and maturities will match our estimates. Despite our efforts to reduce the impact of rising interest rates, we may be required to sell assets to raise the cash necessary to respond to an increase in surrenders, withdrawals and loans, thereby realizing capital losses on the assets sold.</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may experience spread income compression, and a loss of anticipated earnings, if credited interest rates are increased on renewing contracts in an effort to decrease or manage withdrawal activity. Our expectation for future spread income is an important component in amortization of DAC, DSI, and VOBA under U.S. GAAP. Significant reductions in spread income may cause us to accelerate DAC, DSI, and VOBA amortization. In addition, certain statutory capital and reserve requirements are based on formulas or models that consider interest rates and a prolonged period of low interest rates may increase the statutory capital we are required to hold as well as the amount of assets we must maintain to support statutory reserves.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Setting Every Community Up for Retirement Enhancement Act of 2019 may impact our business and the markets in which we compete.</w:t>
      </w:r>
    </w:p>
    <w:p>
      <w:pPr>
        <w:spacing w:after="0" w:line="75"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5"/>
          <w:szCs w:val="15"/>
          <w:color w:val="auto"/>
        </w:rPr>
        <w:t>The Setting Every Community Up for Retirement Enhancement Act of 2019, Pub.L. 116-94 (the “SECURE Act”), was signed into law on December 20, 2019 as part of the Further Consolidated Appropriations Act and went into effect in certain respects as early as January 1, 2020. The SECURE Act contains provisions that may impact our F&amp;G insurance subsidiaries, including elimination of the “stretch IRA” (funds from inherited IRAs must now be fully withdrawn by beneficiaries within 10 years of the account owner’s death and, as a result, IRAs may be less desirable to our customers, and our administrative system for handling distributions from IRAs invested in our annuity products may need to be updated to reflect the shortened distribution period for IRA beneficiaries); elimination of age limit for making traditional IRA contributions; raising of the age for required minimum distributions from IRAs from 70½ to 72 (particularly impacting our administrative system for handling distributions from IRAs invested in our annuity products); expansion of 401K plan eligibility for part-time workers; creation of new employer protections for offering annuities, including a fiduciary safe harbor for employer retirement plan sponsors that wish to add in-plan annuity products (particularly impacting how we and our competitors may now sell annuity products to employers or provide certifications necessary to meet the SECURE Act fiduciary safe harbor requirements); and lowering of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1" w:name="page42"/>
    <w:bookmarkEnd w:id="4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barriers for offering multiple employer plans. The SECURE Act changes may also affect, to some extent, the length of time that IRA assets remain in our annuity products. While we cannot predict whether, or to what extent, the SECURE Act will ultimately impact us, the SECURE Act may have implications for our business operations and the markets in which we compete. See section titled “F&amp;G - Regulation” in Item 1. Business.</w:t>
      </w: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 Related to a National Crisis, Global Crisis, Climate Change and Other Catastrophic Events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materially and adversely affected by the occurrence of a catastrophe, including natural or man-made disasters.</w:t>
      </w:r>
    </w:p>
    <w:p>
      <w:pPr>
        <w:spacing w:after="0" w:line="87"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Any catastrophic event, such as pandemic diseases, terrorist attacks, floods, severe storms or hurricanes or computer cyber-terrorism, could have a material and adverse effect on our business in several respects:</w:t>
      </w:r>
    </w:p>
    <w:p>
      <w:pPr>
        <w:spacing w:after="0" w:line="34" w:lineRule="exact"/>
        <w:rPr>
          <w:sz w:val="20"/>
          <w:szCs w:val="20"/>
          <w:color w:val="auto"/>
        </w:rPr>
      </w:pPr>
    </w:p>
    <w:p>
      <w:pPr>
        <w:ind w:left="540" w:hanging="279"/>
        <w:spacing w:after="0" w:line="274" w:lineRule="auto"/>
        <w:tabs>
          <w:tab w:leader="none" w:pos="536"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outbreak of a pandemic disease, like the novel coronavirus COVID-19, could have a material adverse effect on our liquidity, financial condition and the operating results of our insurance business due to its impact on the economy and financial markets;</w:t>
      </w:r>
    </w:p>
    <w:p>
      <w:pPr>
        <w:spacing w:after="0" w:line="45" w:lineRule="exact"/>
        <w:rPr>
          <w:rFonts w:ascii="Arial" w:cs="Arial" w:eastAsia="Arial" w:hAnsi="Arial"/>
          <w:sz w:val="15"/>
          <w:szCs w:val="15"/>
          <w:color w:val="auto"/>
        </w:rPr>
      </w:pPr>
    </w:p>
    <w:p>
      <w:pPr>
        <w:ind w:left="540" w:hanging="279"/>
        <w:spacing w:after="0" w:line="274" w:lineRule="auto"/>
        <w:tabs>
          <w:tab w:leader="none" w:pos="536"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occurrence of any pandemic disease, natural disaster, terrorist attack or any other catastrophic event that results in our workforce being unable to be physically located at one of our facilities could result in lengthy interruptions in our service; or</w:t>
      </w:r>
    </w:p>
    <w:p>
      <w:pPr>
        <w:spacing w:after="0" w:line="45" w:lineRule="exact"/>
        <w:rPr>
          <w:rFonts w:ascii="Arial" w:cs="Arial" w:eastAsia="Arial" w:hAnsi="Arial"/>
          <w:sz w:val="15"/>
          <w:szCs w:val="15"/>
          <w:color w:val="auto"/>
        </w:rPr>
      </w:pPr>
    </w:p>
    <w:p>
      <w:pPr>
        <w:jc w:val="both"/>
        <w:ind w:left="540" w:hanging="279"/>
        <w:spacing w:after="0" w:line="311" w:lineRule="auto"/>
        <w:tabs>
          <w:tab w:leader="none" w:pos="536" w:val="left"/>
        </w:tabs>
        <w:numPr>
          <w:ilvl w:val="0"/>
          <w:numId w:val="25"/>
        </w:numPr>
        <w:rPr>
          <w:rFonts w:ascii="Arial" w:cs="Arial" w:eastAsia="Arial" w:hAnsi="Arial"/>
          <w:sz w:val="13"/>
          <w:szCs w:val="13"/>
          <w:color w:val="auto"/>
        </w:rPr>
      </w:pPr>
      <w:r>
        <w:rPr>
          <w:rFonts w:ascii="Arial" w:cs="Arial" w:eastAsia="Arial" w:hAnsi="Arial"/>
          <w:sz w:val="13"/>
          <w:szCs w:val="13"/>
          <w:color w:val="auto"/>
        </w:rPr>
        <w:t>we could experience long-term interruptions in our service and the services provided by our significant vendors due to the effects of catastrophic events, including but not limited to government mandates to self-quarantine, work remotely and prolonged travel restrictions. Some of our operational systems are not fully redundant, and our disaster recovery and business continuity planning cannot account for all eventualities. Additionally, unanticipated problems with our disaster recovery systems could further impede our ability to conduct business, particularly if those problems affect our computer-based data processing, transmission, storage and retrieval systems and destroy valuable data;</w:t>
      </w:r>
    </w:p>
    <w:p>
      <w:pPr>
        <w:spacing w:after="0" w:line="13" w:lineRule="exact"/>
        <w:rPr>
          <w:rFonts w:ascii="Arial" w:cs="Arial" w:eastAsia="Arial" w:hAnsi="Arial"/>
          <w:sz w:val="13"/>
          <w:szCs w:val="13"/>
          <w:color w:val="auto"/>
        </w:rPr>
      </w:pPr>
    </w:p>
    <w:p>
      <w:pPr>
        <w:ind w:left="540" w:right="20" w:hanging="279"/>
        <w:spacing w:after="0" w:line="274" w:lineRule="auto"/>
        <w:tabs>
          <w:tab w:leader="none" w:pos="536"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manage our financial exposure for losses in our title insurance business and in our F&amp;G segment with third-party reinsurance. Catastrophic events could adversely affect the cost and availability of that reinsurance;</w:t>
      </w:r>
    </w:p>
    <w:p>
      <w:pPr>
        <w:spacing w:after="0" w:line="45" w:lineRule="exact"/>
        <w:rPr>
          <w:rFonts w:ascii="Arial" w:cs="Arial" w:eastAsia="Arial" w:hAnsi="Arial"/>
          <w:sz w:val="15"/>
          <w:szCs w:val="15"/>
          <w:color w:val="auto"/>
        </w:rPr>
      </w:pPr>
    </w:p>
    <w:p>
      <w:pPr>
        <w:ind w:left="540" w:hanging="279"/>
        <w:spacing w:after="0" w:line="274" w:lineRule="auto"/>
        <w:tabs>
          <w:tab w:leader="none" w:pos="536"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value of our investment portfolio may decrease if the securities in which we invest are negatively impacted by climate change, pandemic diseases, severe weather conditions and other catastrophic events.</w:t>
      </w:r>
    </w:p>
    <w:p>
      <w:pPr>
        <w:spacing w:after="0" w:line="46" w:lineRule="exact"/>
        <w:rPr>
          <w:sz w:val="20"/>
          <w:szCs w:val="20"/>
          <w:color w:val="auto"/>
        </w:rPr>
      </w:pPr>
    </w:p>
    <w:p>
      <w:pPr>
        <w:jc w:val="both"/>
        <w:ind w:right="20"/>
        <w:spacing w:after="0" w:line="311" w:lineRule="auto"/>
        <w:rPr>
          <w:sz w:val="20"/>
          <w:szCs w:val="20"/>
          <w:color w:val="auto"/>
        </w:rPr>
      </w:pPr>
      <w:r>
        <w:rPr>
          <w:rFonts w:ascii="Arial" w:cs="Arial" w:eastAsia="Arial" w:hAnsi="Arial"/>
          <w:sz w:val="14"/>
          <w:szCs w:val="14"/>
          <w:color w:val="auto"/>
        </w:rPr>
        <w:t>For example, in the second and third quarters of 2020 we experienced decreases in commercial volumes and commercial fee-per-file as a result of the outbreak of COVID-19. We also experienced a decrease in the number of opened residential purchase orders and increased volatility in our investment portfolio early in the pandemic.</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Risk Factors</w:t>
      </w:r>
    </w:p>
    <w:p>
      <w:pPr>
        <w:spacing w:after="0" w:line="9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Failure of our information security systems or processes could result in a loss or disclosure of confidential information, damage to our reputation, monetary losses, additional costs and impairment of our ability to conduct business effectively.</w:t>
      </w:r>
    </w:p>
    <w:p>
      <w:pPr>
        <w:spacing w:after="0" w:line="3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Our operations are highly dependent upon the effective operation of our computer systems. We use our computer systems to receive, process, store and transmit sensitive personal consumer data (such as names and addresses, social security numbers, driver's license numbers, credit cards and bank account information) and important business information of our customers. We also electronically manage substantial cash, investment assets and escrow account balances on behalf of ourselves and our customers, as well as financial information about our businesses generally. The integrity of our computer systems and the protection of the information that resides on such systems are important to our successful operation. If we fail to maintain an adequate security infrastructure, adapt to emerging security threats or follow our internal business processes with respect to security, the information or assets we hold could be compromised. Further, even if we, or third parties to which we outsource certain information technology services, maintain a reasonable, industry-standard information security infrastructure to mitigate these risks, the inherent risk that unauthorized access to information or assets remains. This risk is increased by transmittal of information over the internet and the increased threat and sophistication of cyber criminals. While, to date, we believe that we have not experienced a material breach of our computer systems, the occurrence or scope of such events is not always apparent. Examples of security threats which represent significant inherent risk with little to no warning are the SolarWinds supply chain compromise from 2020 and the Apache Software Foundation Log4j vulnerability in its product disclosed in December of 2021. With SolarWinds, we took all appropriate steps to evaluate any impact and we do not believe we were impacted by this incident. Similar supply chain incidents or breaches could occur to us directly or indirectly through our vendors with little or no warning. With Log 4j, we took all appropriate steps to mitigate exposure to our systems. We know that certain applications in our environment did utilize the affected versions of Log4j. Although we believe we identified and remediated the known Log4j vulnerabilities with no indication of compromise, the risk of additional vulnerabilities and potential attacks related to this issue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2" w:name="page43"/>
    <w:bookmarkEnd w:id="4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may continue for several months given the complexity and widespread nature of the situation. We are also working closely with our supply chain partners to ensure they are addressing these vulnerabilities. If additional information regarding an event previously considered immaterial is discovered, or a new event were to occur, it could potentially have a material adverse effect on our operations or financial condition. In addition, some laws and certain of our contracts require notification of various parties, including regulators, consumers or customers, in the event that confidential or personal information has or may have been taken or accessed by unauthorized parties. Such notifications can potentially result, among other things, in adverse publicity, diversion of management and other resources, the attention of regulatory authorities, the imposition of fines, and disruptions in business operations, the effects of which may be material. Any inability to prevent security or privacy breaches, or the perception that such breaches may occur, could inhibit our ability to retain or attract new clients and/or result in financial losses, litigation, increased costs, negative publicity, or other adverse consequences to our business.</w:t>
      </w:r>
    </w:p>
    <w:p>
      <w:pPr>
        <w:spacing w:after="0" w:line="50"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Further, our financial institution clients have obligations to safeguard their information technology systems and the confidentiality of customer information. In certain of our businesses, we are bound contractually and/or by regulation to comply with the same requirements. If we fail to comply with these regulations and requirements, we could be exposed to suits for breach of contract, governmental proceedings or the imposition of fines. In addition, future adoption of more restrictive privacy laws, rules or industry security requirements by federal or state regulatory bodies or by a specific industry in which we do business could have an adverse impact on us through increased costs or restrictions on business processes.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respond to rapid changes in technology could adversely affect our results of operations or financial condition.</w:t>
      </w:r>
    </w:p>
    <w:p>
      <w:pPr>
        <w:spacing w:after="0" w:line="87"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Rapidly evolving technologies and innovations in software and financial technology could drive changes in how real estate transactions are recorded and processed throughout the mortgage life cycle. There is no guarantee that we will be able to effectively adapt to and utilize changing technology. Existing or new competitors may be able to utilize or create technology more effectively than us, which could result in the loss of market share.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the subject of various legal proceedings that could have a material adverse effect on our results of operations.</w:t>
      </w:r>
    </w:p>
    <w:p>
      <w:pPr>
        <w:spacing w:after="0" w:line="7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 xml:space="preserve">We are involved from time to time in various legal proceedings, including in some cases class-action lawsuits and regulatory inquiries, investigations or other proceedings. If we are unsuccessful in our defense of litigation matters or regulatory proceedings, we may be forced to pay damages, fines or penalties and/or change our business practices, any of which could have a material adverse effect on our business and results of operations. See Note H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to our Consolidated Financial Statements included in Item 8 of Part II of this Annual Report for further discussion of pending litigation and regulatory matters and our related accrual.</w:t>
      </w:r>
    </w:p>
    <w:p>
      <w:pPr>
        <w:spacing w:after="0" w:line="41"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b w:val="1"/>
          <w:bCs w:val="1"/>
          <w:i w:val="1"/>
          <w:iCs w:val="1"/>
          <w:color w:val="auto"/>
        </w:rPr>
        <w:t>Our F&amp;G insurance subsidiaries operate in a highly competitive industry, which could limit our ability to gain or maintain our position in the industry and could materially adversely affect our business, financial condition and results of operations.</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F&amp;G insurance subsidiaries operate in a highly competitive industry and encounter significant competition in all of our product lines from other insurance companies, many of which have greater financial resources and higher financial strength ratings than us and that may have a greater market share, offer a broader range of products, services or features, assume a greater level of risk, have lower operating or financing costs, or have different profitability expectations than us. Competition could result in, among other things, lower sales or higher lapses of existing products.</w:t>
      </w:r>
    </w:p>
    <w:p>
      <w:pPr>
        <w:spacing w:after="0" w:line="4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annuity products compete with fixed indexed, fixed rate and variable annuities sold by other insurance companies and also with mutual fund products, traditional bank investments and other retirement funding alternatives offered by asset managers, banks and broker-dealers. The ability of banks and broker dealers to increase their securities-related business or to affiliate with insurance companies may materially and adversely affect sales of all of our products by substantially increasing the number and financial strength of potential competitors. Our insurance products compete with those of other insurance companies, financial intermediaries and other institutions based on a number of factors, including premium rates, policy terms and conditions, service provided to distribution channels and policyholders, ratings by rating agencies, reputation and commission structures.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Our ability to compete is dependent upon, among other things, our ability to develop competitive and profitable products, our ability to maintain low unit costs, and our maintenance of adequate financial strength ratings from rating agencies. Our ability to compete is also dependent upon, among other things, our ability to attract and retain distribution channels to market our products, the competition for which is vigorous.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key personnel could negatively affect our financial results and impair our operating abilities.</w:t>
      </w:r>
    </w:p>
    <w:p>
      <w:pPr>
        <w:spacing w:after="0" w:line="75" w:lineRule="exact"/>
        <w:rPr>
          <w:sz w:val="20"/>
          <w:szCs w:val="20"/>
          <w:color w:val="auto"/>
        </w:rPr>
      </w:pPr>
    </w:p>
    <w:p>
      <w:pPr>
        <w:jc w:val="both"/>
        <w:ind w:right="20" w:firstLine="270"/>
        <w:spacing w:after="0" w:line="290" w:lineRule="auto"/>
        <w:rPr>
          <w:sz w:val="20"/>
          <w:szCs w:val="20"/>
          <w:color w:val="auto"/>
        </w:rPr>
      </w:pPr>
      <w:r>
        <w:rPr>
          <w:rFonts w:ascii="Arial" w:cs="Arial" w:eastAsia="Arial" w:hAnsi="Arial"/>
          <w:sz w:val="14"/>
          <w:szCs w:val="14"/>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3" w:name="page44"/>
    <w:bookmarkEnd w:id="4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276"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corporate headquarters are in Jacksonville, Florida in owned facilities. Our F&amp;G headquarters are in Des Moines, Iowa in leased facilities.</w:t>
      </w:r>
    </w:p>
    <w:p>
      <w:pPr>
        <w:spacing w:after="0" w:line="66"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 xml:space="preserve">The majority of our branch offices are leased from third parties. See Note Q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 our Consolidated Financial Statements included in Item 8 of Part II of this Annual Report for further information on our outstanding leases. Our subsidiaries conduct their business operations primarily in leased office space in 45 states, Washington, DC, Canada, India, Bermuda and the Cayman Islands.</w:t>
      </w:r>
    </w:p>
    <w:p>
      <w:pPr>
        <w:spacing w:after="0" w:line="25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21" w:lineRule="exact"/>
        <w:rPr>
          <w:sz w:val="20"/>
          <w:szCs w:val="20"/>
          <w:color w:val="auto"/>
        </w:rPr>
      </w:pPr>
    </w:p>
    <w:p>
      <w:pPr>
        <w:jc w:val="both"/>
        <w:ind w:firstLine="270"/>
        <w:spacing w:after="0" w:line="261" w:lineRule="auto"/>
        <w:rPr>
          <w:sz w:val="20"/>
          <w:szCs w:val="20"/>
          <w:color w:val="auto"/>
        </w:rPr>
      </w:pPr>
      <w:r>
        <w:rPr>
          <w:rFonts w:ascii="Arial" w:cs="Arial" w:eastAsia="Arial" w:hAnsi="Arial"/>
          <w:sz w:val="15"/>
          <w:szCs w:val="15"/>
          <w:color w:val="auto"/>
        </w:rPr>
        <w:t xml:space="preserve">For a description of our legal proceedings see discussion of </w:t>
      </w:r>
      <w:r>
        <w:rPr>
          <w:rFonts w:ascii="Arial" w:cs="Arial" w:eastAsia="Arial" w:hAnsi="Arial"/>
          <w:sz w:val="15"/>
          <w:szCs w:val="15"/>
          <w:i w:val="1"/>
          <w:iCs w:val="1"/>
          <w:color w:val="auto"/>
        </w:rPr>
        <w:t>Legal and Regulatory Contingencies</w:t>
      </w:r>
      <w:r>
        <w:rPr>
          <w:rFonts w:ascii="Arial" w:cs="Arial" w:eastAsia="Arial" w:hAnsi="Arial"/>
          <w:sz w:val="15"/>
          <w:szCs w:val="15"/>
          <w:color w:val="auto"/>
        </w:rPr>
        <w:t xml:space="preserve"> in Note H.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xml:space="preserve"> to our Consolidated Financial Statements included in Item 8 of Part II of this Annual Report, which is incorporated by reference into this Item 3 of Part I.</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i w:val="1"/>
          <w:iCs w:val="1"/>
          <w:color w:val="auto"/>
        </w:rPr>
        <w:t>Mine Safety Disclosures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Not applicable.</w:t>
      </w:r>
    </w:p>
    <w:p>
      <w:pPr>
        <w:spacing w:after="0" w:line="197" w:lineRule="exact"/>
        <w:rPr>
          <w:sz w:val="20"/>
          <w:szCs w:val="20"/>
          <w:color w:val="auto"/>
        </w:rPr>
      </w:pPr>
    </w:p>
    <w:p>
      <w:pPr>
        <w:ind w:left="5360"/>
        <w:spacing w:after="0"/>
        <w:rPr>
          <w:sz w:val="20"/>
          <w:szCs w:val="20"/>
          <w:color w:val="auto"/>
        </w:rPr>
      </w:pPr>
      <w:r>
        <w:rPr>
          <w:rFonts w:ascii="Arial" w:cs="Arial" w:eastAsia="Arial" w:hAnsi="Arial"/>
          <w:sz w:val="15"/>
          <w:szCs w:val="15"/>
          <w:b w:val="1"/>
          <w:bCs w:val="1"/>
          <w:color w:val="auto"/>
        </w:rPr>
        <w:t>PART II</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3"/>
          <w:szCs w:val="13"/>
          <w:b w:val="1"/>
          <w:bCs w:val="1"/>
          <w:i w:val="1"/>
          <w:iCs w:val="1"/>
          <w:color w:val="auto"/>
        </w:rPr>
        <w:t>Market for Registrant's Common Equity, Related Stockholder Matters and Issuer Purchases of Equity Securities</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common stock trades on the New York Stock Exchange under the trading symbol "FNF".</w:t>
      </w:r>
    </w:p>
    <w:p>
      <w:pPr>
        <w:spacing w:after="0" w:line="88"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On January 31, 2022, the last reported sale price of our common stock on the New York Stock Exchange was $50.35. We had approximately 6,187 shareholders of record on January 31, 2022.</w:t>
      </w:r>
    </w:p>
    <w:p>
      <w:pPr>
        <w:spacing w:after="0" w:line="57"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 xml:space="preserve">Refer to Note U. </w:t>
      </w:r>
      <w:r>
        <w:rPr>
          <w:rFonts w:ascii="Arial" w:cs="Arial" w:eastAsia="Arial" w:hAnsi="Arial"/>
          <w:sz w:val="15"/>
          <w:szCs w:val="15"/>
          <w:i w:val="1"/>
          <w:iCs w:val="1"/>
          <w:color w:val="auto"/>
        </w:rPr>
        <w:t>Employee Benefit Plans</w:t>
      </w:r>
      <w:r>
        <w:rPr>
          <w:rFonts w:ascii="Arial" w:cs="Arial" w:eastAsia="Arial" w:hAnsi="Arial"/>
          <w:sz w:val="15"/>
          <w:szCs w:val="15"/>
          <w:color w:val="auto"/>
        </w:rPr>
        <w:t xml:space="preserve"> to our Consolidated Financial Statements included in Item 8 of Part II of this Annual Report, which is incorporated by reference into this Item 5 of Part II, for further information on securities issued for employee stock compensation pursuant to our Omnibus Plan.</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Information concerning securities authorized for issuance under our equity compensation plans will be included in Item 12 of Part III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4" w:name="page45"/>
    <w:bookmarkEnd w:id="4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Performance Graph</w:t>
      </w:r>
    </w:p>
    <w:p>
      <w:pPr>
        <w:spacing w:after="0" w:line="75" w:lineRule="exact"/>
        <w:rPr>
          <w:sz w:val="20"/>
          <w:szCs w:val="20"/>
          <w:color w:val="auto"/>
        </w:rPr>
      </w:pPr>
    </w:p>
    <w:p>
      <w:pPr>
        <w:jc w:val="both"/>
        <w:ind w:right="80" w:firstLine="270"/>
        <w:spacing w:after="0" w:line="311" w:lineRule="auto"/>
        <w:rPr>
          <w:sz w:val="20"/>
          <w:szCs w:val="20"/>
          <w:color w:val="auto"/>
        </w:rPr>
      </w:pPr>
      <w:r>
        <w:rPr>
          <w:rFonts w:ascii="Arial" w:cs="Arial" w:eastAsia="Arial" w:hAnsi="Arial"/>
          <w:sz w:val="13"/>
          <w:szCs w:val="13"/>
          <w:color w:val="auto"/>
        </w:rPr>
        <w:t>Set forth below is a graph comparing cumulative total shareholder return on our FNF common stock against the cumulative total return on the S&amp;P 500 Index and against the cumulative total return of a peer group index consisting of certain companies in the primary industry in which we compete (SIC code 6361 — Title Insurance) for the period ending December 31, 2021.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2016,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29845</wp:posOffset>
            </wp:positionV>
            <wp:extent cx="4893945" cy="40640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93945" cy="406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3160" w:type="dxa"/>
            <w:vAlign w:val="bottom"/>
            <w:tcBorders>
              <w:top w:val="single" w:sz="8" w:color="auto"/>
              <w:bottom w:val="single" w:sz="8" w:color="auto"/>
            </w:tcBorders>
          </w:tcPr>
          <w:p>
            <w:pPr>
              <w:spacing w:after="0"/>
              <w:rPr>
                <w:sz w:val="14"/>
                <w:szCs w:val="14"/>
                <w:color w:val="auto"/>
              </w:rPr>
            </w:pPr>
          </w:p>
        </w:tc>
        <w:tc>
          <w:tcPr>
            <w:tcW w:w="22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12/31/2016</w:t>
            </w:r>
          </w:p>
        </w:tc>
        <w:tc>
          <w:tcPr>
            <w:tcW w:w="11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12/31/2017</w:t>
            </w:r>
          </w:p>
        </w:tc>
        <w:tc>
          <w:tcPr>
            <w:tcW w:w="12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12/31/2018</w:t>
            </w:r>
          </w:p>
        </w:tc>
        <w:tc>
          <w:tcPr>
            <w:tcW w:w="12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12/31/2019</w:t>
            </w:r>
          </w:p>
        </w:tc>
        <w:tc>
          <w:tcPr>
            <w:tcW w:w="11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12/31/2020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12/31/2021</w:t>
            </w:r>
          </w:p>
        </w:tc>
      </w:tr>
      <w:tr>
        <w:trPr>
          <w:trHeight w:val="208"/>
        </w:trPr>
        <w:tc>
          <w:tcPr>
            <w:tcW w:w="3160" w:type="dxa"/>
            <w:vAlign w:val="bottom"/>
          </w:tcPr>
          <w:p>
            <w:pPr>
              <w:ind w:left="280"/>
              <w:spacing w:after="0"/>
              <w:rPr>
                <w:sz w:val="20"/>
                <w:szCs w:val="20"/>
                <w:color w:val="auto"/>
              </w:rPr>
            </w:pPr>
            <w:r>
              <w:rPr>
                <w:rFonts w:ascii="Arial" w:cs="Arial" w:eastAsia="Arial" w:hAnsi="Arial"/>
                <w:sz w:val="12"/>
                <w:szCs w:val="12"/>
                <w:color w:val="auto"/>
              </w:rPr>
              <w:t>Fidelity National Financial, Inc.</w:t>
            </w:r>
          </w:p>
        </w:tc>
        <w:tc>
          <w:tcPr>
            <w:tcW w:w="2280" w:type="dxa"/>
            <w:vAlign w:val="bottom"/>
          </w:tcPr>
          <w:p>
            <w:pPr>
              <w:jc w:val="right"/>
              <w:ind w:right="200"/>
              <w:spacing w:after="0"/>
              <w:rPr>
                <w:sz w:val="20"/>
                <w:szCs w:val="20"/>
                <w:color w:val="auto"/>
              </w:rPr>
            </w:pPr>
            <w:r>
              <w:rPr>
                <w:rFonts w:ascii="Arial" w:cs="Arial" w:eastAsia="Arial" w:hAnsi="Arial"/>
                <w:sz w:val="12"/>
                <w:szCs w:val="12"/>
                <w:color w:val="auto"/>
              </w:rPr>
              <w:t>100.00</w:t>
            </w: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165.16</w:t>
            </w: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136.68</w:t>
            </w: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203.31</w:t>
            </w: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182.62</w:t>
            </w:r>
          </w:p>
        </w:tc>
        <w:tc>
          <w:tcPr>
            <w:tcW w:w="880" w:type="dxa"/>
            <w:vAlign w:val="bottom"/>
          </w:tcPr>
          <w:p>
            <w:pPr>
              <w:jc w:val="right"/>
              <w:spacing w:after="0"/>
              <w:rPr>
                <w:sz w:val="20"/>
                <w:szCs w:val="20"/>
                <w:color w:val="auto"/>
              </w:rPr>
            </w:pPr>
            <w:r>
              <w:rPr>
                <w:rFonts w:ascii="Arial" w:cs="Arial" w:eastAsia="Arial" w:hAnsi="Arial"/>
                <w:sz w:val="12"/>
                <w:szCs w:val="12"/>
                <w:color w:val="auto"/>
              </w:rPr>
              <w:t>252.0</w:t>
            </w:r>
          </w:p>
        </w:tc>
      </w:tr>
      <w:tr>
        <w:trPr>
          <w:trHeight w:val="158"/>
        </w:trPr>
        <w:tc>
          <w:tcPr>
            <w:tcW w:w="3160" w:type="dxa"/>
            <w:vAlign w:val="bottom"/>
          </w:tcPr>
          <w:p>
            <w:pPr>
              <w:ind w:left="280"/>
              <w:spacing w:after="0"/>
              <w:rPr>
                <w:sz w:val="20"/>
                <w:szCs w:val="20"/>
                <w:color w:val="auto"/>
              </w:rPr>
            </w:pPr>
            <w:r>
              <w:rPr>
                <w:rFonts w:ascii="Arial" w:cs="Arial" w:eastAsia="Arial" w:hAnsi="Arial"/>
                <w:sz w:val="12"/>
                <w:szCs w:val="12"/>
                <w:color w:val="auto"/>
              </w:rPr>
              <w:t>S&amp;P 500</w:t>
            </w:r>
          </w:p>
        </w:tc>
        <w:tc>
          <w:tcPr>
            <w:tcW w:w="2280" w:type="dxa"/>
            <w:vAlign w:val="bottom"/>
          </w:tcPr>
          <w:p>
            <w:pPr>
              <w:jc w:val="right"/>
              <w:ind w:right="200"/>
              <w:spacing w:after="0"/>
              <w:rPr>
                <w:sz w:val="20"/>
                <w:szCs w:val="20"/>
                <w:color w:val="auto"/>
              </w:rPr>
            </w:pPr>
            <w:r>
              <w:rPr>
                <w:rFonts w:ascii="Arial" w:cs="Arial" w:eastAsia="Arial" w:hAnsi="Arial"/>
                <w:sz w:val="12"/>
                <w:szCs w:val="12"/>
                <w:color w:val="auto"/>
              </w:rPr>
              <w:t>100.00</w:t>
            </w: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121.83</w:t>
            </w: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116.49</w:t>
            </w: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153.17</w:t>
            </w: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181.35</w:t>
            </w:r>
          </w:p>
        </w:tc>
        <w:tc>
          <w:tcPr>
            <w:tcW w:w="880" w:type="dxa"/>
            <w:vAlign w:val="bottom"/>
          </w:tcPr>
          <w:p>
            <w:pPr>
              <w:jc w:val="right"/>
              <w:spacing w:after="0"/>
              <w:rPr>
                <w:sz w:val="20"/>
                <w:szCs w:val="20"/>
                <w:color w:val="auto"/>
              </w:rPr>
            </w:pPr>
            <w:r>
              <w:rPr>
                <w:rFonts w:ascii="Arial" w:cs="Arial" w:eastAsia="Arial" w:hAnsi="Arial"/>
                <w:sz w:val="12"/>
                <w:szCs w:val="12"/>
                <w:color w:val="auto"/>
              </w:rPr>
              <w:t>233.4</w:t>
            </w:r>
          </w:p>
        </w:tc>
      </w:tr>
      <w:tr>
        <w:trPr>
          <w:trHeight w:val="158"/>
        </w:trPr>
        <w:tc>
          <w:tcPr>
            <w:tcW w:w="3160" w:type="dxa"/>
            <w:vAlign w:val="bottom"/>
          </w:tcPr>
          <w:p>
            <w:pPr>
              <w:ind w:left="280"/>
              <w:spacing w:after="0"/>
              <w:rPr>
                <w:sz w:val="20"/>
                <w:szCs w:val="20"/>
                <w:color w:val="auto"/>
              </w:rPr>
            </w:pPr>
            <w:r>
              <w:rPr>
                <w:rFonts w:ascii="Arial" w:cs="Arial" w:eastAsia="Arial" w:hAnsi="Arial"/>
                <w:sz w:val="12"/>
                <w:szCs w:val="12"/>
                <w:color w:val="auto"/>
              </w:rPr>
              <w:t>Peer Group</w:t>
            </w:r>
          </w:p>
        </w:tc>
        <w:tc>
          <w:tcPr>
            <w:tcW w:w="2280" w:type="dxa"/>
            <w:vAlign w:val="bottom"/>
          </w:tcPr>
          <w:p>
            <w:pPr>
              <w:jc w:val="right"/>
              <w:ind w:right="200"/>
              <w:spacing w:after="0"/>
              <w:rPr>
                <w:sz w:val="20"/>
                <w:szCs w:val="20"/>
                <w:color w:val="auto"/>
              </w:rPr>
            </w:pPr>
            <w:r>
              <w:rPr>
                <w:rFonts w:ascii="Arial" w:cs="Arial" w:eastAsia="Arial" w:hAnsi="Arial"/>
                <w:sz w:val="12"/>
                <w:szCs w:val="12"/>
                <w:color w:val="auto"/>
              </w:rPr>
              <w:t>100.00</w:t>
            </w: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144.51</w:t>
            </w: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122.40</w:t>
            </w: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158.10</w:t>
            </w: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150.91</w:t>
            </w:r>
          </w:p>
        </w:tc>
        <w:tc>
          <w:tcPr>
            <w:tcW w:w="880" w:type="dxa"/>
            <w:vAlign w:val="bottom"/>
          </w:tcPr>
          <w:p>
            <w:pPr>
              <w:jc w:val="right"/>
              <w:spacing w:after="0"/>
              <w:rPr>
                <w:sz w:val="20"/>
                <w:szCs w:val="20"/>
                <w:color w:val="auto"/>
              </w:rPr>
            </w:pPr>
            <w:r>
              <w:rPr>
                <w:rFonts w:ascii="Arial" w:cs="Arial" w:eastAsia="Arial" w:hAnsi="Arial"/>
                <w:sz w:val="12"/>
                <w:szCs w:val="12"/>
                <w:color w:val="auto"/>
              </w:rPr>
              <w:t>239.1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45" w:name="page46"/>
    <w:bookmarkEnd w:id="4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Dividends</w:t>
      </w:r>
    </w:p>
    <w:p>
      <w:pPr>
        <w:spacing w:after="0" w:line="98"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15"/>
          <w:szCs w:val="15"/>
          <w:color w:val="auto"/>
        </w:rPr>
        <w:t>On February 16, 2022, our Board of Directors formally declared a $0.44 per FNF share cash dividend that is payable on March 31, 2022 to FNF shareholders of record as of March 17, 2022. During the years ended December 31, 2021 and 2020, we declared dividend on our common stock of $1.56 and $1.35, respectively.</w:t>
      </w:r>
    </w:p>
    <w:p>
      <w:pPr>
        <w:spacing w:after="0" w:line="46"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Purchases of Equity Securities by the Issuer</w:t>
      </w:r>
    </w:p>
    <w:p>
      <w:pPr>
        <w:spacing w:after="0" w:line="8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On July 17, 2018, our Board of Directors approved a three-year stock repurchase program effective August 1, 2018 (the "2018 Repurchase Program") under which we were authorized to purchase up to 25 million shares of our FNF common stock through July 31, 2021. On August 3, 2021, our Board of Directors approved a new three-year stock repurchase program effective August 3, 2021 (the "2021 Repurchase Program") under which we may purchase up to 25 million shares of our FNF common stock through July 31, 2024. We may make repurchases from time to time in the open market, in block purchases or in privately negotiated transactions, depending on market conditions and other factors. The 2021 Repurchase Program replaces the 2018 Repurchase Program.</w:t>
      </w:r>
    </w:p>
    <w:p>
      <w:pPr>
        <w:spacing w:after="0" w:line="60"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During the quarter ended December 31, 2021, we repurchased a total of 2,055,000 FNF common shares for an aggregate amount of $104 million or an average of $50.70 per share. Subsequent to December 31, 2021 and through market close on February 23, 2022, we repurchased a total of 250,000 shares for $13 million, or an average of $52.60 under the 2021 Repurchase Program. Since the original commencement of the 2021 Repurchase Program, we repurchased a total of 3,230,000 FNF common shares for an aggregate amount of $161 million, or an average of $49.90 per share.</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summarizes repurchases of equity securities by FNF during the quarter ended December 31, 2021:</w:t>
      </w:r>
    </w:p>
    <w:p>
      <w:pPr>
        <w:spacing w:after="0" w:line="83"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Total Number of Shares</w:t>
            </w: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right"/>
              <w:ind w:right="180"/>
              <w:spacing w:after="0"/>
              <w:rPr>
                <w:sz w:val="20"/>
                <w:szCs w:val="20"/>
                <w:color w:val="auto"/>
              </w:rPr>
            </w:pPr>
            <w:r>
              <w:rPr>
                <w:rFonts w:ascii="Arial" w:cs="Arial" w:eastAsia="Arial" w:hAnsi="Arial"/>
                <w:sz w:val="12"/>
                <w:szCs w:val="12"/>
                <w:b w:val="1"/>
                <w:bCs w:val="1"/>
                <w:color w:val="auto"/>
              </w:rPr>
              <w:t>Total Number of Shares</w:t>
            </w:r>
          </w:p>
        </w:tc>
        <w:tc>
          <w:tcPr>
            <w:tcW w:w="100" w:type="dxa"/>
            <w:vAlign w:val="bottom"/>
          </w:tcPr>
          <w:p>
            <w:pPr>
              <w:spacing w:after="0"/>
              <w:rPr>
                <w:sz w:val="12"/>
                <w:szCs w:val="12"/>
                <w:color w:val="auto"/>
              </w:rPr>
            </w:pPr>
          </w:p>
        </w:tc>
        <w:tc>
          <w:tcPr>
            <w:tcW w:w="1940" w:type="dxa"/>
            <w:vAlign w:val="bottom"/>
          </w:tcPr>
          <w:p>
            <w:pPr>
              <w:jc w:val="right"/>
              <w:ind w:right="20"/>
              <w:spacing w:after="0"/>
              <w:rPr>
                <w:sz w:val="20"/>
                <w:szCs w:val="20"/>
                <w:color w:val="auto"/>
              </w:rPr>
            </w:pPr>
            <w:r>
              <w:rPr>
                <w:rFonts w:ascii="Arial" w:cs="Arial" w:eastAsia="Arial" w:hAnsi="Arial"/>
                <w:sz w:val="12"/>
                <w:szCs w:val="12"/>
                <w:b w:val="1"/>
                <w:bCs w:val="1"/>
                <w:color w:val="auto"/>
              </w:rPr>
              <w:t>Maximum Number of Shares</w:t>
            </w:r>
          </w:p>
        </w:tc>
        <w:tc>
          <w:tcPr>
            <w:tcW w:w="0" w:type="dxa"/>
            <w:vAlign w:val="bottom"/>
          </w:tcPr>
          <w:p>
            <w:pPr>
              <w:spacing w:after="0"/>
              <w:rPr>
                <w:sz w:val="1"/>
                <w:szCs w:val="1"/>
                <w:color w:val="auto"/>
              </w:rPr>
            </w:pPr>
          </w:p>
        </w:tc>
      </w:tr>
      <w:tr>
        <w:trPr>
          <w:trHeight w:val="113"/>
        </w:trPr>
        <w:tc>
          <w:tcPr>
            <w:tcW w:w="300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Period</w:t>
            </w:r>
          </w:p>
        </w:tc>
        <w:tc>
          <w:tcPr>
            <w:tcW w:w="17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9"/>
              </w:rPr>
              <w:t>Average Price Paid per Share</w:t>
            </w:r>
          </w:p>
        </w:tc>
        <w:tc>
          <w:tcPr>
            <w:tcW w:w="1960" w:type="dxa"/>
            <w:vAlign w:val="bottom"/>
          </w:tcPr>
          <w:p>
            <w:pPr>
              <w:jc w:val="right"/>
              <w:ind w:right="160"/>
              <w:spacing w:after="0" w:line="113" w:lineRule="exact"/>
              <w:rPr>
                <w:sz w:val="20"/>
                <w:szCs w:val="20"/>
                <w:color w:val="auto"/>
              </w:rPr>
            </w:pPr>
            <w:r>
              <w:rPr>
                <w:rFonts w:ascii="Arial" w:cs="Arial" w:eastAsia="Arial" w:hAnsi="Arial"/>
                <w:sz w:val="12"/>
                <w:szCs w:val="12"/>
                <w:b w:val="1"/>
                <w:bCs w:val="1"/>
                <w:color w:val="auto"/>
              </w:rPr>
              <w:t>Purchased as Part of Publicly</w:t>
            </w:r>
          </w:p>
        </w:tc>
        <w:tc>
          <w:tcPr>
            <w:tcW w:w="100" w:type="dxa"/>
            <w:vAlign w:val="bottom"/>
          </w:tcPr>
          <w:p>
            <w:pPr>
              <w:spacing w:after="0"/>
              <w:rPr>
                <w:sz w:val="9"/>
                <w:szCs w:val="9"/>
                <w:color w:val="auto"/>
              </w:rPr>
            </w:pPr>
          </w:p>
        </w:tc>
        <w:tc>
          <w:tcPr>
            <w:tcW w:w="1940" w:type="dxa"/>
            <w:vAlign w:val="bottom"/>
          </w:tcPr>
          <w:p>
            <w:pPr>
              <w:jc w:val="right"/>
              <w:ind w:right="40"/>
              <w:spacing w:after="0" w:line="113" w:lineRule="exact"/>
              <w:rPr>
                <w:sz w:val="20"/>
                <w:szCs w:val="20"/>
                <w:color w:val="auto"/>
              </w:rPr>
            </w:pPr>
            <w:r>
              <w:rPr>
                <w:rFonts w:ascii="Arial" w:cs="Arial" w:eastAsia="Arial" w:hAnsi="Arial"/>
                <w:sz w:val="12"/>
                <w:szCs w:val="12"/>
                <w:b w:val="1"/>
                <w:bCs w:val="1"/>
                <w:color w:val="auto"/>
                <w:w w:val="94"/>
              </w:rPr>
              <w:t>that May Yet Be Purchased Under</w:t>
            </w:r>
          </w:p>
        </w:tc>
        <w:tc>
          <w:tcPr>
            <w:tcW w:w="0" w:type="dxa"/>
            <w:vAlign w:val="bottom"/>
          </w:tcPr>
          <w:p>
            <w:pPr>
              <w:spacing w:after="0"/>
              <w:rPr>
                <w:sz w:val="1"/>
                <w:szCs w:val="1"/>
                <w:color w:val="auto"/>
              </w:rPr>
            </w:pPr>
          </w:p>
        </w:tc>
      </w:tr>
      <w:tr>
        <w:trPr>
          <w:trHeight w:val="157"/>
        </w:trPr>
        <w:tc>
          <w:tcPr>
            <w:tcW w:w="3000" w:type="dxa"/>
            <w:vAlign w:val="bottom"/>
            <w:gridSpan w:val="2"/>
            <w:vMerge w:val="continue"/>
          </w:tcPr>
          <w:p>
            <w:pPr>
              <w:spacing w:after="0"/>
              <w:rPr>
                <w:sz w:val="13"/>
                <w:szCs w:val="13"/>
                <w:color w:val="auto"/>
              </w:rPr>
            </w:pPr>
          </w:p>
        </w:tc>
        <w:tc>
          <w:tcPr>
            <w:tcW w:w="1780" w:type="dxa"/>
            <w:vAlign w:val="bottom"/>
            <w:gridSpan w:val="2"/>
          </w:tcPr>
          <w:p>
            <w:pPr>
              <w:ind w:left="560"/>
              <w:spacing w:after="0"/>
              <w:rPr>
                <w:sz w:val="20"/>
                <w:szCs w:val="20"/>
                <w:color w:val="auto"/>
              </w:rPr>
            </w:pPr>
            <w:r>
              <w:rPr>
                <w:rFonts w:ascii="Arial" w:cs="Arial" w:eastAsia="Arial" w:hAnsi="Arial"/>
                <w:sz w:val="12"/>
                <w:szCs w:val="12"/>
                <w:b w:val="1"/>
                <w:bCs w:val="1"/>
                <w:color w:val="auto"/>
              </w:rPr>
              <w:t>Purchased</w:t>
            </w:r>
          </w:p>
        </w:tc>
        <w:tc>
          <w:tcPr>
            <w:tcW w:w="3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960" w:type="dxa"/>
            <w:vAlign w:val="bottom"/>
          </w:tcPr>
          <w:p>
            <w:pPr>
              <w:jc w:val="right"/>
              <w:ind w:right="60"/>
              <w:spacing w:after="0"/>
              <w:rPr>
                <w:sz w:val="20"/>
                <w:szCs w:val="20"/>
                <w:color w:val="auto"/>
              </w:rPr>
            </w:pPr>
            <w:r>
              <w:rPr>
                <w:rFonts w:ascii="Arial" w:cs="Arial" w:eastAsia="Arial" w:hAnsi="Arial"/>
                <w:sz w:val="12"/>
                <w:szCs w:val="12"/>
                <w:b w:val="1"/>
                <w:bCs w:val="1"/>
                <w:color w:val="auto"/>
                <w:w w:val="93"/>
              </w:rPr>
              <w:t>Announced Plans or Programs (1)</w:t>
            </w:r>
          </w:p>
        </w:tc>
        <w:tc>
          <w:tcPr>
            <w:tcW w:w="100" w:type="dxa"/>
            <w:vAlign w:val="bottom"/>
          </w:tcPr>
          <w:p>
            <w:pPr>
              <w:spacing w:after="0"/>
              <w:rPr>
                <w:sz w:val="13"/>
                <w:szCs w:val="13"/>
                <w:color w:val="auto"/>
              </w:rPr>
            </w:pPr>
          </w:p>
        </w:tc>
        <w:tc>
          <w:tcPr>
            <w:tcW w:w="1940" w:type="dxa"/>
            <w:vAlign w:val="bottom"/>
          </w:tcPr>
          <w:p>
            <w:pPr>
              <w:jc w:val="right"/>
              <w:ind w:right="260"/>
              <w:spacing w:after="0"/>
              <w:rPr>
                <w:sz w:val="20"/>
                <w:szCs w:val="20"/>
                <w:color w:val="auto"/>
              </w:rPr>
            </w:pPr>
            <w:r>
              <w:rPr>
                <w:rFonts w:ascii="Arial" w:cs="Arial" w:eastAsia="Arial" w:hAnsi="Arial"/>
                <w:sz w:val="12"/>
                <w:szCs w:val="12"/>
                <w:b w:val="1"/>
                <w:bCs w:val="1"/>
                <w:color w:val="auto"/>
              </w:rPr>
              <w:t>the Plans or Programs (2)</w:t>
            </w:r>
          </w:p>
        </w:tc>
        <w:tc>
          <w:tcPr>
            <w:tcW w:w="0" w:type="dxa"/>
            <w:vAlign w:val="bottom"/>
          </w:tcPr>
          <w:p>
            <w:pPr>
              <w:spacing w:after="0"/>
              <w:rPr>
                <w:sz w:val="1"/>
                <w:szCs w:val="1"/>
                <w:color w:val="auto"/>
              </w:rPr>
            </w:pPr>
          </w:p>
        </w:tc>
      </w:tr>
      <w:tr>
        <w:trPr>
          <w:trHeight w:val="149"/>
        </w:trPr>
        <w:tc>
          <w:tcPr>
            <w:tcW w:w="29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2"/>
                <w:szCs w:val="12"/>
                <w:color w:val="auto"/>
              </w:rPr>
              <w:t>10/1/2021 - 10/31/2021</w:t>
            </w:r>
          </w:p>
        </w:tc>
        <w:tc>
          <w:tcPr>
            <w:tcW w:w="1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105,000</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45.69</w:t>
            </w:r>
          </w:p>
        </w:tc>
        <w:tc>
          <w:tcPr>
            <w:tcW w:w="10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105,000</w:t>
            </w:r>
          </w:p>
        </w:tc>
        <w:tc>
          <w:tcPr>
            <w:tcW w:w="10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23,970,000</w:t>
            </w:r>
          </w:p>
        </w:tc>
        <w:tc>
          <w:tcPr>
            <w:tcW w:w="0" w:type="dxa"/>
            <w:vAlign w:val="bottom"/>
          </w:tcPr>
          <w:p>
            <w:pPr>
              <w:spacing w:after="0"/>
              <w:rPr>
                <w:sz w:val="1"/>
                <w:szCs w:val="1"/>
                <w:color w:val="auto"/>
              </w:rPr>
            </w:pPr>
          </w:p>
        </w:tc>
      </w:tr>
      <w:tr>
        <w:trPr>
          <w:trHeight w:val="155"/>
        </w:trPr>
        <w:tc>
          <w:tcPr>
            <w:tcW w:w="2900" w:type="dxa"/>
            <w:vAlign w:val="bottom"/>
          </w:tcPr>
          <w:p>
            <w:pPr>
              <w:ind w:left="280"/>
              <w:spacing w:after="0"/>
              <w:rPr>
                <w:sz w:val="20"/>
                <w:szCs w:val="20"/>
                <w:color w:val="auto"/>
              </w:rPr>
            </w:pPr>
            <w:r>
              <w:rPr>
                <w:rFonts w:ascii="Arial" w:cs="Arial" w:eastAsia="Arial" w:hAnsi="Arial"/>
                <w:sz w:val="12"/>
                <w:szCs w:val="12"/>
                <w:color w:val="auto"/>
              </w:rPr>
              <w:t>11/1/2021 - 11/30/2021</w:t>
            </w: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850,000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51.10</w:t>
            </w:r>
          </w:p>
        </w:tc>
        <w:tc>
          <w:tcPr>
            <w:tcW w:w="10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Arial" w:cs="Arial" w:eastAsia="Arial" w:hAnsi="Arial"/>
                <w:sz w:val="12"/>
                <w:szCs w:val="12"/>
                <w:color w:val="auto"/>
              </w:rPr>
              <w:t>850,000</w:t>
            </w:r>
          </w:p>
        </w:tc>
        <w:tc>
          <w:tcPr>
            <w:tcW w:w="2040" w:type="dxa"/>
            <w:vAlign w:val="bottom"/>
            <w:gridSpan w:val="2"/>
          </w:tcPr>
          <w:p>
            <w:pPr>
              <w:jc w:val="right"/>
              <w:spacing w:after="0"/>
              <w:rPr>
                <w:sz w:val="20"/>
                <w:szCs w:val="20"/>
                <w:color w:val="auto"/>
              </w:rPr>
            </w:pPr>
            <w:r>
              <w:rPr>
                <w:rFonts w:ascii="Arial" w:cs="Arial" w:eastAsia="Arial" w:hAnsi="Arial"/>
                <w:sz w:val="12"/>
                <w:szCs w:val="12"/>
                <w:color w:val="auto"/>
              </w:rPr>
              <w:t>23,120,000</w:t>
            </w:r>
          </w:p>
        </w:tc>
        <w:tc>
          <w:tcPr>
            <w:tcW w:w="0" w:type="dxa"/>
            <w:vAlign w:val="bottom"/>
          </w:tcPr>
          <w:p>
            <w:pPr>
              <w:spacing w:after="0"/>
              <w:rPr>
                <w:sz w:val="1"/>
                <w:szCs w:val="1"/>
                <w:color w:val="auto"/>
              </w:rPr>
            </w:pPr>
          </w:p>
        </w:tc>
      </w:tr>
      <w:tr>
        <w:trPr>
          <w:trHeight w:val="160"/>
        </w:trPr>
        <w:tc>
          <w:tcPr>
            <w:tcW w:w="29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12/1/2021 - 12/31/2021</w:t>
            </w:r>
          </w:p>
        </w:tc>
        <w:tc>
          <w:tcPr>
            <w:tcW w:w="100" w:type="dxa"/>
            <w:vAlign w:val="bottom"/>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1,100,000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50.87</w:t>
            </w:r>
          </w:p>
        </w:tc>
        <w:tc>
          <w:tcPr>
            <w:tcW w:w="100" w:type="dxa"/>
            <w:vAlign w:val="bottom"/>
            <w:shd w:val="clear" w:color="auto" w:fill="CCEEFF"/>
          </w:tcPr>
          <w:p>
            <w:pPr>
              <w:spacing w:after="0"/>
              <w:rPr>
                <w:sz w:val="13"/>
                <w:szCs w:val="13"/>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1,100,000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22,020,000</w:t>
            </w:r>
          </w:p>
        </w:tc>
        <w:tc>
          <w:tcPr>
            <w:tcW w:w="0" w:type="dxa"/>
            <w:vAlign w:val="bottom"/>
          </w:tcPr>
          <w:p>
            <w:pPr>
              <w:spacing w:after="0"/>
              <w:rPr>
                <w:sz w:val="1"/>
                <w:szCs w:val="1"/>
                <w:color w:val="auto"/>
              </w:rPr>
            </w:pPr>
          </w:p>
        </w:tc>
      </w:tr>
      <w:tr>
        <w:trPr>
          <w:trHeight w:val="147"/>
        </w:trPr>
        <w:tc>
          <w:tcPr>
            <w:tcW w:w="3000" w:type="dxa"/>
            <w:vAlign w:val="bottom"/>
            <w:gridSpan w:val="2"/>
          </w:tcPr>
          <w:p>
            <w:pPr>
              <w:ind w:left="280"/>
              <w:spacing w:after="0"/>
              <w:rPr>
                <w:sz w:val="20"/>
                <w:szCs w:val="20"/>
                <w:color w:val="auto"/>
              </w:rPr>
            </w:pPr>
            <w:r>
              <w:rPr>
                <w:rFonts w:ascii="Arial" w:cs="Arial" w:eastAsia="Arial" w:hAnsi="Arial"/>
                <w:sz w:val="12"/>
                <w:szCs w:val="12"/>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2,055,000</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50.70</w:t>
            </w:r>
          </w:p>
        </w:tc>
        <w:tc>
          <w:tcPr>
            <w:tcW w:w="100" w:type="dxa"/>
            <w:vAlign w:val="bottom"/>
          </w:tcPr>
          <w:p>
            <w:pPr>
              <w:spacing w:after="0"/>
              <w:rPr>
                <w:sz w:val="12"/>
                <w:szCs w:val="1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2,055,000</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800" w:hanging="539"/>
        <w:spacing w:after="0" w:line="274" w:lineRule="auto"/>
        <w:tabs>
          <w:tab w:leader="none" w:pos="595" w:val="left"/>
        </w:tabs>
        <w:numPr>
          <w:ilvl w:val="0"/>
          <w:numId w:val="26"/>
        </w:numPr>
        <w:rPr>
          <w:rFonts w:ascii="Arial" w:cs="Arial" w:eastAsia="Arial" w:hAnsi="Arial"/>
          <w:sz w:val="15"/>
          <w:szCs w:val="15"/>
          <w:color w:val="auto"/>
        </w:rPr>
      </w:pPr>
      <w:r>
        <w:rPr>
          <w:rFonts w:ascii="Arial" w:cs="Arial" w:eastAsia="Arial" w:hAnsi="Arial"/>
          <w:sz w:val="15"/>
          <w:szCs w:val="15"/>
          <w:color w:val="auto"/>
        </w:rPr>
        <w:t>On August 3, 2021 our Board of Directors approved the 2021 Repurchase Program, effective August 3, 2021, under which we may purchase up to 25 million shares of our FNF common stock through July 31, 2024. The 2021 Repurchase Program replaces the 2018 Repurchase Program.</w:t>
      </w:r>
    </w:p>
    <w:p>
      <w:pPr>
        <w:spacing w:after="0" w:line="45" w:lineRule="exact"/>
        <w:rPr>
          <w:rFonts w:ascii="Arial" w:cs="Arial" w:eastAsia="Arial" w:hAnsi="Arial"/>
          <w:sz w:val="15"/>
          <w:szCs w:val="15"/>
          <w:color w:val="auto"/>
        </w:rPr>
      </w:pPr>
    </w:p>
    <w:p>
      <w:pPr>
        <w:ind w:left="580" w:hanging="319"/>
        <w:spacing w:after="0"/>
        <w:tabs>
          <w:tab w:leader="none" w:pos="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6" w:name="page47"/>
    <w:bookmarkEnd w:id="4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02" w:lineRule="exact"/>
        <w:rPr>
          <w:sz w:val="20"/>
          <w:szCs w:val="20"/>
          <w:color w:val="auto"/>
        </w:rPr>
      </w:pPr>
    </w:p>
    <w:p>
      <w:pPr>
        <w:ind w:firstLine="270"/>
        <w:spacing w:after="0" w:line="274" w:lineRule="auto"/>
        <w:rPr>
          <w:sz w:val="20"/>
          <w:szCs w:val="20"/>
          <w:color w:val="auto"/>
        </w:rPr>
      </w:pPr>
      <w:r>
        <w:rPr>
          <w:rFonts w:ascii="Arial" w:cs="Arial" w:eastAsia="Arial" w:hAnsi="Arial"/>
          <w:sz w:val="15"/>
          <w:szCs w:val="15"/>
          <w:color w:val="auto"/>
        </w:rPr>
        <w:t>The following discussion should be read in conjunction with the Consolidated Financial Statements and the Notes thereto and Selected Financial Data included elsewhere in this Annual Report.</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02" w:lineRule="exact"/>
        <w:rPr>
          <w:sz w:val="20"/>
          <w:szCs w:val="20"/>
          <w:color w:val="auto"/>
        </w:rPr>
      </w:pPr>
    </w:p>
    <w:p>
      <w:pPr>
        <w:ind w:firstLine="270"/>
        <w:spacing w:after="0" w:line="274" w:lineRule="auto"/>
        <w:rPr>
          <w:sz w:val="20"/>
          <w:szCs w:val="20"/>
          <w:color w:val="auto"/>
        </w:rPr>
      </w:pPr>
      <w:r>
        <w:rPr>
          <w:rFonts w:ascii="Arial" w:cs="Arial" w:eastAsia="Arial" w:hAnsi="Arial"/>
          <w:sz w:val="15"/>
          <w:szCs w:val="15"/>
          <w:color w:val="auto"/>
        </w:rPr>
        <w:t>For a description of our business, including descriptions of segments, see the discussion under Business in Item 1 of Part I of this Annual Report, which is incorporated by reference into this Item 7 of Part II of this Annual Report.</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Trends and Conditions</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Title</w:t>
      </w:r>
    </w:p>
    <w:p>
      <w:pPr>
        <w:spacing w:after="0" w:line="98" w:lineRule="exact"/>
        <w:rPr>
          <w:sz w:val="20"/>
          <w:szCs w:val="20"/>
          <w:color w:val="auto"/>
        </w:rPr>
      </w:pPr>
    </w:p>
    <w:p>
      <w:pPr>
        <w:ind w:firstLine="270"/>
        <w:spacing w:after="0" w:line="274" w:lineRule="auto"/>
        <w:rPr>
          <w:sz w:val="20"/>
          <w:szCs w:val="20"/>
          <w:color w:val="auto"/>
        </w:rPr>
      </w:pPr>
      <w:r>
        <w:rPr>
          <w:rFonts w:ascii="Arial" w:cs="Arial" w:eastAsia="Arial" w:hAnsi="Arial"/>
          <w:sz w:val="15"/>
          <w:szCs w:val="15"/>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have found that residential real estate activity is generally dependent on the following factors:</w:t>
      </w:r>
    </w:p>
    <w:p>
      <w:pPr>
        <w:spacing w:after="0" w:line="87" w:lineRule="exact"/>
        <w:rPr>
          <w:sz w:val="20"/>
          <w:szCs w:val="20"/>
          <w:color w:val="auto"/>
        </w:rPr>
      </w:pPr>
    </w:p>
    <w:p>
      <w:pPr>
        <w:ind w:left="520" w:hanging="259"/>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mortgage interest rates;</w:t>
      </w:r>
    </w:p>
    <w:p>
      <w:pPr>
        <w:spacing w:after="0" w:line="17" w:lineRule="exact"/>
        <w:rPr>
          <w:rFonts w:ascii="Arial" w:cs="Arial" w:eastAsia="Arial" w:hAnsi="Arial"/>
          <w:sz w:val="15"/>
          <w:szCs w:val="15"/>
          <w:color w:val="auto"/>
        </w:rPr>
      </w:pPr>
    </w:p>
    <w:p>
      <w:pPr>
        <w:ind w:left="520" w:hanging="259"/>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mortgage funding supply;</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housing inventory and home prices;</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supply and demand for commercial real estate; and</w:t>
      </w:r>
    </w:p>
    <w:p>
      <w:pPr>
        <w:spacing w:after="0" w:line="7" w:lineRule="exact"/>
        <w:rPr>
          <w:rFonts w:ascii="Arial" w:cs="Arial" w:eastAsia="Arial" w:hAnsi="Arial"/>
          <w:sz w:val="15"/>
          <w:szCs w:val="15"/>
          <w:color w:val="auto"/>
        </w:rPr>
      </w:pPr>
    </w:p>
    <w:p>
      <w:pPr>
        <w:ind w:left="520" w:hanging="259"/>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strength of the United States economy, including employment levels.</w:t>
      </w:r>
    </w:p>
    <w:p>
      <w:pPr>
        <w:spacing w:after="0" w:line="88" w:lineRule="exact"/>
        <w:rPr>
          <w:sz w:val="20"/>
          <w:szCs w:val="20"/>
          <w:color w:val="auto"/>
        </w:rPr>
      </w:pPr>
    </w:p>
    <w:p>
      <w:pPr>
        <w:ind w:firstLine="270"/>
        <w:spacing w:after="0" w:line="287" w:lineRule="auto"/>
        <w:rPr>
          <w:sz w:val="20"/>
          <w:szCs w:val="20"/>
          <w:color w:val="auto"/>
        </w:rPr>
      </w:pPr>
      <w:r>
        <w:rPr>
          <w:rFonts w:ascii="Arial" w:cs="Arial" w:eastAsia="Arial" w:hAnsi="Arial"/>
          <w:sz w:val="14"/>
          <w:szCs w:val="14"/>
          <w:color w:val="auto"/>
        </w:rPr>
        <w:t>While we cannot predict the severity and duration of the impacts related to COVID-19, the most recent forecast of the MBA, as of January 21, 2022, estimated (actual for fiscal year 2020) the size of the U.S. residential mortgage originations market as shown in the following table for 2020 - 2024 in its "Mortgage Finance Forecast" (in trillions):</w:t>
      </w:r>
    </w:p>
    <w:tbl>
      <w:tblPr>
        <w:tblLayout w:type="fixed"/>
        <w:tblInd w:w="0" w:type="dxa"/>
        <w:tblCellMar>
          <w:top w:w="0" w:type="dxa"/>
          <w:left w:w="0" w:type="dxa"/>
          <w:bottom w:w="0" w:type="dxa"/>
          <w:right w:w="0" w:type="dxa"/>
        </w:tblCellMar>
      </w:tblPr>
      <w:tr>
        <w:trPr>
          <w:trHeight w:val="162"/>
        </w:trPr>
        <w:tc>
          <w:tcPr>
            <w:tcW w:w="68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2020</w:t>
            </w:r>
          </w:p>
        </w:tc>
      </w:tr>
      <w:tr>
        <w:trPr>
          <w:trHeight w:val="154"/>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Purchase transactions</w:t>
            </w: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4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55"/>
        </w:trPr>
        <w:tc>
          <w:tcPr>
            <w:tcW w:w="6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Refinance transactions</w:t>
            </w: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0.7</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r>
      <w:tr>
        <w:trPr>
          <w:trHeight w:val="176"/>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U.S. mortgage originations forecast</w:t>
            </w: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2.5</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As of January 21, 2022, the MBA expects residential purchase transactions to steadily increase through 2023 before leveling out in 2024. Additionally, the MBA expects residential refinance transactions to steadily decrease in 2022 and 2023 before leveling out in 2024 as interest rates are expected to rise. The MBA expects overall mortgage originations to decrease in 2022 and thereafter.</w:t>
      </w:r>
    </w:p>
    <w:p>
      <w:pPr>
        <w:spacing w:after="0" w:line="44"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In recent years, total originations have been reflective of a strong residential real estate market driven by increasing home prices and low mortgage interest rates. Mortgage rates rose consistently between 2016 and the beginning of 2019. Concerns over a slowing global economy and the impact of a prolonged trade war resulted in interest rate cuts in the second half of 2019, which significantly increased refinance transactions and slightly increased purchase transactions when compared to 2018. In the beginning of 2020, refinance and purchase transactions remained strong until the outbreak of COVID-19.</w:t>
      </w:r>
    </w:p>
    <w:p>
      <w:pPr>
        <w:spacing w:after="0" w:line="58"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On March 15, 2020, the Federal Reserve took emergency action and reduced its benchmark interest rate by a full percentage point to nearly zero. Following this emergency action, average interest rates for a 30-year fixed rate mortgages fell throughout the remainder of 2020, bottoming out at 2.65% on January 7, 2021. The outbreak of COVID-19 resulted in significant uncertainty in the economic outlook in the second quarter of 2020, and as a result real estate activity decreased significantly as consumers moved to the sidelines to assess the ongoing impact of COVID-19. However, real estate activity began to rebound in June 2020, with increases in purchase activity and a surge in refinance transactions as a result of historically low interest rates.</w:t>
      </w:r>
    </w:p>
    <w:p>
      <w:pPr>
        <w:spacing w:after="0" w:line="60"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Residential purchase and refinance activity remained strong in 2021. However, with the surge in residential refinance transactions in 2020, residential refinance transactions began to slow in 2021 as the population of eligible refinance candidates declined. Interest rates on a 30-year, fixed rate mortgage averaged 3.1% in 2021, up from 2.8% in 2020. Despite the recent increase in interest rates and fluctuation in existing-home sales, the market is still outperforming pre-pandemic levels.</w:t>
      </w:r>
    </w:p>
    <w:p>
      <w:pPr>
        <w:spacing w:after="0" w:line="44"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3"/>
          <w:szCs w:val="13"/>
          <w:color w:val="auto"/>
        </w:rPr>
        <w:t>Other economic indicators used to measure the health of the U.S. economy, including the unemployment rate and consumer confidence, indicated that the United States was on strong footing prior to the outbreak of COVID-19. However, the impact of COVID-19 reduced the outlook related to these economic indicators in March 2020. According to the U.S. Department of Labor's Bureau of Labor, the unemployment rate was at a historically low 3.5% in February 2020 but subsequently fluctuated dramatically before reaching 6.7% in December 2020. In 2021, the unemployment rate fell to 3.9% in December of 2021. Additionally, the Conference Board's monthly Consumer Confidence Index remained at high levels through</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7" w:name="page48"/>
    <w:bookmarkEnd w:id="4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February 2020 before falling as a result of the COVID-19 outbreak. Consumer confidence has since rebounded, reaching its peak in June 2021 before decreasing in the third quarter of 2021 due to concerns over inflation. Consumer confidence remained flat in the fourth quarter of 2021.</w:t>
      </w:r>
    </w:p>
    <w:p>
      <w:pPr>
        <w:spacing w:after="0" w:line="46" w:lineRule="exact"/>
        <w:rPr>
          <w:sz w:val="20"/>
          <w:szCs w:val="20"/>
          <w:color w:val="auto"/>
        </w:rPr>
      </w:pPr>
    </w:p>
    <w:p>
      <w:pPr>
        <w:jc w:val="both"/>
        <w:ind w:firstLine="270"/>
        <w:spacing w:after="0" w:line="275" w:lineRule="auto"/>
        <w:rPr>
          <w:sz w:val="20"/>
          <w:szCs w:val="20"/>
          <w:color w:val="auto"/>
        </w:rPr>
      </w:pPr>
      <w:r>
        <w:rPr>
          <w:rFonts w:ascii="Arial" w:cs="Arial" w:eastAsia="Arial" w:hAnsi="Arial"/>
          <w:sz w:val="14"/>
          <w:szCs w:val="14"/>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prior to the COVID-19 pandemic, we experienced strong demand in commercial real estate markets. In 2020, we experienced decreases in commercial volumes and commercial fee-per-file as a result of the outbreak of COVID-19. Commercial volumes and commercial fee-per-file recovered in the second half of 2020 and remained elevated throughout 2021.</w:t>
      </w:r>
    </w:p>
    <w:p>
      <w:pPr>
        <w:spacing w:after="0" w:line="50"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15"/>
          <w:szCs w:val="15"/>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See Item 1A of Part I of this Annual Report for further discussion of risk factors related to COVID-19.</w:t>
      </w:r>
    </w:p>
    <w:p>
      <w:pPr>
        <w:spacing w:after="0" w:line="75"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i w:val="1"/>
          <w:iCs w:val="1"/>
          <w:color w:val="auto"/>
        </w:rPr>
        <w:t xml:space="preserve">Seasonality. </w:t>
      </w:r>
      <w:r>
        <w:rPr>
          <w:rFonts w:ascii="Arial" w:cs="Arial" w:eastAsia="Arial" w:hAnsi="Arial"/>
          <w:sz w:val="15"/>
          <w:szCs w:val="15"/>
          <w:color w:val="auto"/>
        </w:rPr>
        <w:t>Historically, real estate transactions have produced seasonal revenue fluctuations in the real estate industry. The first calendar quarter is typically the weakest quarter in</w:t>
      </w:r>
      <w:r>
        <w:rPr>
          <w:rFonts w:ascii="Arial" w:cs="Arial" w:eastAsia="Arial" w:hAnsi="Arial"/>
          <w:sz w:val="15"/>
          <w:szCs w:val="15"/>
          <w:i w:val="1"/>
          <w:iCs w:val="1"/>
          <w:color w:val="auto"/>
        </w:rPr>
        <w:t xml:space="preserve"> </w:t>
      </w:r>
      <w:r>
        <w:rPr>
          <w:rFonts w:ascii="Arial" w:cs="Arial" w:eastAsia="Arial" w:hAnsi="Arial"/>
          <w:sz w:val="15"/>
          <w:szCs w:val="15"/>
          <w:color w:val="auto"/>
        </w:rPr>
        <w:t>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Seasonality in 2020 and 2021 deviated from historical patterns due to COVID-19. We have noted short-term fluctuations through recent years in resale and refinance transactions as a result of changes in interest rates.</w:t>
      </w:r>
    </w:p>
    <w:p>
      <w:pPr>
        <w:spacing w:after="0" w:line="72"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i w:val="1"/>
          <w:iCs w:val="1"/>
          <w:color w:val="auto"/>
        </w:rPr>
        <w:t xml:space="preserve">Geographic Operations. </w:t>
      </w:r>
      <w:r>
        <w:rPr>
          <w:rFonts w:ascii="Arial" w:cs="Arial" w:eastAsia="Arial" w:hAnsi="Arial"/>
          <w:sz w:val="15"/>
          <w:szCs w:val="15"/>
          <w:color w:val="auto"/>
        </w:rPr>
        <w:t>Our direct title operations are divided into approximately 180 profit centers. Each profit center processes title insurance transactions within its geographical</w:t>
      </w:r>
      <w:r>
        <w:rPr>
          <w:rFonts w:ascii="Arial" w:cs="Arial" w:eastAsia="Arial" w:hAnsi="Arial"/>
          <w:sz w:val="15"/>
          <w:szCs w:val="15"/>
          <w:i w:val="1"/>
          <w:iCs w:val="1"/>
          <w:color w:val="auto"/>
        </w:rPr>
        <w:t xml:space="preserve"> </w:t>
      </w:r>
      <w:r>
        <w:rPr>
          <w:rFonts w:ascii="Arial" w:cs="Arial" w:eastAsia="Arial" w:hAnsi="Arial"/>
          <w:sz w:val="15"/>
          <w:szCs w:val="15"/>
          <w:color w:val="auto"/>
        </w:rPr>
        <w:t>area, which is usually identified by a county, a group of counties forming a region, or a state, depending on the management structure in that part of the country. We also transact title insurance business through a network of approximately 5,400 agents, primarily in those areas in which agents are the more prevalent title insurance provider. Substantially all of our revenues are generated in the United States.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sets forth the approximate dollar and percentage volumes of our title insurance premium revenue by state: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2"/>
                <w:szCs w:val="12"/>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3"/>
        </w:trPr>
        <w:tc>
          <w:tcPr>
            <w:tcW w:w="4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b w:val="1"/>
                <w:bCs w:val="1"/>
                <w:color w:val="auto"/>
              </w:rPr>
              <w:t>2021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2"/>
                <w:szCs w:val="12"/>
                <w:b w:val="1"/>
                <w:bCs w:val="1"/>
                <w:color w:val="auto"/>
              </w:rPr>
              <w:t>2020</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2"/>
                <w:szCs w:val="12"/>
                <w:b w:val="1"/>
                <w:bCs w:val="1"/>
                <w:color w:val="auto"/>
                <w:w w:val="82"/>
              </w:rPr>
              <w:t>2019</w:t>
            </w:r>
          </w:p>
        </w:tc>
      </w:tr>
      <w:tr>
        <w:trPr>
          <w:trHeight w:val="149"/>
        </w:trPr>
        <w:tc>
          <w:tcPr>
            <w:tcW w:w="40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2"/>
                <w:szCs w:val="12"/>
                <w:b w:val="1"/>
                <w:bCs w:val="1"/>
                <w:color w:val="auto"/>
              </w:rPr>
              <w:t>Amount</w:t>
            </w:r>
          </w:p>
        </w:tc>
        <w:tc>
          <w:tcPr>
            <w:tcW w:w="8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2"/>
                <w:szCs w:val="12"/>
                <w:b w:val="1"/>
                <w:bCs w:val="1"/>
                <w:color w:val="auto"/>
              </w:rPr>
              <w:t>Amount</w:t>
            </w:r>
          </w:p>
        </w:tc>
        <w:tc>
          <w:tcPr>
            <w:tcW w:w="6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Amount</w:t>
            </w:r>
          </w:p>
        </w:tc>
        <w:tc>
          <w:tcPr>
            <w:tcW w:w="12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2"/>
                <w:szCs w:val="12"/>
                <w:b w:val="1"/>
                <w:bCs w:val="1"/>
                <w:color w:val="auto"/>
              </w:rPr>
              <w:t>%</w:t>
            </w: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(Dollars 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8"/>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California</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764</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14.3 %</w:t>
            </w:r>
          </w:p>
        </w:tc>
      </w:tr>
      <w:tr>
        <w:trPr>
          <w:trHeight w:val="155"/>
        </w:trPr>
        <w:tc>
          <w:tcPr>
            <w:tcW w:w="4000" w:type="dxa"/>
            <w:vAlign w:val="bottom"/>
          </w:tcPr>
          <w:p>
            <w:pPr>
              <w:spacing w:after="0"/>
              <w:rPr>
                <w:sz w:val="20"/>
                <w:szCs w:val="20"/>
                <w:color w:val="auto"/>
              </w:rPr>
            </w:pPr>
            <w:r>
              <w:rPr>
                <w:rFonts w:ascii="Arial" w:cs="Arial" w:eastAsia="Arial" w:hAnsi="Arial"/>
                <w:sz w:val="12"/>
                <w:szCs w:val="12"/>
                <w:color w:val="auto"/>
              </w:rPr>
              <w:t>Texas</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1,112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13.0 %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778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734</w:t>
            </w:r>
          </w:p>
        </w:tc>
        <w:tc>
          <w:tcPr>
            <w:tcW w:w="1280" w:type="dxa"/>
            <w:vAlign w:val="bottom"/>
            <w:gridSpan w:val="3"/>
          </w:tcPr>
          <w:p>
            <w:pPr>
              <w:jc w:val="right"/>
              <w:ind w:right="80"/>
              <w:spacing w:after="0"/>
              <w:rPr>
                <w:sz w:val="20"/>
                <w:szCs w:val="20"/>
                <w:color w:val="auto"/>
              </w:rPr>
            </w:pPr>
            <w:r>
              <w:rPr>
                <w:rFonts w:ascii="Arial" w:cs="Arial" w:eastAsia="Arial" w:hAnsi="Arial"/>
                <w:sz w:val="12"/>
                <w:szCs w:val="12"/>
                <w:color w:val="auto"/>
              </w:rPr>
              <w:t>13.8</w:t>
            </w:r>
          </w:p>
        </w:tc>
      </w:tr>
      <w:tr>
        <w:trPr>
          <w:trHeight w:val="160"/>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Florida</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9.2</w:t>
            </w:r>
          </w:p>
        </w:tc>
      </w:tr>
      <w:tr>
        <w:trPr>
          <w:trHeight w:val="155"/>
        </w:trPr>
        <w:tc>
          <w:tcPr>
            <w:tcW w:w="4000" w:type="dxa"/>
            <w:vAlign w:val="bottom"/>
          </w:tcPr>
          <w:p>
            <w:pPr>
              <w:spacing w:after="0"/>
              <w:rPr>
                <w:sz w:val="20"/>
                <w:szCs w:val="20"/>
                <w:color w:val="auto"/>
              </w:rPr>
            </w:pPr>
            <w:r>
              <w:rPr>
                <w:rFonts w:ascii="Arial" w:cs="Arial" w:eastAsia="Arial" w:hAnsi="Arial"/>
                <w:sz w:val="12"/>
                <w:szCs w:val="12"/>
                <w:color w:val="auto"/>
              </w:rPr>
              <w:t>Pennsylvania</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439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252</w:t>
            </w:r>
          </w:p>
        </w:tc>
        <w:tc>
          <w:tcPr>
            <w:tcW w:w="1280" w:type="dxa"/>
            <w:vAlign w:val="bottom"/>
            <w:gridSpan w:val="3"/>
          </w:tcPr>
          <w:p>
            <w:pPr>
              <w:jc w:val="right"/>
              <w:ind w:right="80"/>
              <w:spacing w:after="0"/>
              <w:rPr>
                <w:sz w:val="20"/>
                <w:szCs w:val="20"/>
                <w:color w:val="auto"/>
              </w:rPr>
            </w:pPr>
            <w:r>
              <w:rPr>
                <w:rFonts w:ascii="Arial" w:cs="Arial" w:eastAsia="Arial" w:hAnsi="Arial"/>
                <w:sz w:val="12"/>
                <w:szCs w:val="12"/>
                <w:color w:val="auto"/>
              </w:rPr>
              <w:t>4.7</w:t>
            </w:r>
          </w:p>
        </w:tc>
      </w:tr>
      <w:tr>
        <w:trPr>
          <w:trHeight w:val="160"/>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Illinois</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5.1</w:t>
            </w:r>
          </w:p>
        </w:tc>
      </w:tr>
      <w:tr>
        <w:trPr>
          <w:trHeight w:val="155"/>
        </w:trPr>
        <w:tc>
          <w:tcPr>
            <w:tcW w:w="4000" w:type="dxa"/>
            <w:vAlign w:val="bottom"/>
          </w:tcPr>
          <w:p>
            <w:pPr>
              <w:spacing w:after="0"/>
              <w:rPr>
                <w:sz w:val="20"/>
                <w:szCs w:val="20"/>
                <w:color w:val="auto"/>
              </w:rPr>
            </w:pPr>
            <w:r>
              <w:rPr>
                <w:rFonts w:ascii="Arial" w:cs="Arial" w:eastAsia="Arial" w:hAnsi="Arial"/>
                <w:sz w:val="12"/>
                <w:szCs w:val="12"/>
                <w:color w:val="auto"/>
              </w:rPr>
              <w:t>All others</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52.9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3,407</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54.1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2,827</w:t>
            </w:r>
          </w:p>
        </w:tc>
        <w:tc>
          <w:tcPr>
            <w:tcW w:w="1280" w:type="dxa"/>
            <w:vAlign w:val="bottom"/>
            <w:gridSpan w:val="3"/>
          </w:tcPr>
          <w:p>
            <w:pPr>
              <w:jc w:val="right"/>
              <w:ind w:right="80"/>
              <w:spacing w:after="0"/>
              <w:rPr>
                <w:sz w:val="20"/>
                <w:szCs w:val="20"/>
                <w:color w:val="auto"/>
              </w:rPr>
            </w:pPr>
            <w:r>
              <w:rPr>
                <w:rFonts w:ascii="Arial" w:cs="Arial" w:eastAsia="Arial" w:hAnsi="Arial"/>
                <w:sz w:val="12"/>
                <w:szCs w:val="12"/>
                <w:color w:val="auto"/>
              </w:rPr>
              <w:t>52.9</w:t>
            </w:r>
          </w:p>
        </w:tc>
      </w:tr>
      <w:tr>
        <w:trPr>
          <w:trHeight w:val="176"/>
        </w:trPr>
        <w:tc>
          <w:tcPr>
            <w:tcW w:w="4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Totals</w:t>
            </w: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8,553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6,298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5,342</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8" w:name="page49"/>
    <w:bookmarkEnd w:id="4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F&amp;G</w:t>
      </w:r>
    </w:p>
    <w:p>
      <w:pPr>
        <w:spacing w:after="0" w:line="98"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COVID-19 Pandemic</w:t>
      </w:r>
    </w:p>
    <w:p>
      <w:pPr>
        <w:spacing w:after="0" w:line="98" w:lineRule="exact"/>
        <w:rPr>
          <w:sz w:val="20"/>
          <w:szCs w:val="20"/>
          <w:color w:val="auto"/>
        </w:rPr>
      </w:pPr>
    </w:p>
    <w:p>
      <w:pPr>
        <w:jc w:val="both"/>
        <w:ind w:firstLine="338"/>
        <w:spacing w:after="0" w:line="275" w:lineRule="auto"/>
        <w:rPr>
          <w:sz w:val="20"/>
          <w:szCs w:val="20"/>
          <w:color w:val="auto"/>
        </w:rPr>
      </w:pPr>
      <w:r>
        <w:rPr>
          <w:rFonts w:ascii="Arial" w:cs="Arial" w:eastAsia="Arial" w:hAnsi="Arial"/>
          <w:sz w:val="14"/>
          <w:szCs w:val="14"/>
          <w:color w:val="auto"/>
        </w:rPr>
        <w:t>While still evolving, the COVID-19 pandemic has already caused significant economic and financial turmoil in the U.S. and around the world. At this time, it is still not possible to estimate the longer term-effects the COVID-19 pandemic could have on our F&amp;G segment or our consolidated financial statements. Increased economic uncertainty and increased unemployment that could potentially result from the spread of COVID-19 and its variants may result in F&amp;G policyholders seeking sources of liquidity and withdrawing at rates greater than was previously expected. Additionally, adverse events or conditions resulting from COVID-19 could also have a negative effect on its sales of new policies and could result in more volatility from the impact of mortality experience. As of December 31, 2021, F&amp;G's investment portfolio has recovered from earlier volatility and F&amp;G has not seen a sustained elevated level of adverse policyholder experience from the impact of COVID-19 on the overall business. The full extent to which the COVID-19 pandemic impacts our F&amp;G segment's financial condition, results of operations, liquidity or prospects will depend on future developments which cannot be predicted at this time.</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Market Conditions</w:t>
      </w:r>
    </w:p>
    <w:p>
      <w:pPr>
        <w:spacing w:after="0" w:line="98"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 of this Annual Report for further discussion of risk factors that could affect market conditions.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Interest Rate Environment</w:t>
      </w:r>
    </w:p>
    <w:p>
      <w:pPr>
        <w:spacing w:after="0" w:line="9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Some of our F&amp;G products include guaranteed minimum crediting rates, most notably our fixed rate annuities. As of December 31, 2021, our reserves, net of reinsurance, and average crediting rate on our fixed rate annuities were $5.0 billion and 3%,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See “Item 7A. Quantitative and Qualitative Disclosure about Market Risk” for a more detailed discussion of interest rate risk.</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Aging of the U.S. Population</w:t>
      </w:r>
    </w:p>
    <w:p>
      <w:pPr>
        <w:spacing w:after="0" w:line="98"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We believe that the aging of the U.S. population will increase the demand for our FIA and IUL products. As the “baby boomer” generation prepares for retirement, we believe that demand for retirement savings, growth, and income products will grow. Over 10,000 people will turn 65 each day in the United States over the next 15 years, and according to the U.S. Census Bureau, the proportion of the U.S. population over the age of 65 is expected to grow from 17% in 2021 to 21% in 2035. The impact of this growth may be offset to some extent by asset outflows as an increasing percentage of the population begins withdrawing assets to convert their savings into income.</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Industry Factors and Trends Affecting Our Results of Operations</w:t>
      </w:r>
    </w:p>
    <w:p>
      <w:pPr>
        <w:spacing w:after="0" w:line="98" w:lineRule="exact"/>
        <w:rPr>
          <w:sz w:val="20"/>
          <w:szCs w:val="20"/>
          <w:color w:val="auto"/>
        </w:rPr>
      </w:pPr>
    </w:p>
    <w:p>
      <w:pPr>
        <w:jc w:val="both"/>
        <w:ind w:firstLine="372"/>
        <w:spacing w:after="0" w:line="283" w:lineRule="auto"/>
        <w:rPr>
          <w:sz w:val="20"/>
          <w:szCs w:val="20"/>
          <w:color w:val="auto"/>
        </w:rPr>
      </w:pPr>
      <w:r>
        <w:rPr>
          <w:rFonts w:ascii="Arial" w:cs="Arial" w:eastAsia="Arial" w:hAnsi="Arial"/>
          <w:sz w:val="14"/>
          <w:szCs w:val="14"/>
          <w:color w:val="auto"/>
        </w:rPr>
        <w:t>We operate in the sector of the insurance industry that 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we believe annuities such as our FIA products afford. Accordingly, the FIA market grew from nearly $12 billion of sales in 2002 to $58 billion of sales in 2020. Additionally, this market demand has positively impacted the IUL market as it has expanded from $100 million of annual premiums in 2002 to $3 billion of annual premiums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9" w:name="page50"/>
    <w:bookmarkEnd w:id="4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 xml:space="preserve">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w:t>
      </w:r>
      <w:r>
        <w:rPr>
          <w:rFonts w:ascii="Arial" w:cs="Arial" w:eastAsia="Arial" w:hAnsi="Arial"/>
          <w:sz w:val="15"/>
          <w:szCs w:val="15"/>
          <w:i w:val="1"/>
          <w:iCs w:val="1"/>
          <w:color w:val="auto"/>
        </w:rPr>
        <w:t>Business and Summary of Significant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Policies </w:t>
      </w:r>
      <w:r>
        <w:rPr>
          <w:rFonts w:ascii="Arial" w:cs="Arial" w:eastAsia="Arial" w:hAnsi="Arial"/>
          <w:sz w:val="15"/>
          <w:szCs w:val="15"/>
          <w:color w:val="auto"/>
        </w:rPr>
        <w:t>to our Consolidated Financial Statements included in Item 8 of Part II of this Annual Report for additional description of the significant accounting policies that have been</w:t>
      </w:r>
      <w:r>
        <w:rPr>
          <w:rFonts w:ascii="Arial" w:cs="Arial" w:eastAsia="Arial" w:hAnsi="Arial"/>
          <w:sz w:val="15"/>
          <w:szCs w:val="15"/>
          <w:i w:val="1"/>
          <w:iCs w:val="1"/>
          <w:color w:val="auto"/>
        </w:rPr>
        <w:t xml:space="preserve"> </w:t>
      </w:r>
      <w:r>
        <w:rPr>
          <w:rFonts w:ascii="Arial" w:cs="Arial" w:eastAsia="Arial" w:hAnsi="Arial"/>
          <w:sz w:val="15"/>
          <w:szCs w:val="15"/>
          <w:color w:val="auto"/>
        </w:rPr>
        <w:t>followed in preparing our Consolidated Financial Statements.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Reserve for Title Claim Losses</w:t>
      </w:r>
    </w:p>
    <w:p>
      <w:pPr>
        <w:spacing w:after="0" w:line="9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4"/>
          <w:szCs w:val="14"/>
          <w:color w:val="auto"/>
        </w:rPr>
        <w:t>Title companies issue two types of policies, owner's and lender's policies, since both the new owner and the lender in real 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46" w:lineRule="exact"/>
        <w:rPr>
          <w:sz w:val="20"/>
          <w:szCs w:val="20"/>
          <w:color w:val="auto"/>
        </w:rPr>
      </w:pPr>
    </w:p>
    <w:p>
      <w:pPr>
        <w:jc w:val="both"/>
        <w:ind w:right="20" w:firstLine="270"/>
        <w:spacing w:after="0" w:line="262" w:lineRule="auto"/>
        <w:rPr>
          <w:sz w:val="20"/>
          <w:szCs w:val="20"/>
          <w:color w:val="auto"/>
        </w:rPr>
      </w:pPr>
      <w:r>
        <w:rPr>
          <w:rFonts w:ascii="Arial" w:cs="Arial" w:eastAsia="Arial" w:hAnsi="Arial"/>
          <w:sz w:val="15"/>
          <w:szCs w:val="15"/>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44"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3"/>
          <w:szCs w:val="13"/>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table below summarizes our reserves for known claims and incurred but not reported claims related to title insurance:</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December 31, 2021</w:t>
            </w:r>
          </w:p>
        </w:tc>
        <w:tc>
          <w:tcPr>
            <w:tcW w:w="1020" w:type="dxa"/>
            <w:vAlign w:val="bottom"/>
          </w:tcPr>
          <w:p>
            <w:pPr>
              <w:jc w:val="right"/>
              <w:ind w:right="40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 2020</w:t>
            </w:r>
          </w:p>
        </w:tc>
        <w:tc>
          <w:tcPr>
            <w:tcW w:w="1000" w:type="dxa"/>
            <w:vAlign w:val="bottom"/>
          </w:tcPr>
          <w:p>
            <w:pPr>
              <w:jc w:val="right"/>
              <w:ind w:right="400"/>
              <w:spacing w:after="0"/>
              <w:rPr>
                <w:sz w:val="20"/>
                <w:szCs w:val="20"/>
                <w:color w:val="auto"/>
              </w:rPr>
            </w:pPr>
            <w:r>
              <w:rPr>
                <w:rFonts w:ascii="Arial" w:cs="Arial" w:eastAsia="Arial" w:hAnsi="Arial"/>
                <w:sz w:val="12"/>
                <w:szCs w:val="12"/>
                <w:b w:val="1"/>
                <w:bCs w:val="1"/>
                <w:color w:val="auto"/>
              </w:rPr>
              <w:t>%</w:t>
            </w:r>
          </w:p>
        </w:tc>
      </w:tr>
      <w:tr>
        <w:trPr>
          <w:trHeight w:val="149"/>
        </w:trPr>
        <w:tc>
          <w:tcPr>
            <w:tcW w:w="5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(in millions)</w:t>
            </w: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58"/>
        </w:trPr>
        <w:tc>
          <w:tcPr>
            <w:tcW w:w="5600" w:type="dxa"/>
            <w:vAlign w:val="bottom"/>
          </w:tcPr>
          <w:p>
            <w:pPr>
              <w:ind w:left="20"/>
              <w:spacing w:after="0"/>
              <w:rPr>
                <w:sz w:val="20"/>
                <w:szCs w:val="20"/>
                <w:color w:val="auto"/>
              </w:rPr>
            </w:pPr>
            <w:r>
              <w:rPr>
                <w:rFonts w:ascii="Arial" w:cs="Arial" w:eastAsia="Arial" w:hAnsi="Arial"/>
                <w:sz w:val="12"/>
                <w:szCs w:val="12"/>
                <w:color w:val="auto"/>
              </w:rPr>
              <w:t>Known claims</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337</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17.9 %</w:t>
            </w:r>
          </w:p>
        </w:tc>
        <w:tc>
          <w:tcPr>
            <w:tcW w:w="10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226</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13.9 %</w:t>
            </w:r>
          </w:p>
        </w:tc>
      </w:tr>
      <w:tr>
        <w:trPr>
          <w:trHeight w:val="160"/>
        </w:trPr>
        <w:tc>
          <w:tcPr>
            <w:tcW w:w="5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IBNR</w:t>
            </w:r>
          </w:p>
        </w:tc>
        <w:tc>
          <w:tcPr>
            <w:tcW w:w="2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1,546</w:t>
            </w:r>
          </w:p>
        </w:tc>
        <w:tc>
          <w:tcPr>
            <w:tcW w:w="1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82.1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1,397</w:t>
            </w:r>
          </w:p>
        </w:tc>
        <w:tc>
          <w:tcPr>
            <w:tcW w:w="16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86.1</w:t>
            </w:r>
          </w:p>
        </w:tc>
      </w:tr>
      <w:tr>
        <w:trPr>
          <w:trHeight w:val="151"/>
        </w:trPr>
        <w:tc>
          <w:tcPr>
            <w:tcW w:w="5600" w:type="dxa"/>
            <w:vAlign w:val="bottom"/>
          </w:tcPr>
          <w:p>
            <w:pPr>
              <w:ind w:left="20"/>
              <w:spacing w:after="0"/>
              <w:rPr>
                <w:sz w:val="20"/>
                <w:szCs w:val="20"/>
                <w:color w:val="auto"/>
              </w:rPr>
            </w:pPr>
            <w:r>
              <w:rPr>
                <w:rFonts w:ascii="Arial" w:cs="Arial" w:eastAsia="Arial" w:hAnsi="Arial"/>
                <w:sz w:val="12"/>
                <w:szCs w:val="12"/>
                <w:color w:val="auto"/>
              </w:rPr>
              <w:t>Total Reserve for Title Claim Losses</w:t>
            </w: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1,883</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1,623</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4"/>
          <w:szCs w:val="14"/>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52"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5"/>
          <w:szCs w:val="15"/>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that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0" w:name="page51"/>
    <w:bookmarkEnd w:id="5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and subtracting actual paid claims, resulting in an amount that management then compares to the range of reasonable estimates provided by the actuarial calculation.</w:t>
      </w:r>
    </w:p>
    <w:p>
      <w:pPr>
        <w:spacing w:after="0" w:line="98"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We recorded our loss provision rate at 4.5% for the years ended December 31, 2021, 2020 and 2019. Of such annual loss provision rates, 4.5%, for each of the years ended December 31, 2021, 2020 and 2019, respectively, related to losses on policies written in the current year, and the remainder, if any related to developments on prior year policies. The provision rate in 2021, 2020, and 2019 is supported by stability in payments for prior policy years, and qualitative factors that would indicate consistency, including consistency in lender underwriting standards, extension of credit to quality borrowers, a high proportion of refinance activity, better claims expense management, better mechanic’s lien underwriting practices, and better fraud awareness by lenders, title insurers and settlement agents.</w:t>
      </w:r>
    </w:p>
    <w:p>
      <w:pPr>
        <w:spacing w:after="0" w:line="72"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5"/>
          <w:szCs w:val="15"/>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table below presents our title insurance loss development experience for the past three years: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53"/>
        </w:trPr>
        <w:tc>
          <w:tcPr>
            <w:tcW w:w="7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(In millions)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6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1,623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1,488</w:t>
            </w:r>
          </w:p>
        </w:tc>
        <w:tc>
          <w:tcPr>
            <w:tcW w:w="0" w:type="dxa"/>
            <w:vAlign w:val="bottom"/>
          </w:tcPr>
          <w:p>
            <w:pPr>
              <w:spacing w:after="0"/>
              <w:rPr>
                <w:sz w:val="1"/>
                <w:szCs w:val="1"/>
                <w:color w:val="auto"/>
              </w:rPr>
            </w:pPr>
          </w:p>
        </w:tc>
      </w:tr>
      <w:tr>
        <w:trPr>
          <w:trHeight w:val="155"/>
        </w:trPr>
        <w:tc>
          <w:tcPr>
            <w:tcW w:w="7760" w:type="dxa"/>
            <w:vAlign w:val="bottom"/>
          </w:tcPr>
          <w:p>
            <w:pPr>
              <w:spacing w:after="0"/>
              <w:rPr>
                <w:sz w:val="20"/>
                <w:szCs w:val="20"/>
                <w:color w:val="auto"/>
              </w:rPr>
            </w:pPr>
            <w:r>
              <w:rPr>
                <w:rFonts w:ascii="Arial" w:cs="Arial" w:eastAsia="Arial" w:hAnsi="Arial"/>
                <w:sz w:val="12"/>
                <w:szCs w:val="12"/>
                <w:color w:val="auto"/>
              </w:rPr>
              <w:t>Change in reinsurance recoverable</w:t>
            </w:r>
          </w:p>
        </w:tc>
        <w:tc>
          <w:tcPr>
            <w:tcW w:w="7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2"/>
                <w:szCs w:val="12"/>
                <w:color w:val="auto"/>
              </w:rPr>
              <w:t>Claims loss provision related to:</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60" w:type="dxa"/>
            <w:vAlign w:val="bottom"/>
          </w:tcPr>
          <w:p>
            <w:pPr>
              <w:ind w:left="180"/>
              <w:spacing w:after="0"/>
              <w:rPr>
                <w:sz w:val="20"/>
                <w:szCs w:val="20"/>
                <w:color w:val="auto"/>
              </w:rPr>
            </w:pPr>
            <w:r>
              <w:rPr>
                <w:rFonts w:ascii="Arial" w:cs="Arial" w:eastAsia="Arial" w:hAnsi="Arial"/>
                <w:sz w:val="12"/>
                <w:szCs w:val="12"/>
                <w:color w:val="auto"/>
              </w:rPr>
              <w:t>Current year</w:t>
            </w:r>
          </w:p>
        </w:tc>
        <w:tc>
          <w:tcPr>
            <w:tcW w:w="7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60"/>
        </w:trPr>
        <w:tc>
          <w:tcPr>
            <w:tcW w:w="7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Prior years</w:t>
            </w:r>
          </w:p>
        </w:tc>
        <w:tc>
          <w:tcPr>
            <w:tcW w:w="7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Total title claim loss provision</w:t>
            </w:r>
          </w:p>
        </w:tc>
        <w:tc>
          <w:tcPr>
            <w:tcW w:w="7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385</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283</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51"/>
        </w:trPr>
        <w:tc>
          <w:tcPr>
            <w:tcW w:w="7760" w:type="dxa"/>
            <w:vAlign w:val="bottom"/>
            <w:shd w:val="clear" w:color="auto" w:fill="CCEEFF"/>
          </w:tcPr>
          <w:p>
            <w:pPr>
              <w:spacing w:after="0"/>
              <w:rPr>
                <w:sz w:val="20"/>
                <w:szCs w:val="20"/>
                <w:color w:val="auto"/>
              </w:rPr>
            </w:pPr>
            <w:r>
              <w:rPr>
                <w:rFonts w:ascii="Arial" w:cs="Arial" w:eastAsia="Arial" w:hAnsi="Arial"/>
                <w:sz w:val="12"/>
                <w:szCs w:val="12"/>
                <w:color w:val="auto"/>
              </w:rPr>
              <w:t>Claims paid, net of recoupments related to:</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60" w:type="dxa"/>
            <w:vAlign w:val="bottom"/>
          </w:tcPr>
          <w:p>
            <w:pPr>
              <w:ind w:left="180"/>
              <w:spacing w:after="0"/>
              <w:rPr>
                <w:sz w:val="20"/>
                <w:szCs w:val="20"/>
                <w:color w:val="auto"/>
              </w:rPr>
            </w:pPr>
            <w:r>
              <w:rPr>
                <w:rFonts w:ascii="Arial" w:cs="Arial" w:eastAsia="Arial" w:hAnsi="Arial"/>
                <w:sz w:val="12"/>
                <w:szCs w:val="12"/>
                <w:color w:val="auto"/>
              </w:rPr>
              <w:t>Current year</w:t>
            </w:r>
          </w:p>
        </w:tc>
        <w:tc>
          <w:tcPr>
            <w:tcW w:w="7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0"/>
        </w:trPr>
        <w:tc>
          <w:tcPr>
            <w:tcW w:w="7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Prior years</w:t>
            </w:r>
          </w:p>
        </w:tc>
        <w:tc>
          <w:tcPr>
            <w:tcW w:w="7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147"/>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Total title claims paid, net of recoupments</w:t>
            </w: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76"/>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 of claim loss reserve for title insurance</w:t>
            </w:r>
          </w:p>
        </w:tc>
        <w:tc>
          <w:tcPr>
            <w:tcW w:w="720" w:type="dxa"/>
            <w:vAlign w:val="bottom"/>
            <w:tcBorders>
              <w:bottom w:val="single" w:sz="8" w:color="auto"/>
            </w:tcBorders>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1,883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1,623</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color w:val="auto"/>
              </w:rPr>
              <w:t>Title premiums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760" w:type="dxa"/>
            <w:vAlign w:val="bottom"/>
            <w:vMerge w:val="continue"/>
          </w:tcPr>
          <w:p>
            <w:pPr>
              <w:spacing w:after="0"/>
              <w:rPr>
                <w:sz w:val="10"/>
                <w:szCs w:val="10"/>
                <w:color w:val="auto"/>
              </w:rPr>
            </w:pP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18" w:lineRule="exact"/>
              <w:rPr>
                <w:sz w:val="20"/>
                <w:szCs w:val="20"/>
                <w:color w:val="auto"/>
              </w:rPr>
            </w:pPr>
            <w:r>
              <w:rPr>
                <w:rFonts w:ascii="Arial" w:cs="Arial" w:eastAsia="Arial" w:hAnsi="Arial"/>
                <w:sz w:val="12"/>
                <w:szCs w:val="12"/>
                <w:color w:val="auto"/>
                <w:w w:val="99"/>
              </w:rPr>
              <w:t>8,553</w:t>
            </w:r>
          </w:p>
        </w:tc>
        <w:tc>
          <w:tcPr>
            <w:tcW w:w="100" w:type="dxa"/>
            <w:vAlign w:val="bottom"/>
          </w:tcPr>
          <w:p>
            <w:pPr>
              <w:spacing w:after="0"/>
              <w:rPr>
                <w:sz w:val="10"/>
                <w:szCs w:val="10"/>
                <w:color w:val="auto"/>
              </w:rPr>
            </w:pPr>
          </w:p>
        </w:tc>
        <w:tc>
          <w:tcPr>
            <w:tcW w:w="160" w:type="dxa"/>
            <w:vAlign w:val="bottom"/>
          </w:tcPr>
          <w:p>
            <w:pPr>
              <w:jc w:val="right"/>
              <w:ind w:right="20"/>
              <w:spacing w:after="0" w:line="118" w:lineRule="exact"/>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line="118" w:lineRule="exact"/>
              <w:rPr>
                <w:sz w:val="20"/>
                <w:szCs w:val="20"/>
                <w:color w:val="auto"/>
              </w:rPr>
            </w:pPr>
            <w:r>
              <w:rPr>
                <w:rFonts w:ascii="Arial" w:cs="Arial" w:eastAsia="Arial" w:hAnsi="Arial"/>
                <w:sz w:val="12"/>
                <w:szCs w:val="12"/>
                <w:color w:val="auto"/>
              </w:rPr>
              <w:t>6,298</w:t>
            </w:r>
          </w:p>
        </w:tc>
        <w:tc>
          <w:tcPr>
            <w:tcW w:w="100" w:type="dxa"/>
            <w:vAlign w:val="bottom"/>
          </w:tcPr>
          <w:p>
            <w:pPr>
              <w:spacing w:after="0"/>
              <w:rPr>
                <w:sz w:val="10"/>
                <w:szCs w:val="10"/>
                <w:color w:val="auto"/>
              </w:rPr>
            </w:pPr>
          </w:p>
        </w:tc>
        <w:tc>
          <w:tcPr>
            <w:tcW w:w="260" w:type="dxa"/>
            <w:vAlign w:val="bottom"/>
          </w:tcPr>
          <w:p>
            <w:pPr>
              <w:jc w:val="right"/>
              <w:ind w:right="120"/>
              <w:spacing w:after="0" w:line="118" w:lineRule="exact"/>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line="118" w:lineRule="exact"/>
              <w:rPr>
                <w:sz w:val="20"/>
                <w:szCs w:val="20"/>
                <w:color w:val="auto"/>
              </w:rPr>
            </w:pPr>
            <w:r>
              <w:rPr>
                <w:rFonts w:ascii="Arial" w:cs="Arial" w:eastAsia="Arial" w:hAnsi="Arial"/>
                <w:sz w:val="12"/>
                <w:szCs w:val="12"/>
                <w:color w:val="auto"/>
              </w:rPr>
              <w:t>5,342</w:t>
            </w:r>
          </w:p>
        </w:tc>
        <w:tc>
          <w:tcPr>
            <w:tcW w:w="0" w:type="dxa"/>
            <w:vAlign w:val="bottom"/>
          </w:tcPr>
          <w:p>
            <w:pPr>
              <w:spacing w:after="0"/>
              <w:rPr>
                <w:sz w:val="1"/>
                <w:szCs w:val="1"/>
                <w:color w:val="auto"/>
              </w:rPr>
            </w:pPr>
          </w:p>
        </w:tc>
      </w:tr>
    </w:tbl>
    <w:p>
      <w:pPr>
        <w:spacing w:after="0" w:line="199" w:lineRule="exact"/>
        <w:rPr>
          <w:sz w:val="20"/>
          <w:szCs w:val="20"/>
          <w:color w:val="auto"/>
        </w:rPr>
      </w:pPr>
    </w:p>
    <w:p>
      <w:pPr>
        <w:sectPr>
          <w:pgSz w:w="11900" w:h="16838" w:orient="portrait"/>
          <w:cols w:equalWidth="0" w:num="1">
            <w:col w:w="11260"/>
          </w:cols>
          <w:pgMar w:left="320" w:top="129" w:right="31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color w:val="auto"/>
        </w:rPr>
        <w:t>Provision for title insurance claim losses as a percentage of title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7140575" cy="1073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107315"/>
                    </a:xfrm>
                    <a:prstGeom prst="rect">
                      <a:avLst/>
                    </a:prstGeom>
                    <a:noFill/>
                  </pic:spPr>
                </pic:pic>
              </a:graphicData>
            </a:graphic>
          </wp:anchor>
        </w:drawing>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Current year</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wp:posOffset>
            </wp:positionV>
            <wp:extent cx="7140575" cy="100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0575" cy="100330"/>
                    </a:xfrm>
                    <a:prstGeom prst="rect">
                      <a:avLst/>
                    </a:prstGeom>
                    <a:noFill/>
                  </pic:spPr>
                </pic:pic>
              </a:graphicData>
            </a:graphic>
          </wp:anchor>
        </w:drawing>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Total provision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2019</w:t>
            </w:r>
          </w:p>
        </w:tc>
      </w:tr>
      <w:tr>
        <w:trPr>
          <w:trHeight w:val="302"/>
        </w:trPr>
        <w:tc>
          <w:tcPr>
            <w:tcW w:w="1160" w:type="dxa"/>
            <w:vAlign w:val="bottom"/>
          </w:tcPr>
          <w:p>
            <w:pPr>
              <w:jc w:val="right"/>
              <w:spacing w:after="0"/>
              <w:rPr>
                <w:sz w:val="20"/>
                <w:szCs w:val="20"/>
                <w:color w:val="auto"/>
              </w:rPr>
            </w:pPr>
            <w:r>
              <w:rPr>
                <w:rFonts w:ascii="Arial" w:cs="Arial" w:eastAsia="Arial" w:hAnsi="Arial"/>
                <w:sz w:val="12"/>
                <w:szCs w:val="12"/>
                <w:color w:val="auto"/>
              </w:rPr>
              <w:t>4.5 %</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4.5 %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4.5 %</w:t>
            </w:r>
          </w:p>
        </w:tc>
      </w:tr>
      <w:tr>
        <w:trPr>
          <w:trHeight w:val="162"/>
        </w:trPr>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51"/>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4.5 %</w:t>
            </w:r>
          </w:p>
        </w:tc>
        <w:tc>
          <w:tcPr>
            <w:tcW w:w="12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4.5 %</w:t>
            </w:r>
          </w:p>
        </w:tc>
        <w:tc>
          <w:tcPr>
            <w:tcW w:w="10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4.5 %</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ectPr>
          <w:pgSz w:w="11900" w:h="16838" w:orient="portrait"/>
          <w:cols w:equalWidth="0" w:num="2">
            <w:col w:w="6800" w:space="720"/>
            <w:col w:w="3740"/>
          </w:cols>
          <w:pgMar w:left="320" w:top="129" w:right="319" w:bottom="1440" w:gutter="0" w:footer="0" w:header="0"/>
          <w:type w:val="continuous"/>
        </w:sectPr>
      </w:pPr>
    </w:p>
    <w:p>
      <w:pPr>
        <w:ind w:left="260"/>
        <w:spacing w:after="0"/>
        <w:rPr>
          <w:sz w:val="20"/>
          <w:szCs w:val="20"/>
          <w:color w:val="auto"/>
        </w:rPr>
      </w:pPr>
      <w:r>
        <w:rPr>
          <w:rFonts w:ascii="Arial" w:cs="Arial" w:eastAsia="Arial" w:hAnsi="Arial"/>
          <w:sz w:val="15"/>
          <w:szCs w:val="15"/>
          <w:color w:val="auto"/>
        </w:rPr>
        <w:t>Actual claims payments consist of loss payments and claims management expenses offset by recoupments and were as follows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Loss Payments</w:t>
            </w:r>
          </w:p>
        </w:tc>
        <w:tc>
          <w:tcPr>
            <w:tcW w:w="12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1"/>
              </w:rPr>
              <w:t>Claims Management</w:t>
            </w:r>
          </w:p>
        </w:tc>
        <w:tc>
          <w:tcPr>
            <w:tcW w:w="16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Recoupments</w:t>
            </w:r>
          </w:p>
        </w:tc>
        <w:tc>
          <w:tcPr>
            <w:tcW w:w="10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0"/>
              </w:rPr>
              <w:t>Net Loss Payments</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Expenses</w:t>
            </w: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Year ended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55"/>
        </w:trPr>
        <w:tc>
          <w:tcPr>
            <w:tcW w:w="6440" w:type="dxa"/>
            <w:vAlign w:val="bottom"/>
          </w:tcPr>
          <w:p>
            <w:pPr>
              <w:spacing w:after="0"/>
              <w:rPr>
                <w:sz w:val="20"/>
                <w:szCs w:val="20"/>
                <w:color w:val="auto"/>
              </w:rPr>
            </w:pPr>
            <w:r>
              <w:rPr>
                <w:rFonts w:ascii="Arial" w:cs="Arial" w:eastAsia="Arial" w:hAnsi="Arial"/>
                <w:sz w:val="12"/>
                <w:szCs w:val="12"/>
                <w:color w:val="auto"/>
              </w:rPr>
              <w:t>Year ended December 31, 2020</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203</w:t>
            </w:r>
          </w:p>
        </w:tc>
        <w:tc>
          <w:tcPr>
            <w:tcW w:w="0" w:type="dxa"/>
            <w:vAlign w:val="bottom"/>
          </w:tcPr>
          <w:p>
            <w:pPr>
              <w:spacing w:after="0"/>
              <w:rPr>
                <w:sz w:val="1"/>
                <w:szCs w:val="1"/>
                <w:color w:val="auto"/>
              </w:rPr>
            </w:pPr>
          </w:p>
        </w:tc>
      </w:tr>
      <w:tr>
        <w:trPr>
          <w:trHeight w:val="160"/>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Year ended December 31, 2019</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51" w:name="page52"/>
    <w:bookmarkEnd w:id="5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70"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As of December 31, 2021 and 2020, our recorded reserves were $1,883 million and $1,623 million, respectively, which we determined were reasonable and represented our best estimate and these recorded amounts were within a reasonable range of the central estimates provided by our actuaries. Our recorded reserves were $59 million above the mid-point of the provided range of $1.5 billion to $2.0 billion of our actuarial estimates as of December 31, 2021. Our recorded reserves were $62 million above the mid-point of the provided range of our actuarial estimates of $1.4 billion to $1.8 billion as of December 31, 2020.</w:t>
      </w:r>
    </w:p>
    <w:p>
      <w:pPr>
        <w:spacing w:after="0" w:line="58"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3"/>
          <w:szCs w:val="13"/>
          <w:color w:val="auto"/>
        </w:rPr>
        <w:t>During 2021, 2020, and 2019, payment patterns were consistent with our actuaries' and management's expectations. Also, compared to prior years we have seen a leveling off of the ultimate loss ratios in more mature policy years, particularly 2006-2009. While we still see claims opened on these policy years, the proportion of our claims inventory represented by these policy years has continued to decrease. Additionally, we continued to see positive development relating to the 2010 through 2021 policy years, which we believe is indicative of more stringent underwriting standards by us and the lending industry. Further, we have seen significant positive development in residential owner's policies due to increased payments on residential lender's policies, which inherently limit the potential loss on the related owner's policy to the differential in coverage amount between the amount insured under the owner's policy and the amount paid under the residential lender's policy. Also, any residential lender's policy claim paid relating to a property that is in foreclosure negates any potential loss under an owner's policy previously issued on the property as the owner has no equity in the property. Our ending open claim inventory decreased from approximately 10,700 claims at December 31, 2020 to approximately 9,600 claims at December 31, 2021. If actual claims loss development varies from what is currently expected and is not offset by other factors, it is possible that our recorded reserves may fall outside a reasonable range of our actuaries' central estimate, which may require additional reserve adjustments in future periods.</w:t>
      </w:r>
    </w:p>
    <w:p>
      <w:pPr>
        <w:spacing w:after="0" w:line="2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An approximate $86 million increase (decrease) in our annualized provision for title claim losses would occur if our loss provision rate were 1% higher (lower), based on 2021 title premiums of $8,553 million. A 10% increase (decrease) in our reserve for title claim losses, as of December 31, 2021, would result in an increase (decrease) in our provision for title claim losses of approximately $188 million.</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Reserves for Future Policy Benefits and Product Guarantees</w:t>
      </w:r>
    </w:p>
    <w:p>
      <w:pPr>
        <w:spacing w:after="0" w:line="87"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3"/>
          <w:szCs w:val="13"/>
          <w:color w:val="auto"/>
        </w:rPr>
        <w:t>The determination of future policy benefit reserves is dependent on actuarial assumptions. The principal assumptions used to establish liabilities for future policy benefits are based on our experience. These assumptions are established at issue of the contract and include mortality, morbidity, contract full and partial surrenders, investment returns, annuitization rates and expenses. The assumptions used require considerable judgment. We review overall policyholder experience at least annually and update these assumptions when deemed necessary based on additional information that becomes available. For traditional life and immediate annuity products, assumptions used in the reserve calculation can only be changed if the reserve is deemed to be insufficient. For all other insurance products, changes in assumptions will be used to calculate reserves. These changes in assumptions will also incorporate changes in risk free rates and option market values. Changes in, or deviations from, the assumptions previously used can significantly affect our reserve levels and related results of operations.</w:t>
      </w:r>
    </w:p>
    <w:p>
      <w:pPr>
        <w:spacing w:after="0" w:line="21" w:lineRule="exact"/>
        <w:rPr>
          <w:sz w:val="20"/>
          <w:szCs w:val="20"/>
          <w:color w:val="auto"/>
        </w:rPr>
      </w:pPr>
    </w:p>
    <w:p>
      <w:pPr>
        <w:jc w:val="both"/>
        <w:ind w:firstLine="372"/>
        <w:spacing w:after="0" w:line="311" w:lineRule="auto"/>
        <w:rPr>
          <w:sz w:val="20"/>
          <w:szCs w:val="20"/>
          <w:color w:val="auto"/>
        </w:rPr>
      </w:pPr>
      <w:r>
        <w:rPr>
          <w:rFonts w:ascii="Arial" w:cs="Arial" w:eastAsia="Arial" w:hAnsi="Arial"/>
          <w:sz w:val="14"/>
          <w:szCs w:val="14"/>
          <w:color w:val="auto"/>
        </w:rPr>
        <w:t>Mortality is the incidence of death amongst policyholders triggering the payment of underlying insurance coverage by the insurer. In addition, mortality also refers to the ceasing of payments on life-contingent annuities due to the death of the annuitant. We utilize a combination of actual and industry experience when setting our mortality assumptions.</w:t>
      </w:r>
    </w:p>
    <w:p>
      <w:pPr>
        <w:spacing w:after="0" w:line="11" w:lineRule="exact"/>
        <w:rPr>
          <w:sz w:val="20"/>
          <w:szCs w:val="20"/>
          <w:color w:val="auto"/>
        </w:rPr>
      </w:pPr>
    </w:p>
    <w:p>
      <w:pPr>
        <w:jc w:val="both"/>
        <w:ind w:firstLine="372"/>
        <w:spacing w:after="0" w:line="305" w:lineRule="auto"/>
        <w:rPr>
          <w:sz w:val="20"/>
          <w:szCs w:val="20"/>
          <w:color w:val="auto"/>
        </w:rPr>
      </w:pPr>
      <w:r>
        <w:rPr>
          <w:rFonts w:ascii="Arial" w:cs="Arial" w:eastAsia="Arial" w:hAnsi="Arial"/>
          <w:sz w:val="13"/>
          <w:szCs w:val="13"/>
          <w:color w:val="auto"/>
        </w:rPr>
        <w:t>A surrender rate is the percentage of account value surrendered by the policyholder. A lapse rate is the percentage of account value canceled by us due to nonpayment of premiums. We make estimates of expected full and partial surrenders of our fixed annuity products. Our surrender rate experience in the twelve months ended December 31, 2021 and the seven month period ended December 31, 2020 on the fixed annuity products averaged 7% and 4%, respectively, which is within our assumed ranges. Management’s best estimate of surrender behavior incorporates actual experience over the entire period, as we believe that, over the duration of the policies, we will experience the full range of policyholder behavior and market conditions. If actual surrender rates are significantly different from those assumed, such differences could have a significant effect on our reserve levels and related results of operations.</w:t>
      </w:r>
    </w:p>
    <w:p>
      <w:pPr>
        <w:spacing w:after="0" w:line="19"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color w:val="auto"/>
        </w:rPr>
        <w:t>The assumptions used to establish the liabilities for our product guarantees require considerable judgment and are established as management’s best estimate of future outcomes. We periodically review these assumptions and, if necessary, update them based on additional information that becomes available. Changes in or deviations from the assumptions used can significantly affect our reserve levels and related results of operations.</w:t>
      </w:r>
    </w:p>
    <w:p>
      <w:pPr>
        <w:spacing w:after="0" w:line="44"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4"/>
          <w:szCs w:val="14"/>
          <w:color w:val="auto"/>
        </w:rPr>
        <w:t>At issue, and at each subsequent valuation, we determine the present value of the cost of the Guaranteed Minimum Withdrawaal Benefit ("GMWB") rider benefits and certain Guaranteed Minimum Death Benefit ("GMDB") riders in excess of benefits that are funded by the account value. We also calculate the present value of total expected policy assessments, including investment margins, if applicable. We accumulate a reserve equal to the portion of these assessments that would be required to fund the future benefits less benefits paid to date. In making these projections, a number of assumptions are made and we update these assumptions as experience emerges, and determined necessary. We began issuing our GMWB products in 2008, and future experience could lead to significant changes in our assumptions. If emerging experience deviates from our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2" w:name="page53"/>
    <w:bookmarkEnd w:id="5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assumptions on GMWB utilizations, such deviations could have a significant effect on our reserve levels and related results of operations.</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aggregate reserves for contractholder funds, future policy benefits and product guarantees on a direct and net basis as of December 31, 2021 are summarized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260" w:type="dxa"/>
            <w:vAlign w:val="bottom"/>
          </w:tcPr>
          <w:p>
            <w:pPr>
              <w:spacing w:after="0"/>
              <w:rPr>
                <w:sz w:val="12"/>
                <w:szCs w:val="12"/>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Direct</w:t>
            </w:r>
          </w:p>
        </w:tc>
        <w:tc>
          <w:tcPr>
            <w:tcW w:w="200" w:type="dxa"/>
            <w:vAlign w:val="bottom"/>
          </w:tcPr>
          <w:p>
            <w:pPr>
              <w:spacing w:after="0"/>
              <w:rPr>
                <w:sz w:val="12"/>
                <w:szCs w:val="12"/>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Reinsurance</w:t>
            </w:r>
          </w:p>
        </w:tc>
        <w:tc>
          <w:tcPr>
            <w:tcW w:w="300" w:type="dxa"/>
            <w:vAlign w:val="bottom"/>
          </w:tcPr>
          <w:p>
            <w:pPr>
              <w:spacing w:after="0"/>
              <w:rPr>
                <w:sz w:val="12"/>
                <w:szCs w:val="12"/>
                <w:color w:val="auto"/>
              </w:rPr>
            </w:pPr>
          </w:p>
        </w:tc>
        <w:tc>
          <w:tcPr>
            <w:tcW w:w="920" w:type="dxa"/>
            <w:vAlign w:val="bottom"/>
            <w:vMerge w:val="restart"/>
          </w:tcPr>
          <w:p>
            <w:pPr>
              <w:jc w:val="right"/>
              <w:ind w:right="460"/>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57"/>
        </w:trPr>
        <w:tc>
          <w:tcPr>
            <w:tcW w:w="73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Recoverable</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Fixed indexed annuities</w:t>
            </w: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23,370</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23,370</w:t>
            </w:r>
          </w:p>
        </w:tc>
        <w:tc>
          <w:tcPr>
            <w:tcW w:w="0" w:type="dxa"/>
            <w:vAlign w:val="bottom"/>
          </w:tcPr>
          <w:p>
            <w:pPr>
              <w:spacing w:after="0"/>
              <w:rPr>
                <w:sz w:val="1"/>
                <w:szCs w:val="1"/>
                <w:color w:val="auto"/>
              </w:rPr>
            </w:pPr>
          </w:p>
        </w:tc>
      </w:tr>
      <w:tr>
        <w:trPr>
          <w:trHeight w:val="155"/>
        </w:trPr>
        <w:tc>
          <w:tcPr>
            <w:tcW w:w="7360" w:type="dxa"/>
            <w:vAlign w:val="bottom"/>
          </w:tcPr>
          <w:p>
            <w:pPr>
              <w:ind w:left="20"/>
              <w:spacing w:after="0"/>
              <w:rPr>
                <w:sz w:val="20"/>
                <w:szCs w:val="20"/>
                <w:color w:val="auto"/>
              </w:rPr>
            </w:pPr>
            <w:r>
              <w:rPr>
                <w:rFonts w:ascii="Arial" w:cs="Arial" w:eastAsia="Arial" w:hAnsi="Arial"/>
                <w:sz w:val="12"/>
                <w:szCs w:val="12"/>
                <w:color w:val="auto"/>
              </w:rPr>
              <w:t>Fixed rate annuities</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6,369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(1,689)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4,680</w:t>
            </w:r>
          </w:p>
        </w:tc>
        <w:tc>
          <w:tcPr>
            <w:tcW w:w="0" w:type="dxa"/>
            <w:vAlign w:val="bottom"/>
          </w:tcPr>
          <w:p>
            <w:pPr>
              <w:spacing w:after="0"/>
              <w:rPr>
                <w:sz w:val="1"/>
                <w:szCs w:val="1"/>
                <w:color w:val="auto"/>
              </w:rPr>
            </w:pPr>
          </w:p>
        </w:tc>
      </w:tr>
      <w:tr>
        <w:trPr>
          <w:trHeight w:val="160"/>
        </w:trPr>
        <w:tc>
          <w:tcPr>
            <w:tcW w:w="7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Immediate annuities</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3,524</w:t>
            </w:r>
          </w:p>
        </w:tc>
        <w:tc>
          <w:tcPr>
            <w:tcW w:w="0" w:type="dxa"/>
            <w:vAlign w:val="bottom"/>
          </w:tcPr>
          <w:p>
            <w:pPr>
              <w:spacing w:after="0"/>
              <w:rPr>
                <w:sz w:val="1"/>
                <w:szCs w:val="1"/>
                <w:color w:val="auto"/>
              </w:rPr>
            </w:pPr>
          </w:p>
        </w:tc>
      </w:tr>
      <w:tr>
        <w:trPr>
          <w:trHeight w:val="155"/>
        </w:trPr>
        <w:tc>
          <w:tcPr>
            <w:tcW w:w="7360" w:type="dxa"/>
            <w:vAlign w:val="bottom"/>
          </w:tcPr>
          <w:p>
            <w:pPr>
              <w:ind w:left="20"/>
              <w:spacing w:after="0"/>
              <w:rPr>
                <w:sz w:val="20"/>
                <w:szCs w:val="20"/>
                <w:color w:val="auto"/>
              </w:rPr>
            </w:pPr>
            <w:r>
              <w:rPr>
                <w:rFonts w:ascii="Arial" w:cs="Arial" w:eastAsia="Arial" w:hAnsi="Arial"/>
                <w:sz w:val="12"/>
                <w:szCs w:val="12"/>
                <w:color w:val="auto"/>
              </w:rPr>
              <w:t>Universal life</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(983)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998</w:t>
            </w:r>
          </w:p>
        </w:tc>
        <w:tc>
          <w:tcPr>
            <w:tcW w:w="0" w:type="dxa"/>
            <w:vAlign w:val="bottom"/>
          </w:tcPr>
          <w:p>
            <w:pPr>
              <w:spacing w:after="0"/>
              <w:rPr>
                <w:sz w:val="1"/>
                <w:szCs w:val="1"/>
                <w:color w:val="auto"/>
              </w:rPr>
            </w:pPr>
          </w:p>
        </w:tc>
      </w:tr>
      <w:tr>
        <w:trPr>
          <w:trHeight w:val="160"/>
        </w:trPr>
        <w:tc>
          <w:tcPr>
            <w:tcW w:w="7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Traditional life</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1,018</w:t>
            </w:r>
          </w:p>
        </w:tc>
        <w:tc>
          <w:tcPr>
            <w:tcW w:w="0" w:type="dxa"/>
            <w:vAlign w:val="bottom"/>
          </w:tcPr>
          <w:p>
            <w:pPr>
              <w:spacing w:after="0"/>
              <w:rPr>
                <w:sz w:val="1"/>
                <w:szCs w:val="1"/>
                <w:color w:val="auto"/>
              </w:rPr>
            </w:pPr>
          </w:p>
        </w:tc>
      </w:tr>
      <w:tr>
        <w:trPr>
          <w:trHeight w:val="155"/>
        </w:trPr>
        <w:tc>
          <w:tcPr>
            <w:tcW w:w="7360" w:type="dxa"/>
            <w:vAlign w:val="bottom"/>
          </w:tcPr>
          <w:p>
            <w:pPr>
              <w:ind w:left="20"/>
              <w:spacing w:after="0"/>
              <w:rPr>
                <w:sz w:val="20"/>
                <w:szCs w:val="20"/>
                <w:color w:val="auto"/>
              </w:rPr>
            </w:pPr>
            <w:r>
              <w:rPr>
                <w:rFonts w:ascii="Arial" w:cs="Arial" w:eastAsia="Arial" w:hAnsi="Arial"/>
                <w:sz w:val="12"/>
                <w:szCs w:val="12"/>
                <w:color w:val="auto"/>
              </w:rPr>
              <w:t>Funding agreement backed notes ("FABN")</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1,904</w:t>
            </w:r>
          </w:p>
        </w:tc>
        <w:tc>
          <w:tcPr>
            <w:tcW w:w="0" w:type="dxa"/>
            <w:vAlign w:val="bottom"/>
          </w:tcPr>
          <w:p>
            <w:pPr>
              <w:spacing w:after="0"/>
              <w:rPr>
                <w:sz w:val="1"/>
                <w:szCs w:val="1"/>
                <w:color w:val="auto"/>
              </w:rPr>
            </w:pPr>
          </w:p>
        </w:tc>
      </w:tr>
      <w:tr>
        <w:trPr>
          <w:trHeight w:val="160"/>
        </w:trPr>
        <w:tc>
          <w:tcPr>
            <w:tcW w:w="7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Pension risk transfer ("PRT")</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w:t>
            </w:r>
          </w:p>
        </w:tc>
        <w:tc>
          <w:tcPr>
            <w:tcW w:w="0" w:type="dxa"/>
            <w:vAlign w:val="bottom"/>
          </w:tcPr>
          <w:p>
            <w:pPr>
              <w:spacing w:after="0"/>
              <w:rPr>
                <w:sz w:val="1"/>
                <w:szCs w:val="1"/>
                <w:color w:val="auto"/>
              </w:rPr>
            </w:pPr>
          </w:p>
        </w:tc>
      </w:tr>
      <w:tr>
        <w:trPr>
          <w:trHeight w:val="149"/>
        </w:trPr>
        <w:tc>
          <w:tcPr>
            <w:tcW w:w="7360" w:type="dxa"/>
            <w:vAlign w:val="bottom"/>
          </w:tcPr>
          <w:p>
            <w:pPr>
              <w:ind w:left="20"/>
              <w:spacing w:after="0"/>
              <w:rPr>
                <w:sz w:val="20"/>
                <w:szCs w:val="20"/>
                <w:color w:val="auto"/>
              </w:rPr>
            </w:pPr>
            <w:r>
              <w:rPr>
                <w:rFonts w:ascii="Arial" w:cs="Arial" w:eastAsia="Arial" w:hAnsi="Arial"/>
                <w:sz w:val="12"/>
                <w:szCs w:val="12"/>
                <w:color w:val="auto"/>
              </w:rPr>
              <w:t>Total</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40,257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(3,610)</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36,647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Fixed indexed annuities ("FIA") and indexed universal life ("IUL") products contain an embedded derivative; a feature that permits the holder to elect an interest rate return or an equity-index linked component, where interest credited to the contract is linked to the performance of various equity indices. The FIA/ IUL embedded derivatives are valued at fair value and included in the liability for contractholder funds in our Consolidated Balance Sheets with changes in fair value included as a component of Benefits and other changes in policy reserves in our Consolidated Statements of Earnings.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Valuation of Fixed Maturity, Preferred and Equity Securities, and Derivatives and Reinsurance Recoverable.</w:t>
      </w:r>
    </w:p>
    <w:p>
      <w:pPr>
        <w:spacing w:after="0" w:line="8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Our fixed maturity securities have been designated as available-for-sale and are carried at fair value, net of allowance for expected credit losses, with unrealized gains and losses included in accumulated other comprehensive income (loss) ("AOCI"), net of associated adjustments for deferred acquisition costs ("DAC"), value of business acquired ("VOBA"), deferred sales inducements ("DSI"), unearned revenue ("UREV"), SOP 03-1 reserves, and deferred income taxes. Our equity securities are carried at fair value with unrealized gains and losses included in net income (loss). Realized gains and losses on the sale of investments are determined on the basis of the cost of the specific investments sold and are credited or charged to income on a trade date basis.</w:t>
      </w:r>
    </w:p>
    <w:p>
      <w:pPr>
        <w:spacing w:after="0" w:line="49" w:lineRule="exact"/>
        <w:rPr>
          <w:sz w:val="20"/>
          <w:szCs w:val="20"/>
          <w:color w:val="auto"/>
        </w:rPr>
      </w:pPr>
    </w:p>
    <w:p>
      <w:pPr>
        <w:jc w:val="both"/>
        <w:ind w:firstLine="372"/>
        <w:spacing w:after="0" w:line="275" w:lineRule="auto"/>
        <w:rPr>
          <w:sz w:val="20"/>
          <w:szCs w:val="20"/>
          <w:color w:val="auto"/>
        </w:rPr>
      </w:pPr>
      <w:r>
        <w:rPr>
          <w:rFonts w:ascii="Arial" w:cs="Arial" w:eastAsia="Arial" w:hAnsi="Arial"/>
          <w:sz w:val="14"/>
          <w:szCs w:val="14"/>
          <w:color w:val="auto"/>
        </w:rPr>
        <w:t>Management’s assessment of all available data when determining fair value of the AFS securities is necessary to appropriately apply fair value accounting. Management utilizes information from independent pricing services, who take into account perceived market movements and sector news, as well as a security’s terms and conditions, including any features specific to that issue that may influence risk and marketability. Depending on the security, the priority of the use of observable market inputs may change as some observable market inputs may not be relevant or additional inputs may be necessary. We generally obtain one value from our primary external pricing service. In situations where a price is not available from the independent pricing service, we may obtain broker quotes or prices from additional parties recognized to be market participants. We believe the broker quotes are prices at which trades could be executed based on historical trades executed at broker-quoted or slightly higher prices. When quoted prices in active markets are not available, the determination of estimated fair value is based on market standard valuation methodologies, including discounted cash flows, matrix pricing, or other similar techniques.</w:t>
      </w:r>
    </w:p>
    <w:p>
      <w:pPr>
        <w:spacing w:after="0" w:line="38"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4"/>
          <w:szCs w:val="14"/>
          <w:color w:val="auto"/>
        </w:rPr>
        <w:t xml:space="preserve">We validate external valuations at least quarterly through a combination of procedures that include the evaluation of methodologies used by the pricing services, comparisons to valuations from other independent pricing services, analytical reviews and performance analysis of the prices against trends, and maintenance of a securities watch list. See Note D </w:t>
      </w:r>
      <w:r>
        <w:rPr>
          <w:rFonts w:ascii="Arial" w:cs="Arial" w:eastAsia="Arial" w:hAnsi="Arial"/>
          <w:sz w:val="14"/>
          <w:szCs w:val="14"/>
          <w:i w:val="1"/>
          <w:iCs w:val="1"/>
          <w:color w:val="auto"/>
        </w:rPr>
        <w:t>Fair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Value of Financial Instruments </w:t>
      </w:r>
      <w:r>
        <w:rPr>
          <w:rFonts w:ascii="Arial" w:cs="Arial" w:eastAsia="Arial" w:hAnsi="Arial"/>
          <w:sz w:val="14"/>
          <w:szCs w:val="14"/>
          <w:color w:val="auto"/>
        </w:rPr>
        <w:t>and Note E</w:t>
      </w:r>
      <w:r>
        <w:rPr>
          <w:rFonts w:ascii="Arial" w:cs="Arial" w:eastAsia="Arial" w:hAnsi="Arial"/>
          <w:sz w:val="14"/>
          <w:szCs w:val="14"/>
          <w:i w:val="1"/>
          <w:iCs w:val="1"/>
          <w:color w:val="auto"/>
        </w:rPr>
        <w:t xml:space="preserve"> Investments </w:t>
      </w:r>
      <w:r>
        <w:rPr>
          <w:rFonts w:ascii="Arial" w:cs="Arial" w:eastAsia="Arial" w:hAnsi="Arial"/>
          <w:sz w:val="14"/>
          <w:szCs w:val="14"/>
          <w:color w:val="auto"/>
        </w:rPr>
        <w:t>to our Consolidated Financial Statements included in Item 8 of Part II of this Annual Report.</w:t>
      </w:r>
    </w:p>
    <w:p>
      <w:pPr>
        <w:spacing w:after="0" w:line="25"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5"/>
          <w:szCs w:val="15"/>
          <w:color w:val="auto"/>
        </w:rPr>
        <w:t>The fair value of derivative assets and liabilities is based upon valuation pricing models and represents what we would expect to receive or pay at the balance sheet date if we canceled the options, entered into offsetting positions, or exercised the options. Fair values for these instruments are determined internally using a conventional model and market observable inputs, including interest rates, yield curve volatilities and other factors. Credit risk related to the counterparty is considered when estimating the fair values of these derivatives. However, we are largely protected by collateral arrangements with counterparties when individual counterparty exposures exceed certain thresholds. The fair value of futures contracts at the balance sheet date represents the cumulative unsettled variation margin (open trade equity net of cash settlements). The fair values of the embedded derivatives in our FIA and IUL contracts are derived using market value of options, use of current and budgeted option cost, swap rates, mortality rates, surrender rates, partial withdrawals, and non-performance spread and are classified as Level 3. The discount rate used to determine the fair value of our FIA/ IUL embedded derivative liabilities includes an adjustment to reflect the risk that these obligations will not be fulfilled (“non-performance risk”). For the period ended December 31, 2021, our non-performance risk adjustment was based on the expected loss due to default in debt obligations for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3" w:name="page54"/>
    <w:bookmarkEnd w:id="5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 xml:space="preserve">similarly rated financial companies. See Note D </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xml:space="preserve"> and Note F </w:t>
      </w:r>
      <w:r>
        <w:rPr>
          <w:rFonts w:ascii="Arial" w:cs="Arial" w:eastAsia="Arial" w:hAnsi="Arial"/>
          <w:sz w:val="15"/>
          <w:szCs w:val="15"/>
          <w:i w:val="1"/>
          <w:iCs w:val="1"/>
          <w:color w:val="auto"/>
        </w:rPr>
        <w:t>Derivative Financial Instruments</w:t>
      </w:r>
      <w:r>
        <w:rPr>
          <w:rFonts w:ascii="Arial" w:cs="Arial" w:eastAsia="Arial" w:hAnsi="Arial"/>
          <w:sz w:val="15"/>
          <w:szCs w:val="15"/>
          <w:color w:val="auto"/>
        </w:rPr>
        <w:t xml:space="preserve"> to our Consolidated Financial Statements included in Item 8 of Part II of this Annual Report.</w:t>
      </w:r>
    </w:p>
    <w:p>
      <w:pPr>
        <w:spacing w:after="0" w:line="34"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4"/>
          <w:szCs w:val="14"/>
          <w:color w:val="auto"/>
        </w:rPr>
        <w:t xml:space="preserve">As discussed in Note O </w:t>
      </w:r>
      <w:r>
        <w:rPr>
          <w:rFonts w:ascii="Arial" w:cs="Arial" w:eastAsia="Arial" w:hAnsi="Arial"/>
          <w:sz w:val="14"/>
          <w:szCs w:val="14"/>
          <w:i w:val="1"/>
          <w:iCs w:val="1"/>
          <w:color w:val="auto"/>
        </w:rPr>
        <w:t>Reinsurance</w:t>
      </w:r>
      <w:r>
        <w:rPr>
          <w:rFonts w:ascii="Arial" w:cs="Arial" w:eastAsia="Arial" w:hAnsi="Arial"/>
          <w:sz w:val="14"/>
          <w:szCs w:val="14"/>
          <w:color w:val="auto"/>
        </w:rPr>
        <w:t xml:space="preserve"> of our Consolidated Financial Statements included in Item 8 of Part II of this Report, F&amp;G entered into a reinsurance agreement with Kubera Insurance (SAC) Ltd. ("Kubera") effective December 31, 2018, to cede certain multi-year guaranteed annuities ("MYGA") and deferred annuity GAAP and statutory reserves on a coinsurance funds withheld basis, net of applicable existing reinsurance. Effective October 31, 2021, this agreement was novated from Kubera to Somerset. Additionally, F&amp;G entered into a reinsurance agreement with Aspida Re effective January 1, 2021, to cede a quota share of certain deferred annuity business on a funds withheld basis. Fair value movements in the funds withheld balances associated with these arrangements create an obligation for F&amp;G to pay Somerset and Aspida Re at a later date, which results in embedded derivatives. These embedded derivatives are considered total return swaps with contractual returns that are attributable to the assets and liabilities associated with the reinsurance arrangements. The fair value of the total return swaps are based on the change in fair value of the underlying assets held in the funds withheld portfolio. Investment results for the assets that support the coinsurance with funds withheld reinsurance arrangement, including gains and losses from sales, are passed directly to the reinsurer pursuant to contractual terms of the reinsurance arrangement. The reinsurance related embedded derivatives are reported in Accounts payable and accrued liabilities on the Consolidated Balance Sheets and the related gains or losses are reported in Recognized gains and losses, net on the Consolidated Statements of Earnings.</w:t>
      </w:r>
    </w:p>
    <w:p>
      <w:pPr>
        <w:spacing w:after="0" w:line="39" w:lineRule="exact"/>
        <w:rPr>
          <w:sz w:val="20"/>
          <w:szCs w:val="20"/>
          <w:color w:val="auto"/>
        </w:rPr>
      </w:pPr>
    </w:p>
    <w:p>
      <w:pPr>
        <w:jc w:val="both"/>
        <w:ind w:firstLine="338"/>
        <w:spacing w:after="0" w:line="311" w:lineRule="auto"/>
        <w:rPr>
          <w:sz w:val="20"/>
          <w:szCs w:val="20"/>
          <w:color w:val="auto"/>
        </w:rPr>
      </w:pPr>
      <w:r>
        <w:rPr>
          <w:rFonts w:ascii="Arial" w:cs="Arial" w:eastAsia="Arial" w:hAnsi="Arial"/>
          <w:sz w:val="13"/>
          <w:szCs w:val="13"/>
          <w:color w:val="auto"/>
        </w:rPr>
        <w:t>We categorize our fixed maturity securities, preferred securities, equity securities and derivatives into a three-level hierarchy based on the priority of the inputs to the valuation technique. The fair value hierarchy gives the highest priority to quoted prices in active markets for identical assets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The following table presents the fair value of fixed maturity securities and equity securities by pricing source and hierarchy level as of December 31, 2021 and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5"/>
          </w:tcPr>
          <w:p>
            <w:pPr>
              <w:ind w:left="860"/>
              <w:spacing w:after="0"/>
              <w:rPr>
                <w:sz w:val="20"/>
                <w:szCs w:val="20"/>
                <w:color w:val="auto"/>
              </w:rPr>
            </w:pPr>
            <w:r>
              <w:rPr>
                <w:rFonts w:ascii="Arial" w:cs="Arial" w:eastAsia="Arial" w:hAnsi="Arial"/>
                <w:sz w:val="12"/>
                <w:szCs w:val="12"/>
                <w:b w:val="1"/>
                <w:bCs w:val="1"/>
                <w:color w:val="auto"/>
              </w:rPr>
              <w:t>As of December 31, 2021</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gridSpan w:val="2"/>
          </w:tcPr>
          <w:p>
            <w:pPr>
              <w:jc w:val="center"/>
              <w:ind w:right="320"/>
              <w:spacing w:after="0" w:line="109" w:lineRule="exact"/>
              <w:rPr>
                <w:sz w:val="20"/>
                <w:szCs w:val="20"/>
                <w:color w:val="auto"/>
              </w:rPr>
            </w:pPr>
            <w:r>
              <w:rPr>
                <w:rFonts w:ascii="Arial" w:cs="Arial" w:eastAsia="Arial" w:hAnsi="Arial"/>
                <w:sz w:val="12"/>
                <w:szCs w:val="12"/>
                <w:b w:val="1"/>
                <w:bCs w:val="1"/>
                <w:color w:val="auto"/>
                <w:w w:val="90"/>
              </w:rPr>
              <w:t>Quoted Prices in</w:t>
            </w:r>
          </w:p>
        </w:tc>
        <w:tc>
          <w:tcPr>
            <w:tcW w:w="220" w:type="dxa"/>
            <w:vAlign w:val="bottom"/>
          </w:tcPr>
          <w:p>
            <w:pPr>
              <w:spacing w:after="0"/>
              <w:rPr>
                <w:sz w:val="9"/>
                <w:szCs w:val="9"/>
                <w:color w:val="auto"/>
              </w:rPr>
            </w:pPr>
          </w:p>
        </w:tc>
        <w:tc>
          <w:tcPr>
            <w:tcW w:w="158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87"/>
              </w:rPr>
              <w:t>Significant</w:t>
            </w:r>
          </w:p>
        </w:tc>
        <w:tc>
          <w:tcPr>
            <w:tcW w:w="280" w:type="dxa"/>
            <w:vAlign w:val="bottom"/>
          </w:tcPr>
          <w:p>
            <w:pPr>
              <w:spacing w:after="0"/>
              <w:rPr>
                <w:sz w:val="9"/>
                <w:szCs w:val="9"/>
                <w:color w:val="auto"/>
              </w:rPr>
            </w:pPr>
          </w:p>
        </w:tc>
        <w:tc>
          <w:tcPr>
            <w:tcW w:w="1500" w:type="dxa"/>
            <w:vAlign w:val="bottom"/>
            <w:gridSpan w:val="2"/>
          </w:tcPr>
          <w:p>
            <w:pPr>
              <w:jc w:val="center"/>
              <w:ind w:right="380"/>
              <w:spacing w:after="0" w:line="109" w:lineRule="exact"/>
              <w:rPr>
                <w:sz w:val="20"/>
                <w:szCs w:val="20"/>
                <w:color w:val="auto"/>
              </w:rPr>
            </w:pPr>
            <w:r>
              <w:rPr>
                <w:rFonts w:ascii="Arial" w:cs="Arial" w:eastAsia="Arial" w:hAnsi="Arial"/>
                <w:sz w:val="12"/>
                <w:szCs w:val="12"/>
                <w:b w:val="1"/>
                <w:bCs w:val="1"/>
                <w:color w:val="auto"/>
                <w:w w:val="91"/>
              </w:rPr>
              <w:t>Significant</w:t>
            </w: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(Dollars in millions)</w:t>
            </w:r>
          </w:p>
        </w:tc>
        <w:tc>
          <w:tcPr>
            <w:tcW w:w="220" w:type="dxa"/>
            <w:vAlign w:val="bottom"/>
          </w:tcPr>
          <w:p>
            <w:pPr>
              <w:spacing w:after="0"/>
              <w:rPr>
                <w:sz w:val="9"/>
                <w:szCs w:val="9"/>
                <w:color w:val="auto"/>
              </w:rPr>
            </w:pPr>
          </w:p>
        </w:tc>
        <w:tc>
          <w:tcPr>
            <w:tcW w:w="1580" w:type="dxa"/>
            <w:vAlign w:val="bottom"/>
            <w:gridSpan w:val="2"/>
          </w:tcPr>
          <w:p>
            <w:pPr>
              <w:jc w:val="center"/>
              <w:ind w:right="320"/>
              <w:spacing w:after="0" w:line="113" w:lineRule="exact"/>
              <w:rPr>
                <w:sz w:val="20"/>
                <w:szCs w:val="20"/>
                <w:color w:val="auto"/>
              </w:rPr>
            </w:pPr>
            <w:r>
              <w:rPr>
                <w:rFonts w:ascii="Arial" w:cs="Arial" w:eastAsia="Arial" w:hAnsi="Arial"/>
                <w:sz w:val="12"/>
                <w:szCs w:val="12"/>
                <w:b w:val="1"/>
                <w:bCs w:val="1"/>
                <w:color w:val="auto"/>
                <w:w w:val="94"/>
              </w:rPr>
              <w:t>Active Markets for</w:t>
            </w:r>
          </w:p>
        </w:tc>
        <w:tc>
          <w:tcPr>
            <w:tcW w:w="2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2"/>
          </w:tcPr>
          <w:p>
            <w:pPr>
              <w:jc w:val="center"/>
              <w:ind w:right="380"/>
              <w:spacing w:after="0" w:line="113" w:lineRule="exact"/>
              <w:rPr>
                <w:sz w:val="20"/>
                <w:szCs w:val="20"/>
                <w:color w:val="auto"/>
              </w:rPr>
            </w:pPr>
            <w:r>
              <w:rPr>
                <w:rFonts w:ascii="Arial" w:cs="Arial" w:eastAsia="Arial" w:hAnsi="Arial"/>
                <w:sz w:val="12"/>
                <w:szCs w:val="12"/>
                <w:b w:val="1"/>
                <w:bCs w:val="1"/>
                <w:color w:val="auto"/>
                <w:w w:val="90"/>
              </w:rPr>
              <w:t>Unobservable</w:t>
            </w:r>
          </w:p>
        </w:tc>
        <w:tc>
          <w:tcPr>
            <w:tcW w:w="380" w:type="dxa"/>
            <w:vAlign w:val="bottom"/>
          </w:tcPr>
          <w:p>
            <w:pPr>
              <w:spacing w:after="0"/>
              <w:rPr>
                <w:sz w:val="9"/>
                <w:szCs w:val="9"/>
                <w:color w:val="auto"/>
              </w:rPr>
            </w:pPr>
          </w:p>
        </w:tc>
        <w:tc>
          <w:tcPr>
            <w:tcW w:w="1280" w:type="dxa"/>
            <w:vAlign w:val="bottom"/>
            <w:vMerge w:val="restart"/>
          </w:tcPr>
          <w:p>
            <w:pPr>
              <w:jc w:val="right"/>
              <w:ind w:right="6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3"/>
        </w:trPr>
        <w:tc>
          <w:tcPr>
            <w:tcW w:w="42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gridSpan w:val="2"/>
          </w:tcPr>
          <w:p>
            <w:pPr>
              <w:jc w:val="center"/>
              <w:ind w:right="340"/>
              <w:spacing w:after="0" w:line="113" w:lineRule="exact"/>
              <w:rPr>
                <w:sz w:val="20"/>
                <w:szCs w:val="20"/>
                <w:color w:val="auto"/>
              </w:rPr>
            </w:pPr>
            <w:r>
              <w:rPr>
                <w:rFonts w:ascii="Arial" w:cs="Arial" w:eastAsia="Arial" w:hAnsi="Arial"/>
                <w:sz w:val="12"/>
                <w:szCs w:val="12"/>
                <w:b w:val="1"/>
                <w:bCs w:val="1"/>
                <w:color w:val="auto"/>
                <w:w w:val="87"/>
              </w:rPr>
              <w:t>Identical Assets</w:t>
            </w:r>
          </w:p>
        </w:tc>
        <w:tc>
          <w:tcPr>
            <w:tcW w:w="220" w:type="dxa"/>
            <w:vAlign w:val="bottom"/>
          </w:tcPr>
          <w:p>
            <w:pPr>
              <w:spacing w:after="0"/>
              <w:rPr>
                <w:sz w:val="9"/>
                <w:szCs w:val="9"/>
                <w:color w:val="auto"/>
              </w:rPr>
            </w:pPr>
          </w:p>
        </w:tc>
        <w:tc>
          <w:tcPr>
            <w:tcW w:w="1580" w:type="dxa"/>
            <w:vAlign w:val="bottom"/>
            <w:gridSpan w:val="2"/>
          </w:tcPr>
          <w:p>
            <w:pPr>
              <w:jc w:val="center"/>
              <w:ind w:right="320"/>
              <w:spacing w:after="0" w:line="113" w:lineRule="exact"/>
              <w:rPr>
                <w:sz w:val="20"/>
                <w:szCs w:val="20"/>
                <w:color w:val="auto"/>
              </w:rPr>
            </w:pPr>
            <w:r>
              <w:rPr>
                <w:rFonts w:ascii="Arial" w:cs="Arial" w:eastAsia="Arial" w:hAnsi="Arial"/>
                <w:sz w:val="12"/>
                <w:szCs w:val="12"/>
                <w:b w:val="1"/>
                <w:bCs w:val="1"/>
                <w:color w:val="auto"/>
                <w:w w:val="89"/>
              </w:rPr>
              <w:t>Observable Inputs</w:t>
            </w:r>
          </w:p>
        </w:tc>
        <w:tc>
          <w:tcPr>
            <w:tcW w:w="280" w:type="dxa"/>
            <w:vAlign w:val="bottom"/>
          </w:tcPr>
          <w:p>
            <w:pPr>
              <w:spacing w:after="0"/>
              <w:rPr>
                <w:sz w:val="9"/>
                <w:szCs w:val="9"/>
                <w:color w:val="auto"/>
              </w:rPr>
            </w:pPr>
          </w:p>
        </w:tc>
        <w:tc>
          <w:tcPr>
            <w:tcW w:w="1500" w:type="dxa"/>
            <w:vAlign w:val="bottom"/>
            <w:gridSpan w:val="2"/>
          </w:tcPr>
          <w:p>
            <w:pPr>
              <w:jc w:val="center"/>
              <w:ind w:right="380"/>
              <w:spacing w:after="0" w:line="113" w:lineRule="exact"/>
              <w:rPr>
                <w:sz w:val="20"/>
                <w:szCs w:val="20"/>
                <w:color w:val="auto"/>
              </w:rPr>
            </w:pPr>
            <w:r>
              <w:rPr>
                <w:rFonts w:ascii="Arial" w:cs="Arial" w:eastAsia="Arial" w:hAnsi="Arial"/>
                <w:sz w:val="12"/>
                <w:szCs w:val="12"/>
                <w:b w:val="1"/>
                <w:bCs w:val="1"/>
                <w:color w:val="auto"/>
                <w:w w:val="88"/>
              </w:rPr>
              <w:t>Inputs</w:t>
            </w:r>
          </w:p>
        </w:tc>
        <w:tc>
          <w:tcPr>
            <w:tcW w:w="3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4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(Level 1)</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(Level 2)</w:t>
            </w:r>
          </w:p>
        </w:tc>
        <w:tc>
          <w:tcPr>
            <w:tcW w:w="280" w:type="dxa"/>
            <w:vAlign w:val="bottom"/>
          </w:tcPr>
          <w:p>
            <w:pPr>
              <w:spacing w:after="0"/>
              <w:rPr>
                <w:sz w:val="13"/>
                <w:szCs w:val="13"/>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(Level 3)</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20" w:type="dxa"/>
            <w:vAlign w:val="bottom"/>
          </w:tcPr>
          <w:p>
            <w:pPr>
              <w:spacing w:after="0"/>
              <w:rPr>
                <w:sz w:val="20"/>
                <w:szCs w:val="20"/>
                <w:color w:val="auto"/>
              </w:rPr>
            </w:pPr>
            <w:r>
              <w:rPr>
                <w:rFonts w:ascii="Arial" w:cs="Arial" w:eastAsia="Arial" w:hAnsi="Arial"/>
                <w:sz w:val="12"/>
                <w:szCs w:val="12"/>
                <w:b w:val="1"/>
                <w:bCs w:val="1"/>
                <w:color w:val="auto"/>
              </w:rPr>
              <w:t>Fixed maturity securities available-for-sale and equity securities:</w:t>
            </w:r>
          </w:p>
        </w:tc>
        <w:tc>
          <w:tcPr>
            <w:tcW w:w="2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Prices via third party pricing services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1,892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26,389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920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29,201</w:t>
            </w:r>
          </w:p>
        </w:tc>
        <w:tc>
          <w:tcPr>
            <w:tcW w:w="0" w:type="dxa"/>
            <w:vAlign w:val="bottom"/>
          </w:tcPr>
          <w:p>
            <w:pPr>
              <w:spacing w:after="0"/>
              <w:rPr>
                <w:sz w:val="1"/>
                <w:szCs w:val="1"/>
                <w:color w:val="auto"/>
              </w:rPr>
            </w:pPr>
          </w:p>
        </w:tc>
      </w:tr>
      <w:tr>
        <w:trPr>
          <w:trHeight w:val="155"/>
        </w:trPr>
        <w:tc>
          <w:tcPr>
            <w:tcW w:w="4220" w:type="dxa"/>
            <w:vAlign w:val="bottom"/>
          </w:tcPr>
          <w:p>
            <w:pPr>
              <w:ind w:left="100"/>
              <w:spacing w:after="0"/>
              <w:rPr>
                <w:sz w:val="20"/>
                <w:szCs w:val="20"/>
                <w:color w:val="auto"/>
              </w:rPr>
            </w:pPr>
            <w:r>
              <w:rPr>
                <w:rFonts w:ascii="Arial" w:cs="Arial" w:eastAsia="Arial" w:hAnsi="Arial"/>
                <w:sz w:val="12"/>
                <w:szCs w:val="12"/>
                <w:color w:val="auto"/>
              </w:rPr>
              <w:t>Priced via independent broker quotations</w:t>
            </w:r>
          </w:p>
        </w:tc>
        <w:tc>
          <w:tcPr>
            <w:tcW w:w="220" w:type="dxa"/>
            <w:vAlign w:val="bottom"/>
          </w:tcPr>
          <w:p>
            <w:pPr>
              <w:spacing w:after="0"/>
              <w:rPr>
                <w:sz w:val="13"/>
                <w:szCs w:val="13"/>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400" w:type="dxa"/>
            <w:vAlign w:val="bottom"/>
          </w:tcPr>
          <w:p>
            <w:pPr>
              <w:jc w:val="right"/>
              <w:ind w:right="100"/>
              <w:spacing w:after="0"/>
              <w:rPr>
                <w:sz w:val="20"/>
                <w:szCs w:val="20"/>
                <w:color w:val="auto"/>
              </w:rPr>
            </w:pPr>
            <w:r>
              <w:rPr>
                <w:rFonts w:ascii="Arial" w:cs="Arial" w:eastAsia="Arial" w:hAnsi="Arial"/>
                <w:sz w:val="12"/>
                <w:szCs w:val="12"/>
                <w:color w:val="auto"/>
              </w:rPr>
              <w:t>4,538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ind w:right="100"/>
              <w:spacing w:after="0"/>
              <w:rPr>
                <w:sz w:val="20"/>
                <w:szCs w:val="20"/>
                <w:color w:val="auto"/>
              </w:rPr>
            </w:pPr>
            <w:r>
              <w:rPr>
                <w:rFonts w:ascii="Arial" w:cs="Arial" w:eastAsia="Arial" w:hAnsi="Arial"/>
                <w:sz w:val="12"/>
                <w:szCs w:val="12"/>
                <w:color w:val="auto"/>
              </w:rPr>
              <w:t>4,538</w:t>
            </w:r>
          </w:p>
        </w:tc>
        <w:tc>
          <w:tcPr>
            <w:tcW w:w="0" w:type="dxa"/>
            <w:vAlign w:val="bottom"/>
          </w:tcPr>
          <w:p>
            <w:pPr>
              <w:spacing w:after="0"/>
              <w:rPr>
                <w:sz w:val="1"/>
                <w:szCs w:val="1"/>
                <w:color w:val="auto"/>
              </w:rPr>
            </w:pPr>
          </w:p>
        </w:tc>
      </w:tr>
      <w:tr>
        <w:trPr>
          <w:trHeight w:val="160"/>
        </w:trPr>
        <w:tc>
          <w:tcPr>
            <w:tcW w:w="4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Priced via other methods</w:t>
            </w:r>
          </w:p>
        </w:tc>
        <w:tc>
          <w:tcPr>
            <w:tcW w:w="2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47"/>
        </w:trPr>
        <w:tc>
          <w:tcPr>
            <w:tcW w:w="4220" w:type="dxa"/>
            <w:vAlign w:val="bottom"/>
          </w:tcPr>
          <w:p>
            <w:pPr>
              <w:spacing w:after="0"/>
              <w:rPr>
                <w:sz w:val="20"/>
                <w:szCs w:val="20"/>
                <w:color w:val="auto"/>
              </w:rPr>
            </w:pPr>
            <w:r>
              <w:rPr>
                <w:rFonts w:ascii="Arial" w:cs="Arial" w:eastAsia="Arial" w:hAnsi="Arial"/>
                <w:sz w:val="12"/>
                <w:szCs w:val="12"/>
                <w:color w:val="auto"/>
              </w:rPr>
              <w:t>Total</w:t>
            </w: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1,892</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26,389</w:t>
            </w:r>
          </w:p>
        </w:tc>
        <w:tc>
          <w:tcPr>
            <w:tcW w:w="100" w:type="dxa"/>
            <w:vAlign w:val="bottom"/>
          </w:tcPr>
          <w:p>
            <w:pPr>
              <w:spacing w:after="0"/>
              <w:rPr>
                <w:sz w:val="12"/>
                <w:szCs w:val="12"/>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5,524</w:t>
            </w: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33,805</w:t>
            </w:r>
          </w:p>
        </w:tc>
        <w:tc>
          <w:tcPr>
            <w:tcW w:w="0" w:type="dxa"/>
            <w:vAlign w:val="bottom"/>
          </w:tcPr>
          <w:p>
            <w:pPr>
              <w:spacing w:after="0"/>
              <w:rPr>
                <w:sz w:val="1"/>
                <w:szCs w:val="1"/>
                <w:color w:val="auto"/>
              </w:rPr>
            </w:pPr>
          </w:p>
        </w:tc>
      </w:tr>
      <w:tr>
        <w:trPr>
          <w:trHeight w:val="160"/>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 of Total</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78 %</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390"/>
        </w:trPr>
        <w:tc>
          <w:tcPr>
            <w:tcW w:w="4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ind w:left="860"/>
              <w:spacing w:after="0"/>
              <w:rPr>
                <w:sz w:val="20"/>
                <w:szCs w:val="20"/>
                <w:color w:val="auto"/>
              </w:rPr>
            </w:pPr>
            <w:r>
              <w:rPr>
                <w:rFonts w:ascii="Arial" w:cs="Arial" w:eastAsia="Arial" w:hAnsi="Arial"/>
                <w:sz w:val="12"/>
                <w:szCs w:val="12"/>
                <w:b w:val="1"/>
                <w:bCs w:val="1"/>
                <w:color w:val="auto"/>
              </w:rPr>
              <w:t>As of December 31, 2020</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gridSpan w:val="2"/>
          </w:tcPr>
          <w:p>
            <w:pPr>
              <w:jc w:val="center"/>
              <w:ind w:right="320"/>
              <w:spacing w:after="0" w:line="109" w:lineRule="exact"/>
              <w:rPr>
                <w:sz w:val="20"/>
                <w:szCs w:val="20"/>
                <w:color w:val="auto"/>
              </w:rPr>
            </w:pPr>
            <w:r>
              <w:rPr>
                <w:rFonts w:ascii="Arial" w:cs="Arial" w:eastAsia="Arial" w:hAnsi="Arial"/>
                <w:sz w:val="12"/>
                <w:szCs w:val="12"/>
                <w:b w:val="1"/>
                <w:bCs w:val="1"/>
                <w:color w:val="auto"/>
                <w:w w:val="90"/>
              </w:rPr>
              <w:t>Quoted Prices in</w:t>
            </w:r>
          </w:p>
        </w:tc>
        <w:tc>
          <w:tcPr>
            <w:tcW w:w="220" w:type="dxa"/>
            <w:vAlign w:val="bottom"/>
          </w:tcPr>
          <w:p>
            <w:pPr>
              <w:spacing w:after="0"/>
              <w:rPr>
                <w:sz w:val="9"/>
                <w:szCs w:val="9"/>
                <w:color w:val="auto"/>
              </w:rPr>
            </w:pPr>
          </w:p>
        </w:tc>
        <w:tc>
          <w:tcPr>
            <w:tcW w:w="158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87"/>
              </w:rPr>
              <w:t>Significant</w:t>
            </w:r>
          </w:p>
        </w:tc>
        <w:tc>
          <w:tcPr>
            <w:tcW w:w="280" w:type="dxa"/>
            <w:vAlign w:val="bottom"/>
          </w:tcPr>
          <w:p>
            <w:pPr>
              <w:spacing w:after="0"/>
              <w:rPr>
                <w:sz w:val="9"/>
                <w:szCs w:val="9"/>
                <w:color w:val="auto"/>
              </w:rPr>
            </w:pPr>
          </w:p>
        </w:tc>
        <w:tc>
          <w:tcPr>
            <w:tcW w:w="1500" w:type="dxa"/>
            <w:vAlign w:val="bottom"/>
            <w:gridSpan w:val="2"/>
          </w:tcPr>
          <w:p>
            <w:pPr>
              <w:jc w:val="center"/>
              <w:ind w:right="380"/>
              <w:spacing w:after="0" w:line="109" w:lineRule="exact"/>
              <w:rPr>
                <w:sz w:val="20"/>
                <w:szCs w:val="20"/>
                <w:color w:val="auto"/>
              </w:rPr>
            </w:pPr>
            <w:r>
              <w:rPr>
                <w:rFonts w:ascii="Arial" w:cs="Arial" w:eastAsia="Arial" w:hAnsi="Arial"/>
                <w:sz w:val="12"/>
                <w:szCs w:val="12"/>
                <w:b w:val="1"/>
                <w:bCs w:val="1"/>
                <w:color w:val="auto"/>
                <w:w w:val="91"/>
              </w:rPr>
              <w:t>Significant</w:t>
            </w: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(Dollars in millions)</w:t>
            </w:r>
          </w:p>
        </w:tc>
        <w:tc>
          <w:tcPr>
            <w:tcW w:w="220" w:type="dxa"/>
            <w:vAlign w:val="bottom"/>
          </w:tcPr>
          <w:p>
            <w:pPr>
              <w:spacing w:after="0"/>
              <w:rPr>
                <w:sz w:val="9"/>
                <w:szCs w:val="9"/>
                <w:color w:val="auto"/>
              </w:rPr>
            </w:pPr>
          </w:p>
        </w:tc>
        <w:tc>
          <w:tcPr>
            <w:tcW w:w="1580" w:type="dxa"/>
            <w:vAlign w:val="bottom"/>
            <w:gridSpan w:val="2"/>
          </w:tcPr>
          <w:p>
            <w:pPr>
              <w:jc w:val="center"/>
              <w:ind w:right="320"/>
              <w:spacing w:after="0" w:line="113" w:lineRule="exact"/>
              <w:rPr>
                <w:sz w:val="20"/>
                <w:szCs w:val="20"/>
                <w:color w:val="auto"/>
              </w:rPr>
            </w:pPr>
            <w:r>
              <w:rPr>
                <w:rFonts w:ascii="Arial" w:cs="Arial" w:eastAsia="Arial" w:hAnsi="Arial"/>
                <w:sz w:val="12"/>
                <w:szCs w:val="12"/>
                <w:b w:val="1"/>
                <w:bCs w:val="1"/>
                <w:color w:val="auto"/>
                <w:w w:val="94"/>
              </w:rPr>
              <w:t>Active Markets for</w:t>
            </w:r>
          </w:p>
        </w:tc>
        <w:tc>
          <w:tcPr>
            <w:tcW w:w="2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2"/>
          </w:tcPr>
          <w:p>
            <w:pPr>
              <w:jc w:val="center"/>
              <w:ind w:right="380"/>
              <w:spacing w:after="0" w:line="113" w:lineRule="exact"/>
              <w:rPr>
                <w:sz w:val="20"/>
                <w:szCs w:val="20"/>
                <w:color w:val="auto"/>
              </w:rPr>
            </w:pPr>
            <w:r>
              <w:rPr>
                <w:rFonts w:ascii="Arial" w:cs="Arial" w:eastAsia="Arial" w:hAnsi="Arial"/>
                <w:sz w:val="12"/>
                <w:szCs w:val="12"/>
                <w:b w:val="1"/>
                <w:bCs w:val="1"/>
                <w:color w:val="auto"/>
                <w:w w:val="90"/>
              </w:rPr>
              <w:t>Unobservable</w:t>
            </w:r>
          </w:p>
        </w:tc>
        <w:tc>
          <w:tcPr>
            <w:tcW w:w="380" w:type="dxa"/>
            <w:vAlign w:val="bottom"/>
          </w:tcPr>
          <w:p>
            <w:pPr>
              <w:spacing w:after="0"/>
              <w:rPr>
                <w:sz w:val="9"/>
                <w:szCs w:val="9"/>
                <w:color w:val="auto"/>
              </w:rPr>
            </w:pPr>
          </w:p>
        </w:tc>
        <w:tc>
          <w:tcPr>
            <w:tcW w:w="1280" w:type="dxa"/>
            <w:vAlign w:val="bottom"/>
            <w:vMerge w:val="restart"/>
          </w:tcPr>
          <w:p>
            <w:pPr>
              <w:jc w:val="right"/>
              <w:ind w:right="6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3"/>
        </w:trPr>
        <w:tc>
          <w:tcPr>
            <w:tcW w:w="42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gridSpan w:val="2"/>
          </w:tcPr>
          <w:p>
            <w:pPr>
              <w:jc w:val="center"/>
              <w:ind w:right="340"/>
              <w:spacing w:after="0" w:line="113" w:lineRule="exact"/>
              <w:rPr>
                <w:sz w:val="20"/>
                <w:szCs w:val="20"/>
                <w:color w:val="auto"/>
              </w:rPr>
            </w:pPr>
            <w:r>
              <w:rPr>
                <w:rFonts w:ascii="Arial" w:cs="Arial" w:eastAsia="Arial" w:hAnsi="Arial"/>
                <w:sz w:val="12"/>
                <w:szCs w:val="12"/>
                <w:b w:val="1"/>
                <w:bCs w:val="1"/>
                <w:color w:val="auto"/>
                <w:w w:val="87"/>
              </w:rPr>
              <w:t>Identical Assets</w:t>
            </w:r>
          </w:p>
        </w:tc>
        <w:tc>
          <w:tcPr>
            <w:tcW w:w="220" w:type="dxa"/>
            <w:vAlign w:val="bottom"/>
          </w:tcPr>
          <w:p>
            <w:pPr>
              <w:spacing w:after="0"/>
              <w:rPr>
                <w:sz w:val="9"/>
                <w:szCs w:val="9"/>
                <w:color w:val="auto"/>
              </w:rPr>
            </w:pPr>
          </w:p>
        </w:tc>
        <w:tc>
          <w:tcPr>
            <w:tcW w:w="1580" w:type="dxa"/>
            <w:vAlign w:val="bottom"/>
            <w:gridSpan w:val="2"/>
          </w:tcPr>
          <w:p>
            <w:pPr>
              <w:jc w:val="center"/>
              <w:ind w:right="320"/>
              <w:spacing w:after="0" w:line="113" w:lineRule="exact"/>
              <w:rPr>
                <w:sz w:val="20"/>
                <w:szCs w:val="20"/>
                <w:color w:val="auto"/>
              </w:rPr>
            </w:pPr>
            <w:r>
              <w:rPr>
                <w:rFonts w:ascii="Arial" w:cs="Arial" w:eastAsia="Arial" w:hAnsi="Arial"/>
                <w:sz w:val="12"/>
                <w:szCs w:val="12"/>
                <w:b w:val="1"/>
                <w:bCs w:val="1"/>
                <w:color w:val="auto"/>
                <w:w w:val="89"/>
              </w:rPr>
              <w:t>Observable Inputs</w:t>
            </w:r>
          </w:p>
        </w:tc>
        <w:tc>
          <w:tcPr>
            <w:tcW w:w="280" w:type="dxa"/>
            <w:vAlign w:val="bottom"/>
          </w:tcPr>
          <w:p>
            <w:pPr>
              <w:spacing w:after="0"/>
              <w:rPr>
                <w:sz w:val="9"/>
                <w:szCs w:val="9"/>
                <w:color w:val="auto"/>
              </w:rPr>
            </w:pPr>
          </w:p>
        </w:tc>
        <w:tc>
          <w:tcPr>
            <w:tcW w:w="1500" w:type="dxa"/>
            <w:vAlign w:val="bottom"/>
            <w:gridSpan w:val="2"/>
          </w:tcPr>
          <w:p>
            <w:pPr>
              <w:jc w:val="center"/>
              <w:ind w:right="380"/>
              <w:spacing w:after="0" w:line="113" w:lineRule="exact"/>
              <w:rPr>
                <w:sz w:val="20"/>
                <w:szCs w:val="20"/>
                <w:color w:val="auto"/>
              </w:rPr>
            </w:pPr>
            <w:r>
              <w:rPr>
                <w:rFonts w:ascii="Arial" w:cs="Arial" w:eastAsia="Arial" w:hAnsi="Arial"/>
                <w:sz w:val="12"/>
                <w:szCs w:val="12"/>
                <w:b w:val="1"/>
                <w:bCs w:val="1"/>
                <w:color w:val="auto"/>
                <w:w w:val="88"/>
              </w:rPr>
              <w:t>Inputs</w:t>
            </w:r>
          </w:p>
        </w:tc>
        <w:tc>
          <w:tcPr>
            <w:tcW w:w="3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4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(Level 1)</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(Level 2)</w:t>
            </w:r>
          </w:p>
        </w:tc>
        <w:tc>
          <w:tcPr>
            <w:tcW w:w="280" w:type="dxa"/>
            <w:vAlign w:val="bottom"/>
          </w:tcPr>
          <w:p>
            <w:pPr>
              <w:spacing w:after="0"/>
              <w:rPr>
                <w:sz w:val="13"/>
                <w:szCs w:val="13"/>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(Level 3)</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20" w:type="dxa"/>
            <w:vAlign w:val="bottom"/>
          </w:tcPr>
          <w:p>
            <w:pPr>
              <w:spacing w:after="0"/>
              <w:rPr>
                <w:sz w:val="20"/>
                <w:szCs w:val="20"/>
                <w:color w:val="auto"/>
              </w:rPr>
            </w:pPr>
            <w:r>
              <w:rPr>
                <w:rFonts w:ascii="Arial" w:cs="Arial" w:eastAsia="Arial" w:hAnsi="Arial"/>
                <w:sz w:val="12"/>
                <w:szCs w:val="12"/>
                <w:b w:val="1"/>
                <w:bCs w:val="1"/>
                <w:color w:val="auto"/>
              </w:rPr>
              <w:t>Fixed maturity securities available-for-sale and equity securities:</w:t>
            </w:r>
          </w:p>
        </w:tc>
        <w:tc>
          <w:tcPr>
            <w:tcW w:w="2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Prices via third party pricing services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1,823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24,883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1,167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27,873</w:t>
            </w:r>
          </w:p>
        </w:tc>
        <w:tc>
          <w:tcPr>
            <w:tcW w:w="0" w:type="dxa"/>
            <w:vAlign w:val="bottom"/>
          </w:tcPr>
          <w:p>
            <w:pPr>
              <w:spacing w:after="0"/>
              <w:rPr>
                <w:sz w:val="1"/>
                <w:szCs w:val="1"/>
                <w:color w:val="auto"/>
              </w:rPr>
            </w:pPr>
          </w:p>
        </w:tc>
      </w:tr>
      <w:tr>
        <w:trPr>
          <w:trHeight w:val="155"/>
        </w:trPr>
        <w:tc>
          <w:tcPr>
            <w:tcW w:w="4220" w:type="dxa"/>
            <w:vAlign w:val="bottom"/>
          </w:tcPr>
          <w:p>
            <w:pPr>
              <w:ind w:left="100"/>
              <w:spacing w:after="0"/>
              <w:rPr>
                <w:sz w:val="20"/>
                <w:szCs w:val="20"/>
                <w:color w:val="auto"/>
              </w:rPr>
            </w:pPr>
            <w:r>
              <w:rPr>
                <w:rFonts w:ascii="Arial" w:cs="Arial" w:eastAsia="Arial" w:hAnsi="Arial"/>
                <w:sz w:val="12"/>
                <w:szCs w:val="12"/>
                <w:color w:val="auto"/>
              </w:rPr>
              <w:t>Priced via independent broker quotations</w:t>
            </w:r>
          </w:p>
        </w:tc>
        <w:tc>
          <w:tcPr>
            <w:tcW w:w="220" w:type="dxa"/>
            <w:vAlign w:val="bottom"/>
          </w:tcPr>
          <w:p>
            <w:pPr>
              <w:spacing w:after="0"/>
              <w:rPr>
                <w:sz w:val="13"/>
                <w:szCs w:val="13"/>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400" w:type="dxa"/>
            <w:vAlign w:val="bottom"/>
          </w:tcPr>
          <w:p>
            <w:pPr>
              <w:jc w:val="right"/>
              <w:ind w:right="100"/>
              <w:spacing w:after="0"/>
              <w:rPr>
                <w:sz w:val="20"/>
                <w:szCs w:val="20"/>
                <w:color w:val="auto"/>
              </w:rPr>
            </w:pPr>
            <w:r>
              <w:rPr>
                <w:rFonts w:ascii="Arial" w:cs="Arial" w:eastAsia="Arial" w:hAnsi="Arial"/>
                <w:sz w:val="12"/>
                <w:szCs w:val="12"/>
                <w:color w:val="auto"/>
              </w:rPr>
              <w:t>2,095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ind w:right="100"/>
              <w:spacing w:after="0"/>
              <w:rPr>
                <w:sz w:val="20"/>
                <w:szCs w:val="20"/>
                <w:color w:val="auto"/>
              </w:rPr>
            </w:pPr>
            <w:r>
              <w:rPr>
                <w:rFonts w:ascii="Arial" w:cs="Arial" w:eastAsia="Arial" w:hAnsi="Arial"/>
                <w:sz w:val="12"/>
                <w:szCs w:val="12"/>
                <w:color w:val="auto"/>
              </w:rPr>
              <w:t>2,095</w:t>
            </w:r>
          </w:p>
        </w:tc>
        <w:tc>
          <w:tcPr>
            <w:tcW w:w="0" w:type="dxa"/>
            <w:vAlign w:val="bottom"/>
          </w:tcPr>
          <w:p>
            <w:pPr>
              <w:spacing w:after="0"/>
              <w:rPr>
                <w:sz w:val="1"/>
                <w:szCs w:val="1"/>
                <w:color w:val="auto"/>
              </w:rPr>
            </w:pPr>
          </w:p>
        </w:tc>
      </w:tr>
      <w:tr>
        <w:trPr>
          <w:trHeight w:val="160"/>
        </w:trPr>
        <w:tc>
          <w:tcPr>
            <w:tcW w:w="4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Priced via other methods</w:t>
            </w:r>
          </w:p>
        </w:tc>
        <w:tc>
          <w:tcPr>
            <w:tcW w:w="2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7"/>
        </w:trPr>
        <w:tc>
          <w:tcPr>
            <w:tcW w:w="4220" w:type="dxa"/>
            <w:vAlign w:val="bottom"/>
          </w:tcPr>
          <w:p>
            <w:pPr>
              <w:spacing w:after="0"/>
              <w:rPr>
                <w:sz w:val="20"/>
                <w:szCs w:val="20"/>
                <w:color w:val="auto"/>
              </w:rPr>
            </w:pPr>
            <w:r>
              <w:rPr>
                <w:rFonts w:ascii="Arial" w:cs="Arial" w:eastAsia="Arial" w:hAnsi="Arial"/>
                <w:sz w:val="12"/>
                <w:szCs w:val="12"/>
                <w:color w:val="auto"/>
              </w:rPr>
              <w:t>Total</w:t>
            </w: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1,823</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24,883</w:t>
            </w:r>
          </w:p>
        </w:tc>
        <w:tc>
          <w:tcPr>
            <w:tcW w:w="100" w:type="dxa"/>
            <w:vAlign w:val="bottom"/>
          </w:tcPr>
          <w:p>
            <w:pPr>
              <w:spacing w:after="0"/>
              <w:rPr>
                <w:sz w:val="12"/>
                <w:szCs w:val="12"/>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3,267</w:t>
            </w: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29,973</w:t>
            </w:r>
          </w:p>
        </w:tc>
        <w:tc>
          <w:tcPr>
            <w:tcW w:w="0" w:type="dxa"/>
            <w:vAlign w:val="bottom"/>
          </w:tcPr>
          <w:p>
            <w:pPr>
              <w:spacing w:after="0"/>
              <w:rPr>
                <w:sz w:val="1"/>
                <w:szCs w:val="1"/>
                <w:color w:val="auto"/>
              </w:rPr>
            </w:pPr>
          </w:p>
        </w:tc>
      </w:tr>
      <w:tr>
        <w:trPr>
          <w:trHeight w:val="160"/>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 of Total</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83 %</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11 %</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Goodwill</w:t>
      </w:r>
    </w:p>
    <w:p>
      <w:pPr>
        <w:spacing w:after="0" w:line="98"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 xml:space="preserve">We have made acquisitions that have resulted in a significant amount of goodwill. As of December 31, 2021 and 2020, goodwill was $4,539 million and $4,495 million, respectively. The majority of our goodwill as of December 31, 2021 relates to goodwill recorded in connection with the Chicago Title merger in 2000, our acquisition of ServiceLink in 2014 and our acquisition of F&amp;G in 2020. Refer to Note N </w:t>
      </w:r>
      <w:r>
        <w:rPr>
          <w:rFonts w:ascii="Arial" w:cs="Arial" w:eastAsia="Arial" w:hAnsi="Arial"/>
          <w:sz w:val="15"/>
          <w:szCs w:val="15"/>
          <w:i w:val="1"/>
          <w:iCs w:val="1"/>
          <w:color w:val="auto"/>
        </w:rPr>
        <w:t>Goodwill</w:t>
      </w:r>
      <w:r>
        <w:rPr>
          <w:rFonts w:ascii="Arial" w:cs="Arial" w:eastAsia="Arial" w:hAnsi="Arial"/>
          <w:sz w:val="15"/>
          <w:szCs w:val="15"/>
          <w:color w:val="auto"/>
        </w:rPr>
        <w:t xml:space="preserve"> to our Consolidated Financial Statements included in Item 8 of Part II of this Annual Report for a summary of recent changes in our Goodwill balance.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4" w:name="page55"/>
    <w:bookmarkEnd w:id="5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4"/>
          <w:szCs w:val="14"/>
          <w:color w:val="auto"/>
        </w:rPr>
        <w:t>In evaluating the recoverability of goodwill, we perform a qualitative analysis at the reporting unit level to determine whether it is more likely than not that the fair value of our recorded goodwill exceeds its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 We completed annual goodwill impairment analyses in the fourth quarter of each period presented using a September 30 measurement date. For the years ended December 31, 2021, 2020 and 2019, we determined there were no events or circumstances that indicated that the carrying value exceeded the fair value.</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VOBA, DAC and DSI</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intangible assets include an intangible asset reflecting the value of insurance and reinsurance contracts acquired (VOBA), DAC, and DSI.</w:t>
      </w:r>
    </w:p>
    <w:p>
      <w:pPr>
        <w:spacing w:after="0" w:line="75" w:lineRule="exact"/>
        <w:rPr>
          <w:sz w:val="20"/>
          <w:szCs w:val="20"/>
          <w:color w:val="auto"/>
        </w:rPr>
      </w:pPr>
    </w:p>
    <w:p>
      <w:pPr>
        <w:jc w:val="both"/>
        <w:ind w:firstLine="372"/>
        <w:spacing w:after="0" w:line="311" w:lineRule="auto"/>
        <w:rPr>
          <w:sz w:val="20"/>
          <w:szCs w:val="20"/>
          <w:color w:val="auto"/>
        </w:rPr>
      </w:pPr>
      <w:r>
        <w:rPr>
          <w:rFonts w:ascii="Arial" w:cs="Arial" w:eastAsia="Arial" w:hAnsi="Arial"/>
          <w:sz w:val="13"/>
          <w:szCs w:val="13"/>
          <w:color w:val="auto"/>
        </w:rPr>
        <w:t>VOBA is an intangible asset that reflects the amount recorded as insurance contract liabilities less the estimated fair value of in-force contracts (“VIF”) in a life insurance company acquisition. It represents the portion of the purchase price that is allocated to the value of the rights to receive future cash flows from the business in force at the acquisition date. VOBA is a function of the VIF, current GAAP reserves, GAAP assets, and deferred tax liability. The VIF is determined by the present value of statutory distributable earnings less opening required capital, and is sensitive to assumptions including the discount rate, surrender rates, partial withdrawals, utilization rates, projected investment spreads, mortality, and expenses.</w:t>
      </w:r>
    </w:p>
    <w:p>
      <w:pPr>
        <w:spacing w:after="0" w:line="14"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color w:val="auto"/>
        </w:rPr>
        <w:t>DAC consists principally of commissions. Additionally, acquisition costs that are incremental, direct costs of successful contract acquisition are capitalized as DAC. Indirect or unsuccessful acquisition costs, maintenance, product development and overhead expenses are charged to expense as incurred. DSI consists of contract enhancements such as premium and interest bonuses credited to policyholder account balances.</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DAC, DSI, and VOBA are subject to loss recognition testing on a quarterly basis or when an event occurs that may warrant loss recognition.</w:t>
      </w:r>
    </w:p>
    <w:p>
      <w:pPr>
        <w:spacing w:after="0" w:line="75" w:lineRule="exact"/>
        <w:rPr>
          <w:sz w:val="20"/>
          <w:szCs w:val="20"/>
          <w:color w:val="auto"/>
        </w:rPr>
      </w:pPr>
    </w:p>
    <w:p>
      <w:pPr>
        <w:jc w:val="both"/>
        <w:ind w:firstLine="372"/>
        <w:spacing w:after="0" w:line="274" w:lineRule="auto"/>
        <w:rPr>
          <w:sz w:val="20"/>
          <w:szCs w:val="20"/>
          <w:color w:val="auto"/>
        </w:rPr>
      </w:pPr>
      <w:r>
        <w:rPr>
          <w:rFonts w:ascii="Arial" w:cs="Arial" w:eastAsia="Arial" w:hAnsi="Arial"/>
          <w:sz w:val="14"/>
          <w:szCs w:val="14"/>
          <w:color w:val="auto"/>
        </w:rPr>
        <w:t>For annuity and IUL products, DAC, DSI and VOBA are generally being amortized in proportion to estimated gross profits from net investment spread margins, surrender charges and other product fees, policy benefits, maintenance expenses, mortality, and recognized gains and losses on investments. Current and future period gross profits for FIA contracts also include the impact of amounts recorded for the change in fair value of derivatives and the change in fair value of embedded derivatives. At each valuation date, the most recent quarter’s estimated gross profits are updated with actual gross profits and the assumptions underlying future estimated gross profits are evaluated for continued reasonableness. If the update of assumptions causes estimated gross profits to increase, DAC, DSI and VOBA amortization will decrease, resulting in lower amortization expense in the period. The opposite result occurs when the assumption update causes estimated gross profits to decrease. Current period amortization is adjusted retrospectively through an unlocking process when estimates of current or future gross profits (including the impact of recognized investment gains and losses) to be realized from a group of products are revised. Our estimates of future gross profits are based on actuarial assumptions related to the underlying policies’ terms, lives of the policies, duration of contract, yield on investments supporting the liabilities, cost to fund policy obligations, and level of expenses necessary to maintain the polices over their entire lives.</w:t>
      </w:r>
    </w:p>
    <w:p>
      <w:pPr>
        <w:spacing w:after="0" w:line="36"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color w:val="auto"/>
        </w:rPr>
        <w:t>Changes in assumptions can have a significant impact on DAC, DSI and VOBA, amortization rates and results of operations. Assumptions are management’s best estimate of future outcomes, and require considerable judgment. We periodically review assumptions against actual experience, and update our assumptions based on historical results and our best estimates of future experience when additional information becomes available.</w:t>
      </w:r>
    </w:p>
    <w:p>
      <w:pPr>
        <w:spacing w:after="0" w:line="44" w:lineRule="exact"/>
        <w:rPr>
          <w:sz w:val="20"/>
          <w:szCs w:val="20"/>
          <w:color w:val="auto"/>
        </w:rPr>
      </w:pPr>
    </w:p>
    <w:p>
      <w:pPr>
        <w:jc w:val="both"/>
        <w:ind w:firstLine="157"/>
        <w:spacing w:after="0" w:line="283" w:lineRule="auto"/>
        <w:rPr>
          <w:sz w:val="20"/>
          <w:szCs w:val="20"/>
          <w:color w:val="auto"/>
        </w:rPr>
      </w:pPr>
      <w:r>
        <w:rPr>
          <w:rFonts w:ascii="Arial" w:cs="Arial" w:eastAsia="Arial" w:hAnsi="Arial"/>
          <w:sz w:val="14"/>
          <w:szCs w:val="14"/>
          <w:color w:val="auto"/>
        </w:rPr>
        <w:t>Estimated future gross profits are sensitive to changes in interest rates, which are the most significant component of gross profits. Assumptions related to interest rate spreads and credit losses also impact estimated gross profits for products with credited rates. These assumptions are based on the current investment portfolio yields and credit quality, estimated future crediting rates, capital markets, and estimates of future interest rates and defaults. Significant assumptions also include policyholder behavior assumptions, such as surrender, lapse, and annuitization rates. We use a combination of actual and industry experience when setting and updating our policyholder behavior assumptions.</w:t>
      </w:r>
    </w:p>
    <w:p>
      <w:pPr>
        <w:spacing w:after="0" w:line="29" w:lineRule="exact"/>
        <w:rPr>
          <w:sz w:val="20"/>
          <w:szCs w:val="20"/>
          <w:color w:val="auto"/>
        </w:rPr>
      </w:pPr>
    </w:p>
    <w:p>
      <w:pPr>
        <w:jc w:val="both"/>
        <w:ind w:right="20" w:firstLine="372"/>
        <w:spacing w:after="0" w:line="274" w:lineRule="auto"/>
        <w:rPr>
          <w:sz w:val="20"/>
          <w:szCs w:val="20"/>
          <w:color w:val="auto"/>
        </w:rPr>
      </w:pPr>
      <w:r>
        <w:rPr>
          <w:rFonts w:ascii="Arial" w:cs="Arial" w:eastAsia="Arial" w:hAnsi="Arial"/>
          <w:sz w:val="15"/>
          <w:szCs w:val="15"/>
          <w:color w:val="auto"/>
        </w:rPr>
        <w:t>We perform sensitivity analyses to assess the impact that certain assumptions have on DAC, DSI, VOBA. The following table presents the estimated instantaneous net impact to income before income taxes of various assumption changes on our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5" w:name="page56"/>
    <w:bookmarkEnd w:id="5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DAC, DSI, and VOBA. The effects, increase or (decrease), presented are not representative of the aggregate impacts that could result if a combination of such changes to interest rates and other assumptions occurred.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(Dollars in millions)</w:t>
            </w: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As of December 31, 2021</w:t>
            </w:r>
          </w:p>
        </w:tc>
      </w:tr>
      <w:tr>
        <w:trPr>
          <w:trHeight w:val="154"/>
        </w:trPr>
        <w:tc>
          <w:tcPr>
            <w:tcW w:w="9020" w:type="dxa"/>
            <w:vAlign w:val="bottom"/>
            <w:shd w:val="clear" w:color="auto" w:fill="CCEEFF"/>
          </w:tcPr>
          <w:p>
            <w:pPr>
              <w:spacing w:after="0"/>
              <w:rPr>
                <w:sz w:val="20"/>
                <w:szCs w:val="20"/>
                <w:color w:val="auto"/>
              </w:rPr>
            </w:pPr>
            <w:r>
              <w:rPr>
                <w:rFonts w:ascii="Arial" w:cs="Arial" w:eastAsia="Arial" w:hAnsi="Arial"/>
                <w:sz w:val="12"/>
                <w:szCs w:val="12"/>
                <w:color w:val="auto"/>
              </w:rPr>
              <w:t>A change to the long-term interest rate assumption of -50 basis points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r>
      <w:tr>
        <w:trPr>
          <w:trHeight w:val="155"/>
        </w:trPr>
        <w:tc>
          <w:tcPr>
            <w:tcW w:w="9020" w:type="dxa"/>
            <w:vAlign w:val="bottom"/>
          </w:tcPr>
          <w:p>
            <w:pPr>
              <w:spacing w:after="0"/>
              <w:rPr>
                <w:sz w:val="20"/>
                <w:szCs w:val="20"/>
                <w:color w:val="auto"/>
              </w:rPr>
            </w:pPr>
            <w:r>
              <w:rPr>
                <w:rFonts w:ascii="Arial" w:cs="Arial" w:eastAsia="Arial" w:hAnsi="Arial"/>
                <w:sz w:val="12"/>
                <w:szCs w:val="12"/>
                <w:color w:val="auto"/>
              </w:rPr>
              <w:t>A change to the long-term interest rate assumption of +50 basis points</w:t>
            </w:r>
          </w:p>
        </w:tc>
        <w:tc>
          <w:tcPr>
            <w:tcW w:w="28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60"/>
        </w:trPr>
        <w:tc>
          <w:tcPr>
            <w:tcW w:w="9020" w:type="dxa"/>
            <w:vAlign w:val="bottom"/>
            <w:shd w:val="clear" w:color="auto" w:fill="CCEEFF"/>
          </w:tcPr>
          <w:p>
            <w:pPr>
              <w:spacing w:after="0"/>
              <w:rPr>
                <w:sz w:val="20"/>
                <w:szCs w:val="20"/>
                <w:color w:val="auto"/>
              </w:rPr>
            </w:pPr>
            <w:r>
              <w:rPr>
                <w:rFonts w:ascii="Arial" w:cs="Arial" w:eastAsia="Arial" w:hAnsi="Arial"/>
                <w:sz w:val="12"/>
                <w:szCs w:val="12"/>
                <w:color w:val="auto"/>
              </w:rPr>
              <w:t>An assumed 10% increase in surrender rate</w:t>
            </w:r>
          </w:p>
        </w:tc>
        <w:tc>
          <w:tcPr>
            <w:tcW w:w="280" w:type="dxa"/>
            <w:vAlign w:val="bottom"/>
            <w:shd w:val="clear" w:color="auto" w:fill="CCEEFF"/>
          </w:tcPr>
          <w:p>
            <w:pPr>
              <w:spacing w:after="0"/>
              <w:rPr>
                <w:sz w:val="13"/>
                <w:szCs w:val="13"/>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Assumptions regarding shifts in market factors may be overly simplistic and not indicative of actual market behavior in stress scenarios.</w:t>
      </w:r>
    </w:p>
    <w:p>
      <w:pPr>
        <w:spacing w:after="0" w:line="75" w:lineRule="exact"/>
        <w:rPr>
          <w:sz w:val="20"/>
          <w:szCs w:val="20"/>
          <w:color w:val="auto"/>
        </w:rPr>
      </w:pPr>
    </w:p>
    <w:p>
      <w:pPr>
        <w:jc w:val="both"/>
        <w:ind w:firstLine="372"/>
        <w:spacing w:after="0" w:line="311" w:lineRule="auto"/>
        <w:rPr>
          <w:sz w:val="20"/>
          <w:szCs w:val="20"/>
          <w:color w:val="auto"/>
        </w:rPr>
      </w:pPr>
      <w:r>
        <w:rPr>
          <w:rFonts w:ascii="Arial" w:cs="Arial" w:eastAsia="Arial" w:hAnsi="Arial"/>
          <w:sz w:val="14"/>
          <w:szCs w:val="14"/>
          <w:color w:val="auto"/>
        </w:rPr>
        <w:t>Lower assumed interest rates or higher assumed annuity surrender rates tend to decrease the balances of DAC, DSI and VOBA, thus decreasing income before income taxes. Higher assumed interest rates or lower assumed annuity surrender rates tend to increase the balances of DAC, DSI and VOBA, thus increasing income before income taxes.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Accounting for Income Taxes</w:t>
      </w:r>
    </w:p>
    <w:p>
      <w:pPr>
        <w:spacing w:after="0" w:line="87" w:lineRule="exact"/>
        <w:rPr>
          <w:sz w:val="20"/>
          <w:szCs w:val="20"/>
          <w:color w:val="auto"/>
        </w:rPr>
      </w:pPr>
    </w:p>
    <w:p>
      <w:pPr>
        <w:jc w:val="both"/>
        <w:ind w:firstLine="270"/>
        <w:spacing w:after="0" w:line="296" w:lineRule="auto"/>
        <w:rPr>
          <w:sz w:val="20"/>
          <w:szCs w:val="20"/>
          <w:color w:val="auto"/>
        </w:rPr>
      </w:pPr>
      <w:r>
        <w:rPr>
          <w:rFonts w:ascii="Arial" w:cs="Arial" w:eastAsia="Arial" w:hAnsi="Arial"/>
          <w:sz w:val="13"/>
          <w:szCs w:val="13"/>
          <w:color w:val="auto"/>
        </w:rPr>
        <w:t>As part of the process of preparing the consolidated financial statements, we are required to determine income taxes in 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expense within Income tax expense in the Consolidated Statement of Earnings.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Refer to Note T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to our Consolidated Financial Statements in Item 8 of Part II of this Annual Report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6" w:name="page57"/>
    <w:bookmarkEnd w:id="5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Consolidated Results of Operations</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Net Earnings. </w:t>
      </w:r>
      <w:r>
        <w:rPr>
          <w:rFonts w:ascii="Arial" w:cs="Arial" w:eastAsia="Arial" w:hAnsi="Arial"/>
          <w:sz w:val="15"/>
          <w:szCs w:val="15"/>
          <w:color w:val="auto"/>
        </w:rPr>
        <w:t>The following table presents certain financial data for the years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9"/>
              </w:rPr>
              <w:t>Year Ended December 31,</w:t>
            </w:r>
          </w:p>
        </w:tc>
        <w:tc>
          <w:tcPr>
            <w:tcW w:w="920" w:type="dxa"/>
            <w:vAlign w:val="bottom"/>
            <w:tcBorders>
              <w:bottom w:val="single" w:sz="8" w:color="auto"/>
            </w:tcBorders>
          </w:tcPr>
          <w:p>
            <w:pPr>
              <w:spacing w:after="0"/>
              <w:rPr>
                <w:sz w:val="14"/>
                <w:szCs w:val="14"/>
                <w:color w:val="auto"/>
              </w:rPr>
            </w:pPr>
          </w:p>
        </w:tc>
      </w:tr>
      <w:tr>
        <w:trPr>
          <w:trHeight w:val="153"/>
        </w:trPr>
        <w:tc>
          <w:tcPr>
            <w:tcW w:w="75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2019</w:t>
            </w:r>
          </w:p>
        </w:tc>
      </w:tr>
      <w:tr>
        <w:trPr>
          <w:trHeight w:val="149"/>
        </w:trPr>
        <w:tc>
          <w:tcPr>
            <w:tcW w:w="7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(In millions)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8"/>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5"/>
        </w:trPr>
        <w:tc>
          <w:tcPr>
            <w:tcW w:w="7580" w:type="dxa"/>
            <w:vAlign w:val="bottom"/>
          </w:tcPr>
          <w:p>
            <w:pPr>
              <w:ind w:left="180"/>
              <w:spacing w:after="0"/>
              <w:rPr>
                <w:sz w:val="20"/>
                <w:szCs w:val="20"/>
                <w:color w:val="auto"/>
              </w:rPr>
            </w:pPr>
            <w:r>
              <w:rPr>
                <w:rFonts w:ascii="Arial" w:cs="Arial" w:eastAsia="Arial" w:hAnsi="Arial"/>
                <w:sz w:val="12"/>
                <w:szCs w:val="12"/>
                <w:color w:val="auto"/>
              </w:rPr>
              <w:t>Direct title insurance premiums</w:t>
            </w: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3,571</w:t>
            </w:r>
          </w:p>
        </w:tc>
        <w:tc>
          <w:tcPr>
            <w:tcW w:w="30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2,699</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2,381</w:t>
            </w:r>
          </w:p>
        </w:tc>
      </w:tr>
      <w:tr>
        <w:trPr>
          <w:trHeight w:val="160"/>
        </w:trPr>
        <w:tc>
          <w:tcPr>
            <w:tcW w:w="7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Agency title insurance premiums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2,961</w:t>
            </w:r>
          </w:p>
        </w:tc>
      </w:tr>
      <w:tr>
        <w:trPr>
          <w:trHeight w:val="155"/>
        </w:trPr>
        <w:tc>
          <w:tcPr>
            <w:tcW w:w="7580" w:type="dxa"/>
            <w:vAlign w:val="bottom"/>
          </w:tcPr>
          <w:p>
            <w:pPr>
              <w:ind w:left="180"/>
              <w:spacing w:after="0"/>
              <w:rPr>
                <w:sz w:val="20"/>
                <w:szCs w:val="20"/>
                <w:color w:val="auto"/>
              </w:rPr>
            </w:pPr>
            <w:r>
              <w:rPr>
                <w:rFonts w:ascii="Arial" w:cs="Arial" w:eastAsia="Arial" w:hAnsi="Arial"/>
                <w:sz w:val="12"/>
                <w:szCs w:val="12"/>
                <w:color w:val="auto"/>
              </w:rPr>
              <w:t>Escrow, title-related and other fees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4,795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3,092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2,584</w:t>
            </w:r>
          </w:p>
        </w:tc>
      </w:tr>
      <w:tr>
        <w:trPr>
          <w:trHeight w:val="160"/>
        </w:trPr>
        <w:tc>
          <w:tcPr>
            <w:tcW w:w="7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and investment income</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w:t>
            </w:r>
          </w:p>
        </w:tc>
      </w:tr>
      <w:tr>
        <w:trPr>
          <w:trHeight w:val="155"/>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Recognized gains and losses, net</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w:t>
            </w:r>
          </w:p>
        </w:tc>
      </w:tr>
      <w:tr>
        <w:trPr>
          <w:trHeight w:val="151"/>
        </w:trPr>
        <w:tc>
          <w:tcPr>
            <w:tcW w:w="7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revenues</w:t>
            </w: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15,643</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10,778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8,469</w:t>
            </w:r>
          </w:p>
        </w:tc>
      </w:tr>
      <w:tr>
        <w:trPr>
          <w:trHeight w:val="144"/>
        </w:trPr>
        <w:tc>
          <w:tcPr>
            <w:tcW w:w="7580" w:type="dxa"/>
            <w:vAlign w:val="bottom"/>
          </w:tcPr>
          <w:p>
            <w:pPr>
              <w:spacing w:after="0"/>
              <w:rPr>
                <w:sz w:val="20"/>
                <w:szCs w:val="20"/>
                <w:color w:val="auto"/>
              </w:rPr>
            </w:pPr>
            <w:r>
              <w:rPr>
                <w:rFonts w:ascii="Arial" w:cs="Arial" w:eastAsia="Arial" w:hAnsi="Arial"/>
                <w:sz w:val="12"/>
                <w:szCs w:val="12"/>
                <w:color w:val="auto"/>
              </w:rPr>
              <w:t>Expenses:</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7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Personnel costs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2,696</w:t>
            </w:r>
          </w:p>
        </w:tc>
      </w:tr>
      <w:tr>
        <w:trPr>
          <w:trHeight w:val="155"/>
        </w:trPr>
        <w:tc>
          <w:tcPr>
            <w:tcW w:w="7580" w:type="dxa"/>
            <w:vAlign w:val="bottom"/>
          </w:tcPr>
          <w:p>
            <w:pPr>
              <w:ind w:left="180"/>
              <w:spacing w:after="0"/>
              <w:rPr>
                <w:sz w:val="20"/>
                <w:szCs w:val="20"/>
                <w:color w:val="auto"/>
              </w:rPr>
            </w:pPr>
            <w:r>
              <w:rPr>
                <w:rFonts w:ascii="Arial" w:cs="Arial" w:eastAsia="Arial" w:hAnsi="Arial"/>
                <w:sz w:val="12"/>
                <w:szCs w:val="12"/>
                <w:color w:val="auto"/>
              </w:rPr>
              <w:t>Agent commissions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3,821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2,749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2,258</w:t>
            </w:r>
          </w:p>
        </w:tc>
      </w:tr>
      <w:tr>
        <w:trPr>
          <w:trHeight w:val="160"/>
        </w:trPr>
        <w:tc>
          <w:tcPr>
            <w:tcW w:w="7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operating expenses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1,681</w:t>
            </w:r>
          </w:p>
        </w:tc>
      </w:tr>
      <w:tr>
        <w:trPr>
          <w:trHeight w:val="155"/>
        </w:trPr>
        <w:tc>
          <w:tcPr>
            <w:tcW w:w="7580" w:type="dxa"/>
            <w:vAlign w:val="bottom"/>
          </w:tcPr>
          <w:p>
            <w:pPr>
              <w:ind w:left="180"/>
              <w:spacing w:after="0"/>
              <w:rPr>
                <w:sz w:val="20"/>
                <w:szCs w:val="20"/>
                <w:color w:val="auto"/>
              </w:rPr>
            </w:pPr>
            <w:r>
              <w:rPr>
                <w:rFonts w:ascii="Arial" w:cs="Arial" w:eastAsia="Arial" w:hAnsi="Arial"/>
                <w:sz w:val="12"/>
                <w:szCs w:val="12"/>
                <w:color w:val="auto"/>
              </w:rPr>
              <w:t>Benefits and other changes in policy reserves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2,138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866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7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r>
      <w:tr>
        <w:trPr>
          <w:trHeight w:val="155"/>
        </w:trPr>
        <w:tc>
          <w:tcPr>
            <w:tcW w:w="7580" w:type="dxa"/>
            <w:vAlign w:val="bottom"/>
          </w:tcPr>
          <w:p>
            <w:pPr>
              <w:ind w:left="180"/>
              <w:spacing w:after="0"/>
              <w:rPr>
                <w:sz w:val="20"/>
                <w:szCs w:val="20"/>
                <w:color w:val="auto"/>
              </w:rPr>
            </w:pPr>
            <w:r>
              <w:rPr>
                <w:rFonts w:ascii="Arial" w:cs="Arial" w:eastAsia="Arial" w:hAnsi="Arial"/>
                <w:sz w:val="12"/>
                <w:szCs w:val="12"/>
                <w:color w:val="auto"/>
              </w:rPr>
              <w:t>Provision for title claim losses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385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240</w:t>
            </w:r>
          </w:p>
        </w:tc>
      </w:tr>
      <w:tr>
        <w:trPr>
          <w:trHeight w:val="160"/>
        </w:trPr>
        <w:tc>
          <w:tcPr>
            <w:tcW w:w="7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expense</w:t>
            </w: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w:t>
            </w:r>
          </w:p>
        </w:tc>
      </w:tr>
      <w:tr>
        <w:trPr>
          <w:trHeight w:val="147"/>
        </w:trPr>
        <w:tc>
          <w:tcPr>
            <w:tcW w:w="758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Total expenses</w:t>
            </w:r>
          </w:p>
        </w:tc>
        <w:tc>
          <w:tcPr>
            <w:tcW w:w="7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12,560</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8,994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7,100</w:t>
            </w:r>
          </w:p>
        </w:tc>
      </w:tr>
      <w:tr>
        <w:trPr>
          <w:trHeight w:val="151"/>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Earnings before income taxes and equity in earnings of unconsolidated affiliates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1,369</w:t>
            </w:r>
          </w:p>
        </w:tc>
      </w:tr>
      <w:tr>
        <w:trPr>
          <w:trHeight w:val="155"/>
        </w:trPr>
        <w:tc>
          <w:tcPr>
            <w:tcW w:w="7580" w:type="dxa"/>
            <w:vAlign w:val="bottom"/>
          </w:tcPr>
          <w:p>
            <w:pPr>
              <w:spacing w:after="0"/>
              <w:rPr>
                <w:sz w:val="20"/>
                <w:szCs w:val="20"/>
                <w:color w:val="auto"/>
              </w:rPr>
            </w:pPr>
            <w:r>
              <w:rPr>
                <w:rFonts w:ascii="Arial" w:cs="Arial" w:eastAsia="Arial" w:hAnsi="Arial"/>
                <w:sz w:val="12"/>
                <w:szCs w:val="12"/>
                <w:color w:val="auto"/>
              </w:rPr>
              <w:t>Income tax expense</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713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308</w:t>
            </w:r>
          </w:p>
        </w:tc>
      </w:tr>
      <w:tr>
        <w:trPr>
          <w:trHeight w:val="160"/>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Equity in earnings of unconsolidated affiliates</w:t>
            </w: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49"/>
        </w:trPr>
        <w:tc>
          <w:tcPr>
            <w:tcW w:w="7580" w:type="dxa"/>
            <w:vAlign w:val="bottom"/>
          </w:tcPr>
          <w:p>
            <w:pPr>
              <w:spacing w:after="0"/>
              <w:rPr>
                <w:sz w:val="20"/>
                <w:szCs w:val="20"/>
                <w:color w:val="auto"/>
              </w:rPr>
            </w:pPr>
            <w:r>
              <w:rPr>
                <w:rFonts w:ascii="Arial" w:cs="Arial" w:eastAsia="Arial" w:hAnsi="Arial"/>
                <w:sz w:val="12"/>
                <w:szCs w:val="12"/>
                <w:color w:val="auto"/>
              </w:rPr>
              <w:t>Net earnings from continuing operations</w:t>
            </w:r>
          </w:p>
        </w:tc>
        <w:tc>
          <w:tcPr>
            <w:tcW w:w="7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2,434</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1,477</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1,076</w:t>
            </w:r>
          </w:p>
        </w:tc>
      </w:tr>
      <w:tr>
        <w:trPr>
          <w:trHeight w:val="20"/>
        </w:trPr>
        <w:tc>
          <w:tcPr>
            <w:tcW w:w="7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Revenues.</w:t>
      </w:r>
    </w:p>
    <w:p>
      <w:pPr>
        <w:spacing w:after="0" w:line="98"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Total revenues increased by $4,865 million in 2021 compared to 2020, primarily attributable to increases in both direct and agency premiums, increases in escrow title-related and other fees and increases in interest and investment income, partially offset by a decrease in recognized gains on our investment holdings. Total revenue in 2020 increased $2,309 million compared to 2019, primarily attributable to increases in both direct and agency premiums, increases in escrow title-related and other fees and increases in interest and investment income and recognized gains on our investment holdings.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See Note L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to our Consolidated Financial Statements included in Item 8 of Part II of this Annual Report for a breakout of our consolidated revenues.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Total net earnings from continuing operations increased by $957 million in 2021 compared to 2020, and increased by $401 million in 2020 compared to 2019.</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change in revenue and net earnings from our reportable segments is discussed in further detail at the segment level below.</w:t>
      </w:r>
    </w:p>
    <w:p>
      <w:pPr>
        <w:spacing w:after="0" w:line="98"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3"/>
          <w:szCs w:val="13"/>
          <w:color w:val="auto"/>
        </w:rPr>
        <w:t>Interest and investment income levels are primarily a function of securities markets, interest rates and the amount of cash available for investment. Interest and investment income was $1,961 million, $900 million, and $225 million for the years ended December 31, 2021, 2020, and 2019, respectively. The increase in 2021 as compared to 2020 is primarily attributable to a full year of activity in our F&amp;G segment. The increase in 2020 as compared to 2019 is primarily attributable to the addition of our F&amp;G segment, partially offset by decreased interest income from lower average balances and of cash and cash equivalents and short term investments, and lower investment yields as a result of declining interest rates year-over-year.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7" w:name="page58"/>
    <w:bookmarkEnd w:id="5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5"/>
          <w:szCs w:val="15"/>
          <w:color w:val="auto"/>
        </w:rPr>
        <w:t>Recognized gains and losses, net totaled $334 million, $488 million, and $318 million for the years ended December 31, 2021, 2020, and 2019, respectively. Recognized gains and losses, net for the year ended December 31, 2021 are primarily attributable to realized gains on derivatives of $655 million, gains on sales of fixed maturity securities of $114 million and gains on sales of mortgages and other assets of $13 million, partially offset by losses on sales of equity and preferred securities of $19 million and non-cash net valuation losses on equity and preferred securities of $429 million. Recognized gains and losses, net for the year ended December 31, 2020 are primarily attributable to non-cash valuation gains on equity and preferred security holdings of $208 million, realized gains on derivatives of $192 million, gains on sales of fixed maturity, preferred and equity securities of $148 million, losses on other assets of $25 million and losses on mortgage loans of $32 million. Recognized gains and losses, net for the year ended December 31, 2019 are primarily attributable to non-cash valuation gains on equity and preferred security holdings of $316 million, non-cash valuation gains on other long-term investments of $11 million, gains on sales of equity securities of $10 million, partially offset by impairments of lease assets of $8 million, net realized losses of $5 million on sales and maturities of fixed maturity investment securities, and $7 million of other net realized losses.</w:t>
      </w:r>
    </w:p>
    <w:p>
      <w:pPr>
        <w:spacing w:after="0" w:line="76"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 xml:space="preserve">See Note E </w:t>
      </w:r>
      <w:r>
        <w:rPr>
          <w:rFonts w:ascii="Arial" w:cs="Arial" w:eastAsia="Arial" w:hAnsi="Arial"/>
          <w:sz w:val="15"/>
          <w:szCs w:val="15"/>
          <w:i w:val="1"/>
          <w:iCs w:val="1"/>
          <w:color w:val="auto"/>
        </w:rPr>
        <w:t>Investments</w:t>
      </w:r>
      <w:r>
        <w:rPr>
          <w:rFonts w:ascii="Arial" w:cs="Arial" w:eastAsia="Arial" w:hAnsi="Arial"/>
          <w:sz w:val="15"/>
          <w:szCs w:val="15"/>
          <w:color w:val="auto"/>
        </w:rPr>
        <w:t xml:space="preserve"> to our Consolidated Financial Statements included in Item 8 of Part II of this Annual Report for a breakout of our consolidated interest and investment income and realized gains and losses.</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Expenses.</w:t>
      </w:r>
    </w:p>
    <w:p>
      <w:pPr>
        <w:spacing w:after="0" w:line="17"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4"/>
          <w:szCs w:val="14"/>
          <w:color w:val="auto"/>
        </w:rPr>
        <w:t>Our operating expenses consist primarily of Personnel costs; Other operating expenses, which in our Title segment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Personnel costs include base salaries, commissions, benefits, stock-based compensation and bonuses paid to employees, and are one of our most significant operating expenses.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Agent commissions represent the portion of premiums retained by our third-party agents pursuant to the terms of their respective agency contracts.</w:t>
      </w:r>
    </w:p>
    <w:p>
      <w:pPr>
        <w:spacing w:after="0" w:line="9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47"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Provision for title claim losses includes an estimate of anticipated title and title-related claims, and escrow losses.</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change in expenses attributable to our reportable segments is discussed in further detail at the segment level below.</w:t>
      </w:r>
    </w:p>
    <w:p>
      <w:pPr>
        <w:spacing w:after="0" w:line="98" w:lineRule="exact"/>
        <w:rPr>
          <w:sz w:val="20"/>
          <w:szCs w:val="20"/>
          <w:color w:val="auto"/>
        </w:rPr>
      </w:pPr>
    </w:p>
    <w:p>
      <w:pPr>
        <w:jc w:val="both"/>
        <w:ind w:firstLine="270"/>
        <w:spacing w:after="0" w:line="243" w:lineRule="auto"/>
        <w:rPr>
          <w:sz w:val="20"/>
          <w:szCs w:val="20"/>
          <w:color w:val="auto"/>
        </w:rPr>
      </w:pPr>
      <w:r>
        <w:rPr>
          <w:rFonts w:ascii="Arial" w:cs="Arial" w:eastAsia="Arial" w:hAnsi="Arial"/>
          <w:sz w:val="15"/>
          <w:szCs w:val="15"/>
          <w:color w:val="auto"/>
        </w:rPr>
        <w:t>Income tax expense was $713 million, $322 million, and $308 million for the years ended December 31, 2021, 2020, and 2019 respectively. Income tax expense as a percentage of earnings before income taxes was 23.1%, 18.0%, and 22.5% in the years ended December 31, 2021, 2020, and 2019 respectively. The increase in income tax expense as a percentage of earnings before taxes in 2021 when compared to 2020 and the decrease in income tax expense as a percentage of earnings before taxes in 2020 as compared to 2019 is primarily attributable to valuation allowance releases and the tax status change recorded by F&amp;G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8" w:name="page59"/>
    <w:bookmarkEnd w:id="5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Title</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presents the results of operations of our Title segment for the years indicated: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6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45"/>
        </w:trPr>
        <w:tc>
          <w:tcPr>
            <w:tcW w:w="7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1"/>
              </w:rPr>
              <w:t>(In millions)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660" w:type="dxa"/>
            <w:vAlign w:val="bottom"/>
          </w:tcPr>
          <w:p>
            <w:pPr>
              <w:ind w:left="20"/>
              <w:spacing w:after="0"/>
              <w:rPr>
                <w:sz w:val="20"/>
                <w:szCs w:val="20"/>
                <w:color w:val="auto"/>
              </w:rPr>
            </w:pPr>
            <w:r>
              <w:rPr>
                <w:rFonts w:ascii="Arial" w:cs="Arial" w:eastAsia="Arial" w:hAnsi="Arial"/>
                <w:sz w:val="12"/>
                <w:szCs w:val="12"/>
                <w:color w:val="auto"/>
              </w:rPr>
              <w:t>Revenues:</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Direct title insurance premiums</w:t>
            </w:r>
          </w:p>
        </w:tc>
        <w:tc>
          <w:tcPr>
            <w:tcW w:w="700" w:type="dxa"/>
            <w:vAlign w:val="bottom"/>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3,571</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2,381</w:t>
            </w:r>
          </w:p>
        </w:tc>
        <w:tc>
          <w:tcPr>
            <w:tcW w:w="0" w:type="dxa"/>
            <w:vAlign w:val="bottom"/>
          </w:tcPr>
          <w:p>
            <w:pPr>
              <w:spacing w:after="0"/>
              <w:rPr>
                <w:sz w:val="1"/>
                <w:szCs w:val="1"/>
                <w:color w:val="auto"/>
              </w:rPr>
            </w:pPr>
          </w:p>
        </w:tc>
      </w:tr>
      <w:tr>
        <w:trPr>
          <w:trHeight w:val="155"/>
        </w:trPr>
        <w:tc>
          <w:tcPr>
            <w:tcW w:w="7660" w:type="dxa"/>
            <w:vAlign w:val="bottom"/>
          </w:tcPr>
          <w:p>
            <w:pPr>
              <w:ind w:left="180"/>
              <w:spacing w:after="0"/>
              <w:rPr>
                <w:sz w:val="20"/>
                <w:szCs w:val="20"/>
                <w:color w:val="auto"/>
              </w:rPr>
            </w:pPr>
            <w:r>
              <w:rPr>
                <w:rFonts w:ascii="Arial" w:cs="Arial" w:eastAsia="Arial" w:hAnsi="Arial"/>
                <w:sz w:val="12"/>
                <w:szCs w:val="12"/>
                <w:color w:val="auto"/>
              </w:rPr>
              <w:t>Agency title insurance premiums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4,982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3,599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2,961</w:t>
            </w: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Escrow, title-related and other fees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2,389</w:t>
            </w:r>
          </w:p>
        </w:tc>
        <w:tc>
          <w:tcPr>
            <w:tcW w:w="0" w:type="dxa"/>
            <w:vAlign w:val="bottom"/>
          </w:tcPr>
          <w:p>
            <w:pPr>
              <w:spacing w:after="0"/>
              <w:rPr>
                <w:sz w:val="1"/>
                <w:szCs w:val="1"/>
                <w:color w:val="auto"/>
              </w:rPr>
            </w:pPr>
          </w:p>
        </w:tc>
      </w:tr>
      <w:tr>
        <w:trPr>
          <w:trHeight w:val="155"/>
        </w:trPr>
        <w:tc>
          <w:tcPr>
            <w:tcW w:w="7660" w:type="dxa"/>
            <w:vAlign w:val="bottom"/>
          </w:tcPr>
          <w:p>
            <w:pPr>
              <w:ind w:left="180"/>
              <w:spacing w:after="0"/>
              <w:rPr>
                <w:sz w:val="20"/>
                <w:szCs w:val="20"/>
                <w:color w:val="auto"/>
              </w:rPr>
            </w:pPr>
            <w:r>
              <w:rPr>
                <w:rFonts w:ascii="Arial" w:cs="Arial" w:eastAsia="Arial" w:hAnsi="Arial"/>
                <w:sz w:val="12"/>
                <w:szCs w:val="12"/>
                <w:color w:val="auto"/>
              </w:rPr>
              <w:t>Interest and investment income</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Recognized gains and losses, net</w:t>
            </w: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(393)</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47"/>
        </w:trPr>
        <w:tc>
          <w:tcPr>
            <w:tcW w:w="7660" w:type="dxa"/>
            <w:vAlign w:val="bottom"/>
          </w:tcPr>
          <w:p>
            <w:pPr>
              <w:ind w:left="420"/>
              <w:spacing w:after="0"/>
              <w:rPr>
                <w:sz w:val="20"/>
                <w:szCs w:val="20"/>
                <w:color w:val="auto"/>
              </w:rPr>
            </w:pPr>
            <w:r>
              <w:rPr>
                <w:rFonts w:ascii="Arial" w:cs="Arial" w:eastAsia="Arial" w:hAnsi="Arial"/>
                <w:sz w:val="12"/>
                <w:szCs w:val="12"/>
                <w:color w:val="auto"/>
              </w:rPr>
              <w:t>Total revenues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2"/>
              </w:rPr>
              <w:t>11,497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9,374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8,259</w:t>
            </w: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60" w:type="dxa"/>
            <w:vAlign w:val="bottom"/>
          </w:tcPr>
          <w:p>
            <w:pPr>
              <w:ind w:left="180"/>
              <w:spacing w:after="0"/>
              <w:rPr>
                <w:sz w:val="20"/>
                <w:szCs w:val="20"/>
                <w:color w:val="auto"/>
              </w:rPr>
            </w:pPr>
            <w:r>
              <w:rPr>
                <w:rFonts w:ascii="Arial" w:cs="Arial" w:eastAsia="Arial" w:hAnsi="Arial"/>
                <w:sz w:val="12"/>
                <w:szCs w:val="12"/>
                <w:color w:val="auto"/>
              </w:rPr>
              <w:t>Personnel costs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3,292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2,778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2,562</w:t>
            </w: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Agent commissions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2,258</w:t>
            </w:r>
          </w:p>
        </w:tc>
        <w:tc>
          <w:tcPr>
            <w:tcW w:w="0" w:type="dxa"/>
            <w:vAlign w:val="bottom"/>
          </w:tcPr>
          <w:p>
            <w:pPr>
              <w:spacing w:after="0"/>
              <w:rPr>
                <w:sz w:val="1"/>
                <w:szCs w:val="1"/>
                <w:color w:val="auto"/>
              </w:rPr>
            </w:pPr>
          </w:p>
        </w:tc>
      </w:tr>
      <w:tr>
        <w:trPr>
          <w:trHeight w:val="155"/>
        </w:trPr>
        <w:tc>
          <w:tcPr>
            <w:tcW w:w="7660" w:type="dxa"/>
            <w:vAlign w:val="bottom"/>
          </w:tcPr>
          <w:p>
            <w:pPr>
              <w:ind w:left="180"/>
              <w:spacing w:after="0"/>
              <w:rPr>
                <w:sz w:val="20"/>
                <w:szCs w:val="20"/>
                <w:color w:val="auto"/>
              </w:rPr>
            </w:pPr>
            <w:r>
              <w:rPr>
                <w:rFonts w:ascii="Arial" w:cs="Arial" w:eastAsia="Arial" w:hAnsi="Arial"/>
                <w:sz w:val="12"/>
                <w:szCs w:val="12"/>
                <w:color w:val="auto"/>
              </w:rPr>
              <w:t>Other operating expenses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1,725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1,536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1,509</w:t>
            </w: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55"/>
        </w:trPr>
        <w:tc>
          <w:tcPr>
            <w:tcW w:w="7660" w:type="dxa"/>
            <w:vAlign w:val="bottom"/>
          </w:tcPr>
          <w:p>
            <w:pPr>
              <w:ind w:left="180"/>
              <w:spacing w:after="0"/>
              <w:rPr>
                <w:sz w:val="20"/>
                <w:szCs w:val="20"/>
                <w:color w:val="auto"/>
              </w:rPr>
            </w:pPr>
            <w:r>
              <w:rPr>
                <w:rFonts w:ascii="Arial" w:cs="Arial" w:eastAsia="Arial" w:hAnsi="Arial"/>
                <w:sz w:val="12"/>
                <w:szCs w:val="12"/>
                <w:color w:val="auto"/>
              </w:rPr>
              <w:t>Provision for title claim losses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385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283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expense</w:t>
            </w: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66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Total expenses</w:t>
            </w:r>
          </w:p>
        </w:tc>
        <w:tc>
          <w:tcPr>
            <w:tcW w:w="7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9,361</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7,496</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6,723</w:t>
            </w:r>
          </w:p>
        </w:tc>
        <w:tc>
          <w:tcPr>
            <w:tcW w:w="0" w:type="dxa"/>
            <w:vAlign w:val="bottom"/>
          </w:tcPr>
          <w:p>
            <w:pPr>
              <w:spacing w:after="0"/>
              <w:rPr>
                <w:sz w:val="1"/>
                <w:szCs w:val="1"/>
                <w:color w:val="auto"/>
              </w:rPr>
            </w:pPr>
          </w:p>
        </w:tc>
      </w:tr>
      <w:tr>
        <w:trPr>
          <w:trHeight w:val="17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Earnings from continuing operations, before income taxes and equity in earnings of unconsolidated affiliates</w:t>
            </w:r>
          </w:p>
        </w:tc>
        <w:tc>
          <w:tcPr>
            <w:tcW w:w="700" w:type="dxa"/>
            <w:vAlign w:val="bottom"/>
            <w:tcBorders>
              <w:bottom w:val="single" w:sz="8" w:color="auto"/>
            </w:tcBorders>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2,136</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Orders opened by direct title operations (in thousands)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2"/>
                <w:szCs w:val="12"/>
                <w:color w:val="auto"/>
              </w:rPr>
              <w:t>2,689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line="121" w:lineRule="exact"/>
              <w:rPr>
                <w:sz w:val="20"/>
                <w:szCs w:val="20"/>
                <w:color w:val="auto"/>
              </w:rPr>
            </w:pPr>
            <w:r>
              <w:rPr>
                <w:rFonts w:ascii="Arial" w:cs="Arial" w:eastAsia="Arial" w:hAnsi="Arial"/>
                <w:sz w:val="12"/>
                <w:szCs w:val="12"/>
                <w:color w:val="auto"/>
              </w:rPr>
              <w:t>2,950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1" w:lineRule="exact"/>
              <w:rPr>
                <w:sz w:val="20"/>
                <w:szCs w:val="20"/>
                <w:color w:val="auto"/>
              </w:rPr>
            </w:pPr>
            <w:r>
              <w:rPr>
                <w:rFonts w:ascii="Arial" w:cs="Arial" w:eastAsia="Arial" w:hAnsi="Arial"/>
                <w:sz w:val="12"/>
                <w:szCs w:val="12"/>
                <w:color w:val="auto"/>
              </w:rPr>
              <w:t>2,066</w:t>
            </w: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Orders closed by direct title operations (in thousands)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1,448</w:t>
            </w:r>
          </w:p>
        </w:tc>
        <w:tc>
          <w:tcPr>
            <w:tcW w:w="0" w:type="dxa"/>
            <w:vAlign w:val="bottom"/>
          </w:tcPr>
          <w:p>
            <w:pPr>
              <w:spacing w:after="0"/>
              <w:rPr>
                <w:sz w:val="1"/>
                <w:szCs w:val="1"/>
                <w:color w:val="auto"/>
              </w:rPr>
            </w:pPr>
          </w:p>
        </w:tc>
      </w:tr>
      <w:tr>
        <w:trPr>
          <w:trHeight w:val="153"/>
        </w:trPr>
        <w:tc>
          <w:tcPr>
            <w:tcW w:w="7660" w:type="dxa"/>
            <w:vAlign w:val="bottom"/>
          </w:tcPr>
          <w:p>
            <w:pPr>
              <w:ind w:left="20"/>
              <w:spacing w:after="0"/>
              <w:rPr>
                <w:sz w:val="20"/>
                <w:szCs w:val="20"/>
                <w:color w:val="auto"/>
              </w:rPr>
            </w:pPr>
            <w:r>
              <w:rPr>
                <w:rFonts w:ascii="Arial" w:cs="Arial" w:eastAsia="Arial" w:hAnsi="Arial"/>
                <w:sz w:val="12"/>
                <w:szCs w:val="12"/>
                <w:color w:val="auto"/>
              </w:rPr>
              <w:t>Fee per file by direct title operations (in dollars)</w:t>
            </w:r>
          </w:p>
        </w:tc>
        <w:tc>
          <w:tcPr>
            <w:tcW w:w="700" w:type="dxa"/>
            <w:vAlign w:val="bottom"/>
          </w:tcPr>
          <w:p>
            <w:pPr>
              <w:jc w:val="right"/>
              <w:ind w:right="58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2,467</w:t>
            </w:r>
          </w:p>
        </w:tc>
        <w:tc>
          <w:tcPr>
            <w:tcW w:w="28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2,067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2,511</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Total revenues for the Title segment increased by $2,123 million, or 23%, in the year ended December 31, 2021 when compared to 2020. Total revenues increased by $1,115 million or 14% in the year ended December 31, 2020 when compared to 2019. The increase in the year ended December 31, 2021 as compared to 2020 is primarily attributable to increases in both our direct and agency premiums, and increases in escrow, title-related and other fees, partially offset by a decrease in interest and investment income, and an increase in non-cash valuation losses on our equity and preferred investment holdings. The increase in the year ended December 31, 2020 as compared to 2019 is primarily attributable to increases in both our direct and agency premiums, and increases in escrow, title-related and other fees, partially offset by decreases in interest and investment income, and non-cash valuation gains on our equity and preferred investment holdings.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presents the percentages of title insurance premiums generated by our direct and agency operations:</w:t>
      </w:r>
    </w:p>
    <w:p>
      <w:pPr>
        <w:sectPr>
          <w:pgSz w:w="11900" w:h="16838" w:orient="portrait"/>
          <w:cols w:equalWidth="0" w:num="1">
            <w:col w:w="11260"/>
          </w:cols>
          <w:pgMar w:left="320" w:top="1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1"/>
          <w:szCs w:val="11"/>
          <w:color w:val="auto"/>
        </w:rPr>
        <w:t>Title premiums from direct operations</w:t>
      </w: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color w:val="auto"/>
        </w:rPr>
        <w:t>Title premiums from agency operations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Total title premiums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2200"/>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2021</w:t>
            </w:r>
          </w:p>
        </w:tc>
        <w:tc>
          <w:tcPr>
            <w:tcW w:w="6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3"/>
          </w:tcPr>
          <w:p>
            <w:pPr>
              <w:jc w:val="right"/>
              <w:ind w:right="740"/>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3"/>
          </w:tcPr>
          <w:p>
            <w:pPr>
              <w:jc w:val="right"/>
              <w:ind w:right="740"/>
              <w:spacing w:after="0"/>
              <w:rPr>
                <w:sz w:val="20"/>
                <w:szCs w:val="20"/>
                <w:color w:val="auto"/>
              </w:rPr>
            </w:pPr>
            <w:r>
              <w:rPr>
                <w:rFonts w:ascii="Arial" w:cs="Arial" w:eastAsia="Arial" w:hAnsi="Arial"/>
                <w:sz w:val="12"/>
                <w:szCs w:val="12"/>
                <w:b w:val="1"/>
                <w:bCs w:val="1"/>
                <w:color w:val="auto"/>
                <w:w w:val="82"/>
              </w:rPr>
              <w:t>2019</w:t>
            </w:r>
          </w:p>
        </w:tc>
      </w:tr>
      <w:tr>
        <w:trPr>
          <w:trHeight w:val="149"/>
        </w:trPr>
        <w:tc>
          <w:tcPr>
            <w:tcW w:w="140" w:type="dxa"/>
            <w:vAlign w:val="bottom"/>
          </w:tcPr>
          <w:p>
            <w:pPr>
              <w:spacing w:after="0"/>
              <w:rPr>
                <w:sz w:val="12"/>
                <w:szCs w:val="12"/>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right"/>
              <w:ind w:right="34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b w:val="1"/>
                <w:bCs w:val="1"/>
                <w:color w:val="auto"/>
              </w:rPr>
              <w:t>Amount</w:t>
            </w:r>
          </w:p>
        </w:tc>
        <w:tc>
          <w:tcPr>
            <w:tcW w:w="106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20"/>
              <w:spacing w:after="0"/>
              <w:rPr>
                <w:sz w:val="20"/>
                <w:szCs w:val="20"/>
                <w:color w:val="auto"/>
              </w:rPr>
            </w:pPr>
            <w:r>
              <w:rPr>
                <w:rFonts w:ascii="Arial" w:cs="Arial" w:eastAsia="Arial" w:hAnsi="Arial"/>
                <w:sz w:val="12"/>
                <w:szCs w:val="12"/>
                <w:b w:val="1"/>
                <w:bCs w:val="1"/>
                <w:color w:val="auto"/>
              </w:rPr>
              <w:t>Amount</w:t>
            </w:r>
          </w:p>
        </w:tc>
        <w:tc>
          <w:tcPr>
            <w:tcW w:w="104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w:t>
            </w:r>
          </w:p>
        </w:tc>
      </w:tr>
      <w:tr>
        <w:trPr>
          <w:trHeight w:val="145"/>
        </w:trPr>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ind w:right="360"/>
              <w:spacing w:after="0"/>
              <w:rPr>
                <w:sz w:val="20"/>
                <w:szCs w:val="20"/>
                <w:color w:val="auto"/>
              </w:rPr>
            </w:pPr>
            <w:r>
              <w:rPr>
                <w:rFonts w:ascii="Arial" w:cs="Arial" w:eastAsia="Arial" w:hAnsi="Arial"/>
                <w:sz w:val="12"/>
                <w:szCs w:val="12"/>
                <w:b w:val="1"/>
                <w:bCs w:val="1"/>
                <w:color w:val="auto"/>
              </w:rPr>
              <w:t>(Dollars in Millions)</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153"/>
        </w:trPr>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3,571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41.8 %</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2,699</w:t>
            </w:r>
          </w:p>
        </w:tc>
        <w:tc>
          <w:tcPr>
            <w:tcW w:w="1060" w:type="dxa"/>
            <w:vAlign w:val="bottom"/>
            <w:gridSpan w:val="3"/>
          </w:tcPr>
          <w:p>
            <w:pPr>
              <w:jc w:val="right"/>
              <w:spacing w:after="0"/>
              <w:rPr>
                <w:sz w:val="20"/>
                <w:szCs w:val="20"/>
                <w:color w:val="auto"/>
              </w:rPr>
            </w:pPr>
            <w:r>
              <w:rPr>
                <w:rFonts w:ascii="Arial" w:cs="Arial" w:eastAsia="Arial" w:hAnsi="Arial"/>
                <w:sz w:val="12"/>
                <w:szCs w:val="12"/>
                <w:color w:val="auto"/>
              </w:rPr>
              <w:t>42.9 %</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2,381</w:t>
            </w:r>
          </w:p>
        </w:tc>
        <w:tc>
          <w:tcPr>
            <w:tcW w:w="1040" w:type="dxa"/>
            <w:vAlign w:val="bottom"/>
            <w:gridSpan w:val="3"/>
          </w:tcPr>
          <w:p>
            <w:pPr>
              <w:jc w:val="right"/>
              <w:spacing w:after="0"/>
              <w:rPr>
                <w:sz w:val="20"/>
                <w:szCs w:val="20"/>
                <w:color w:val="auto"/>
              </w:rPr>
            </w:pPr>
            <w:r>
              <w:rPr>
                <w:rFonts w:ascii="Arial" w:cs="Arial" w:eastAsia="Arial" w:hAnsi="Arial"/>
                <w:sz w:val="12"/>
                <w:szCs w:val="12"/>
                <w:color w:val="auto"/>
              </w:rPr>
              <w:t>44.6 %</w:t>
            </w:r>
          </w:p>
        </w:tc>
      </w:tr>
      <w:tr>
        <w:trPr>
          <w:trHeight w:val="162"/>
        </w:trPr>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58.2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3,599</w:t>
            </w:r>
          </w:p>
        </w:tc>
        <w:tc>
          <w:tcPr>
            <w:tcW w:w="1060" w:type="dxa"/>
            <w:vAlign w:val="bottom"/>
            <w:gridSpan w:val="3"/>
          </w:tcPr>
          <w:p>
            <w:pPr>
              <w:jc w:val="right"/>
              <w:ind w:right="100"/>
              <w:spacing w:after="0"/>
              <w:rPr>
                <w:sz w:val="20"/>
                <w:szCs w:val="20"/>
                <w:color w:val="auto"/>
              </w:rPr>
            </w:pPr>
            <w:r>
              <w:rPr>
                <w:rFonts w:ascii="Arial" w:cs="Arial" w:eastAsia="Arial" w:hAnsi="Arial"/>
                <w:sz w:val="12"/>
                <w:szCs w:val="12"/>
                <w:color w:val="auto"/>
              </w:rPr>
              <w:t>57.1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2,961</w:t>
            </w:r>
          </w:p>
        </w:tc>
        <w:tc>
          <w:tcPr>
            <w:tcW w:w="1040" w:type="dxa"/>
            <w:vAlign w:val="bottom"/>
            <w:gridSpan w:val="3"/>
          </w:tcPr>
          <w:p>
            <w:pPr>
              <w:jc w:val="right"/>
              <w:ind w:right="100"/>
              <w:spacing w:after="0"/>
              <w:rPr>
                <w:sz w:val="20"/>
                <w:szCs w:val="20"/>
                <w:color w:val="auto"/>
              </w:rPr>
            </w:pPr>
            <w:r>
              <w:rPr>
                <w:rFonts w:ascii="Arial" w:cs="Arial" w:eastAsia="Arial" w:hAnsi="Arial"/>
                <w:sz w:val="12"/>
                <w:szCs w:val="12"/>
                <w:color w:val="auto"/>
              </w:rPr>
              <w:t>55.4</w:t>
            </w:r>
          </w:p>
        </w:tc>
      </w:tr>
      <w:tr>
        <w:trPr>
          <w:trHeight w:val="151"/>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8,553</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6,298</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5,342</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-335915</wp:posOffset>
            </wp:positionV>
            <wp:extent cx="7155180" cy="1003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5180" cy="10033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-135255</wp:posOffset>
            </wp:positionV>
            <wp:extent cx="7155180" cy="121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5180" cy="121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40"/>
          </w:cols>
          <w:pgMar w:left="320" w:top="129" w:right="319" w:bottom="1440" w:gutter="0" w:footer="0" w:header="0"/>
          <w:type w:val="continuous"/>
        </w:sectPr>
      </w:pPr>
    </w:p>
    <w:p>
      <w:pPr>
        <w:spacing w:after="0" w:line="172"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Title premiums increased by 36% in the year ended December 31, 2021 as compared to 2020. The increase is primarily attributable to an increase in Title premiums from direct operations of $872 million, or 32%, and an increase in Title premiums from agency operations of $1,383 million, or 38%. Title premiums increased 18% in the year ended December 31, 2020 as compared to 2019. The increase was a result of an increase in Title premiums from direct operations of $318 million, or 13%, and an increase in Title premiums from agency operations of $638 million, or 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59" w:name="page60"/>
    <w:bookmarkEnd w:id="59"/>
    <w:p>
      <w:pPr>
        <w:ind w:left="1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70"/>
        <w:spacing w:after="0"/>
        <w:rPr>
          <w:sz w:val="20"/>
          <w:szCs w:val="20"/>
          <w:color w:val="auto"/>
        </w:rPr>
      </w:pPr>
      <w:r>
        <w:rPr>
          <w:rFonts w:ascii="Arial" w:cs="Arial" w:eastAsia="Arial" w:hAnsi="Arial"/>
          <w:sz w:val="15"/>
          <w:szCs w:val="15"/>
          <w:color w:val="auto"/>
        </w:rPr>
        <w:t>The following table presents the percentages of opened and closed title insurance orders generated by purchase and refinance transactions by our direct operations:</w:t>
      </w:r>
    </w:p>
    <w:p>
      <w:pPr>
        <w:spacing w:after="0" w:line="123" w:lineRule="exact"/>
        <w:rPr>
          <w:sz w:val="20"/>
          <w:szCs w:val="20"/>
          <w:color w:val="auto"/>
        </w:rPr>
      </w:pPr>
    </w:p>
    <w:tbl>
      <w:tblPr>
        <w:tblLayout w:type="fixed"/>
        <w:tblInd w:w="3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92"/>
              </w:rPr>
              <w:t>Year Ended December 31,</w:t>
            </w:r>
          </w:p>
        </w:tc>
        <w:tc>
          <w:tcPr>
            <w:tcW w:w="1240" w:type="dxa"/>
            <w:vAlign w:val="bottom"/>
            <w:tcBorders>
              <w:bottom w:val="single" w:sz="8" w:color="auto"/>
            </w:tcBorders>
          </w:tcPr>
          <w:p>
            <w:pPr>
              <w:spacing w:after="0"/>
              <w:rPr>
                <w:sz w:val="14"/>
                <w:szCs w:val="14"/>
                <w:color w:val="auto"/>
              </w:rPr>
            </w:pPr>
          </w:p>
        </w:tc>
      </w:tr>
      <w:tr>
        <w:trPr>
          <w:trHeight w:val="153"/>
        </w:trPr>
        <w:tc>
          <w:tcPr>
            <w:tcW w:w="7300" w:type="dxa"/>
            <w:vAlign w:val="bottom"/>
          </w:tcPr>
          <w:p>
            <w:pPr>
              <w:spacing w:after="0"/>
              <w:rPr>
                <w:sz w:val="13"/>
                <w:szCs w:val="13"/>
                <w:color w:val="auto"/>
              </w:rPr>
            </w:pPr>
          </w:p>
        </w:tc>
        <w:tc>
          <w:tcPr>
            <w:tcW w:w="1240" w:type="dxa"/>
            <w:vAlign w:val="bottom"/>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13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c>
          <w:tcPr>
            <w:tcW w:w="1240" w:type="dxa"/>
            <w:vAlign w:val="bottom"/>
          </w:tcPr>
          <w:p>
            <w:pPr>
              <w:jc w:val="right"/>
              <w:ind w:right="440"/>
              <w:spacing w:after="0"/>
              <w:rPr>
                <w:sz w:val="20"/>
                <w:szCs w:val="20"/>
                <w:color w:val="auto"/>
              </w:rPr>
            </w:pPr>
            <w:r>
              <w:rPr>
                <w:rFonts w:ascii="Arial" w:cs="Arial" w:eastAsia="Arial" w:hAnsi="Arial"/>
                <w:sz w:val="12"/>
                <w:szCs w:val="12"/>
                <w:b w:val="1"/>
                <w:bCs w:val="1"/>
                <w:color w:val="auto"/>
              </w:rPr>
              <w:t>2019</w:t>
            </w:r>
          </w:p>
        </w:tc>
      </w:tr>
      <w:tr>
        <w:trPr>
          <w:trHeight w:val="147"/>
        </w:trPr>
        <w:tc>
          <w:tcPr>
            <w:tcW w:w="7300" w:type="dxa"/>
            <w:vAlign w:val="bottom"/>
          </w:tcPr>
          <w:p>
            <w:pPr>
              <w:ind w:left="20"/>
              <w:spacing w:after="0"/>
              <w:rPr>
                <w:sz w:val="20"/>
                <w:szCs w:val="20"/>
                <w:color w:val="auto"/>
              </w:rPr>
            </w:pPr>
            <w:r>
              <w:rPr>
                <w:rFonts w:ascii="Arial" w:cs="Arial" w:eastAsia="Arial" w:hAnsi="Arial"/>
                <w:sz w:val="12"/>
                <w:szCs w:val="12"/>
                <w:color w:val="auto"/>
              </w:rPr>
              <w:t>Opened title insurance orders from purchase transactions (1)</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48.9 %</w:t>
            </w:r>
          </w:p>
        </w:tc>
        <w:tc>
          <w:tcPr>
            <w:tcW w:w="100" w:type="dxa"/>
            <w:vAlign w:val="bottom"/>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39.0 %</w:t>
            </w:r>
          </w:p>
        </w:tc>
        <w:tc>
          <w:tcPr>
            <w:tcW w:w="80" w:type="dxa"/>
            <w:vAlign w:val="bottom"/>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56.7 %</w:t>
            </w: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Opened title insurance orders from refinance transactions (1)</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51.1</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61.0</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43.3</w:t>
            </w:r>
          </w:p>
        </w:tc>
      </w:tr>
      <w:tr>
        <w:trPr>
          <w:trHeight w:val="147"/>
        </w:trPr>
        <w:tc>
          <w:tcPr>
            <w:tcW w:w="73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0"/>
        </w:trPr>
        <w:tc>
          <w:tcPr>
            <w:tcW w:w="7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55"/>
        </w:trPr>
        <w:tc>
          <w:tcPr>
            <w:tcW w:w="7300" w:type="dxa"/>
            <w:vAlign w:val="bottom"/>
          </w:tcPr>
          <w:p>
            <w:pPr>
              <w:ind w:left="20"/>
              <w:spacing w:after="0"/>
              <w:rPr>
                <w:sz w:val="20"/>
                <w:szCs w:val="20"/>
                <w:color w:val="auto"/>
              </w:rPr>
            </w:pPr>
            <w:r>
              <w:rPr>
                <w:rFonts w:ascii="Arial" w:cs="Arial" w:eastAsia="Arial" w:hAnsi="Arial"/>
                <w:sz w:val="12"/>
                <w:szCs w:val="12"/>
                <w:color w:val="auto"/>
              </w:rPr>
              <w:t>Closed title insurance orders from purchase transactions (1)</w:t>
            </w:r>
          </w:p>
        </w:tc>
        <w:tc>
          <w:tcPr>
            <w:tcW w:w="1240" w:type="dxa"/>
            <w:vAlign w:val="bottom"/>
          </w:tcPr>
          <w:p>
            <w:pPr>
              <w:jc w:val="right"/>
              <w:spacing w:after="0"/>
              <w:rPr>
                <w:sz w:val="20"/>
                <w:szCs w:val="20"/>
                <w:color w:val="auto"/>
              </w:rPr>
            </w:pPr>
            <w:r>
              <w:rPr>
                <w:rFonts w:ascii="Arial" w:cs="Arial" w:eastAsia="Arial" w:hAnsi="Arial"/>
                <w:sz w:val="12"/>
                <w:szCs w:val="12"/>
                <w:color w:val="auto"/>
              </w:rPr>
              <w:t>44.9 %</w:t>
            </w:r>
          </w:p>
        </w:tc>
        <w:tc>
          <w:tcPr>
            <w:tcW w:w="1340" w:type="dxa"/>
            <w:vAlign w:val="bottom"/>
            <w:gridSpan w:val="2"/>
          </w:tcPr>
          <w:p>
            <w:pPr>
              <w:jc w:val="right"/>
              <w:spacing w:after="0"/>
              <w:rPr>
                <w:sz w:val="20"/>
                <w:szCs w:val="20"/>
                <w:color w:val="auto"/>
              </w:rPr>
            </w:pPr>
            <w:r>
              <w:rPr>
                <w:rFonts w:ascii="Arial" w:cs="Arial" w:eastAsia="Arial" w:hAnsi="Arial"/>
                <w:sz w:val="12"/>
                <w:szCs w:val="12"/>
                <w:color w:val="auto"/>
              </w:rPr>
              <w:t>39.8 %</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57.6 %</w:t>
            </w: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Closed title insurance orders from refinance transactions (1)</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55.1</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60.2</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42.4</w:t>
            </w:r>
          </w:p>
        </w:tc>
      </w:tr>
      <w:tr>
        <w:trPr>
          <w:trHeight w:val="147"/>
        </w:trPr>
        <w:tc>
          <w:tcPr>
            <w:tcW w:w="73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7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0"/>
        <w:spacing w:after="0"/>
        <w:rPr>
          <w:sz w:val="20"/>
          <w:szCs w:val="20"/>
          <w:color w:val="auto"/>
        </w:rPr>
      </w:pPr>
      <w:r>
        <w:rPr>
          <w:rFonts w:ascii="Arial" w:cs="Arial" w:eastAsia="Arial" w:hAnsi="Arial"/>
          <w:sz w:val="15"/>
          <w:szCs w:val="15"/>
          <w:color w:val="auto"/>
        </w:rPr>
        <w:t>_______________________________________</w:t>
      </w:r>
    </w:p>
    <w:p>
      <w:pPr>
        <w:spacing w:after="0" w:line="53" w:lineRule="exact"/>
        <w:rPr>
          <w:sz w:val="20"/>
          <w:szCs w:val="20"/>
          <w:color w:val="auto"/>
        </w:rPr>
      </w:pPr>
    </w:p>
    <w:p>
      <w:pPr>
        <w:ind w:left="330" w:hanging="330"/>
        <w:spacing w:after="0"/>
        <w:tabs>
          <w:tab w:leader="none" w:pos="33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Percentages exclude consideration of an immaterial number of non-purchase and non-refinance orders.</w:t>
      </w:r>
    </w:p>
    <w:p>
      <w:pPr>
        <w:spacing w:after="0" w:line="98" w:lineRule="exact"/>
        <w:rPr>
          <w:sz w:val="20"/>
          <w:szCs w:val="20"/>
          <w:color w:val="auto"/>
        </w:rPr>
      </w:pPr>
    </w:p>
    <w:p>
      <w:pPr>
        <w:jc w:val="both"/>
        <w:ind w:left="10" w:firstLine="270"/>
        <w:spacing w:after="0" w:line="283" w:lineRule="auto"/>
        <w:rPr>
          <w:sz w:val="20"/>
          <w:szCs w:val="20"/>
          <w:color w:val="auto"/>
        </w:rPr>
      </w:pPr>
      <w:r>
        <w:rPr>
          <w:rFonts w:ascii="Arial" w:cs="Arial" w:eastAsia="Arial" w:hAnsi="Arial"/>
          <w:sz w:val="14"/>
          <w:szCs w:val="14"/>
          <w:color w:val="auto"/>
        </w:rPr>
        <w:t>Title premiums from direct operations increased in the year ended December 31, 2021 as compared to 2020. The increase is primarily attributable to an increase in total closed order volume, driven by an increase in purchase order volume and an increase in fee per file, partially offset by a decline in refinance volume. Title premiums from direct operations increased in 2020 as compared to 2019, primarily due to an increase in total closed order volume, driven by an increase in refinance order volume, partially offset by a decline in total fee per file. The residential refinance market has considerably lower fees per closed order than commercial or residential purchase transactions.</w:t>
      </w:r>
    </w:p>
    <w:p>
      <w:pPr>
        <w:spacing w:after="0" w:line="52" w:lineRule="exact"/>
        <w:rPr>
          <w:sz w:val="20"/>
          <w:szCs w:val="20"/>
          <w:color w:val="auto"/>
        </w:rPr>
      </w:pPr>
    </w:p>
    <w:p>
      <w:pPr>
        <w:jc w:val="both"/>
        <w:ind w:left="10" w:firstLine="270"/>
        <w:spacing w:after="0" w:line="255" w:lineRule="auto"/>
        <w:rPr>
          <w:sz w:val="20"/>
          <w:szCs w:val="20"/>
          <w:color w:val="auto"/>
        </w:rPr>
      </w:pPr>
      <w:r>
        <w:rPr>
          <w:rFonts w:ascii="Arial" w:cs="Arial" w:eastAsia="Arial" w:hAnsi="Arial"/>
          <w:sz w:val="15"/>
          <w:szCs w:val="15"/>
          <w:color w:val="auto"/>
        </w:rPr>
        <w:t>We experienced an increase in closed title insurance order volumes from purchase transactions and a decrease in closed order volume from refinance transactions in the year ended December 31, 2021 as compared to 2020. Total closed order volumes were 2,169,000 in the year ended December 31, 2021 compared to 2,052,000 in the year ended December 31, 2020, an overall increase of 5.7%. The decrease in refinance transactions in 2021 is primarily attributable to the surge in residential refinance transactions in 2020 and the first half of 2021, resulting in a decline in the population of eligible refinance candidates in the second half of 2021. Closed order volumes were 2,052,000 in the year ended December 31, 2020 compared with 1,448,000 in the year ended December 31, 2019, an overall increase of 41.7%. The increase in refinance transactions in 2020 is primarily due to lower average interest rates when compared to 2019.</w:t>
      </w:r>
    </w:p>
    <w:p>
      <w:pPr>
        <w:spacing w:after="0" w:line="72" w:lineRule="exact"/>
        <w:rPr>
          <w:sz w:val="20"/>
          <w:szCs w:val="20"/>
          <w:color w:val="auto"/>
        </w:rPr>
      </w:pPr>
    </w:p>
    <w:p>
      <w:pPr>
        <w:jc w:val="both"/>
        <w:ind w:left="10" w:firstLine="270"/>
        <w:spacing w:after="0" w:line="290" w:lineRule="auto"/>
        <w:rPr>
          <w:sz w:val="20"/>
          <w:szCs w:val="20"/>
          <w:color w:val="auto"/>
        </w:rPr>
      </w:pPr>
      <w:r>
        <w:rPr>
          <w:rFonts w:ascii="Arial" w:cs="Arial" w:eastAsia="Arial" w:hAnsi="Arial"/>
          <w:sz w:val="14"/>
          <w:szCs w:val="14"/>
          <w:color w:val="auto"/>
        </w:rPr>
        <w:t>Total opened title insurance order volumes decreased in the year ended December 31, 2021, as compared to 2020. The decrease in the year ended 2021 was attributable to decreased opened title orders from refinance transactions, partially offset by an increase in purchase transactions. Total opened title insurance order volumes increased in the year ended December 31, 2020, as compared to 2019. The increase in the year ended 2020 was attributable to increased opened title orders from purchase and refinance transactions.</w:t>
      </w:r>
    </w:p>
    <w:p>
      <w:pPr>
        <w:spacing w:after="0" w:line="47" w:lineRule="exact"/>
        <w:rPr>
          <w:sz w:val="20"/>
          <w:szCs w:val="20"/>
          <w:color w:val="auto"/>
        </w:rPr>
      </w:pPr>
    </w:p>
    <w:p>
      <w:pPr>
        <w:jc w:val="both"/>
        <w:ind w:left="10" w:firstLine="270"/>
        <w:spacing w:after="0" w:line="277" w:lineRule="auto"/>
        <w:rPr>
          <w:sz w:val="20"/>
          <w:szCs w:val="20"/>
          <w:color w:val="auto"/>
        </w:rPr>
      </w:pPr>
      <w:r>
        <w:rPr>
          <w:rFonts w:ascii="Arial" w:cs="Arial" w:eastAsia="Arial" w:hAnsi="Arial"/>
          <w:sz w:val="14"/>
          <w:szCs w:val="14"/>
          <w:color w:val="auto"/>
        </w:rPr>
        <w:t>The average fee per file in our direct operations was $2,467 in the year ended December 31, 2021, compared to $2,067 in the year ended December 31, 2020. The increase in average fee per file in 2021 as compared to 2020 reflects an increased proportion of purchase transactions relative to total closed orders and a stronger commercial market compared to 2020.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 The average fee per file in our direct operations in the year ended December 31, 2019 was $2,511. The decrease in average fee per file in 2020 as compared to 2019 reflects an increased proportion of refinance transactions relative to total closed orders and a weaker commercial market compared to the corresponding prior year period.</w:t>
      </w:r>
    </w:p>
    <w:p>
      <w:pPr>
        <w:spacing w:after="0" w:line="57" w:lineRule="exact"/>
        <w:rPr>
          <w:sz w:val="20"/>
          <w:szCs w:val="20"/>
          <w:color w:val="auto"/>
        </w:rPr>
      </w:pPr>
    </w:p>
    <w:p>
      <w:pPr>
        <w:jc w:val="both"/>
        <w:ind w:left="10" w:firstLine="270"/>
        <w:spacing w:after="0" w:line="256" w:lineRule="auto"/>
        <w:rPr>
          <w:sz w:val="20"/>
          <w:szCs w:val="20"/>
          <w:color w:val="auto"/>
        </w:rPr>
      </w:pPr>
      <w:r>
        <w:rPr>
          <w:rFonts w:ascii="Arial" w:cs="Arial" w:eastAsia="Arial" w:hAnsi="Arial"/>
          <w:sz w:val="15"/>
          <w:szCs w:val="15"/>
          <w:color w:val="auto"/>
        </w:rPr>
        <w:t>Title premiums from agency operations increased $1,383 million, or 38%, in the year ended December 31, 2021 as compared to 2020, and increased $638 million, or 22%, in the year ended December 31, 2020 as compared to 2019. The current trends in the agency business reflect an improving residential purchase environment in many markets throughout the country and a concerted effort by management to increase remittances with existing agents as well as cultivate new relationships with potential new agents. In addition, lower mortgage rates have resulted in a surge in refinance business with agents, which is further impacted by changes in underlying real estate activity in the geographic regions in which the independent agents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8058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70"/>
          </w:cols>
          <w:pgMar w:left="310" w:top="129" w:right="319" w:bottom="1440" w:gutter="0" w:footer="0" w:header="0"/>
        </w:sectPr>
      </w:pPr>
    </w:p>
    <w:bookmarkStart w:id="60" w:name="page61"/>
    <w:bookmarkEnd w:id="6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4"/>
          <w:szCs w:val="14"/>
          <w:color w:val="auto"/>
        </w:rPr>
        <w:t>Escrow, title-related and other fees increased by $446 million, or 16%, in the year ended December 31, 2021 as compared to 2020, and increased by $393 million, or 16%, in the year ended December 31, 2020 as compared to 2019. Escrow fees, which are more closely related to our direct operations, increased by $225 million, or 19%, in the year ended December 31, 2021, as compared to 2020, and increased $271 million, or 30%, in the year ended December 31, 2020 as compared to 2019. The increases in the year ended December 31, 2021 as compared to 2020 are primarily due to the increase in closed order volume. The increase in the year ended December 31, 2020 as compared to 2019 is primarily due to stronger residential refinance revenue, which has relatively higher escrow fees than residential purchase and commercial transactions. Other fees in the Title segment, excluding escrow fees, increased by $221 million, or 14%, in the year ended December 31, 2021 as compared to 2020, and increased $122 million, or 8%, in the year ended December 31, 2020 as compared to 2019. The increase in Other fees in the year ended December 31, 2021 as compared to 2020, and the increase in Other fees in the year ended December 31, 2020 as compared to 2019 was primarily driven by an increase in revenues related to our ServiceLink business in addition to increases in various individually immaterial items. The change in both escrow fees and other fees is directionally consistent with the change in title premiums from direct operations in 2021 and 2020.</w:t>
      </w:r>
    </w:p>
    <w:p>
      <w:pPr>
        <w:spacing w:after="0" w:line="5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Interest and investment income levels are primarily a function of securities markets, interest rates and the amount of cash available for investment. Interest and investment income decreased $42 million, or 28%, in the year ended December 31, 2021, as compared to 2020, and decreased $51 million in the year ended December 31, 2020 as compared to 2019. The decrease in the year ended December 31, 2021 as compared to 2020 was primarily attributable to decreased average fixed maturity portfolio balances, decreased dividends on preferred and common stocks and a decline in interest on cash and short-term investments. The decrease in the year ended December 31, 2020 as compared to 2019 was primarily driven by a decline in interest income related to the Company's tax-deferred property exchange business and a decline in interest on cash and short-term investments, due to a decline in short-term rates in 2020 as compared to 2019.</w:t>
      </w:r>
    </w:p>
    <w:p>
      <w:pPr>
        <w:spacing w:after="0" w:line="72"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Recognized net losses were $393 million in the year ended December 31, 2021. Recognized net gains were $143 million and $326 million in the years ended December 31, 2020 and 2019, respectively. The variability in recognized gains and losses, net is primarily attributable to fluctuations in non-cash valuation changes on our equity and preferred security holdings in addition to various other individually immaterial items.</w:t>
      </w:r>
    </w:p>
    <w:p>
      <w:pPr>
        <w:spacing w:after="0" w:line="6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4"/>
          <w:szCs w:val="14"/>
          <w:color w:val="auto"/>
        </w:rPr>
        <w:t>Personnel costs include base salaries, commissions, benefits, stock-based compensation and bonuses paid to employees, and are one of our most significant operating expenses. Personnel costs increased $514 million, or 19%, in the year ended December 31, 2021, as compared to 2020, and increased $216 million, or 8% in the year ended December 31, 2020 as compared to 2019. The increases in the year ended December 31, 2021 as compared to 2020, and the year ended December 31, 2020 as compared to 2019 are primarily attributable to increased commissions driven by the increases in year-over-year closed title order volumes. Personnel costs as a percentage of total revenues from direct title premiums and escrow, title-related and other fees were 48%, 51% and 54% for the years ended December 31, 2021, 2020 and 2019, respectively. Average employee count in the Title segment was 27,297, 24,638, and 23,484 in the years ended December 31, 2021, 2020 and 2019, respectively.</w:t>
      </w:r>
    </w:p>
    <w:p>
      <w:pPr>
        <w:spacing w:after="0" w:line="57"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Other operating expenses increased by $189 million, or 12%, in the year ended December 31, 2021 as compared to 2020, and increased $27 million, or 2%, in the year ended December 31, 2020 compared to 2019. Other operating expenses as a percentage of total revenue excluding agency premiums, interest and investment income, and recognized gains and losses were 25%, 28% and 32% in the years ended December 31, 2021, 2020 and 2019, respectively.</w:t>
      </w:r>
    </w:p>
    <w:p>
      <w:pPr>
        <w:spacing w:after="0" w:line="66"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illustrates the relationship of agent premiums and agent commissions: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2"/>
                <w:szCs w:val="12"/>
                <w:b w:val="1"/>
                <w:bCs w:val="1"/>
                <w:color w:val="auto"/>
                <w:w w:val="94"/>
              </w:rPr>
              <w:t>Year Ended December 31,</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5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2021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2020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2"/>
                <w:szCs w:val="12"/>
                <w:b w:val="1"/>
                <w:bCs w:val="1"/>
                <w:color w:val="auto"/>
                <w:w w:val="89"/>
              </w:rPr>
              <w:t>2019</w:t>
            </w:r>
          </w:p>
        </w:tc>
      </w:tr>
      <w:tr>
        <w:trPr>
          <w:trHeight w:val="153"/>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jc w:val="right"/>
              <w:ind w:right="3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jc w:val="right"/>
              <w:ind w:right="34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b w:val="1"/>
                <w:bCs w:val="1"/>
                <w:color w:val="auto"/>
              </w:rPr>
              <w:t>Amount</w:t>
            </w:r>
          </w:p>
        </w:tc>
        <w:tc>
          <w:tcPr>
            <w:tcW w:w="106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w:t>
            </w:r>
          </w:p>
        </w:tc>
      </w:tr>
      <w:tr>
        <w:trPr>
          <w:trHeight w:val="149"/>
        </w:trPr>
        <w:tc>
          <w:tcPr>
            <w:tcW w:w="5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w w:val="91"/>
              </w:rPr>
              <w:t>(Dollars in millions)</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r>
      <w:tr>
        <w:trPr>
          <w:trHeight w:val="158"/>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Agent premiums</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2,961</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155"/>
        </w:trPr>
        <w:tc>
          <w:tcPr>
            <w:tcW w:w="5180" w:type="dxa"/>
            <w:vAlign w:val="bottom"/>
          </w:tcPr>
          <w:p>
            <w:pPr>
              <w:ind w:left="20"/>
              <w:spacing w:after="0"/>
              <w:rPr>
                <w:sz w:val="20"/>
                <w:szCs w:val="20"/>
                <w:color w:val="auto"/>
              </w:rPr>
            </w:pPr>
            <w:r>
              <w:rPr>
                <w:rFonts w:ascii="Arial" w:cs="Arial" w:eastAsia="Arial" w:hAnsi="Arial"/>
                <w:sz w:val="12"/>
                <w:szCs w:val="12"/>
                <w:color w:val="auto"/>
              </w:rPr>
              <w:t>Agent commissions</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3,821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76.7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2,749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76.4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2,258</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76.3</w:t>
            </w:r>
          </w:p>
        </w:tc>
      </w:tr>
      <w:tr>
        <w:trPr>
          <w:trHeight w:val="176"/>
        </w:trPr>
        <w:tc>
          <w:tcPr>
            <w:tcW w:w="5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Net retained agent premiums</w:t>
            </w: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23.6 %</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703</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23.7 %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1" w:name="page62"/>
    <w:bookmarkEnd w:id="6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The claim loss provision for title insurance was $385 million, $283 million, and $240 million for the years ended December 31, 2021, 2020, and 2019 respectively. The provision reflects a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F&amp;G</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Overview</w:t>
      </w:r>
    </w:p>
    <w:p>
      <w:pPr>
        <w:spacing w:after="0" w:line="147"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5"/>
          <w:szCs w:val="15"/>
          <w:color w:val="auto"/>
        </w:rPr>
        <w:t>Through our wholly owned F&amp;G subsidiary, which we acquired on June 1, 2020, we provide our principal annuity and life insurance products through the insurance subsidiaries composing our F&amp;G segment, FGL Insurance and FGL NY Insurance. Our customers range across a variety of age groups and are concentrated in the middle-income market. Our Fixed Indexed Annuity ("FIA") products provide for pre-retirement wealth accumulation and post-retirement income management. Our Indexed Universal Life Insurance ("IUL") products provide wealth protection and transfer opportunities. Life and annuity products are primarily distributed through Independent Marketing Organizations ("IMOs") and independent insurance agents, and beginning in 2020, independent broker dealers and banks. Additionally, we provide funding agreements and pension risk transfer ("PRT") solutions to various institutions through consultants and brokers.</w:t>
      </w:r>
    </w:p>
    <w:p>
      <w:pPr>
        <w:spacing w:after="0" w:line="50"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15"/>
          <w:szCs w:val="15"/>
          <w:color w:val="auto"/>
        </w:rPr>
        <w:t>In setting the features and pricing of new FIA products relative to our targeted net margin, we take into account our expectations regarding (1) net investment spread (see Non-GAAP Financial Measures section), which is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Components of Our Historical Results of Operations</w:t>
      </w:r>
    </w:p>
    <w:p>
      <w:pPr>
        <w:spacing w:after="0" w:line="147" w:lineRule="exact"/>
        <w:rPr>
          <w:sz w:val="20"/>
          <w:szCs w:val="20"/>
          <w:color w:val="auto"/>
        </w:rPr>
      </w:pPr>
    </w:p>
    <w:p>
      <w:pPr>
        <w:ind w:right="20" w:firstLine="338"/>
        <w:spacing w:after="0" w:line="279" w:lineRule="auto"/>
        <w:rPr>
          <w:sz w:val="20"/>
          <w:szCs w:val="20"/>
          <w:color w:val="auto"/>
        </w:rPr>
      </w:pPr>
      <w:r>
        <w:rPr>
          <w:rFonts w:ascii="Arial" w:cs="Arial" w:eastAsia="Arial" w:hAnsi="Arial"/>
          <w:sz w:val="14"/>
          <w:szCs w:val="14"/>
          <w:color w:val="auto"/>
        </w:rPr>
        <w:t>Through our insurance subsidiaries, we issue a broad portfolio of deferred annuities (fixed indexed and fixed rate annuities), indexed universal life insurance, immediate annuities, funding agreements and pension risk transfer solutions. A deferred annuity is a type of contract that accumulates value on a tax deferred basis and typically begins making specified periodic or lump sum payments a certain number of years after the contract has been issued. Indexed universal life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w:t>
      </w:r>
    </w:p>
    <w:p>
      <w:pPr>
        <w:spacing w:after="0" w:line="67"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5"/>
          <w:szCs w:val="15"/>
          <w:color w:val="auto"/>
        </w:rPr>
        <w:t>Under U.S. GAAP, premium collections for fixed indexed annuities,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50" w:lineRule="exact"/>
        <w:rPr>
          <w:sz w:val="20"/>
          <w:szCs w:val="20"/>
          <w:color w:val="auto"/>
        </w:rPr>
      </w:pPr>
    </w:p>
    <w:p>
      <w:pPr>
        <w:jc w:val="both"/>
        <w:ind w:firstLine="338"/>
        <w:spacing w:after="0" w:line="275" w:lineRule="auto"/>
        <w:rPr>
          <w:sz w:val="20"/>
          <w:szCs w:val="20"/>
          <w:color w:val="auto"/>
        </w:rPr>
      </w:pPr>
      <w:r>
        <w:rPr>
          <w:rFonts w:ascii="Arial" w:cs="Arial" w:eastAsia="Arial" w:hAnsi="Arial"/>
          <w:sz w:val="14"/>
          <w:szCs w:val="14"/>
          <w:color w:val="auto"/>
        </w:rPr>
        <w:t>F&amp;G hedges certain portions of its exposure to product related equity market risk by entering into derivative transactions. We purchase derivatives consisting predominantly of call options and, to a lesser degree, futures contracts (specifically for FIA contracts) on the equity indices underlying the applicable policy. These derivatives are used to offset the statutory reserve impact of the index credits due to policyholders under the FIA and IUL contracts. The majority of all such call options are one-year options purchased to match the funding requirements underlying the FIA/IUL contracts. We attempt to manage the cost of these purchases through the terms of our FIA/IUL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2" w:name="page63"/>
    <w:bookmarkEnd w:id="6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338"/>
        <w:spacing w:after="0" w:line="258" w:lineRule="auto"/>
        <w:rPr>
          <w:sz w:val="20"/>
          <w:szCs w:val="20"/>
          <w:color w:val="auto"/>
        </w:rPr>
      </w:pPr>
      <w:r>
        <w:rPr>
          <w:rFonts w:ascii="Arial" w:cs="Arial" w:eastAsia="Arial" w:hAnsi="Arial"/>
          <w:sz w:val="15"/>
          <w:szCs w:val="15"/>
          <w:color w:val="auto"/>
        </w:rPr>
        <w:t>Earnings from products accounted for as deposit liabilities are primarily generated from the excess of net investment income earned over the sum of interest credited to policyholders and the cost of hedging our risk on FIA/IUL policies, known as the net investment spread. With respect to FIAs/IULs, the cost of hedging our risk 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47"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3"/>
          <w:szCs w:val="13"/>
          <w:color w:val="auto"/>
        </w:rPr>
        <w:t>Our profitability depends in large part upon the amount of assets under management (“AUM” - see Non-GAAP Financial Measures section), the net investment spreads earned on our AUM, our ability to manage our operating expenses and the costs of acquiring new business (principally commissions to agents and bonuses credited to policyholders). As we grow AUM, earnings generally increase. AUM increases when cash inflows, which include sales, exceed cash outflows. Managing net investment spreads involves the ability to maximize returns on our AUM and minimize risks such as interest rate changes and defaults or impairment of investments. It also includes our ability to manage interest rates credited to policyholders and costs of the options and futures purchased to fund the annual index credits on the FIA/IULs. We analyze returns on average assets under management ("AAUM" - see Non-GAAP Financial Measures section) pre- and post-DAC, DSI and VOBA as well as pre- and post-tax to measure our profitability in terms of growth and improved earnings.</w:t>
      </w:r>
    </w:p>
    <w:p>
      <w:pPr>
        <w:spacing w:after="0" w:line="21"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In June 2021, we established a funding agreement-backed notes program (the “FABN Program”), pursuant to which FGL Insurance may issue funding agreements to a special purpose statutory trust (the “Trust”) for spread lending purposes. The maximum aggregate principal amount permitted to be outstanding at any one time under the FABN Program is currently $5.0 billion. We also issue funding agreements through the Federal Home Loan Bank of Atlanta ("FHLB").</w:t>
      </w:r>
    </w:p>
    <w:p>
      <w:pPr>
        <w:spacing w:after="0" w:line="44"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In July 2021, we entered the PRT market, pursuant to which FGL Insurance and FGL NY Insurance may issue group annuity contracts to discharge pension plan liabilities from a pension plan sponsor. Life contingent pension risk transfer premiums are included in life insurance premiums and other fees below.</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Measures</w:t>
      </w:r>
    </w:p>
    <w:p>
      <w:pPr>
        <w:spacing w:after="0" w:line="147"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4"/>
          <w:szCs w:val="14"/>
          <w:color w:val="auto"/>
        </w:rPr>
        <w:t>In addition to reporting financial results in accordance with GAAP, this document includes non-GAAP financial measures, which the Company believes are useful to help investors better understand its financial performance, competitive position and prospects for the future. Management believes these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 The presentation of this financial information is not intended to be considered in isolation of or as a substitute for, or superior to, the financial information prepared and presented in accordance with GAAP. By disclosing these non-GAAP financial measures, the Company believes it offers investors a greater understanding of, and an enhanced level of transparency into, the means by which the Company’s management operates the Company. Any non-GAAP measures should be considered in context with the GAAP financial presentation and should not be considered in isolation or as a substitute for GAAP net earnings, net earnings attributable to common shareholders, or any other measures derived in accordance with GAAP as measures of operating performance or liquidity. Reconciliations of these non-GAAP financial measures to the most directly comparable GAAP measures are provided within.</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Adjusted net earnings attributable to common shareholders ("adjusted net earnings") is a non-GAAP economic measure we use to evaluate financial performance each period.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Adjusted net earnings is calculated by adjusting net earnings (loss) from continuing operations attributable to common shareholders to eliminate:</w:t>
      </w:r>
    </w:p>
    <w:p>
      <w:pPr>
        <w:spacing w:after="0" w:line="66" w:lineRule="exact"/>
        <w:rPr>
          <w:sz w:val="20"/>
          <w:szCs w:val="20"/>
          <w:color w:val="auto"/>
        </w:rPr>
      </w:pPr>
    </w:p>
    <w:p>
      <w:pPr>
        <w:jc w:val="both"/>
        <w:ind w:left="200" w:hanging="7"/>
        <w:spacing w:after="0" w:line="255" w:lineRule="auto"/>
        <w:tabs>
          <w:tab w:leader="none" w:pos="398"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Recognized (gains) and losses, net: the impact of net investment gains/losses, including changes in allowance for expected credit losses and other than temporary impairment ("OTTI") losses, recognized in operations; the impact of market volatility on the alternative asset portfolio that differ from management's expectation of returns over the life of these assets; and the effect of changes in fair value of the reinsurance related embedded derivative;</w:t>
      </w:r>
    </w:p>
    <w:p>
      <w:pPr>
        <w:ind w:left="180"/>
        <w:spacing w:after="0" w:line="250" w:lineRule="auto"/>
        <w:rPr>
          <w:rFonts w:ascii="Arial" w:cs="Arial" w:eastAsia="Arial" w:hAnsi="Arial"/>
          <w:sz w:val="15"/>
          <w:szCs w:val="15"/>
          <w:color w:val="auto"/>
        </w:rPr>
      </w:pPr>
      <w:r>
        <w:rPr>
          <w:rFonts w:ascii="Arial" w:cs="Arial" w:eastAsia="Arial" w:hAnsi="Arial"/>
          <w:sz w:val="15"/>
          <w:szCs w:val="15"/>
          <w:color w:val="auto"/>
        </w:rPr>
        <w:t>(ii) Indexed product related derivatives: the impacts related to changes in the fair value, including both realized and unrealized gains and losses, of index product related derivatives and embedded derivatives, net of hedging cost;</w:t>
      </w:r>
    </w:p>
    <w:p>
      <w:pPr>
        <w:spacing w:after="0" w:line="1" w:lineRule="exact"/>
        <w:rPr>
          <w:rFonts w:ascii="Arial" w:cs="Arial" w:eastAsia="Arial" w:hAnsi="Arial"/>
          <w:sz w:val="15"/>
          <w:szCs w:val="15"/>
          <w:color w:val="auto"/>
        </w:rPr>
      </w:pPr>
    </w:p>
    <w:p>
      <w:pPr>
        <w:ind w:left="180"/>
        <w:spacing w:after="0" w:line="250" w:lineRule="auto"/>
        <w:rPr>
          <w:rFonts w:ascii="Arial" w:cs="Arial" w:eastAsia="Arial" w:hAnsi="Arial"/>
          <w:sz w:val="15"/>
          <w:szCs w:val="15"/>
          <w:color w:val="auto"/>
        </w:rPr>
      </w:pPr>
      <w:r>
        <w:rPr>
          <w:rFonts w:ascii="Arial" w:cs="Arial" w:eastAsia="Arial" w:hAnsi="Arial"/>
          <w:sz w:val="15"/>
          <w:szCs w:val="15"/>
          <w:color w:val="auto"/>
        </w:rPr>
        <w:t>(iii) Purchase price amortization: the impacts related to the amortization of certain intangibles (internally developed software, trademarks and value of distribution asset ("VODA")) recognized as a result of acquisition activities;</w:t>
      </w:r>
    </w:p>
    <w:p>
      <w:pPr>
        <w:spacing w:after="0" w:line="1"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5"/>
          <w:szCs w:val="15"/>
          <w:color w:val="auto"/>
        </w:rPr>
        <w:t>(iv) Transaction costs: the impacts related to acquisition, integration and merger related items; and</w:t>
      </w:r>
    </w:p>
    <w:p>
      <w:pPr>
        <w:spacing w:after="0" w:line="7" w:lineRule="exact"/>
        <w:rPr>
          <w:rFonts w:ascii="Arial" w:cs="Arial" w:eastAsia="Arial" w:hAnsi="Arial"/>
          <w:sz w:val="15"/>
          <w:szCs w:val="15"/>
          <w:color w:val="auto"/>
        </w:rPr>
      </w:pPr>
    </w:p>
    <w:p>
      <w:pPr>
        <w:jc w:val="both"/>
        <w:ind w:left="180"/>
        <w:spacing w:after="0" w:line="256" w:lineRule="auto"/>
        <w:rPr>
          <w:rFonts w:ascii="Arial" w:cs="Arial" w:eastAsia="Arial" w:hAnsi="Arial"/>
          <w:sz w:val="15"/>
          <w:szCs w:val="15"/>
          <w:color w:val="auto"/>
        </w:rPr>
      </w:pPr>
      <w:r>
        <w:rPr>
          <w:rFonts w:ascii="Arial" w:cs="Arial" w:eastAsia="Arial" w:hAnsi="Arial"/>
          <w:sz w:val="15"/>
          <w:szCs w:val="15"/>
          <w:color w:val="auto"/>
        </w:rPr>
        <w:t>(v) Other "non-recurring", "infrequent" or "unusual items": Management excludes certain items determined to be “non-recurring”, “infrequent” or “unusual” from adjusted net earnings when incurred if it is determined these expenses are not a reflection of the core business and when the nature of the item is such that it is not reasonably likely to recur within two years and/or there was not a similar item in the preceding two years.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3" w:name="page64"/>
    <w:bookmarkEnd w:id="6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4"/>
          <w:szCs w:val="14"/>
          <w:color w:val="auto"/>
        </w:rPr>
        <w:t>Adjustments to adjusted net earnings are net of the corresponding impact on amortization of intangibles, as appropriate. The income tax impact related to these adjustments is measured using an effective tax rate, as appropriate by tax jurisdiction. 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 Adjusted net earnings should not be used as a substitute for net earnings (loss). However, we believe the adjustments made to net earnings (loss) in order to derive adjusted net earnings provide an understanding of our overall results of operations.</w:t>
      </w:r>
    </w:p>
    <w:p>
      <w:pPr>
        <w:spacing w:after="0" w:line="33"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4"/>
          <w:szCs w:val="14"/>
          <w:color w:val="auto"/>
        </w:rPr>
        <w:t>For example, we could have strong operating results in a given period, yet report net income that is materially less, if during such period the fair value of our derivative assets hedging the FIA and IUL index credit obligations decreased due to general equity market conditions but the embedded derivative liability related to the index credit obligation did not decrease in the same proportion as the derivative assets because of non-equity market factors such as interest rate and non-performance credit spread movements. Similarly, we could also have poor operating results in a given period yet show net earnings (loss) that is materially greater, if during such period the fair value of the derivative assets increases but the embedded derivative liability did not increase in the same proportion as the derivative assets. We hedge our index credits with a combination of static and dynamic strategies, which can result in earnings volatility, the effects of which are generally likely to reverse over time. Our management and board of directors review adjusted net earnings and net earnings (loss) as part of their examination of our overall financial results. However, these examples illustrate the significant impact derivative and embedded derivative movements can have on our net earnings (loss). Accordingly, our management performs a review and analysis of these items, as part of their review of our hedging results each period.</w:t>
      </w:r>
    </w:p>
    <w:p>
      <w:pPr>
        <w:spacing w:after="0" w:line="39" w:lineRule="exact"/>
        <w:rPr>
          <w:sz w:val="20"/>
          <w:szCs w:val="20"/>
          <w:color w:val="auto"/>
        </w:rPr>
      </w:pPr>
    </w:p>
    <w:p>
      <w:pPr>
        <w:jc w:val="both"/>
        <w:ind w:firstLine="338"/>
        <w:spacing w:after="0" w:line="305" w:lineRule="auto"/>
        <w:rPr>
          <w:sz w:val="20"/>
          <w:szCs w:val="20"/>
          <w:color w:val="auto"/>
        </w:rPr>
      </w:pPr>
      <w:r>
        <w:rPr>
          <w:rFonts w:ascii="Arial" w:cs="Arial" w:eastAsia="Arial" w:hAnsi="Arial"/>
          <w:sz w:val="13"/>
          <w:szCs w:val="13"/>
          <w:color w:val="auto"/>
        </w:rPr>
        <w:t>Amounts attributable to the fair value accounting for derivatives hedging the FIA and IUL index credits and the related embedded derivative liability fluctuate from period to period based upon changes in the fair values of call options purchased to fund the annual index credits, changes in the interest rates and non-performance credit spreads used to discount the embedded derivative liability, and the fair value assumptions reflected in the embedded derivative liability. The accounting standards for fair value measurement require the discount rates used in the calculation of the embedded derivative liability to be based on risk-free interest rates adjusted for our non-performance as of the reporting date. The impact of the change in fair values of FIA-related derivatives, embedded derivatives and hedging costs has been removed from net earnings (loss) in calculating adjusted net earnings.</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AUM is a non-GAAP measure we use to assess the rate of return on assets available for reinvestment. AUM is calculated as the sum of:</w:t>
      </w:r>
    </w:p>
    <w:p>
      <w:pPr>
        <w:spacing w:after="0" w:line="75" w:lineRule="exact"/>
        <w:rPr>
          <w:sz w:val="20"/>
          <w:szCs w:val="20"/>
          <w:color w:val="auto"/>
        </w:rPr>
      </w:pPr>
    </w:p>
    <w:p>
      <w:pPr>
        <w:ind w:left="440" w:hanging="179"/>
        <w:spacing w:after="0"/>
        <w:tabs>
          <w:tab w:leader="none" w:pos="4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total invested assets at amortized cost, excluding derivatives;</w:t>
      </w:r>
    </w:p>
    <w:p>
      <w:pPr>
        <w:spacing w:after="0" w:line="75" w:lineRule="exact"/>
        <w:rPr>
          <w:rFonts w:ascii="Arial" w:cs="Arial" w:eastAsia="Arial" w:hAnsi="Arial"/>
          <w:sz w:val="15"/>
          <w:szCs w:val="15"/>
          <w:color w:val="auto"/>
        </w:rPr>
      </w:pPr>
    </w:p>
    <w:p>
      <w:pPr>
        <w:ind w:left="480" w:hanging="219"/>
        <w:spacing w:after="0"/>
        <w:tabs>
          <w:tab w:leader="none" w:pos="4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related party loans and investments;</w:t>
      </w:r>
    </w:p>
    <w:p>
      <w:pPr>
        <w:spacing w:after="0" w:line="75" w:lineRule="exact"/>
        <w:rPr>
          <w:rFonts w:ascii="Arial" w:cs="Arial" w:eastAsia="Arial" w:hAnsi="Arial"/>
          <w:sz w:val="15"/>
          <w:szCs w:val="15"/>
          <w:color w:val="auto"/>
        </w:rPr>
      </w:pPr>
    </w:p>
    <w:p>
      <w:pPr>
        <w:ind w:left="520" w:hanging="259"/>
        <w:spacing w:after="0"/>
        <w:tabs>
          <w:tab w:leader="none" w:pos="5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accrued investment income;</w:t>
      </w:r>
    </w:p>
    <w:p>
      <w:pPr>
        <w:spacing w:after="0" w:line="75" w:lineRule="exact"/>
        <w:rPr>
          <w:rFonts w:ascii="Arial" w:cs="Arial" w:eastAsia="Arial" w:hAnsi="Arial"/>
          <w:sz w:val="15"/>
          <w:szCs w:val="15"/>
          <w:color w:val="auto"/>
        </w:rPr>
      </w:pPr>
    </w:p>
    <w:p>
      <w:pPr>
        <w:ind w:left="520" w:hanging="259"/>
        <w:spacing w:after="0"/>
        <w:tabs>
          <w:tab w:leader="none" w:pos="5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net payable/receivable for the purchase/sale of investments, and</w:t>
      </w:r>
    </w:p>
    <w:p>
      <w:pPr>
        <w:spacing w:after="0" w:line="75" w:lineRule="exact"/>
        <w:rPr>
          <w:rFonts w:ascii="Arial" w:cs="Arial" w:eastAsia="Arial" w:hAnsi="Arial"/>
          <w:sz w:val="15"/>
          <w:szCs w:val="15"/>
          <w:color w:val="auto"/>
        </w:rPr>
      </w:pPr>
    </w:p>
    <w:p>
      <w:pPr>
        <w:ind w:left="260" w:firstLine="1"/>
        <w:spacing w:after="0" w:line="274" w:lineRule="auto"/>
        <w:tabs>
          <w:tab w:leader="none" w:pos="485" w:val="left"/>
        </w:tabs>
        <w:numPr>
          <w:ilvl w:val="0"/>
          <w:numId w:val="30"/>
        </w:numPr>
        <w:rPr>
          <w:rFonts w:ascii="Arial" w:cs="Arial" w:eastAsia="Arial" w:hAnsi="Arial"/>
          <w:sz w:val="15"/>
          <w:szCs w:val="15"/>
          <w:color w:val="auto"/>
        </w:rPr>
      </w:pPr>
      <w:r>
        <w:rPr>
          <w:rFonts w:ascii="Arial" w:cs="Arial" w:eastAsia="Arial" w:hAnsi="Arial"/>
          <w:sz w:val="15"/>
          <w:szCs w:val="15"/>
          <w:color w:val="auto"/>
        </w:rPr>
        <w:t>cash and cash equivalents excluding derivative collateral at the beginning of the period and the end of each month in the period, divided by the total number of months in the period plus one.</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Management considers this non-GAAP financial measure to be useful internally and to investors and analysts when assessing the rate of return on assets available for reinvestment.</w:t>
      </w:r>
    </w:p>
    <w:p>
      <w:pPr>
        <w:spacing w:after="0" w:line="98" w:lineRule="exact"/>
        <w:rPr>
          <w:sz w:val="20"/>
          <w:szCs w:val="20"/>
          <w:color w:val="auto"/>
        </w:rPr>
      </w:pPr>
    </w:p>
    <w:p>
      <w:pPr>
        <w:jc w:val="both"/>
        <w:ind w:firstLine="338"/>
        <w:spacing w:after="0" w:line="311" w:lineRule="auto"/>
        <w:rPr>
          <w:sz w:val="20"/>
          <w:szCs w:val="20"/>
          <w:color w:val="auto"/>
        </w:rPr>
      </w:pPr>
      <w:r>
        <w:rPr>
          <w:rFonts w:ascii="Arial" w:cs="Arial" w:eastAsia="Arial" w:hAnsi="Arial"/>
          <w:sz w:val="14"/>
          <w:szCs w:val="14"/>
          <w:color w:val="auto"/>
        </w:rPr>
        <w:t>AAUM is calculated as AUM at the beginning of the period and the end of each month in the period, divided by the total number of months in the period plus one. Management considers this non-GAAP financial measure to be useful internally and to investors and analysts when assessing rate of return on assets available for reinvestment.</w:t>
      </w:r>
    </w:p>
    <w:p>
      <w:pPr>
        <w:spacing w:after="0" w:line="11"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Yield on AAUM is calculated by dividing annualized net investment income by AAUM. Management considers this non-GAAP financial measure to be useful internally and to investors and analysts when assessing the level of return earned on AAUM.</w:t>
      </w:r>
    </w:p>
    <w:p>
      <w:pPr>
        <w:spacing w:after="0" w:line="34"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Alternative investment yield adjustment is the current period yield impact of market volatility on the alternative investment portfolio that differ from management's expectation of returns over the life of these assets. Management considers this non-GAAP financial measure to be useful internally and to investors and analysts when assessing the level of return earned on AAUM.</w:t>
      </w:r>
    </w:p>
    <w:p>
      <w:pPr>
        <w:spacing w:after="0" w:line="44"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Adjusted Yield on AAUM is calculated by dividing annualized net investment income by AAUM, plus or minus the alternative investment yield adjustment. Management considers this non-GAAP financial measure to be useful internally and to investors and analysts when assessing the level of return earned on AAUM.</w:t>
      </w:r>
    </w:p>
    <w:p>
      <w:pPr>
        <w:spacing w:after="0" w:line="34"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Net investment spread is the excess of net investment income, adjusted for market volatility on the alternative asset investment portfolio, earned over the sum of interest credited to policyholders and the cost of hedging our risk on indexed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4" w:name="page65"/>
    <w:bookmarkEnd w:id="6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product policies. Management considers this non-GAAP financial measure to be useful internally and to investors and analysts when assessing the performance of the Company’s invested assets against the level of investment return provided to policyholders, inclusive of hedging costs.</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Sales</w:t>
      </w:r>
    </w:p>
    <w:p>
      <w:pPr>
        <w:spacing w:after="0" w:line="75" w:lineRule="exact"/>
        <w:rPr>
          <w:sz w:val="20"/>
          <w:szCs w:val="20"/>
          <w:color w:val="auto"/>
        </w:rPr>
      </w:pPr>
    </w:p>
    <w:p>
      <w:pPr>
        <w:jc w:val="both"/>
        <w:ind w:firstLine="541"/>
        <w:spacing w:after="0" w:line="256" w:lineRule="auto"/>
        <w:rPr>
          <w:sz w:val="20"/>
          <w:szCs w:val="20"/>
          <w:color w:val="auto"/>
        </w:rPr>
      </w:pPr>
      <w:r>
        <w:rPr>
          <w:rFonts w:ascii="Arial" w:cs="Arial" w:eastAsia="Arial" w:hAnsi="Arial"/>
          <w:sz w:val="15"/>
          <w:szCs w:val="15"/>
          <w:color w:val="auto"/>
        </w:rPr>
        <w:t>Annuity, IUL and funding agreement sales are not derived from any specific GAAP income statement accounts or line items and should not be viewed as a substitute for any financial measure determined in accordance with GAAP. Sales from these products are recorded as deposit liabilities (i.e. contractholder funds) within the Company's consolidated financial statements in accordance with GAAP. PRT sales are recorded as premiums in revenues within the consolidated financial statements.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5" w:name="page66"/>
    <w:bookmarkEnd w:id="6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F&amp;G Results of Operations</w:t>
      </w:r>
    </w:p>
    <w:p>
      <w:pPr>
        <w:spacing w:after="0" w:line="79" w:lineRule="exact"/>
        <w:rPr>
          <w:sz w:val="20"/>
          <w:szCs w:val="20"/>
          <w:color w:val="auto"/>
        </w:rPr>
      </w:pPr>
    </w:p>
    <w:p>
      <w:pPr>
        <w:ind w:firstLine="338"/>
        <w:spacing w:after="0" w:line="274" w:lineRule="auto"/>
        <w:rPr>
          <w:sz w:val="20"/>
          <w:szCs w:val="20"/>
          <w:color w:val="auto"/>
        </w:rPr>
      </w:pPr>
      <w:r>
        <w:rPr>
          <w:rFonts w:ascii="Arial" w:cs="Arial" w:eastAsia="Arial" w:hAnsi="Arial"/>
          <w:sz w:val="15"/>
          <w:szCs w:val="15"/>
          <w:color w:val="auto"/>
        </w:rPr>
        <w:t>The results of operations of our F&amp;G segment for the year ended December 31, 2021 and seven months ended December 31, 2020 (following our June 1, 2020 acquisition of F&amp;G),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89"/>
              </w:rPr>
              <w:t>Twelve months ended</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86"/>
              </w:rPr>
              <w:t>Seven months ended</w:t>
            </w:r>
          </w:p>
        </w:tc>
        <w:tc>
          <w:tcPr>
            <w:tcW w:w="0" w:type="dxa"/>
            <w:vAlign w:val="bottom"/>
          </w:tcPr>
          <w:p>
            <w:pPr>
              <w:spacing w:after="0"/>
              <w:rPr>
                <w:sz w:val="1"/>
                <w:szCs w:val="1"/>
                <w:color w:val="auto"/>
              </w:rPr>
            </w:pPr>
          </w:p>
        </w:tc>
      </w:tr>
      <w:tr>
        <w:trPr>
          <w:trHeight w:val="153"/>
        </w:trPr>
        <w:tc>
          <w:tcPr>
            <w:tcW w:w="8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88"/>
              </w:rPr>
              <w:t>December 31, 2021</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92"/>
              </w:rPr>
              <w:t>December 31, 2020</w:t>
            </w:r>
          </w:p>
        </w:tc>
        <w:tc>
          <w:tcPr>
            <w:tcW w:w="0" w:type="dxa"/>
            <w:vAlign w:val="bottom"/>
          </w:tcPr>
          <w:p>
            <w:pPr>
              <w:spacing w:after="0"/>
              <w:rPr>
                <w:sz w:val="1"/>
                <w:szCs w:val="1"/>
                <w:color w:val="auto"/>
              </w:rPr>
            </w:pPr>
          </w:p>
        </w:tc>
      </w:tr>
      <w:tr>
        <w:trPr>
          <w:trHeight w:val="149"/>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4"/>
          </w:tcPr>
          <w:p>
            <w:pPr>
              <w:jc w:val="right"/>
              <w:ind w:right="980"/>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158"/>
        </w:trPr>
        <w:tc>
          <w:tcPr>
            <w:tcW w:w="8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Life insurance premiums and other fees (a)</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1,395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and investment income</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743</w:t>
            </w:r>
          </w:p>
        </w:tc>
        <w:tc>
          <w:tcPr>
            <w:tcW w:w="0" w:type="dxa"/>
            <w:vAlign w:val="bottom"/>
          </w:tcPr>
          <w:p>
            <w:pPr>
              <w:spacing w:after="0"/>
              <w:rPr>
                <w:sz w:val="1"/>
                <w:szCs w:val="1"/>
                <w:color w:val="auto"/>
              </w:rPr>
            </w:pPr>
          </w:p>
        </w:tc>
      </w:tr>
      <w:tr>
        <w:trPr>
          <w:trHeight w:val="155"/>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Recognized gains and losses, net</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w:t>
            </w:r>
          </w:p>
        </w:tc>
        <w:tc>
          <w:tcPr>
            <w:tcW w:w="0" w:type="dxa"/>
            <w:vAlign w:val="bottom"/>
          </w:tcPr>
          <w:p>
            <w:pPr>
              <w:spacing w:after="0"/>
              <w:rPr>
                <w:sz w:val="1"/>
                <w:szCs w:val="1"/>
                <w:color w:val="auto"/>
              </w:rPr>
            </w:pPr>
          </w:p>
        </w:tc>
      </w:tr>
      <w:tr>
        <w:trPr>
          <w:trHeight w:val="151"/>
        </w:trPr>
        <w:tc>
          <w:tcPr>
            <w:tcW w:w="8560" w:type="dxa"/>
            <w:vAlign w:val="bottom"/>
            <w:shd w:val="clear" w:color="auto" w:fill="CCEEFF"/>
          </w:tcPr>
          <w:p>
            <w:pPr>
              <w:ind w:left="360"/>
              <w:spacing w:after="0"/>
              <w:rPr>
                <w:sz w:val="20"/>
                <w:szCs w:val="20"/>
                <w:color w:val="auto"/>
              </w:rPr>
            </w:pPr>
            <w:r>
              <w:rPr>
                <w:rFonts w:ascii="Arial" w:cs="Arial" w:eastAsia="Arial" w:hAnsi="Arial"/>
                <w:sz w:val="12"/>
                <w:szCs w:val="12"/>
                <w:b w:val="1"/>
                <w:bCs w:val="1"/>
                <w:color w:val="auto"/>
              </w:rPr>
              <w:t>Total revenues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1,233</w:t>
            </w:r>
          </w:p>
        </w:tc>
        <w:tc>
          <w:tcPr>
            <w:tcW w:w="0" w:type="dxa"/>
            <w:vAlign w:val="bottom"/>
          </w:tcPr>
          <w:p>
            <w:pPr>
              <w:spacing w:after="0"/>
              <w:rPr>
                <w:sz w:val="1"/>
                <w:szCs w:val="1"/>
                <w:color w:val="auto"/>
              </w:rPr>
            </w:pPr>
          </w:p>
        </w:tc>
      </w:tr>
      <w:tr>
        <w:trPr>
          <w:trHeight w:val="157"/>
        </w:trPr>
        <w:tc>
          <w:tcPr>
            <w:tcW w:w="8560" w:type="dxa"/>
            <w:vAlign w:val="bottom"/>
          </w:tcPr>
          <w:p>
            <w:pPr>
              <w:spacing w:after="0"/>
              <w:rPr>
                <w:sz w:val="20"/>
                <w:szCs w:val="20"/>
                <w:color w:val="auto"/>
              </w:rPr>
            </w:pPr>
            <w:r>
              <w:rPr>
                <w:rFonts w:ascii="Arial" w:cs="Arial" w:eastAsia="Arial" w:hAnsi="Arial"/>
                <w:sz w:val="12"/>
                <w:szCs w:val="12"/>
                <w:b w:val="1"/>
                <w:bCs w:val="1"/>
                <w:color w:val="auto"/>
              </w:rPr>
              <w:t>Expenses:</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Benefits and other changes in policy reserves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w:t>
            </w:r>
          </w:p>
        </w:tc>
        <w:tc>
          <w:tcPr>
            <w:tcW w:w="0" w:type="dxa"/>
            <w:vAlign w:val="bottom"/>
          </w:tcPr>
          <w:p>
            <w:pPr>
              <w:spacing w:after="0"/>
              <w:rPr>
                <w:sz w:val="1"/>
                <w:szCs w:val="1"/>
                <w:color w:val="auto"/>
              </w:rPr>
            </w:pP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Personnel costs</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operating expenses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484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expense</w:t>
            </w: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7"/>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2"/>
                <w:szCs w:val="12"/>
                <w:b w:val="1"/>
                <w:bCs w:val="1"/>
                <w:color w:val="auto"/>
              </w:rPr>
              <w:t>Total expenses</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2,885</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1,147</w:t>
            </w:r>
          </w:p>
        </w:tc>
        <w:tc>
          <w:tcPr>
            <w:tcW w:w="0" w:type="dxa"/>
            <w:vAlign w:val="bottom"/>
          </w:tcPr>
          <w:p>
            <w:pPr>
              <w:spacing w:after="0"/>
              <w:rPr>
                <w:sz w:val="1"/>
                <w:szCs w:val="1"/>
                <w:color w:val="auto"/>
              </w:rPr>
            </w:pPr>
          </w:p>
        </w:tc>
      </w:tr>
      <w:tr>
        <w:trPr>
          <w:trHeight w:val="151"/>
        </w:trPr>
        <w:tc>
          <w:tcPr>
            <w:tcW w:w="8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before income taxes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55"/>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Income tax (expense) benefit</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51"/>
        </w:trPr>
        <w:tc>
          <w:tcPr>
            <w:tcW w:w="8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0" w:type="dxa"/>
            <w:vAlign w:val="bottom"/>
          </w:tcPr>
          <w:p>
            <w:pPr>
              <w:spacing w:after="0"/>
              <w:rPr>
                <w:sz w:val="1"/>
                <w:szCs w:val="1"/>
                <w:color w:val="auto"/>
              </w:rPr>
            </w:pPr>
          </w:p>
        </w:tc>
      </w:tr>
      <w:tr>
        <w:trPr>
          <w:trHeight w:val="147"/>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Earnings (loss) from discontinued operations, net of tax</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7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earnings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865</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line="114" w:lineRule="exact"/>
              <w:rPr>
                <w:sz w:val="20"/>
                <w:szCs w:val="20"/>
                <w:color w:val="auto"/>
              </w:rPr>
            </w:pPr>
            <w:r>
              <w:rPr>
                <w:rFonts w:ascii="Arial" w:cs="Arial" w:eastAsia="Arial" w:hAnsi="Arial"/>
                <w:sz w:val="11"/>
                <w:szCs w:val="11"/>
                <w:color w:val="auto"/>
              </w:rPr>
              <w:t>(a) Included within Escrow, title-related and other fees in Consolidated Statements of Earnings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8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summarizes sales by product type of our F&amp;G segment, which are not affected by the June 1, 2020 Business Combination, and are comparable to prior period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2"/>
                <w:szCs w:val="12"/>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r>
      <w:tr>
        <w:trPr>
          <w:trHeight w:val="153"/>
        </w:trPr>
        <w:tc>
          <w:tcPr>
            <w:tcW w:w="8400" w:type="dxa"/>
            <w:vAlign w:val="bottom"/>
          </w:tcPr>
          <w:p>
            <w:pPr>
              <w:spacing w:after="0"/>
              <w:rPr>
                <w:sz w:val="13"/>
                <w:szCs w:val="1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3"/>
                <w:szCs w:val="13"/>
                <w:color w:val="auto"/>
              </w:rPr>
            </w:pPr>
          </w:p>
        </w:tc>
      </w:tr>
      <w:tr>
        <w:trPr>
          <w:trHeight w:val="149"/>
        </w:trPr>
        <w:tc>
          <w:tcPr>
            <w:tcW w:w="8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2"/>
                <w:szCs w:val="12"/>
                <w:b w:val="1"/>
                <w:bCs w:val="1"/>
                <w:color w:val="auto"/>
              </w:rPr>
              <w:t>(In millions)</w:t>
            </w:r>
          </w:p>
        </w:tc>
        <w:tc>
          <w:tcPr>
            <w:tcW w:w="440" w:type="dxa"/>
            <w:vAlign w:val="bottom"/>
          </w:tcPr>
          <w:p>
            <w:pPr>
              <w:spacing w:after="0"/>
              <w:rPr>
                <w:sz w:val="12"/>
                <w:szCs w:val="12"/>
                <w:color w:val="auto"/>
              </w:rPr>
            </w:pPr>
          </w:p>
        </w:tc>
      </w:tr>
      <w:tr>
        <w:trPr>
          <w:trHeight w:val="158"/>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Fixed indexed annuities (FIA)</w:t>
            </w: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4,310</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3,459</w:t>
            </w:r>
          </w:p>
        </w:tc>
      </w:tr>
      <w:tr>
        <w:trPr>
          <w:trHeight w:val="155"/>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Fixed rate annuities (MYGA)</w:t>
            </w: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1,738</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776</w:t>
            </w:r>
          </w:p>
        </w:tc>
      </w:tr>
      <w:tr>
        <w:trPr>
          <w:trHeight w:val="151"/>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Total annuity</w:t>
            </w: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6,048</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4,235</w:t>
            </w:r>
          </w:p>
        </w:tc>
      </w:tr>
      <w:tr>
        <w:trPr>
          <w:trHeight w:val="155"/>
        </w:trPr>
        <w:tc>
          <w:tcPr>
            <w:tcW w:w="8400" w:type="dxa"/>
            <w:vAlign w:val="bottom"/>
          </w:tcPr>
          <w:p>
            <w:pPr>
              <w:spacing w:after="0"/>
              <w:rPr>
                <w:sz w:val="20"/>
                <w:szCs w:val="20"/>
                <w:color w:val="auto"/>
              </w:rPr>
            </w:pPr>
            <w:r>
              <w:rPr>
                <w:rFonts w:ascii="Arial" w:cs="Arial" w:eastAsia="Arial" w:hAnsi="Arial"/>
                <w:sz w:val="12"/>
                <w:szCs w:val="12"/>
                <w:color w:val="auto"/>
              </w:rPr>
              <w:t>Indexed universal life (IUL)</w:t>
            </w: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60"/>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Funding agreements (FABN/FHLB)</w:t>
            </w: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2,310</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r>
      <w:tr>
        <w:trPr>
          <w:trHeight w:val="155"/>
        </w:trPr>
        <w:tc>
          <w:tcPr>
            <w:tcW w:w="8400" w:type="dxa"/>
            <w:vAlign w:val="bottom"/>
          </w:tcPr>
          <w:p>
            <w:pPr>
              <w:spacing w:after="0"/>
              <w:rPr>
                <w:sz w:val="20"/>
                <w:szCs w:val="20"/>
                <w:color w:val="auto"/>
              </w:rPr>
            </w:pPr>
            <w:r>
              <w:rPr>
                <w:rFonts w:ascii="Arial" w:cs="Arial" w:eastAsia="Arial" w:hAnsi="Arial"/>
                <w:sz w:val="12"/>
                <w:szCs w:val="12"/>
                <w:color w:val="auto"/>
              </w:rPr>
              <w:t>Pension risk transfer (PRT)</w:t>
            </w: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1,147</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Flow reinsurance</w:t>
            </w:r>
          </w:p>
        </w:tc>
        <w:tc>
          <w:tcPr>
            <w:tcW w:w="9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w:t>
            </w:r>
          </w:p>
        </w:tc>
      </w:tr>
      <w:tr>
        <w:trPr>
          <w:trHeight w:val="144"/>
        </w:trPr>
        <w:tc>
          <w:tcPr>
            <w:tcW w:w="8400" w:type="dxa"/>
            <w:vAlign w:val="bottom"/>
          </w:tcPr>
          <w:p>
            <w:pPr>
              <w:spacing w:after="0"/>
              <w:rPr>
                <w:sz w:val="20"/>
                <w:szCs w:val="20"/>
                <w:color w:val="auto"/>
              </w:rPr>
            </w:pPr>
            <w:r>
              <w:rPr>
                <w:rFonts w:ascii="Arial" w:cs="Arial" w:eastAsia="Arial" w:hAnsi="Arial"/>
                <w:sz w:val="12"/>
                <w:szCs w:val="12"/>
                <w:b w:val="1"/>
                <w:bCs w:val="1"/>
                <w:color w:val="auto"/>
              </w:rPr>
              <w:t>Total Sales</w:t>
            </w:r>
          </w:p>
        </w:tc>
        <w:tc>
          <w:tcPr>
            <w:tcW w:w="940" w:type="dxa"/>
            <w:vAlign w:val="bottom"/>
            <w:tcBorders>
              <w:top w:val="single" w:sz="8" w:color="auto"/>
            </w:tcBorders>
          </w:tcPr>
          <w:p>
            <w:pPr>
              <w:jc w:val="right"/>
              <w:ind w:right="800"/>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9,592</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ind w:right="800"/>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4,837</w:t>
            </w:r>
          </w:p>
        </w:tc>
      </w:tr>
    </w:tbl>
    <w:p>
      <w:pPr>
        <w:spacing w:after="0" w:line="200" w:lineRule="exact"/>
        <w:rPr>
          <w:sz w:val="20"/>
          <w:szCs w:val="20"/>
          <w:color w:val="auto"/>
        </w:rPr>
      </w:pPr>
    </w:p>
    <w:p>
      <w:pPr>
        <w:spacing w:after="0" w:line="211" w:lineRule="exact"/>
        <w:rPr>
          <w:sz w:val="20"/>
          <w:szCs w:val="20"/>
          <w:color w:val="auto"/>
        </w:rPr>
      </w:pPr>
    </w:p>
    <w:p>
      <w:pPr>
        <w:ind w:left="540" w:hanging="279"/>
        <w:spacing w:after="0" w:line="274" w:lineRule="auto"/>
        <w:tabs>
          <w:tab w:leader="none" w:pos="536" w:val="left"/>
        </w:tabs>
        <w:numPr>
          <w:ilvl w:val="0"/>
          <w:numId w:val="31"/>
        </w:numPr>
        <w:rPr>
          <w:rFonts w:ascii="Arial" w:cs="Arial" w:eastAsia="Arial" w:hAnsi="Arial"/>
          <w:sz w:val="15"/>
          <w:szCs w:val="15"/>
          <w:color w:val="auto"/>
        </w:rPr>
      </w:pPr>
      <w:r>
        <w:rPr>
          <w:rFonts w:ascii="Arial" w:cs="Arial" w:eastAsia="Arial" w:hAnsi="Arial"/>
          <w:sz w:val="15"/>
          <w:szCs w:val="15"/>
          <w:color w:val="auto"/>
        </w:rPr>
        <w:t>FIA and MYGA sales were strong during the year ended December 31, 2021 compared to the year ended December 31, 2020 and reflect F&amp;G's productive and expanding retail distribution through independent agents, banks and broker dealers.</w:t>
      </w:r>
    </w:p>
    <w:p>
      <w:pPr>
        <w:spacing w:after="0" w:line="56" w:lineRule="exact"/>
        <w:rPr>
          <w:rFonts w:ascii="Arial" w:cs="Arial" w:eastAsia="Arial" w:hAnsi="Arial"/>
          <w:sz w:val="15"/>
          <w:szCs w:val="15"/>
          <w:color w:val="auto"/>
        </w:rPr>
      </w:pPr>
    </w:p>
    <w:p>
      <w:pPr>
        <w:ind w:left="540" w:right="20" w:hanging="279"/>
        <w:spacing w:after="0" w:line="274" w:lineRule="auto"/>
        <w:tabs>
          <w:tab w:leader="none" w:pos="536" w:val="left"/>
        </w:tabs>
        <w:numPr>
          <w:ilvl w:val="0"/>
          <w:numId w:val="31"/>
        </w:numPr>
        <w:rPr>
          <w:rFonts w:ascii="Arial" w:cs="Arial" w:eastAsia="Arial" w:hAnsi="Arial"/>
          <w:sz w:val="15"/>
          <w:szCs w:val="15"/>
          <w:color w:val="auto"/>
        </w:rPr>
      </w:pPr>
      <w:r>
        <w:rPr>
          <w:rFonts w:ascii="Arial" w:cs="Arial" w:eastAsia="Arial" w:hAnsi="Arial"/>
          <w:sz w:val="15"/>
          <w:szCs w:val="15"/>
          <w:color w:val="auto"/>
        </w:rPr>
        <w:t>Funding agreements and pension risk transfer sales during the year ended December 31, 2021 reflect F&amp;G's expansion into institutional markets during 2021 and are subject to fluctuation period to period.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6" w:name="page67"/>
    <w:bookmarkEnd w:id="6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Life insurance premiums and other fees</w:t>
      </w:r>
    </w:p>
    <w:p>
      <w:pPr>
        <w:spacing w:after="0" w:line="215"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5"/>
          <w:szCs w:val="15"/>
          <w:color w:val="auto"/>
        </w:rPr>
        <w:t>Life insurance premiums and other fees primarily reflect premiums on life-contingent pension risk transfers and traditional life insurance products, which are recognized as revenue when due from the policyholder, as well as the cost of insurance on IUL policies, policy rider fees primarily on FIA policies, and surrender charges assessed against policy withdrawals in excess of the policyholder's allowable penalty-free amounts (up to 10% of the prior year's value, subject to certain limitations). The following table summarizes the Life insurance premiums and other fees, included within Escrow, title-related and other fees on the Consolidated Statements of Earnings (in millions), for the year ended December 31, 2021 and seven months ended December 31, 2020 (following our June 1 acquisition of F&amp;G):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6"/>
              </w:rPr>
              <w:t>Year ended</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87"/>
              </w:rPr>
              <w:t>Seven months ended</w:t>
            </w:r>
          </w:p>
        </w:tc>
      </w:tr>
      <w:tr>
        <w:trPr>
          <w:trHeight w:val="153"/>
        </w:trPr>
        <w:tc>
          <w:tcPr>
            <w:tcW w:w="8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8"/>
              </w:rPr>
              <w:t>December 31, 2021</w:t>
            </w: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90"/>
              </w:rPr>
              <w:t>December 31, 2020</w:t>
            </w:r>
          </w:p>
        </w:tc>
      </w:tr>
      <w:tr>
        <w:trPr>
          <w:trHeight w:val="145"/>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5"/>
          </w:tcPr>
          <w:p>
            <w:pPr>
              <w:ind w:left="960"/>
              <w:spacing w:after="0"/>
              <w:rPr>
                <w:sz w:val="20"/>
                <w:szCs w:val="20"/>
                <w:color w:val="auto"/>
              </w:rPr>
            </w:pPr>
            <w:r>
              <w:rPr>
                <w:rFonts w:ascii="Arial" w:cs="Arial" w:eastAsia="Arial" w:hAnsi="Arial"/>
                <w:sz w:val="12"/>
                <w:szCs w:val="12"/>
                <w:b w:val="1"/>
                <w:bCs w:val="1"/>
                <w:color w:val="auto"/>
              </w:rPr>
              <w:t>(In millions)</w:t>
            </w:r>
          </w:p>
        </w:tc>
      </w:tr>
      <w:tr>
        <w:trPr>
          <w:trHeight w:val="158"/>
        </w:trPr>
        <w:tc>
          <w:tcPr>
            <w:tcW w:w="8460" w:type="dxa"/>
            <w:vAlign w:val="bottom"/>
          </w:tcPr>
          <w:p>
            <w:pPr>
              <w:spacing w:after="0"/>
              <w:rPr>
                <w:sz w:val="20"/>
                <w:szCs w:val="20"/>
                <w:color w:val="auto"/>
              </w:rPr>
            </w:pPr>
            <w:r>
              <w:rPr>
                <w:rFonts w:ascii="Arial" w:cs="Arial" w:eastAsia="Arial" w:hAnsi="Arial"/>
                <w:sz w:val="12"/>
                <w:szCs w:val="12"/>
                <w:color w:val="auto"/>
              </w:rPr>
              <w:t>Life-contingent pension risk transfer premiums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1,146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62"/>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Traditional life insurance premiums</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4"/>
                <w:szCs w:val="14"/>
                <w:color w:val="auto"/>
              </w:rPr>
            </w:pPr>
          </w:p>
        </w:tc>
      </w:tr>
      <w:tr>
        <w:trPr>
          <w:trHeight w:val="155"/>
        </w:trPr>
        <w:tc>
          <w:tcPr>
            <w:tcW w:w="8460" w:type="dxa"/>
            <w:vAlign w:val="bottom"/>
          </w:tcPr>
          <w:p>
            <w:pPr>
              <w:spacing w:after="0"/>
              <w:rPr>
                <w:sz w:val="20"/>
                <w:szCs w:val="20"/>
                <w:color w:val="auto"/>
              </w:rPr>
            </w:pPr>
            <w:r>
              <w:rPr>
                <w:rFonts w:ascii="Arial" w:cs="Arial" w:eastAsia="Arial" w:hAnsi="Arial"/>
                <w:sz w:val="12"/>
                <w:szCs w:val="12"/>
                <w:color w:val="auto"/>
              </w:rPr>
              <w:t>Life-contingent immediate annuity premiums</w:t>
            </w: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r>
      <w:tr>
        <w:trPr>
          <w:trHeight w:val="160"/>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Surrender charges</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3"/>
                <w:szCs w:val="13"/>
                <w:color w:val="auto"/>
              </w:rPr>
            </w:pPr>
          </w:p>
        </w:tc>
      </w:tr>
      <w:tr>
        <w:trPr>
          <w:trHeight w:val="155"/>
        </w:trPr>
        <w:tc>
          <w:tcPr>
            <w:tcW w:w="8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insurance fees and other income</w:t>
            </w: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w:t>
            </w:r>
          </w:p>
        </w:tc>
        <w:tc>
          <w:tcPr>
            <w:tcW w:w="80" w:type="dxa"/>
            <w:vAlign w:val="bottom"/>
            <w:tcBorders>
              <w:bottom w:val="single" w:sz="8" w:color="CCEEFF"/>
            </w:tcBorders>
          </w:tcPr>
          <w:p>
            <w:pPr>
              <w:spacing w:after="0"/>
              <w:rPr>
                <w:sz w:val="13"/>
                <w:szCs w:val="13"/>
                <w:color w:val="auto"/>
              </w:rPr>
            </w:pPr>
          </w:p>
        </w:tc>
      </w:tr>
      <w:tr>
        <w:trPr>
          <w:trHeight w:val="176"/>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Life insurance premiums and other fees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327" w:lineRule="exact"/>
        <w:rPr>
          <w:sz w:val="20"/>
          <w:szCs w:val="20"/>
          <w:color w:val="auto"/>
        </w:rPr>
      </w:pPr>
    </w:p>
    <w:p>
      <w:pPr>
        <w:ind w:left="520" w:hanging="259"/>
        <w:spacing w:after="0"/>
        <w:tabs>
          <w:tab w:leader="none" w:pos="5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Pension risk transfer premiums for the twelve months ended December 31, 2021 reflect new PRT deals for the period.</w:t>
      </w:r>
    </w:p>
    <w:p>
      <w:pPr>
        <w:spacing w:after="0" w:line="64" w:lineRule="exact"/>
        <w:rPr>
          <w:rFonts w:ascii="Arial" w:cs="Arial" w:eastAsia="Arial" w:hAnsi="Arial"/>
          <w:sz w:val="15"/>
          <w:szCs w:val="15"/>
          <w:color w:val="auto"/>
        </w:rPr>
      </w:pPr>
    </w:p>
    <w:p>
      <w:pPr>
        <w:jc w:val="both"/>
        <w:ind w:left="540" w:hanging="279"/>
        <w:spacing w:after="0" w:line="262" w:lineRule="auto"/>
        <w:tabs>
          <w:tab w:leader="none" w:pos="536" w:val="left"/>
        </w:tabs>
        <w:numPr>
          <w:ilvl w:val="0"/>
          <w:numId w:val="32"/>
        </w:numPr>
        <w:rPr>
          <w:rFonts w:ascii="Arial" w:cs="Arial" w:eastAsia="Arial" w:hAnsi="Arial"/>
          <w:sz w:val="15"/>
          <w:szCs w:val="15"/>
          <w:color w:val="auto"/>
        </w:rPr>
      </w:pPr>
      <w:r>
        <w:rPr>
          <w:rFonts w:ascii="Arial" w:cs="Arial" w:eastAsia="Arial" w:hAnsi="Arial"/>
          <w:sz w:val="15"/>
          <w:szCs w:val="15"/>
          <w:color w:val="auto"/>
        </w:rPr>
        <w:t>Traditional life insurance premiums for the twelve months ended December 31, 2021, and seven months ended December 31, 2020 are related to the return of premium riders on traditional life contracts. FGL Insurance has ceded the majority of its traditional life business to unaffiliated third party reinsurers. While the base contract has been reinsured, we continue to retain the return of premium rider.</w:t>
      </w:r>
    </w:p>
    <w:p>
      <w:pPr>
        <w:spacing w:after="0" w:line="66" w:lineRule="exact"/>
        <w:rPr>
          <w:rFonts w:ascii="Arial" w:cs="Arial" w:eastAsia="Arial" w:hAnsi="Arial"/>
          <w:sz w:val="15"/>
          <w:szCs w:val="15"/>
          <w:color w:val="auto"/>
        </w:rPr>
      </w:pPr>
    </w:p>
    <w:p>
      <w:pPr>
        <w:ind w:left="520" w:hanging="259"/>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Immediate annuity premiums for the twelve months ended December 31, 2021 and seven months ended December 31, 2020 reflect policyholder behavior for annuitizations.</w:t>
      </w:r>
    </w:p>
    <w:p>
      <w:pPr>
        <w:spacing w:after="0" w:line="109" w:lineRule="exact"/>
        <w:rPr>
          <w:rFonts w:ascii="Arial" w:cs="Arial" w:eastAsia="Arial" w:hAnsi="Arial"/>
          <w:sz w:val="14"/>
          <w:szCs w:val="14"/>
          <w:color w:val="auto"/>
        </w:rPr>
      </w:pPr>
    </w:p>
    <w:p>
      <w:pPr>
        <w:ind w:left="540" w:right="20" w:hanging="279"/>
        <w:spacing w:after="0" w:line="274" w:lineRule="auto"/>
        <w:tabs>
          <w:tab w:leader="none" w:pos="536"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Surrender charges for the twelve months ended December 31, 2021 and seven months ended December 31, 2020 reflect amounts assessed against policy withdrawals in excess of the policyholder's allowable penalty-free amounts.</w:t>
      </w:r>
    </w:p>
    <w:p>
      <w:pPr>
        <w:spacing w:after="0" w:line="56" w:lineRule="exact"/>
        <w:rPr>
          <w:rFonts w:ascii="Arial" w:cs="Arial" w:eastAsia="Arial" w:hAnsi="Arial"/>
          <w:sz w:val="15"/>
          <w:szCs w:val="15"/>
          <w:color w:val="auto"/>
        </w:rPr>
      </w:pPr>
    </w:p>
    <w:p>
      <w:pPr>
        <w:jc w:val="both"/>
        <w:ind w:left="540" w:hanging="279"/>
        <w:spacing w:after="0" w:line="262" w:lineRule="auto"/>
        <w:tabs>
          <w:tab w:leader="none" w:pos="536"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Cost of insurance fees and other income for the twelve months ended December 31, 2021 and seven months ended December 31, 2020 primarily reflects GMWB rider fees of $137 million and $72 million, respectively, and cost of insurance charges on IUL policies, net of unearned revenue deferrals, of $31 million and $22 million, respectively. GMWB rider fees are based on the policyholder's benefit base and are collected at the end of the policy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7" w:name="page68"/>
    <w:bookmarkEnd w:id="6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and investment income</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Below is a summary of interest and investment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9"/>
              </w:rPr>
              <w:t>Year ended</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89"/>
              </w:rPr>
              <w:t>Seven months ended</w:t>
            </w:r>
          </w:p>
        </w:tc>
      </w:tr>
      <w:tr>
        <w:trPr>
          <w:trHeight w:val="153"/>
        </w:trPr>
        <w:tc>
          <w:tcPr>
            <w:tcW w:w="8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8"/>
              </w:rPr>
              <w:t>December 31, 2021</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6"/>
              </w:rPr>
              <w:t>December 31, 2020</w:t>
            </w:r>
          </w:p>
        </w:tc>
      </w:tr>
      <w:tr>
        <w:trPr>
          <w:trHeight w:val="149"/>
        </w:trPr>
        <w:tc>
          <w:tcPr>
            <w:tcW w:w="8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4"/>
          </w:tcPr>
          <w:p>
            <w:pPr>
              <w:jc w:val="right"/>
              <w:ind w:right="1040"/>
              <w:spacing w:after="0"/>
              <w:rPr>
                <w:sz w:val="20"/>
                <w:szCs w:val="20"/>
                <w:color w:val="auto"/>
              </w:rPr>
            </w:pPr>
            <w:r>
              <w:rPr>
                <w:rFonts w:ascii="Arial" w:cs="Arial" w:eastAsia="Arial" w:hAnsi="Arial"/>
                <w:sz w:val="12"/>
                <w:szCs w:val="12"/>
                <w:b w:val="1"/>
                <w:bCs w:val="1"/>
                <w:color w:val="auto"/>
              </w:rPr>
              <w:t>(In millions)</w:t>
            </w:r>
          </w:p>
        </w:tc>
      </w:tr>
      <w:tr>
        <w:trPr>
          <w:trHeight w:val="158"/>
        </w:trPr>
        <w:tc>
          <w:tcPr>
            <w:tcW w:w="8420" w:type="dxa"/>
            <w:vAlign w:val="bottom"/>
            <w:shd w:val="clear" w:color="auto" w:fill="CCEEFF"/>
          </w:tcPr>
          <w:p>
            <w:pPr>
              <w:spacing w:after="0"/>
              <w:rPr>
                <w:sz w:val="20"/>
                <w:szCs w:val="20"/>
                <w:color w:val="auto"/>
              </w:rPr>
            </w:pPr>
            <w:r>
              <w:rPr>
                <w:rFonts w:ascii="Arial" w:cs="Arial" w:eastAsia="Arial" w:hAnsi="Arial"/>
                <w:sz w:val="12"/>
                <w:szCs w:val="12"/>
                <w:color w:val="auto"/>
              </w:rPr>
              <w:t>Fixed maturity securities, available-for-sale</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w:t>
            </w:r>
          </w:p>
        </w:tc>
      </w:tr>
      <w:tr>
        <w:trPr>
          <w:trHeight w:val="155"/>
        </w:trPr>
        <w:tc>
          <w:tcPr>
            <w:tcW w:w="8420" w:type="dxa"/>
            <w:vAlign w:val="bottom"/>
          </w:tcPr>
          <w:p>
            <w:pPr>
              <w:spacing w:after="0"/>
              <w:rPr>
                <w:sz w:val="20"/>
                <w:szCs w:val="20"/>
                <w:color w:val="auto"/>
              </w:rPr>
            </w:pPr>
            <w:r>
              <w:rPr>
                <w:rFonts w:ascii="Arial" w:cs="Arial" w:eastAsia="Arial" w:hAnsi="Arial"/>
                <w:sz w:val="12"/>
                <w:szCs w:val="12"/>
                <w:color w:val="auto"/>
              </w:rPr>
              <w:t>Equity securities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60"/>
        </w:trPr>
        <w:tc>
          <w:tcPr>
            <w:tcW w:w="8420" w:type="dxa"/>
            <w:vAlign w:val="bottom"/>
            <w:shd w:val="clear" w:color="auto" w:fill="CCEEFF"/>
          </w:tcPr>
          <w:p>
            <w:pPr>
              <w:spacing w:after="0"/>
              <w:rPr>
                <w:sz w:val="20"/>
                <w:szCs w:val="20"/>
                <w:color w:val="auto"/>
              </w:rPr>
            </w:pPr>
            <w:r>
              <w:rPr>
                <w:rFonts w:ascii="Arial" w:cs="Arial" w:eastAsia="Arial" w:hAnsi="Arial"/>
                <w:sz w:val="12"/>
                <w:szCs w:val="12"/>
                <w:color w:val="auto"/>
              </w:rPr>
              <w:t>Mortgage loans</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r>
      <w:tr>
        <w:trPr>
          <w:trHeight w:val="155"/>
        </w:trPr>
        <w:tc>
          <w:tcPr>
            <w:tcW w:w="8420" w:type="dxa"/>
            <w:vAlign w:val="bottom"/>
          </w:tcPr>
          <w:p>
            <w:pPr>
              <w:spacing w:after="0"/>
              <w:rPr>
                <w:sz w:val="20"/>
                <w:szCs w:val="20"/>
                <w:color w:val="auto"/>
              </w:rPr>
            </w:pPr>
            <w:r>
              <w:rPr>
                <w:rFonts w:ascii="Arial" w:cs="Arial" w:eastAsia="Arial" w:hAnsi="Arial"/>
                <w:sz w:val="12"/>
                <w:szCs w:val="12"/>
                <w:color w:val="auto"/>
              </w:rPr>
              <w:t>Limited partnerships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60"/>
        </w:trPr>
        <w:tc>
          <w:tcPr>
            <w:tcW w:w="8420" w:type="dxa"/>
            <w:vAlign w:val="bottom"/>
            <w:shd w:val="clear" w:color="auto" w:fill="CCEEFF"/>
          </w:tcPr>
          <w:p>
            <w:pPr>
              <w:spacing w:after="0"/>
              <w:rPr>
                <w:sz w:val="20"/>
                <w:szCs w:val="20"/>
                <w:color w:val="auto"/>
              </w:rPr>
            </w:pPr>
            <w:r>
              <w:rPr>
                <w:rFonts w:ascii="Arial" w:cs="Arial" w:eastAsia="Arial" w:hAnsi="Arial"/>
                <w:sz w:val="12"/>
                <w:szCs w:val="12"/>
                <w:color w:val="auto"/>
              </w:rPr>
              <w:t>Other investments</w:t>
            </w:r>
          </w:p>
        </w:tc>
        <w:tc>
          <w:tcPr>
            <w:tcW w:w="1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47"/>
        </w:trPr>
        <w:tc>
          <w:tcPr>
            <w:tcW w:w="8420" w:type="dxa"/>
            <w:vAlign w:val="bottom"/>
          </w:tcPr>
          <w:p>
            <w:pPr>
              <w:ind w:left="180"/>
              <w:spacing w:after="0"/>
              <w:rPr>
                <w:sz w:val="20"/>
                <w:szCs w:val="20"/>
                <w:color w:val="auto"/>
              </w:rPr>
            </w:pPr>
            <w:r>
              <w:rPr>
                <w:rFonts w:ascii="Arial" w:cs="Arial" w:eastAsia="Arial" w:hAnsi="Arial"/>
                <w:sz w:val="12"/>
                <w:szCs w:val="12"/>
                <w:color w:val="auto"/>
              </w:rPr>
              <w:t>Gross investment income</w:t>
            </w:r>
          </w:p>
        </w:tc>
        <w:tc>
          <w:tcPr>
            <w:tcW w:w="1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2,015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819</w:t>
            </w:r>
          </w:p>
        </w:tc>
      </w:tr>
      <w:tr>
        <w:trPr>
          <w:trHeight w:val="158"/>
        </w:trPr>
        <w:tc>
          <w:tcPr>
            <w:tcW w:w="8420" w:type="dxa"/>
            <w:vAlign w:val="bottom"/>
            <w:shd w:val="clear" w:color="auto" w:fill="CCEEFF"/>
          </w:tcPr>
          <w:p>
            <w:pPr>
              <w:spacing w:after="0"/>
              <w:rPr>
                <w:sz w:val="20"/>
                <w:szCs w:val="20"/>
                <w:color w:val="auto"/>
              </w:rPr>
            </w:pPr>
            <w:r>
              <w:rPr>
                <w:rFonts w:ascii="Arial" w:cs="Arial" w:eastAsia="Arial" w:hAnsi="Arial"/>
                <w:sz w:val="12"/>
                <w:szCs w:val="12"/>
                <w:color w:val="auto"/>
              </w:rPr>
              <w:t>Investment expense</w:t>
            </w:r>
          </w:p>
        </w:tc>
        <w:tc>
          <w:tcPr>
            <w:tcW w:w="1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w:t>
            </w:r>
          </w:p>
        </w:tc>
      </w:tr>
      <w:tr>
        <w:trPr>
          <w:trHeight w:val="151"/>
        </w:trPr>
        <w:tc>
          <w:tcPr>
            <w:tcW w:w="8420" w:type="dxa"/>
            <w:vAlign w:val="bottom"/>
          </w:tcPr>
          <w:p>
            <w:pPr>
              <w:ind w:left="180"/>
              <w:spacing w:after="0"/>
              <w:rPr>
                <w:sz w:val="20"/>
                <w:szCs w:val="20"/>
                <w:color w:val="auto"/>
              </w:rPr>
            </w:pPr>
            <w:r>
              <w:rPr>
                <w:rFonts w:ascii="Arial" w:cs="Arial" w:eastAsia="Arial" w:hAnsi="Arial"/>
                <w:sz w:val="12"/>
                <w:szCs w:val="12"/>
                <w:b w:val="1"/>
                <w:bCs w:val="1"/>
                <w:color w:val="auto"/>
              </w:rPr>
              <w:t>Interest and investment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1,852</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743</w:t>
            </w:r>
          </w:p>
        </w:tc>
      </w:tr>
      <w:tr>
        <w:trPr>
          <w:trHeight w:val="20"/>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net investment spread and AAUM are summarized as follows (annualized) (see Non-GAAP Financial Measures Section):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9"/>
              </w:rPr>
              <w:t>Year ended</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87"/>
              </w:rPr>
              <w:t>Seven months ended</w:t>
            </w:r>
          </w:p>
        </w:tc>
        <w:tc>
          <w:tcPr>
            <w:tcW w:w="0" w:type="dxa"/>
            <w:vAlign w:val="bottom"/>
          </w:tcPr>
          <w:p>
            <w:pPr>
              <w:spacing w:after="0"/>
              <w:rPr>
                <w:sz w:val="1"/>
                <w:szCs w:val="1"/>
                <w:color w:val="auto"/>
              </w:rPr>
            </w:pPr>
          </w:p>
        </w:tc>
      </w:tr>
      <w:tr>
        <w:trPr>
          <w:trHeight w:val="153"/>
        </w:trPr>
        <w:tc>
          <w:tcPr>
            <w:tcW w:w="8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0"/>
              </w:rPr>
              <w:t>December 31, 2021</w:t>
            </w: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December 31, 2020</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4"/>
          </w:tcPr>
          <w:p>
            <w:pPr>
              <w:jc w:val="right"/>
              <w:ind w:right="840"/>
              <w:spacing w:after="0"/>
              <w:rPr>
                <w:sz w:val="20"/>
                <w:szCs w:val="20"/>
                <w:color w:val="auto"/>
              </w:rPr>
            </w:pPr>
            <w:r>
              <w:rPr>
                <w:rFonts w:ascii="Arial" w:cs="Arial" w:eastAsia="Arial" w:hAnsi="Arial"/>
                <w:sz w:val="12"/>
                <w:szCs w:val="12"/>
                <w:b w:val="1"/>
                <w:bCs w:val="1"/>
                <w:color w:val="auto"/>
              </w:rPr>
              <w:t>(Dollars in millions)</w:t>
            </w:r>
          </w:p>
        </w:tc>
        <w:tc>
          <w:tcPr>
            <w:tcW w:w="0" w:type="dxa"/>
            <w:vAlign w:val="bottom"/>
          </w:tcPr>
          <w:p>
            <w:pPr>
              <w:spacing w:after="0"/>
              <w:rPr>
                <w:sz w:val="1"/>
                <w:szCs w:val="1"/>
                <w:color w:val="auto"/>
              </w:rPr>
            </w:pPr>
          </w:p>
        </w:tc>
      </w:tr>
      <w:tr>
        <w:trPr>
          <w:trHeight w:val="158"/>
        </w:trPr>
        <w:tc>
          <w:tcPr>
            <w:tcW w:w="8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Yield on AAUM (at amortized cost)</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5.80 %</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4.66 %</w:t>
            </w:r>
          </w:p>
        </w:tc>
        <w:tc>
          <w:tcPr>
            <w:tcW w:w="0" w:type="dxa"/>
            <w:vAlign w:val="bottom"/>
          </w:tcPr>
          <w:p>
            <w:pPr>
              <w:spacing w:after="0"/>
              <w:rPr>
                <w:sz w:val="1"/>
                <w:szCs w:val="1"/>
                <w:color w:val="auto"/>
              </w:rPr>
            </w:pPr>
          </w:p>
        </w:tc>
      </w:tr>
      <w:tr>
        <w:trPr>
          <w:trHeight w:val="155"/>
        </w:trPr>
        <w:tc>
          <w:tcPr>
            <w:tcW w:w="8460" w:type="dxa"/>
            <w:vAlign w:val="bottom"/>
            <w:gridSpan w:val="2"/>
          </w:tcPr>
          <w:p>
            <w:pPr>
              <w:spacing w:after="0"/>
              <w:rPr>
                <w:sz w:val="20"/>
                <w:szCs w:val="20"/>
                <w:color w:val="auto"/>
              </w:rPr>
            </w:pPr>
            <w:r>
              <w:rPr>
                <w:rFonts w:ascii="Arial" w:cs="Arial" w:eastAsia="Arial" w:hAnsi="Arial"/>
                <w:sz w:val="12"/>
                <w:szCs w:val="12"/>
                <w:color w:val="auto"/>
              </w:rPr>
              <w:t>Alternative investment yield adjustment</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0.07 %</w:t>
            </w:r>
          </w:p>
        </w:tc>
        <w:tc>
          <w:tcPr>
            <w:tcW w:w="0" w:type="dxa"/>
            <w:vAlign w:val="bottom"/>
          </w:tcPr>
          <w:p>
            <w:pPr>
              <w:spacing w:after="0"/>
              <w:rPr>
                <w:sz w:val="1"/>
                <w:szCs w:val="1"/>
                <w:color w:val="auto"/>
              </w:rPr>
            </w:pPr>
          </w:p>
        </w:tc>
      </w:tr>
      <w:tr>
        <w:trPr>
          <w:trHeight w:val="151"/>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Adjusted yield on AAUM</w:t>
            </w: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4.76 %</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4.73 %</w:t>
            </w:r>
          </w:p>
        </w:tc>
        <w:tc>
          <w:tcPr>
            <w:tcW w:w="0" w:type="dxa"/>
            <w:vAlign w:val="bottom"/>
          </w:tcPr>
          <w:p>
            <w:pPr>
              <w:spacing w:after="0"/>
              <w:rPr>
                <w:sz w:val="1"/>
                <w:szCs w:val="1"/>
                <w:color w:val="auto"/>
              </w:rPr>
            </w:pPr>
          </w:p>
        </w:tc>
      </w:tr>
      <w:tr>
        <w:trPr>
          <w:trHeight w:val="147"/>
        </w:trPr>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Interest credited and option cost</w:t>
            </w: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w:t>
            </w:r>
          </w:p>
        </w:tc>
        <w:tc>
          <w:tcPr>
            <w:tcW w:w="0" w:type="dxa"/>
            <w:vAlign w:val="bottom"/>
          </w:tcPr>
          <w:p>
            <w:pPr>
              <w:spacing w:after="0"/>
              <w:rPr>
                <w:sz w:val="1"/>
                <w:szCs w:val="1"/>
                <w:color w:val="auto"/>
              </w:rPr>
            </w:pPr>
          </w:p>
        </w:tc>
      </w:tr>
      <w:tr>
        <w:trPr>
          <w:trHeight w:val="176"/>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Net investment spread</w:t>
            </w:r>
          </w:p>
        </w:tc>
        <w:tc>
          <w:tcPr>
            <w:tcW w:w="1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2.81 %</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2.74 %</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2"/>
                <w:szCs w:val="12"/>
                <w:color w:val="auto"/>
              </w:rPr>
              <w:t>AAUM</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460" w:type="dxa"/>
            <w:vAlign w:val="bottom"/>
            <w:gridSpan w:val="2"/>
            <w:vMerge w:val="continue"/>
          </w:tcPr>
          <w:p>
            <w:pPr>
              <w:spacing w:after="0"/>
              <w:rPr>
                <w:sz w:val="10"/>
                <w:szCs w:val="10"/>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40"/>
              <w:spacing w:after="0" w:line="118" w:lineRule="exact"/>
              <w:rPr>
                <w:sz w:val="20"/>
                <w:szCs w:val="20"/>
                <w:color w:val="auto"/>
              </w:rPr>
            </w:pPr>
            <w:r>
              <w:rPr>
                <w:rFonts w:ascii="Arial" w:cs="Arial" w:eastAsia="Arial" w:hAnsi="Arial"/>
                <w:sz w:val="12"/>
                <w:szCs w:val="12"/>
                <w:color w:val="auto"/>
              </w:rPr>
              <w:t>31,938</w:t>
            </w:r>
          </w:p>
        </w:tc>
        <w:tc>
          <w:tcPr>
            <w:tcW w:w="80" w:type="dxa"/>
            <w:vAlign w:val="bottom"/>
          </w:tcPr>
          <w:p>
            <w:pPr>
              <w:spacing w:after="0"/>
              <w:rPr>
                <w:sz w:val="10"/>
                <w:szCs w:val="10"/>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40"/>
              <w:spacing w:after="0" w:line="118" w:lineRule="exact"/>
              <w:rPr>
                <w:sz w:val="20"/>
                <w:szCs w:val="20"/>
                <w:color w:val="auto"/>
              </w:rPr>
            </w:pPr>
            <w:r>
              <w:rPr>
                <w:rFonts w:ascii="Arial" w:cs="Arial" w:eastAsia="Arial" w:hAnsi="Arial"/>
                <w:sz w:val="12"/>
                <w:szCs w:val="12"/>
                <w:color w:val="auto"/>
              </w:rPr>
              <w:t>27,322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520" w:hanging="259"/>
        <w:spacing w:after="0"/>
        <w:tabs>
          <w:tab w:leader="none" w:pos="5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AAUM for the twelve months ended December 31, 2021 and seven months ended December 31, 2020 reflect new business asset flows.</w:t>
      </w:r>
    </w:p>
    <w:p>
      <w:pPr>
        <w:spacing w:after="0" w:line="109" w:lineRule="exact"/>
        <w:rPr>
          <w:rFonts w:ascii="Arial" w:cs="Arial" w:eastAsia="Arial" w:hAnsi="Arial"/>
          <w:sz w:val="15"/>
          <w:szCs w:val="15"/>
          <w:color w:val="auto"/>
        </w:rPr>
      </w:pPr>
    </w:p>
    <w:p>
      <w:pPr>
        <w:jc w:val="both"/>
        <w:ind w:left="540" w:hanging="279"/>
        <w:spacing w:after="0" w:line="283" w:lineRule="auto"/>
        <w:tabs>
          <w:tab w:leader="none" w:pos="53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$1,852 million NII for the twelve months ended December 31, 2021 was primarily driven by $1,213 million in fixed maturity securities, $589 million of interest and investment income related to our investments in limited partnerships, $24 million in other investments and $131 million in mortgage loans, partially offset by $163 million in investment expenses. The $743 million NII for the seven months ended December 31, 2020 was primarily driven by $643 million in fixed maturity securities, $76 million of interest and investment income related to our investments in limited partnerships, and $50 million in mortgage loans, partially offset by $76 million in investment expenses.</w:t>
      </w:r>
    </w:p>
    <w:p>
      <w:pPr>
        <w:spacing w:after="0" w:line="74" w:lineRule="exact"/>
        <w:rPr>
          <w:rFonts w:ascii="Arial" w:cs="Arial" w:eastAsia="Arial" w:hAnsi="Arial"/>
          <w:sz w:val="14"/>
          <w:szCs w:val="14"/>
          <w:color w:val="auto"/>
        </w:rPr>
      </w:pPr>
    </w:p>
    <w:p>
      <w:pPr>
        <w:ind w:left="540" w:hanging="279"/>
        <w:spacing w:after="0" w:line="274" w:lineRule="auto"/>
        <w:tabs>
          <w:tab w:leader="none" w:pos="536"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alternative investment yield adjustment reflects the yield impact of market volatility on the alternative investment portfolio that differ from management's expectation of returns over the life of these assets.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8" w:name="page69"/>
    <w:bookmarkEnd w:id="6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Recognized gains and losses, net</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Below is a summary of the major components included in recognized gains and losses, net: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4"/>
                <w:szCs w:val="14"/>
                <w:color w:val="auto"/>
              </w:rPr>
            </w:pPr>
          </w:p>
        </w:tc>
        <w:tc>
          <w:tcPr>
            <w:tcW w:w="1260" w:type="dxa"/>
            <w:vAlign w:val="bottom"/>
          </w:tcPr>
          <w:p>
            <w:pPr>
              <w:jc w:val="right"/>
              <w:ind w:right="100"/>
              <w:spacing w:after="0"/>
              <w:rPr>
                <w:sz w:val="20"/>
                <w:szCs w:val="20"/>
                <w:color w:val="auto"/>
              </w:rPr>
            </w:pPr>
            <w:r>
              <w:rPr>
                <w:rFonts w:ascii="Arial" w:cs="Arial" w:eastAsia="Arial" w:hAnsi="Arial"/>
                <w:sz w:val="12"/>
                <w:szCs w:val="12"/>
                <w:b w:val="1"/>
                <w:bCs w:val="1"/>
                <w:color w:val="auto"/>
                <w:w w:val="89"/>
              </w:rPr>
              <w:t>Seven months ended</w:t>
            </w:r>
          </w:p>
        </w:tc>
      </w:tr>
      <w:tr>
        <w:trPr>
          <w:trHeight w:val="153"/>
        </w:trPr>
        <w:tc>
          <w:tcPr>
            <w:tcW w:w="8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December 31, 2021</w:t>
            </w:r>
          </w:p>
        </w:tc>
        <w:tc>
          <w:tcPr>
            <w:tcW w:w="1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6"/>
              </w:rPr>
              <w:t>December 31, 2020</w:t>
            </w:r>
          </w:p>
        </w:tc>
      </w:tr>
      <w:tr>
        <w:trPr>
          <w:trHeight w:val="149"/>
        </w:trPr>
        <w:tc>
          <w:tcPr>
            <w:tcW w:w="8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jc w:val="right"/>
              <w:ind w:right="1040"/>
              <w:spacing w:after="0"/>
              <w:rPr>
                <w:sz w:val="20"/>
                <w:szCs w:val="20"/>
                <w:color w:val="auto"/>
              </w:rPr>
            </w:pPr>
            <w:r>
              <w:rPr>
                <w:rFonts w:ascii="Arial" w:cs="Arial" w:eastAsia="Arial" w:hAnsi="Arial"/>
                <w:sz w:val="12"/>
                <w:szCs w:val="12"/>
                <w:b w:val="1"/>
                <w:bCs w:val="1"/>
                <w:color w:val="auto"/>
              </w:rPr>
              <w:t>(In millions)</w:t>
            </w:r>
          </w:p>
        </w:tc>
      </w:tr>
      <w:tr>
        <w:trPr>
          <w:trHeight w:val="158"/>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Net realized and unrealized gains (losses) on fixed maturity available-for-sale securities, equity securities and other invested assets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w:t>
            </w:r>
          </w:p>
        </w:tc>
      </w:tr>
      <w:tr>
        <w:trPr>
          <w:trHeight w:val="155"/>
        </w:trPr>
        <w:tc>
          <w:tcPr>
            <w:tcW w:w="8360" w:type="dxa"/>
            <w:vAlign w:val="bottom"/>
          </w:tcPr>
          <w:p>
            <w:pPr>
              <w:spacing w:after="0"/>
              <w:rPr>
                <w:sz w:val="20"/>
                <w:szCs w:val="20"/>
                <w:color w:val="auto"/>
              </w:rPr>
            </w:pPr>
            <w:r>
              <w:rPr>
                <w:rFonts w:ascii="Arial" w:cs="Arial" w:eastAsia="Arial" w:hAnsi="Arial"/>
                <w:sz w:val="12"/>
                <w:szCs w:val="12"/>
                <w:color w:val="auto"/>
              </w:rPr>
              <w:t>Change in allowance for expected credit losses</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60"/>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Net realized and unrealized gains (losses) on certain derivatives instruments</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w:t>
            </w:r>
          </w:p>
        </w:tc>
      </w:tr>
      <w:tr>
        <w:trPr>
          <w:trHeight w:val="155"/>
        </w:trPr>
        <w:tc>
          <w:tcPr>
            <w:tcW w:w="8360" w:type="dxa"/>
            <w:vAlign w:val="bottom"/>
          </w:tcPr>
          <w:p>
            <w:pPr>
              <w:spacing w:after="0"/>
              <w:rPr>
                <w:sz w:val="20"/>
                <w:szCs w:val="20"/>
                <w:color w:val="auto"/>
              </w:rPr>
            </w:pPr>
            <w:r>
              <w:rPr>
                <w:rFonts w:ascii="Arial" w:cs="Arial" w:eastAsia="Arial" w:hAnsi="Arial"/>
                <w:sz w:val="12"/>
                <w:szCs w:val="12"/>
                <w:color w:val="auto"/>
              </w:rPr>
              <w:t>Change in fair value of reinsurance related embedded derivatives</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58"/>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other derivatives and embedded derivatives</w:t>
            </w: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51"/>
        </w:trPr>
        <w:tc>
          <w:tcPr>
            <w:tcW w:w="8360" w:type="dxa"/>
            <w:vAlign w:val="bottom"/>
          </w:tcPr>
          <w:p>
            <w:pPr>
              <w:ind w:left="180"/>
              <w:spacing w:after="0"/>
              <w:rPr>
                <w:sz w:val="20"/>
                <w:szCs w:val="20"/>
                <w:color w:val="auto"/>
              </w:rPr>
            </w:pPr>
            <w:r>
              <w:rPr>
                <w:rFonts w:ascii="Arial" w:cs="Arial" w:eastAsia="Arial" w:hAnsi="Arial"/>
                <w:sz w:val="12"/>
                <w:szCs w:val="12"/>
                <w:b w:val="1"/>
                <w:bCs w:val="1"/>
                <w:color w:val="auto"/>
              </w:rPr>
              <w:t>Recognized gains and losses, net</w:t>
            </w: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715</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jc w:val="both"/>
        <w:ind w:left="540" w:hanging="279"/>
        <w:spacing w:after="0" w:line="262" w:lineRule="auto"/>
        <w:tabs>
          <w:tab w:leader="none" w:pos="536" w:val="left"/>
        </w:tabs>
        <w:numPr>
          <w:ilvl w:val="0"/>
          <w:numId w:val="34"/>
        </w:numPr>
        <w:rPr>
          <w:rFonts w:ascii="Arial" w:cs="Arial" w:eastAsia="Arial" w:hAnsi="Arial"/>
          <w:sz w:val="15"/>
          <w:szCs w:val="15"/>
          <w:color w:val="auto"/>
        </w:rPr>
      </w:pPr>
      <w:r>
        <w:rPr>
          <w:rFonts w:ascii="Arial" w:cs="Arial" w:eastAsia="Arial" w:hAnsi="Arial"/>
          <w:sz w:val="15"/>
          <w:szCs w:val="15"/>
          <w:color w:val="auto"/>
        </w:rPr>
        <w:t>For the year ended December 31, 2021 and seven months ended December 31, 2020, net realized and unrealized gains on fixed maturity available-for-sale securities, equity securities and other invested assets is primarily the result of realized gains on fixed maturity available-for-sale securities, partially offset and increased by mark-to-market movement on our equity securities, respectively.</w:t>
      </w:r>
    </w:p>
    <w:p>
      <w:pPr>
        <w:spacing w:after="0" w:line="88" w:lineRule="exact"/>
        <w:rPr>
          <w:rFonts w:ascii="Arial" w:cs="Arial" w:eastAsia="Arial" w:hAnsi="Arial"/>
          <w:sz w:val="15"/>
          <w:szCs w:val="15"/>
          <w:color w:val="auto"/>
        </w:rPr>
      </w:pPr>
    </w:p>
    <w:p>
      <w:pPr>
        <w:jc w:val="both"/>
        <w:ind w:left="540" w:hanging="279"/>
        <w:spacing w:after="0" w:line="321" w:lineRule="auto"/>
        <w:tabs>
          <w:tab w:leader="none" w:pos="536" w:val="left"/>
        </w:tabs>
        <w:numPr>
          <w:ilvl w:val="0"/>
          <w:numId w:val="34"/>
        </w:numPr>
        <w:rPr>
          <w:rFonts w:ascii="Arial" w:cs="Arial" w:eastAsia="Arial" w:hAnsi="Arial"/>
          <w:sz w:val="13"/>
          <w:szCs w:val="13"/>
          <w:color w:val="auto"/>
        </w:rPr>
      </w:pPr>
      <w:r>
        <w:rPr>
          <w:rFonts w:ascii="Arial" w:cs="Arial" w:eastAsia="Arial" w:hAnsi="Arial"/>
          <w:sz w:val="13"/>
          <w:szCs w:val="13"/>
          <w:color w:val="auto"/>
        </w:rPr>
        <w:t>Allowance for expected credit losses during the year ended December 31, 2021 decreased primarily due to improved economic conditions for residential mortgage loans, partially offset by higher reserves for commercial mortgage loans. As of the June 1, 2020 acquisition of F&amp;G, due to purchase accounting adjustments, our expected credit loss reserve was valued at $0. For the seven months ended December 31, 2020, the expected credit loss reserve increased primarily due to reserves established for residential mortgage loans.</w:t>
      </w:r>
    </w:p>
    <w:p>
      <w:pPr>
        <w:spacing w:after="0" w:line="42" w:lineRule="exact"/>
        <w:rPr>
          <w:rFonts w:ascii="Arial" w:cs="Arial" w:eastAsia="Arial" w:hAnsi="Arial"/>
          <w:sz w:val="13"/>
          <w:szCs w:val="13"/>
          <w:color w:val="auto"/>
        </w:rPr>
      </w:pPr>
    </w:p>
    <w:p>
      <w:pPr>
        <w:jc w:val="both"/>
        <w:ind w:left="540" w:hanging="279"/>
        <w:spacing w:after="0" w:line="262" w:lineRule="auto"/>
        <w:tabs>
          <w:tab w:leader="none" w:pos="536" w:val="left"/>
        </w:tabs>
        <w:numPr>
          <w:ilvl w:val="0"/>
          <w:numId w:val="34"/>
        </w:numPr>
        <w:rPr>
          <w:rFonts w:ascii="Arial" w:cs="Arial" w:eastAsia="Arial" w:hAnsi="Arial"/>
          <w:sz w:val="15"/>
          <w:szCs w:val="15"/>
          <w:color w:val="auto"/>
        </w:rPr>
      </w:pPr>
      <w:r>
        <w:rPr>
          <w:rFonts w:ascii="Arial" w:cs="Arial" w:eastAsia="Arial" w:hAnsi="Arial"/>
          <w:sz w:val="15"/>
          <w:szCs w:val="15"/>
          <w:color w:val="auto"/>
        </w:rPr>
        <w:t>For the year ended December 31, 2021 and the seven months ended December 31, 2020, net realized and unrealized gains on certain derivative instruments primarily relates to the net realized and unrealized gains on options and futures used to hedge FIA and IUL products, including gains on option and futures expiration. See the table below for primary drivers of gains (losses) on certain derivatives.</w:t>
      </w:r>
    </w:p>
    <w:p>
      <w:pPr>
        <w:spacing w:after="0" w:line="77" w:lineRule="exact"/>
        <w:rPr>
          <w:rFonts w:ascii="Arial" w:cs="Arial" w:eastAsia="Arial" w:hAnsi="Arial"/>
          <w:sz w:val="15"/>
          <w:szCs w:val="15"/>
          <w:color w:val="auto"/>
        </w:rPr>
      </w:pPr>
    </w:p>
    <w:p>
      <w:pPr>
        <w:ind w:left="520" w:hanging="259"/>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fair value of reinsurance related embedded derivative is based on the change in fair value of the underlying assets held in the funds withheld ("FWH") portfolio.</w:t>
      </w:r>
    </w:p>
    <w:p>
      <w:pPr>
        <w:spacing w:after="0" w:line="132" w:lineRule="exact"/>
        <w:rPr>
          <w:sz w:val="20"/>
          <w:szCs w:val="20"/>
          <w:color w:val="auto"/>
        </w:rPr>
      </w:pPr>
    </w:p>
    <w:p>
      <w:pPr>
        <w:ind w:firstLine="338"/>
        <w:spacing w:after="0" w:line="274" w:lineRule="auto"/>
        <w:rPr>
          <w:sz w:val="20"/>
          <w:szCs w:val="20"/>
          <w:color w:val="auto"/>
        </w:rPr>
      </w:pPr>
      <w:r>
        <w:rPr>
          <w:rFonts w:ascii="Arial" w:cs="Arial" w:eastAsia="Arial" w:hAnsi="Arial"/>
          <w:sz w:val="15"/>
          <w:szCs w:val="15"/>
          <w:color w:val="auto"/>
        </w:rPr>
        <w:t>We utilize a combination of static (call options) and dynamic (long futures contracts) instruments in our hedging strategy. A substantial portion of the call options and futures contracts are based upon the S&amp;P 500 Index with the remainder based upon other equity, bond and gold market indices.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9" w:name="page70"/>
    <w:bookmarkEnd w:id="6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firstLine="338"/>
        <w:spacing w:after="0" w:line="274" w:lineRule="auto"/>
        <w:rPr>
          <w:sz w:val="20"/>
          <w:szCs w:val="20"/>
          <w:color w:val="auto"/>
        </w:rPr>
      </w:pPr>
      <w:r>
        <w:rPr>
          <w:rFonts w:ascii="Arial" w:cs="Arial" w:eastAsia="Arial" w:hAnsi="Arial"/>
          <w:sz w:val="15"/>
          <w:szCs w:val="15"/>
          <w:color w:val="auto"/>
        </w:rPr>
        <w:t>The components of the realized and unrealized gains (losses) on certain derivative instruments hedging our indexed annuity and universal life products are summarized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4"/>
                <w:szCs w:val="14"/>
                <w:color w:val="auto"/>
              </w:rPr>
            </w:pPr>
          </w:p>
        </w:tc>
        <w:tc>
          <w:tcPr>
            <w:tcW w:w="1320" w:type="dxa"/>
            <w:vAlign w:val="bottom"/>
          </w:tcPr>
          <w:p>
            <w:pPr>
              <w:jc w:val="right"/>
              <w:ind w:right="160"/>
              <w:spacing w:after="0"/>
              <w:rPr>
                <w:sz w:val="20"/>
                <w:szCs w:val="20"/>
                <w:color w:val="auto"/>
              </w:rPr>
            </w:pPr>
            <w:r>
              <w:rPr>
                <w:rFonts w:ascii="Arial" w:cs="Arial" w:eastAsia="Arial" w:hAnsi="Arial"/>
                <w:sz w:val="12"/>
                <w:szCs w:val="12"/>
                <w:b w:val="1"/>
                <w:bCs w:val="1"/>
                <w:color w:val="auto"/>
                <w:w w:val="89"/>
              </w:rPr>
              <w:t>Seven months ended</w:t>
            </w:r>
          </w:p>
        </w:tc>
      </w:tr>
      <w:tr>
        <w:trPr>
          <w:trHeight w:val="153"/>
        </w:trPr>
        <w:tc>
          <w:tcPr>
            <w:tcW w:w="8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96"/>
              </w:rPr>
              <w:t>December 31, 2021</w:t>
            </w:r>
          </w:p>
        </w:tc>
        <w:tc>
          <w:tcPr>
            <w:tcW w:w="1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98"/>
              </w:rPr>
              <w:t>December 31, 2020</w:t>
            </w:r>
          </w:p>
        </w:tc>
      </w:tr>
      <w:tr>
        <w:trPr>
          <w:trHeight w:val="149"/>
        </w:trPr>
        <w:tc>
          <w:tcPr>
            <w:tcW w:w="8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gridSpan w:val="4"/>
          </w:tcPr>
          <w:p>
            <w:pPr>
              <w:jc w:val="right"/>
              <w:ind w:right="940"/>
              <w:spacing w:after="0"/>
              <w:rPr>
                <w:sz w:val="20"/>
                <w:szCs w:val="20"/>
                <w:color w:val="auto"/>
              </w:rPr>
            </w:pPr>
            <w:r>
              <w:rPr>
                <w:rFonts w:ascii="Arial" w:cs="Arial" w:eastAsia="Arial" w:hAnsi="Arial"/>
                <w:sz w:val="12"/>
                <w:szCs w:val="12"/>
                <w:b w:val="1"/>
                <w:bCs w:val="1"/>
                <w:color w:val="auto"/>
              </w:rPr>
              <w:t>(Dollars in millions)</w:t>
            </w:r>
          </w:p>
        </w:tc>
      </w:tr>
      <w:tr>
        <w:trPr>
          <w:trHeight w:val="158"/>
        </w:trPr>
        <w:tc>
          <w:tcPr>
            <w:tcW w:w="8220" w:type="dxa"/>
            <w:vAlign w:val="bottom"/>
            <w:shd w:val="clear" w:color="auto" w:fill="CCEEFF"/>
          </w:tcPr>
          <w:p>
            <w:pPr>
              <w:spacing w:after="0"/>
              <w:rPr>
                <w:sz w:val="20"/>
                <w:szCs w:val="20"/>
                <w:color w:val="auto"/>
              </w:rPr>
            </w:pPr>
            <w:r>
              <w:rPr>
                <w:rFonts w:ascii="Arial" w:cs="Arial" w:eastAsia="Arial" w:hAnsi="Arial"/>
                <w:sz w:val="12"/>
                <w:szCs w:val="12"/>
                <w:color w:val="auto"/>
              </w:rPr>
              <w:t>Call Options:</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5"/>
        </w:trPr>
        <w:tc>
          <w:tcPr>
            <w:tcW w:w="8220" w:type="dxa"/>
            <w:vAlign w:val="bottom"/>
          </w:tcPr>
          <w:p>
            <w:pPr>
              <w:ind w:left="180"/>
              <w:spacing w:after="0"/>
              <w:rPr>
                <w:sz w:val="20"/>
                <w:szCs w:val="20"/>
                <w:color w:val="auto"/>
              </w:rPr>
            </w:pPr>
            <w:r>
              <w:rPr>
                <w:rFonts w:ascii="Arial" w:cs="Arial" w:eastAsia="Arial" w:hAnsi="Arial"/>
                <w:sz w:val="12"/>
                <w:szCs w:val="12"/>
                <w:color w:val="auto"/>
              </w:rPr>
              <w:t>Gains on option expiration</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ind w:right="100"/>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100"/>
              <w:spacing w:after="0"/>
              <w:rPr>
                <w:sz w:val="20"/>
                <w:szCs w:val="20"/>
                <w:color w:val="auto"/>
              </w:rPr>
            </w:pPr>
            <w:r>
              <w:rPr>
                <w:rFonts w:ascii="Arial" w:cs="Arial" w:eastAsia="Arial" w:hAnsi="Arial"/>
                <w:sz w:val="12"/>
                <w:szCs w:val="12"/>
                <w:color w:val="auto"/>
              </w:rPr>
              <w:t>62</w:t>
            </w:r>
          </w:p>
        </w:tc>
      </w:tr>
      <w:tr>
        <w:trPr>
          <w:trHeight w:val="160"/>
        </w:trPr>
        <w:tc>
          <w:tcPr>
            <w:tcW w:w="82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 in unrealized (losses) gains</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167</w:t>
            </w:r>
          </w:p>
        </w:tc>
      </w:tr>
      <w:tr>
        <w:trPr>
          <w:trHeight w:val="155"/>
        </w:trPr>
        <w:tc>
          <w:tcPr>
            <w:tcW w:w="8220" w:type="dxa"/>
            <w:vAlign w:val="bottom"/>
          </w:tcPr>
          <w:p>
            <w:pPr>
              <w:spacing w:after="0"/>
              <w:rPr>
                <w:sz w:val="20"/>
                <w:szCs w:val="20"/>
                <w:color w:val="auto"/>
              </w:rPr>
            </w:pPr>
            <w:r>
              <w:rPr>
                <w:rFonts w:ascii="Arial" w:cs="Arial" w:eastAsia="Arial" w:hAnsi="Arial"/>
                <w:sz w:val="12"/>
                <w:szCs w:val="12"/>
                <w:color w:val="auto"/>
              </w:rPr>
              <w:t>Futures contracts: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0"/>
        </w:trPr>
        <w:tc>
          <w:tcPr>
            <w:tcW w:w="82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Gains on futures contracts expiration</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21</w:t>
            </w:r>
          </w:p>
        </w:tc>
      </w:tr>
      <w:tr>
        <w:trPr>
          <w:trHeight w:val="155"/>
        </w:trPr>
        <w:tc>
          <w:tcPr>
            <w:tcW w:w="8220" w:type="dxa"/>
            <w:vAlign w:val="bottom"/>
          </w:tcPr>
          <w:p>
            <w:pPr>
              <w:ind w:left="180"/>
              <w:spacing w:after="0"/>
              <w:rPr>
                <w:sz w:val="20"/>
                <w:szCs w:val="20"/>
                <w:color w:val="auto"/>
              </w:rPr>
            </w:pPr>
            <w:r>
              <w:rPr>
                <w:rFonts w:ascii="Arial" w:cs="Arial" w:eastAsia="Arial" w:hAnsi="Arial"/>
                <w:sz w:val="12"/>
                <w:szCs w:val="12"/>
                <w:color w:val="auto"/>
              </w:rPr>
              <w:t>Change in unrealized losses</w:t>
            </w:r>
          </w:p>
        </w:tc>
        <w:tc>
          <w:tcPr>
            <w:tcW w:w="160" w:type="dxa"/>
            <w:vAlign w:val="bottom"/>
          </w:tcPr>
          <w:p>
            <w:pPr>
              <w:spacing w:after="0"/>
              <w:rPr>
                <w:sz w:val="13"/>
                <w:szCs w:val="13"/>
                <w:color w:val="auto"/>
              </w:rPr>
            </w:pPr>
          </w:p>
        </w:tc>
        <w:tc>
          <w:tcPr>
            <w:tcW w:w="1320" w:type="dxa"/>
            <w:vAlign w:val="bottom"/>
          </w:tcPr>
          <w:p>
            <w:pPr>
              <w:jc w:val="right"/>
              <w:ind w:right="8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(6)</w:t>
            </w:r>
          </w:p>
        </w:tc>
      </w:tr>
      <w:tr>
        <w:trPr>
          <w:trHeight w:val="160"/>
        </w:trPr>
        <w:tc>
          <w:tcPr>
            <w:tcW w:w="822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forward:</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5"/>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Gains (losses) on foreign currency forward</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w:t>
            </w:r>
          </w:p>
        </w:tc>
      </w:tr>
      <w:tr>
        <w:trPr>
          <w:trHeight w:val="176"/>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net change in fair value</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614</w:t>
            </w: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237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8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8"/>
        </w:trPr>
        <w:tc>
          <w:tcPr>
            <w:tcW w:w="82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Point-to-Point Change in S&amp;P 500 Index during twelve and seven month periods</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w:t>
            </w:r>
          </w:p>
        </w:tc>
      </w:tr>
    </w:tbl>
    <w:p>
      <w:pPr>
        <w:spacing w:after="0" w:line="125" w:lineRule="exact"/>
        <w:rPr>
          <w:sz w:val="20"/>
          <w:szCs w:val="20"/>
          <w:color w:val="auto"/>
        </w:rPr>
      </w:pPr>
    </w:p>
    <w:p>
      <w:pPr>
        <w:jc w:val="both"/>
        <w:ind w:left="540" w:hanging="279"/>
        <w:spacing w:after="0" w:line="262" w:lineRule="auto"/>
        <w:tabs>
          <w:tab w:leader="none" w:pos="5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on option expiration reflect the movement during the twelve months ended December 31, 2021 and the seven months ended December 31, 2020, on options settled during the period.</w:t>
      </w:r>
    </w:p>
    <w:p>
      <w:pPr>
        <w:spacing w:after="0" w:line="111" w:lineRule="exact"/>
        <w:rPr>
          <w:rFonts w:ascii="Arial" w:cs="Arial" w:eastAsia="Arial" w:hAnsi="Arial"/>
          <w:sz w:val="15"/>
          <w:szCs w:val="15"/>
          <w:color w:val="auto"/>
        </w:rPr>
      </w:pPr>
    </w:p>
    <w:p>
      <w:pPr>
        <w:ind w:left="540" w:hanging="279"/>
        <w:spacing w:after="0" w:line="274" w:lineRule="auto"/>
        <w:tabs>
          <w:tab w:leader="none" w:pos="5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change in unrealized gains (losses) due to fair value of call options is primarily driven by the underlying performance of the S&amp;P 500 Index during each respective year relative to the S&amp;P 500 Index on the policyholder buy dates.</w:t>
      </w:r>
    </w:p>
    <w:p>
      <w:pPr>
        <w:spacing w:after="0" w:line="101" w:lineRule="exact"/>
        <w:rPr>
          <w:rFonts w:ascii="Arial" w:cs="Arial" w:eastAsia="Arial" w:hAnsi="Arial"/>
          <w:sz w:val="15"/>
          <w:szCs w:val="15"/>
          <w:color w:val="auto"/>
        </w:rPr>
      </w:pPr>
    </w:p>
    <w:p>
      <w:pPr>
        <w:ind w:left="520" w:hanging="259"/>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net change in fair value of the call options and futures contracts was primarily driven by movements in the S&amp;P 500 Index relative to the policyholder buy dates.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average index credits to policyholders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580" w:type="dxa"/>
            <w:vAlign w:val="bottom"/>
            <w:gridSpan w:val="2"/>
          </w:tcPr>
          <w:p>
            <w:pPr>
              <w:ind w:left="460"/>
              <w:spacing w:after="0"/>
              <w:rPr>
                <w:sz w:val="20"/>
                <w:szCs w:val="20"/>
                <w:color w:val="auto"/>
              </w:rPr>
            </w:pPr>
            <w:r>
              <w:rPr>
                <w:rFonts w:ascii="Arial" w:cs="Arial" w:eastAsia="Arial" w:hAnsi="Arial"/>
                <w:sz w:val="12"/>
                <w:szCs w:val="12"/>
                <w:b w:val="1"/>
                <w:bCs w:val="1"/>
                <w:color w:val="auto"/>
              </w:rPr>
              <w:t>Year ended</w:t>
            </w:r>
          </w:p>
        </w:tc>
        <w:tc>
          <w:tcPr>
            <w:tcW w:w="1460" w:type="dxa"/>
            <w:vAlign w:val="bottom"/>
          </w:tcPr>
          <w:p>
            <w:pPr>
              <w:jc w:val="right"/>
              <w:ind w:right="160"/>
              <w:spacing w:after="0"/>
              <w:rPr>
                <w:sz w:val="20"/>
                <w:szCs w:val="20"/>
                <w:color w:val="auto"/>
              </w:rPr>
            </w:pPr>
            <w:r>
              <w:rPr>
                <w:rFonts w:ascii="Arial" w:cs="Arial" w:eastAsia="Arial" w:hAnsi="Arial"/>
                <w:sz w:val="12"/>
                <w:szCs w:val="12"/>
                <w:b w:val="1"/>
                <w:bCs w:val="1"/>
                <w:color w:val="auto"/>
              </w:rPr>
              <w:t>Seven months ended</w:t>
            </w:r>
          </w:p>
        </w:tc>
      </w:tr>
      <w:tr>
        <w:trPr>
          <w:trHeight w:val="153"/>
        </w:trPr>
        <w:tc>
          <w:tcPr>
            <w:tcW w:w="8220" w:type="dxa"/>
            <w:vAlign w:val="bottom"/>
            <w:tcBorders>
              <w:bottom w:val="single" w:sz="8" w:color="CCEEFF"/>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December 31, 2021</w:t>
            </w:r>
          </w:p>
        </w:tc>
        <w:tc>
          <w:tcPr>
            <w:tcW w:w="100" w:type="dxa"/>
            <w:vAlign w:val="bottom"/>
            <w:tcBorders>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December 31, 2020</w:t>
            </w:r>
          </w:p>
        </w:tc>
      </w:tr>
      <w:tr>
        <w:trPr>
          <w:trHeight w:val="149"/>
        </w:trPr>
        <w:tc>
          <w:tcPr>
            <w:tcW w:w="8220" w:type="dxa"/>
            <w:vAlign w:val="bottom"/>
            <w:shd w:val="clear" w:color="auto" w:fill="CCEEFF"/>
          </w:tcPr>
          <w:p>
            <w:pPr>
              <w:spacing w:after="0"/>
              <w:rPr>
                <w:sz w:val="20"/>
                <w:szCs w:val="20"/>
                <w:color w:val="auto"/>
              </w:rPr>
            </w:pPr>
            <w:r>
              <w:rPr>
                <w:rFonts w:ascii="Arial" w:cs="Arial" w:eastAsia="Arial" w:hAnsi="Arial"/>
                <w:sz w:val="12"/>
                <w:szCs w:val="12"/>
                <w:color w:val="auto"/>
              </w:rPr>
              <w:t>Average Crediting Rate</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r>
      <w:tr>
        <w:trPr>
          <w:trHeight w:val="155"/>
        </w:trPr>
        <w:tc>
          <w:tcPr>
            <w:tcW w:w="8220" w:type="dxa"/>
            <w:vAlign w:val="bottom"/>
          </w:tcPr>
          <w:p>
            <w:pPr>
              <w:spacing w:after="0"/>
              <w:rPr>
                <w:sz w:val="20"/>
                <w:szCs w:val="20"/>
                <w:color w:val="auto"/>
              </w:rPr>
            </w:pPr>
            <w:r>
              <w:rPr>
                <w:rFonts w:ascii="Arial" w:cs="Arial" w:eastAsia="Arial" w:hAnsi="Arial"/>
                <w:sz w:val="12"/>
                <w:szCs w:val="12"/>
                <w:color w:val="auto"/>
              </w:rPr>
              <w:t>S&amp;P 500 Index:</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0"/>
        </w:trPr>
        <w:tc>
          <w:tcPr>
            <w:tcW w:w="82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Point-to-point strategy</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r>
      <w:tr>
        <w:trPr>
          <w:trHeight w:val="155"/>
        </w:trPr>
        <w:tc>
          <w:tcPr>
            <w:tcW w:w="8220" w:type="dxa"/>
            <w:vAlign w:val="bottom"/>
          </w:tcPr>
          <w:p>
            <w:pPr>
              <w:ind w:left="180"/>
              <w:spacing w:after="0"/>
              <w:rPr>
                <w:sz w:val="20"/>
                <w:szCs w:val="20"/>
                <w:color w:val="auto"/>
              </w:rPr>
            </w:pPr>
            <w:r>
              <w:rPr>
                <w:rFonts w:ascii="Arial" w:cs="Arial" w:eastAsia="Arial" w:hAnsi="Arial"/>
                <w:sz w:val="12"/>
                <w:szCs w:val="12"/>
                <w:color w:val="auto"/>
              </w:rPr>
              <w:t>Monthly average strategy</w:t>
            </w:r>
          </w:p>
        </w:tc>
        <w:tc>
          <w:tcPr>
            <w:tcW w:w="1480" w:type="dxa"/>
            <w:vAlign w:val="bottom"/>
          </w:tcPr>
          <w:p>
            <w:pPr>
              <w:jc w:val="right"/>
              <w:spacing w:after="0"/>
              <w:rPr>
                <w:sz w:val="20"/>
                <w:szCs w:val="20"/>
                <w:color w:val="auto"/>
              </w:rPr>
            </w:pPr>
            <w:r>
              <w:rPr>
                <w:rFonts w:ascii="Arial" w:cs="Arial" w:eastAsia="Arial" w:hAnsi="Arial"/>
                <w:sz w:val="12"/>
                <w:szCs w:val="12"/>
                <w:color w:val="auto"/>
              </w:rPr>
              <w:t>3 %</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2 %</w:t>
            </w:r>
          </w:p>
        </w:tc>
      </w:tr>
      <w:tr>
        <w:trPr>
          <w:trHeight w:val="160"/>
        </w:trPr>
        <w:tc>
          <w:tcPr>
            <w:tcW w:w="82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Monthly point-to-point strategy</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3"/>
        </w:trPr>
        <w:tc>
          <w:tcPr>
            <w:tcW w:w="8220" w:type="dxa"/>
            <w:vAlign w:val="bottom"/>
          </w:tcPr>
          <w:p>
            <w:pPr>
              <w:ind w:left="180"/>
              <w:spacing w:after="0"/>
              <w:rPr>
                <w:sz w:val="20"/>
                <w:szCs w:val="20"/>
                <w:color w:val="auto"/>
              </w:rPr>
            </w:pPr>
            <w:r>
              <w:rPr>
                <w:rFonts w:ascii="Arial" w:cs="Arial" w:eastAsia="Arial" w:hAnsi="Arial"/>
                <w:sz w:val="12"/>
                <w:szCs w:val="12"/>
                <w:color w:val="auto"/>
              </w:rPr>
              <w:t>3 year high water mark</w:t>
            </w:r>
          </w:p>
        </w:tc>
        <w:tc>
          <w:tcPr>
            <w:tcW w:w="1480" w:type="dxa"/>
            <w:vAlign w:val="bottom"/>
          </w:tcPr>
          <w:p>
            <w:pPr>
              <w:jc w:val="right"/>
              <w:spacing w:after="0"/>
              <w:rPr>
                <w:sz w:val="20"/>
                <w:szCs w:val="20"/>
                <w:color w:val="auto"/>
              </w:rPr>
            </w:pPr>
            <w:r>
              <w:rPr>
                <w:rFonts w:ascii="Arial" w:cs="Arial" w:eastAsia="Arial" w:hAnsi="Arial"/>
                <w:sz w:val="12"/>
                <w:szCs w:val="12"/>
                <w:color w:val="auto"/>
              </w:rPr>
              <w:t>16 %</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19 %</w:t>
            </w:r>
          </w:p>
        </w:tc>
      </w:tr>
    </w:tbl>
    <w:p>
      <w:pPr>
        <w:spacing w:after="0" w:line="197" w:lineRule="exact"/>
        <w:rPr>
          <w:sz w:val="20"/>
          <w:szCs w:val="20"/>
          <w:color w:val="auto"/>
        </w:rPr>
      </w:pPr>
    </w:p>
    <w:p>
      <w:pPr>
        <w:ind w:left="540" w:hanging="279"/>
        <w:spacing w:after="0" w:line="274" w:lineRule="auto"/>
        <w:tabs>
          <w:tab w:leader="none" w:pos="536" w:val="left"/>
        </w:tabs>
        <w:numPr>
          <w:ilvl w:val="0"/>
          <w:numId w:val="36"/>
        </w:numPr>
        <w:rPr>
          <w:rFonts w:ascii="Arial" w:cs="Arial" w:eastAsia="Arial" w:hAnsi="Arial"/>
          <w:sz w:val="15"/>
          <w:szCs w:val="15"/>
          <w:color w:val="auto"/>
        </w:rPr>
      </w:pPr>
      <w:r>
        <w:rPr>
          <w:rFonts w:ascii="Arial" w:cs="Arial" w:eastAsia="Arial" w:hAnsi="Arial"/>
          <w:sz w:val="15"/>
          <w:szCs w:val="15"/>
          <w:color w:val="auto"/>
        </w:rPr>
        <w:t>Actual amounts credited to contractholder fund balances may differ from the index appreciation due to contractual features in the FIA and certain IUL contracts (caps, spreads and participation rates), which allow F&amp;G to manage the cost of the options purchased to fund the annual index credits.</w:t>
      </w:r>
    </w:p>
    <w:p>
      <w:pPr>
        <w:spacing w:after="0" w:line="79" w:lineRule="exact"/>
        <w:rPr>
          <w:rFonts w:ascii="Arial" w:cs="Arial" w:eastAsia="Arial" w:hAnsi="Arial"/>
          <w:sz w:val="15"/>
          <w:szCs w:val="15"/>
          <w:color w:val="auto"/>
        </w:rPr>
      </w:pPr>
    </w:p>
    <w:p>
      <w:pPr>
        <w:ind w:left="520" w:hanging="259"/>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credits for the periods presented were based on comparing the S&amp;P 500 Index on each issue date in the period to the same issue date in the respective prior year periods.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0" w:name="page71"/>
    <w:bookmarkEnd w:id="7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Benefits and expenses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Benefits and other changes in policy reserves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Below is a summary of the major components included in Benefits and other changes in policy reserves: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4"/>
                <w:szCs w:val="14"/>
                <w:color w:val="auto"/>
              </w:rPr>
            </w:pPr>
          </w:p>
        </w:tc>
        <w:tc>
          <w:tcPr>
            <w:tcW w:w="1260" w:type="dxa"/>
            <w:vAlign w:val="bottom"/>
          </w:tcPr>
          <w:p>
            <w:pPr>
              <w:jc w:val="right"/>
              <w:ind w:right="100"/>
              <w:spacing w:after="0"/>
              <w:rPr>
                <w:sz w:val="20"/>
                <w:szCs w:val="20"/>
                <w:color w:val="auto"/>
              </w:rPr>
            </w:pPr>
            <w:r>
              <w:rPr>
                <w:rFonts w:ascii="Arial" w:cs="Arial" w:eastAsia="Arial" w:hAnsi="Arial"/>
                <w:sz w:val="12"/>
                <w:szCs w:val="12"/>
                <w:b w:val="1"/>
                <w:bCs w:val="1"/>
                <w:color w:val="auto"/>
                <w:w w:val="89"/>
              </w:rPr>
              <w:t>Seven months ended</w:t>
            </w:r>
          </w:p>
        </w:tc>
      </w:tr>
      <w:tr>
        <w:trPr>
          <w:trHeight w:val="153"/>
        </w:trPr>
        <w:tc>
          <w:tcPr>
            <w:tcW w:w="8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December 31, 2021</w:t>
            </w:r>
          </w:p>
        </w:tc>
        <w:tc>
          <w:tcPr>
            <w:tcW w:w="1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6"/>
              </w:rPr>
              <w:t>December 31, 2020</w:t>
            </w:r>
          </w:p>
        </w:tc>
      </w:t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4"/>
          </w:tcPr>
          <w:p>
            <w:pPr>
              <w:jc w:val="right"/>
              <w:ind w:right="1060"/>
              <w:spacing w:after="0"/>
              <w:rPr>
                <w:sz w:val="20"/>
                <w:szCs w:val="20"/>
                <w:color w:val="auto"/>
              </w:rPr>
            </w:pPr>
            <w:r>
              <w:rPr>
                <w:rFonts w:ascii="Arial" w:cs="Arial" w:eastAsia="Arial" w:hAnsi="Arial"/>
                <w:sz w:val="12"/>
                <w:szCs w:val="12"/>
                <w:b w:val="1"/>
                <w:bCs w:val="1"/>
                <w:color w:val="auto"/>
              </w:rPr>
              <w:t>(In millions)</w:t>
            </w:r>
          </w:p>
        </w:tc>
      </w:tr>
      <w:tr>
        <w:trPr>
          <w:trHeight w:val="158"/>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FIA/ IUL market related liability movements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w:t>
            </w:r>
          </w:p>
        </w:tc>
      </w:tr>
      <w:tr>
        <w:trPr>
          <w:trHeight w:val="155"/>
        </w:trPr>
        <w:tc>
          <w:tcPr>
            <w:tcW w:w="8400" w:type="dxa"/>
            <w:vAlign w:val="bottom"/>
          </w:tcPr>
          <w:p>
            <w:pPr>
              <w:spacing w:after="0"/>
              <w:rPr>
                <w:sz w:val="20"/>
                <w:szCs w:val="20"/>
                <w:color w:val="auto"/>
              </w:rPr>
            </w:pPr>
            <w:r>
              <w:rPr>
                <w:rFonts w:ascii="Arial" w:cs="Arial" w:eastAsia="Arial" w:hAnsi="Arial"/>
                <w:sz w:val="12"/>
                <w:szCs w:val="12"/>
                <w:color w:val="auto"/>
              </w:rPr>
              <w:t>Index credits, interest credited &amp; bonuses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1,005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319</w:t>
            </w:r>
          </w:p>
        </w:tc>
      </w:tr>
      <w:tr>
        <w:trPr>
          <w:trHeight w:val="160"/>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Annuity payments</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r>
      <w:tr>
        <w:trPr>
          <w:trHeight w:val="155"/>
        </w:trPr>
        <w:tc>
          <w:tcPr>
            <w:tcW w:w="8400" w:type="dxa"/>
            <w:vAlign w:val="bottom"/>
          </w:tcPr>
          <w:p>
            <w:pPr>
              <w:spacing w:after="0"/>
              <w:rPr>
                <w:sz w:val="20"/>
                <w:szCs w:val="20"/>
                <w:color w:val="auto"/>
              </w:rPr>
            </w:pPr>
            <w:r>
              <w:rPr>
                <w:rFonts w:ascii="Arial" w:cs="Arial" w:eastAsia="Arial" w:hAnsi="Arial"/>
                <w:sz w:val="12"/>
                <w:szCs w:val="12"/>
                <w:color w:val="auto"/>
              </w:rPr>
              <w:t>PRT agreements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1,157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1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w:t>
            </w:r>
          </w:p>
        </w:tc>
      </w:tr>
      <w:tr>
        <w:trPr>
          <w:trHeight w:val="151"/>
        </w:trPr>
        <w:tc>
          <w:tcPr>
            <w:tcW w:w="8400" w:type="dxa"/>
            <w:vAlign w:val="bottom"/>
          </w:tcPr>
          <w:p>
            <w:pPr>
              <w:ind w:left="180"/>
              <w:spacing w:after="0"/>
              <w:rPr>
                <w:sz w:val="20"/>
                <w:szCs w:val="20"/>
                <w:color w:val="auto"/>
              </w:rPr>
            </w:pPr>
            <w:r>
              <w:rPr>
                <w:rFonts w:ascii="Arial" w:cs="Arial" w:eastAsia="Arial" w:hAnsi="Arial"/>
                <w:sz w:val="12"/>
                <w:szCs w:val="12"/>
                <w:b w:val="1"/>
                <w:bCs w:val="1"/>
                <w:color w:val="auto"/>
              </w:rPr>
              <w:t>Total benefits and other changes in policy reserves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2,138</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866</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540" w:hanging="279"/>
        <w:spacing w:after="0" w:line="254" w:lineRule="auto"/>
        <w:tabs>
          <w:tab w:leader="none" w:pos="536"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FIA/IUL market related liability movements during the twelve and seven months ended December 31, 2021 and December 31, 2020, respectively, are mainly driven by changes in the equity markets, non-performance spreads, and risk free rates during the periods. Additionally, 2021 includes the system implementation and assumption review process impacts discussed below. The change in risk free rates decreased the FIA market related liability by $145 million and $63 million during the twelve and seven months ended December 31, 2021 and 2020, respectively. During the twelve and seven months ended December 31, 2021 and 2020, the change in non-performance spread decreased the FIA market related liability by $34 million and increased the FIA market related liability by $205 million, respectively. The remaining change in market value of the market related liability movements was driven by equity market impacts. See table in the net investment gains/losses discussion above for summary and discussion of net unrealized gains (losses) on certain derivative instruments.</w:t>
      </w:r>
    </w:p>
    <w:p>
      <w:pPr>
        <w:spacing w:after="0" w:line="6" w:lineRule="exact"/>
        <w:rPr>
          <w:rFonts w:ascii="Arial" w:cs="Arial" w:eastAsia="Arial" w:hAnsi="Arial"/>
          <w:sz w:val="15"/>
          <w:szCs w:val="15"/>
          <w:color w:val="auto"/>
        </w:rPr>
      </w:pPr>
    </w:p>
    <w:p>
      <w:pPr>
        <w:jc w:val="both"/>
        <w:ind w:left="540" w:hanging="279"/>
        <w:spacing w:after="0" w:line="302" w:lineRule="auto"/>
        <w:tabs>
          <w:tab w:leader="none" w:pos="536"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Annually, typically in the third quarter, we review assumptions associated with reserves for policy benefits and product guarantees. In addition, during the third quarter of 2021, we implemented a new actuarial valuation system, and as a result, our third quarter 2021 assumption updates include model refinements and assumption updates resulting from the implementation. The system implementation and assumption review process included refinements in the calculation of the fair value of the embedded derivative component of our fixed indexed annuities. These changes, taken together, resulted in a decrease in contractholder funds and future policy reserves of $397 million.</w:t>
      </w:r>
    </w:p>
    <w:p>
      <w:pPr>
        <w:spacing w:after="0" w:line="2" w:lineRule="exact"/>
        <w:rPr>
          <w:rFonts w:ascii="Arial" w:cs="Arial" w:eastAsia="Arial" w:hAnsi="Arial"/>
          <w:sz w:val="13"/>
          <w:szCs w:val="13"/>
          <w:color w:val="auto"/>
        </w:rPr>
      </w:pPr>
    </w:p>
    <w:p>
      <w:pPr>
        <w:ind w:left="520" w:hanging="259"/>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index credits, interest credited and bonuses were primarily due to index credits on FIA policies. Refer to average policyholder index discussion above for details on drivers.</w:t>
      </w:r>
    </w:p>
    <w:p>
      <w:pPr>
        <w:spacing w:after="0" w:line="64" w:lineRule="exact"/>
        <w:rPr>
          <w:rFonts w:ascii="Arial" w:cs="Arial" w:eastAsia="Arial" w:hAnsi="Arial"/>
          <w:sz w:val="13"/>
          <w:szCs w:val="13"/>
          <w:color w:val="auto"/>
        </w:rPr>
      </w:pPr>
    </w:p>
    <w:p>
      <w:pPr>
        <w:ind w:left="520" w:hanging="259"/>
        <w:spacing w:after="0"/>
        <w:tabs>
          <w:tab w:leader="none" w:pos="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PRT agreements for the twelve months ended December 31, 2021 reflect new PRT deals for the period.</w:t>
      </w:r>
    </w:p>
    <w:p>
      <w:pPr>
        <w:sectPr>
          <w:pgSz w:w="11900" w:h="16838" w:orient="portrait"/>
          <w:cols w:equalWidth="0" w:num="1">
            <w:col w:w="11260"/>
          </w:cols>
          <w:pgMar w:left="320" w:top="129" w:right="31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Personnel Costs and Other Operating Expenses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Below is a summary of personnel costs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auto"/>
        </w:rPr>
        <w:t>Personnel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wp:posOffset>
            </wp:positionV>
            <wp:extent cx="7155180" cy="1003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5180" cy="10033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7155180" cy="121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5180" cy="12192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Total personnel costs and other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4"/>
                <w:szCs w:val="14"/>
                <w:color w:val="auto"/>
              </w:rPr>
            </w:pPr>
          </w:p>
        </w:tc>
        <w:tc>
          <w:tcPr>
            <w:tcW w:w="1260" w:type="dxa"/>
            <w:vAlign w:val="bottom"/>
          </w:tcPr>
          <w:p>
            <w:pPr>
              <w:jc w:val="right"/>
              <w:ind w:right="100"/>
              <w:spacing w:after="0"/>
              <w:rPr>
                <w:sz w:val="20"/>
                <w:szCs w:val="20"/>
                <w:color w:val="auto"/>
              </w:rPr>
            </w:pPr>
            <w:r>
              <w:rPr>
                <w:rFonts w:ascii="Arial" w:cs="Arial" w:eastAsia="Arial" w:hAnsi="Arial"/>
                <w:sz w:val="12"/>
                <w:szCs w:val="12"/>
                <w:b w:val="1"/>
                <w:bCs w:val="1"/>
                <w:color w:val="auto"/>
                <w:w w:val="89"/>
              </w:rPr>
              <w:t>Seven months ended</w:t>
            </w:r>
          </w:p>
        </w:tc>
      </w:tr>
      <w:tr>
        <w:trPr>
          <w:trHeight w:val="153"/>
        </w:trPr>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December 31, 2021</w:t>
            </w:r>
          </w:p>
        </w:tc>
        <w:tc>
          <w:tcPr>
            <w:tcW w:w="1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6"/>
              </w:rPr>
              <w:t>December 31, 2020</w:t>
            </w:r>
          </w:p>
        </w:tc>
      </w:tr>
      <w:tr>
        <w:trPr>
          <w:trHeight w:val="145"/>
        </w:trPr>
        <w:tc>
          <w:tcPr>
            <w:tcW w:w="140" w:type="dxa"/>
            <w:vAlign w:val="bottom"/>
          </w:tcPr>
          <w:p>
            <w:pPr>
              <w:spacing w:after="0"/>
              <w:rPr>
                <w:sz w:val="12"/>
                <w:szCs w:val="12"/>
                <w:color w:val="auto"/>
              </w:rPr>
            </w:pPr>
          </w:p>
        </w:tc>
        <w:tc>
          <w:tcPr>
            <w:tcW w:w="2720" w:type="dxa"/>
            <w:vAlign w:val="bottom"/>
            <w:gridSpan w:val="4"/>
          </w:tcPr>
          <w:p>
            <w:pPr>
              <w:jc w:val="right"/>
              <w:ind w:right="1060"/>
              <w:spacing w:after="0"/>
              <w:rPr>
                <w:sz w:val="20"/>
                <w:szCs w:val="20"/>
                <w:color w:val="auto"/>
              </w:rPr>
            </w:pPr>
            <w:r>
              <w:rPr>
                <w:rFonts w:ascii="Arial" w:cs="Arial" w:eastAsia="Arial" w:hAnsi="Arial"/>
                <w:sz w:val="12"/>
                <w:szCs w:val="12"/>
                <w:b w:val="1"/>
                <w:bCs w:val="1"/>
                <w:color w:val="auto"/>
              </w:rPr>
              <w:t>(In millions)</w:t>
            </w:r>
          </w:p>
        </w:tc>
      </w:tr>
      <w:tr>
        <w:trPr>
          <w:trHeight w:val="153"/>
        </w:trPr>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129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62"/>
        </w:trPr>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w:t>
            </w:r>
          </w:p>
        </w:tc>
      </w:tr>
      <w:tr>
        <w:trPr>
          <w:trHeight w:val="151"/>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ectPr>
          <w:pgSz w:w="11900" w:h="16838" w:orient="portrait"/>
          <w:cols w:equalWidth="0" w:num="2">
            <w:col w:w="7680" w:space="720"/>
            <w:col w:w="2860"/>
          </w:cols>
          <w:pgMar w:left="320" w:top="129" w:right="319" w:bottom="1440" w:gutter="0" w:footer="0" w:header="0"/>
          <w:type w:val="continuous"/>
        </w:sectPr>
      </w:pPr>
    </w:p>
    <w:p>
      <w:pPr>
        <w:ind w:left="520" w:hanging="259"/>
        <w:spacing w:after="0"/>
        <w:tabs>
          <w:tab w:leader="none" w:pos="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Personnel costs for the twelve months ended December 31, 2021 and seven months ended December 31, 2020 primarily reflect employee-related expenses.</w:t>
      </w:r>
    </w:p>
    <w:p>
      <w:pPr>
        <w:spacing w:after="0" w:line="143" w:lineRule="exact"/>
        <w:rPr>
          <w:rFonts w:ascii="Arial" w:cs="Arial" w:eastAsia="Arial" w:hAnsi="Arial"/>
          <w:sz w:val="15"/>
          <w:szCs w:val="15"/>
          <w:color w:val="auto"/>
        </w:rPr>
      </w:pPr>
    </w:p>
    <w:p>
      <w:pPr>
        <w:ind w:left="540" w:hanging="279"/>
        <w:spacing w:after="0" w:line="274" w:lineRule="auto"/>
        <w:tabs>
          <w:tab w:leader="none" w:pos="536" w:val="left"/>
        </w:tabs>
        <w:numPr>
          <w:ilvl w:val="0"/>
          <w:numId w:val="38"/>
        </w:numPr>
        <w:rPr>
          <w:rFonts w:ascii="Arial" w:cs="Arial" w:eastAsia="Arial" w:hAnsi="Arial"/>
          <w:sz w:val="15"/>
          <w:szCs w:val="15"/>
          <w:color w:val="auto"/>
        </w:rPr>
      </w:pPr>
      <w:r>
        <w:rPr>
          <w:rFonts w:ascii="Arial" w:cs="Arial" w:eastAsia="Arial" w:hAnsi="Arial"/>
          <w:sz w:val="15"/>
          <w:szCs w:val="15"/>
          <w:color w:val="auto"/>
        </w:rPr>
        <w:t>Other operating expenses for the twelve months ended December 31, 2021 and seven months ended December 31, 2020 reflect certain operating expenses other than personnel costs and non-deferred acquisition costs.</w:t>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71" w:name="page72"/>
    <w:bookmarkEnd w:id="7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Depreciation and amortization</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Below is a summary of the major components included in depreciation and amortization: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4"/>
                <w:szCs w:val="14"/>
                <w:color w:val="auto"/>
              </w:rPr>
            </w:pPr>
          </w:p>
        </w:tc>
        <w:tc>
          <w:tcPr>
            <w:tcW w:w="1260" w:type="dxa"/>
            <w:vAlign w:val="bottom"/>
          </w:tcPr>
          <w:p>
            <w:pPr>
              <w:jc w:val="right"/>
              <w:ind w:right="100"/>
              <w:spacing w:after="0"/>
              <w:rPr>
                <w:sz w:val="20"/>
                <w:szCs w:val="20"/>
                <w:color w:val="auto"/>
              </w:rPr>
            </w:pPr>
            <w:r>
              <w:rPr>
                <w:rFonts w:ascii="Arial" w:cs="Arial" w:eastAsia="Arial" w:hAnsi="Arial"/>
                <w:sz w:val="12"/>
                <w:szCs w:val="12"/>
                <w:b w:val="1"/>
                <w:bCs w:val="1"/>
                <w:color w:val="auto"/>
                <w:w w:val="89"/>
              </w:rPr>
              <w:t>Seven months ended</w:t>
            </w:r>
          </w:p>
        </w:tc>
      </w:tr>
      <w:tr>
        <w:trPr>
          <w:trHeight w:val="153"/>
        </w:trPr>
        <w:tc>
          <w:tcPr>
            <w:tcW w:w="8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December 31, 2021</w:t>
            </w:r>
          </w:p>
        </w:tc>
        <w:tc>
          <w:tcPr>
            <w:tcW w:w="1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6"/>
              </w:rPr>
              <w:t>December 31, 2020</w:t>
            </w:r>
          </w:p>
        </w:tc>
      </w:t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4"/>
          </w:tcPr>
          <w:p>
            <w:pPr>
              <w:jc w:val="right"/>
              <w:ind w:right="1060"/>
              <w:spacing w:after="0"/>
              <w:rPr>
                <w:sz w:val="20"/>
                <w:szCs w:val="20"/>
                <w:color w:val="auto"/>
              </w:rPr>
            </w:pPr>
            <w:r>
              <w:rPr>
                <w:rFonts w:ascii="Arial" w:cs="Arial" w:eastAsia="Arial" w:hAnsi="Arial"/>
                <w:sz w:val="12"/>
                <w:szCs w:val="12"/>
                <w:b w:val="1"/>
                <w:bCs w:val="1"/>
                <w:color w:val="auto"/>
              </w:rPr>
              <w:t>(In millions)</w:t>
            </w:r>
          </w:p>
        </w:tc>
      </w:tr>
      <w:tr>
        <w:trPr>
          <w:trHeight w:val="158"/>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DAC, VOBA, and DSI</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r>
      <w:tr>
        <w:trPr>
          <w:trHeight w:val="155"/>
        </w:trPr>
        <w:tc>
          <w:tcPr>
            <w:tcW w:w="8400" w:type="dxa"/>
            <w:vAlign w:val="bottom"/>
          </w:tcPr>
          <w:p>
            <w:pPr>
              <w:spacing w:after="0"/>
              <w:rPr>
                <w:sz w:val="20"/>
                <w:szCs w:val="20"/>
                <w:color w:val="auto"/>
              </w:rPr>
            </w:pPr>
            <w:r>
              <w:rPr>
                <w:rFonts w:ascii="Arial" w:cs="Arial" w:eastAsia="Arial" w:hAnsi="Arial"/>
                <w:sz w:val="12"/>
                <w:szCs w:val="12"/>
                <w:color w:val="auto"/>
              </w:rPr>
              <w:t>Interest</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60"/>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Unlocking</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55"/>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Amortization of other intangible assets and other depreciation</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r>
      <w:tr>
        <w:trPr>
          <w:trHeight w:val="176"/>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 depreciation and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484</w:t>
            </w: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both"/>
        <w:ind w:left="540" w:hanging="279"/>
        <w:spacing w:after="0" w:line="262" w:lineRule="auto"/>
        <w:tabs>
          <w:tab w:leader="none" w:pos="5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Amortization of DAC, VOBA, and DSI is based on current and future expected gross margins (pre-tax operating income before amortization) and includes the system implementation discussed below. The amortization for the year ended December 31, 2021 and the seven months ended December 31, 2020 is the result of actual gross profits ("AGPs") in the periods.</w:t>
      </w:r>
    </w:p>
    <w:p>
      <w:pPr>
        <w:spacing w:after="0" w:line="32" w:lineRule="exact"/>
        <w:rPr>
          <w:rFonts w:ascii="Arial" w:cs="Arial" w:eastAsia="Arial" w:hAnsi="Arial"/>
          <w:sz w:val="15"/>
          <w:szCs w:val="15"/>
          <w:color w:val="auto"/>
        </w:rPr>
      </w:pPr>
    </w:p>
    <w:p>
      <w:pPr>
        <w:jc w:val="both"/>
        <w:ind w:left="540" w:hanging="279"/>
        <w:spacing w:after="0" w:line="262" w:lineRule="auto"/>
        <w:tabs>
          <w:tab w:leader="none" w:pos="5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Annually, typically in the third quarter, we review assumptions associated with the amortization of intangibles. In addition, during the third quarter of 2021, we implemented a new actuarial valuations system and as a result, our third quarter 2021 assumption updates include model refinements and assumption updates resulting from the implementation. The changes, taken together, increased amortization of intangibles by $136 million.</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items affecting net earnings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expense (benefit)</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Below is a summary of the major components included in income tax expense (benefit):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4"/>
                <w:szCs w:val="14"/>
                <w:color w:val="auto"/>
              </w:rPr>
            </w:pPr>
          </w:p>
        </w:tc>
        <w:tc>
          <w:tcPr>
            <w:tcW w:w="1320" w:type="dxa"/>
            <w:vAlign w:val="bottom"/>
          </w:tcPr>
          <w:p>
            <w:pPr>
              <w:ind w:left="60"/>
              <w:spacing w:after="0"/>
              <w:rPr>
                <w:sz w:val="20"/>
                <w:szCs w:val="20"/>
                <w:color w:val="auto"/>
              </w:rPr>
            </w:pPr>
            <w:r>
              <w:rPr>
                <w:rFonts w:ascii="Arial" w:cs="Arial" w:eastAsia="Arial" w:hAnsi="Arial"/>
                <w:sz w:val="12"/>
                <w:szCs w:val="12"/>
                <w:b w:val="1"/>
                <w:bCs w:val="1"/>
                <w:color w:val="auto"/>
              </w:rPr>
              <w:t>Seven months ended</w:t>
            </w:r>
          </w:p>
        </w:tc>
        <w:tc>
          <w:tcPr>
            <w:tcW w:w="0" w:type="dxa"/>
            <w:vAlign w:val="bottom"/>
          </w:tcPr>
          <w:p>
            <w:pPr>
              <w:spacing w:after="0"/>
              <w:rPr>
                <w:sz w:val="1"/>
                <w:szCs w:val="1"/>
                <w:color w:val="auto"/>
              </w:rPr>
            </w:pPr>
          </w:p>
        </w:tc>
      </w:tr>
      <w:tr>
        <w:trPr>
          <w:trHeight w:val="153"/>
        </w:trPr>
        <w:tc>
          <w:tcPr>
            <w:tcW w:w="8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96"/>
              </w:rPr>
              <w:t>December 31, 2021</w:t>
            </w:r>
          </w:p>
        </w:tc>
        <w:tc>
          <w:tcPr>
            <w:tcW w:w="1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gridSpan w:val="4"/>
          </w:tcPr>
          <w:p>
            <w:pPr>
              <w:ind w:left="860"/>
              <w:spacing w:after="0"/>
              <w:rPr>
                <w:sz w:val="20"/>
                <w:szCs w:val="20"/>
                <w:color w:val="auto"/>
              </w:rPr>
            </w:pPr>
            <w:r>
              <w:rPr>
                <w:rFonts w:ascii="Arial" w:cs="Arial" w:eastAsia="Arial" w:hAnsi="Arial"/>
                <w:sz w:val="12"/>
                <w:szCs w:val="12"/>
                <w:b w:val="1"/>
                <w:bCs w:val="1"/>
                <w:color w:val="auto"/>
              </w:rPr>
              <w:t>(Dollars in millions)</w:t>
            </w:r>
          </w:p>
        </w:tc>
        <w:tc>
          <w:tcPr>
            <w:tcW w:w="0" w:type="dxa"/>
            <w:vAlign w:val="bottom"/>
          </w:tcPr>
          <w:p>
            <w:pPr>
              <w:spacing w:after="0"/>
              <w:rPr>
                <w:sz w:val="1"/>
                <w:szCs w:val="1"/>
                <w:color w:val="auto"/>
              </w:rPr>
            </w:pPr>
          </w:p>
        </w:tc>
      </w:tr>
      <w:tr>
        <w:trPr>
          <w:trHeight w:val="158"/>
        </w:trPr>
        <w:tc>
          <w:tcPr>
            <w:tcW w:w="8220" w:type="dxa"/>
            <w:vAlign w:val="bottom"/>
            <w:shd w:val="clear" w:color="auto" w:fill="CCEEFF"/>
          </w:tcPr>
          <w:p>
            <w:pPr>
              <w:spacing w:after="0"/>
              <w:rPr>
                <w:sz w:val="20"/>
                <w:szCs w:val="20"/>
                <w:color w:val="auto"/>
              </w:rPr>
            </w:pPr>
            <w:r>
              <w:rPr>
                <w:rFonts w:ascii="Arial" w:cs="Arial" w:eastAsia="Arial" w:hAnsi="Arial"/>
                <w:sz w:val="12"/>
                <w:szCs w:val="12"/>
                <w:color w:val="auto"/>
              </w:rPr>
              <w:t>Income before taxes</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1,077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214"/>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22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before valuation allowance</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234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ind w:left="100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55"/>
        </w:trPr>
        <w:tc>
          <w:tcPr>
            <w:tcW w:w="82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Change in valuation allowance</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100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74"/>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Federal income tax expense (benefit)</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220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color w:val="auto"/>
              </w:rPr>
              <w:t>Effective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2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jc w:val="right"/>
              <w:spacing w:after="0" w:line="121" w:lineRule="exact"/>
              <w:rPr>
                <w:sz w:val="20"/>
                <w:szCs w:val="20"/>
                <w:color w:val="auto"/>
              </w:rPr>
            </w:pPr>
            <w:r>
              <w:rPr>
                <w:rFonts w:ascii="Arial" w:cs="Arial" w:eastAsia="Arial" w:hAnsi="Arial"/>
                <w:sz w:val="12"/>
                <w:szCs w:val="12"/>
                <w:color w:val="auto"/>
              </w:rPr>
              <w:t>20 %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ind w:left="1000"/>
              <w:spacing w:after="0" w:line="121" w:lineRule="exact"/>
              <w:rPr>
                <w:sz w:val="20"/>
                <w:szCs w:val="20"/>
                <w:color w:val="auto"/>
              </w:rPr>
            </w:pPr>
            <w:r>
              <w:rPr>
                <w:rFonts w:ascii="Arial" w:cs="Arial" w:eastAsia="Arial" w:hAnsi="Arial"/>
                <w:sz w:val="12"/>
                <w:szCs w:val="12"/>
                <w:color w:val="auto"/>
                <w:w w:val="93"/>
              </w:rPr>
              <w:t>(87)%</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540" w:right="160" w:hanging="279"/>
        <w:spacing w:after="0" w:line="274" w:lineRule="auto"/>
        <w:tabs>
          <w:tab w:leader="none" w:pos="536" w:val="left"/>
        </w:tabs>
        <w:numPr>
          <w:ilvl w:val="0"/>
          <w:numId w:val="40"/>
        </w:numPr>
        <w:rPr>
          <w:rFonts w:ascii="Arial" w:cs="Arial" w:eastAsia="Arial" w:hAnsi="Arial"/>
          <w:sz w:val="15"/>
          <w:szCs w:val="15"/>
          <w:b w:val="1"/>
          <w:bCs w:val="1"/>
          <w:color w:val="auto"/>
        </w:rPr>
      </w:pPr>
      <w:r>
        <w:rPr>
          <w:rFonts w:ascii="Arial" w:cs="Arial" w:eastAsia="Arial" w:hAnsi="Arial"/>
          <w:sz w:val="15"/>
          <w:szCs w:val="15"/>
          <w:color w:val="auto"/>
        </w:rPr>
        <w:t>Income tax benefit for the period ended December 31, 2020 was $75 million. The income tax benefit was primarily driven by various valuation allowance releases as a result of merger activity, partially offset by taxes on income.</w:t>
      </w:r>
    </w:p>
    <w:p>
      <w:pPr>
        <w:spacing w:after="0" w:line="34" w:lineRule="exact"/>
        <w:rPr>
          <w:rFonts w:ascii="Arial" w:cs="Arial" w:eastAsia="Arial" w:hAnsi="Arial"/>
          <w:sz w:val="15"/>
          <w:szCs w:val="15"/>
          <w:b w:val="1"/>
          <w:bCs w:val="1"/>
          <w:color w:val="auto"/>
        </w:rPr>
      </w:pPr>
    </w:p>
    <w:p>
      <w:pPr>
        <w:ind w:left="520" w:hanging="259"/>
        <w:spacing w:after="0"/>
        <w:tabs>
          <w:tab w:leader="none" w:pos="5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See "Note T - </w:t>
      </w:r>
      <w:r>
        <w:rPr>
          <w:rFonts w:ascii="Arial" w:cs="Arial" w:eastAsia="Arial" w:hAnsi="Arial"/>
          <w:sz w:val="15"/>
          <w:szCs w:val="15"/>
          <w:i w:val="1"/>
          <w:iCs w:val="1"/>
          <w:color w:val="auto"/>
        </w:rPr>
        <w:t>Income Taxes</w:t>
      </w:r>
      <w:r>
        <w:rPr>
          <w:rFonts w:ascii="Arial" w:cs="Arial" w:eastAsia="Arial" w:hAnsi="Arial"/>
          <w:sz w:val="15"/>
          <w:szCs w:val="15"/>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2" w:name="page73"/>
    <w:bookmarkEnd w:id="7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Net Earnings (See Non-GAAP Financial Measures section)</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below shows the adjustments made to reconcile net earnings to adjusted net earnings :</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4"/>
                <w:szCs w:val="14"/>
                <w:color w:val="auto"/>
              </w:rPr>
            </w:pPr>
          </w:p>
        </w:tc>
        <w:tc>
          <w:tcPr>
            <w:tcW w:w="1260" w:type="dxa"/>
            <w:vAlign w:val="bottom"/>
          </w:tcPr>
          <w:p>
            <w:pPr>
              <w:jc w:val="right"/>
              <w:ind w:right="100"/>
              <w:spacing w:after="0"/>
              <w:rPr>
                <w:sz w:val="20"/>
                <w:szCs w:val="20"/>
                <w:color w:val="auto"/>
              </w:rPr>
            </w:pPr>
            <w:r>
              <w:rPr>
                <w:rFonts w:ascii="Arial" w:cs="Arial" w:eastAsia="Arial" w:hAnsi="Arial"/>
                <w:sz w:val="12"/>
                <w:szCs w:val="12"/>
                <w:b w:val="1"/>
                <w:bCs w:val="1"/>
                <w:color w:val="auto"/>
                <w:w w:val="89"/>
              </w:rPr>
              <w:t>Seven months ended</w:t>
            </w:r>
          </w:p>
        </w:tc>
      </w:tr>
      <w:tr>
        <w:trPr>
          <w:trHeight w:val="153"/>
        </w:trPr>
        <w:tc>
          <w:tcPr>
            <w:tcW w:w="8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December 31, 2021</w:t>
            </w:r>
          </w:p>
        </w:tc>
        <w:tc>
          <w:tcPr>
            <w:tcW w:w="1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6"/>
              </w:rPr>
              <w:t>December 31, 2020</w:t>
            </w:r>
          </w:p>
        </w:tc>
      </w:t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4"/>
          </w:tcPr>
          <w:p>
            <w:pPr>
              <w:jc w:val="right"/>
              <w:ind w:right="1060"/>
              <w:spacing w:after="0"/>
              <w:rPr>
                <w:sz w:val="20"/>
                <w:szCs w:val="20"/>
                <w:color w:val="auto"/>
              </w:rPr>
            </w:pPr>
            <w:r>
              <w:rPr>
                <w:rFonts w:ascii="Arial" w:cs="Arial" w:eastAsia="Arial" w:hAnsi="Arial"/>
                <w:sz w:val="12"/>
                <w:szCs w:val="12"/>
                <w:b w:val="1"/>
                <w:bCs w:val="1"/>
                <w:color w:val="auto"/>
              </w:rPr>
              <w:t>(In millions)</w:t>
            </w:r>
          </w:p>
        </w:tc>
      </w:tr>
      <w:tr>
        <w:trPr>
          <w:trHeight w:val="158"/>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w:t>
            </w:r>
          </w:p>
        </w:tc>
      </w:tr>
      <w:tr>
        <w:trPr>
          <w:trHeight w:val="157"/>
        </w:trPr>
        <w:tc>
          <w:tcPr>
            <w:tcW w:w="8400" w:type="dxa"/>
            <w:vAlign w:val="bottom"/>
          </w:tcPr>
          <w:p>
            <w:pPr>
              <w:spacing w:after="0"/>
              <w:rPr>
                <w:sz w:val="20"/>
                <w:szCs w:val="20"/>
                <w:color w:val="auto"/>
              </w:rPr>
            </w:pPr>
            <w:r>
              <w:rPr>
                <w:rFonts w:ascii="Arial" w:cs="Arial" w:eastAsia="Arial" w:hAnsi="Arial"/>
                <w:sz w:val="12"/>
                <w:szCs w:val="12"/>
                <w:b w:val="1"/>
                <w:bCs w:val="1"/>
                <w:color w:val="auto"/>
              </w:rPr>
              <w:t>Non-GAAP adjustments:</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8"/>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Recognized (gains), net</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r>
      <w:tr>
        <w:trPr>
          <w:trHeight w:val="155"/>
        </w:trPr>
        <w:tc>
          <w:tcPr>
            <w:tcW w:w="8400" w:type="dxa"/>
            <w:vAlign w:val="bottom"/>
          </w:tcPr>
          <w:p>
            <w:pPr>
              <w:spacing w:after="0"/>
              <w:rPr>
                <w:sz w:val="20"/>
                <w:szCs w:val="20"/>
                <w:color w:val="auto"/>
              </w:rPr>
            </w:pPr>
            <w:r>
              <w:rPr>
                <w:rFonts w:ascii="Arial" w:cs="Arial" w:eastAsia="Arial" w:hAnsi="Arial"/>
                <w:sz w:val="12"/>
                <w:szCs w:val="12"/>
                <w:color w:val="auto"/>
              </w:rPr>
              <w:t>Indexed product related derivatives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160"/>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Purchase price amortization</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r>
        <w:trPr>
          <w:trHeight w:val="155"/>
        </w:trPr>
        <w:tc>
          <w:tcPr>
            <w:tcW w:w="8400" w:type="dxa"/>
            <w:vAlign w:val="bottom"/>
          </w:tcPr>
          <w:p>
            <w:pPr>
              <w:spacing w:after="0"/>
              <w:rPr>
                <w:sz w:val="20"/>
                <w:szCs w:val="20"/>
                <w:color w:val="auto"/>
              </w:rPr>
            </w:pPr>
            <w:r>
              <w:rPr>
                <w:rFonts w:ascii="Arial" w:cs="Arial" w:eastAsia="Arial" w:hAnsi="Arial"/>
                <w:sz w:val="12"/>
                <w:szCs w:val="12"/>
                <w:color w:val="auto"/>
              </w:rPr>
              <w:t>Transaction costs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60"/>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Other non-recurring items (a)</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taxes on non-GAAP adjustments</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r>
      <w:tr>
        <w:trPr>
          <w:trHeight w:val="154"/>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b w:val="1"/>
                <w:bCs w:val="1"/>
                <w:color w:val="auto"/>
              </w:rPr>
              <w:t>Adjusted 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361</w:t>
            </w: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w:t>
            </w:r>
          </w:p>
        </w:tc>
      </w:tr>
    </w:tbl>
    <w:p>
      <w:pPr>
        <w:ind w:left="140" w:hanging="135"/>
        <w:spacing w:after="0"/>
        <w:tabs>
          <w:tab w:leader="none" w:pos="1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Reflects adjustments to benefits and other changes in policy reserves and depreciation and amortization resulting from the implementation of a new actuarial valuation system</w:t>
      </w:r>
    </w:p>
    <w:p>
      <w:pPr>
        <w:spacing w:after="0" w:line="200" w:lineRule="exact"/>
        <w:rPr>
          <w:rFonts w:ascii="Arial" w:cs="Arial" w:eastAsia="Arial" w:hAnsi="Arial"/>
          <w:sz w:val="11"/>
          <w:szCs w:val="11"/>
          <w:color w:val="auto"/>
        </w:rPr>
      </w:pPr>
    </w:p>
    <w:p>
      <w:pPr>
        <w:spacing w:after="0" w:line="293" w:lineRule="exact"/>
        <w:rPr>
          <w:rFonts w:ascii="Arial" w:cs="Arial" w:eastAsia="Arial" w:hAnsi="Arial"/>
          <w:sz w:val="11"/>
          <w:szCs w:val="11"/>
          <w:color w:val="auto"/>
        </w:rPr>
      </w:pPr>
    </w:p>
    <w:p>
      <w:pPr>
        <w:jc w:val="both"/>
        <w:ind w:left="540" w:hanging="279"/>
        <w:spacing w:after="0" w:line="258" w:lineRule="auto"/>
        <w:tabs>
          <w:tab w:leader="none" w:pos="536" w:val="left"/>
        </w:tabs>
        <w:numPr>
          <w:ilvl w:val="1"/>
          <w:numId w:val="41"/>
        </w:numPr>
        <w:rPr>
          <w:rFonts w:ascii="Arial" w:cs="Arial" w:eastAsia="Arial" w:hAnsi="Arial"/>
          <w:sz w:val="15"/>
          <w:szCs w:val="15"/>
          <w:color w:val="auto"/>
        </w:rPr>
      </w:pPr>
      <w:r>
        <w:rPr>
          <w:rFonts w:ascii="Arial" w:cs="Arial" w:eastAsia="Arial" w:hAnsi="Arial"/>
          <w:sz w:val="15"/>
          <w:szCs w:val="15"/>
          <w:color w:val="auto"/>
        </w:rPr>
        <w:t>Adjusted net earnings for the twelve months ended December 31, 2021 primarily reflects net investment income for the period, partially offset by product costs and other expenses, and includes $31 million of net favorable mortality primarily driven by the single premium immediate annuity ("SPIA") line of business, partially offset by $(19) million net unfavorable mortality driven by the indexed universal life ("IUL") line of business, $8 million of favorable DAC unlocking and $46 million of other net favorable items, primarily net investment income related to CLO redemptions held at a discount to par.</w:t>
      </w:r>
    </w:p>
    <w:p>
      <w:pPr>
        <w:spacing w:after="0" w:line="35" w:lineRule="exact"/>
        <w:rPr>
          <w:rFonts w:ascii="Arial" w:cs="Arial" w:eastAsia="Arial" w:hAnsi="Arial"/>
          <w:sz w:val="15"/>
          <w:szCs w:val="15"/>
          <w:color w:val="auto"/>
        </w:rPr>
      </w:pPr>
    </w:p>
    <w:p>
      <w:pPr>
        <w:jc w:val="both"/>
        <w:ind w:left="540" w:hanging="279"/>
        <w:spacing w:after="0" w:line="262" w:lineRule="auto"/>
        <w:tabs>
          <w:tab w:leader="none" w:pos="536" w:val="left"/>
        </w:tabs>
        <w:numPr>
          <w:ilvl w:val="1"/>
          <w:numId w:val="41"/>
        </w:numPr>
        <w:rPr>
          <w:rFonts w:ascii="Arial" w:cs="Arial" w:eastAsia="Arial" w:hAnsi="Arial"/>
          <w:sz w:val="15"/>
          <w:szCs w:val="15"/>
          <w:color w:val="auto"/>
        </w:rPr>
      </w:pPr>
      <w:r>
        <w:rPr>
          <w:rFonts w:ascii="Arial" w:cs="Arial" w:eastAsia="Arial" w:hAnsi="Arial"/>
          <w:sz w:val="15"/>
          <w:szCs w:val="15"/>
          <w:color w:val="auto"/>
        </w:rPr>
        <w:t>Adjusted net earnings for the seven months ended December 31, 2020 primarily reflects net investment income for the period, partially offset by product costs and other expenses, and includes $14 million of net favorable mortality driven by the SPIA line of business, and $72 million of other net favorable items, primarily related to a favorable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5338445</wp:posOffset>
            </wp:positionH>
            <wp:positionV relativeFrom="paragraph">
              <wp:posOffset>-1238250</wp:posOffset>
            </wp:positionV>
            <wp:extent cx="181038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103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3" w:name="page74"/>
    <w:bookmarkEnd w:id="7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Portfolio</w:t>
      </w:r>
    </w:p>
    <w:p>
      <w:pPr>
        <w:spacing w:after="0" w:line="143" w:lineRule="exact"/>
        <w:rPr>
          <w:sz w:val="20"/>
          <w:szCs w:val="20"/>
          <w:color w:val="auto"/>
        </w:rPr>
      </w:pPr>
    </w:p>
    <w:p>
      <w:pPr>
        <w:jc w:val="both"/>
        <w:ind w:firstLine="541"/>
        <w:spacing w:after="0" w:line="262" w:lineRule="auto"/>
        <w:rPr>
          <w:sz w:val="20"/>
          <w:szCs w:val="20"/>
          <w:color w:val="auto"/>
        </w:rPr>
      </w:pPr>
      <w:r>
        <w:rPr>
          <w:rFonts w:ascii="Arial" w:cs="Arial" w:eastAsia="Arial" w:hAnsi="Arial"/>
          <w:sz w:val="15"/>
          <w:szCs w:val="15"/>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investment portfolio is designed to contribute stable earnings and balance risk across diverse asset classes and is primarily invested in high quality fixed income securities.</w:t>
      </w:r>
    </w:p>
    <w:p>
      <w:pPr>
        <w:spacing w:after="0" w:line="132" w:lineRule="exact"/>
        <w:rPr>
          <w:sz w:val="20"/>
          <w:szCs w:val="20"/>
          <w:color w:val="auto"/>
        </w:rPr>
      </w:pPr>
    </w:p>
    <w:p>
      <w:pPr>
        <w:jc w:val="both"/>
        <w:ind w:firstLine="372"/>
        <w:spacing w:after="0" w:line="274" w:lineRule="auto"/>
        <w:rPr>
          <w:sz w:val="20"/>
          <w:szCs w:val="20"/>
          <w:color w:val="auto"/>
        </w:rPr>
      </w:pPr>
      <w:r>
        <w:rPr>
          <w:rFonts w:ascii="Arial" w:cs="Arial" w:eastAsia="Arial" w:hAnsi="Arial"/>
          <w:sz w:val="15"/>
          <w:szCs w:val="15"/>
          <w:color w:val="auto"/>
        </w:rPr>
        <w:t>As of December 31, 2021 and December 31, 2020, the fair value of our investment portfolio was approximately $39 billion and $31 billion, respectively, and was divided among the following asset classes and sectors: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680"/>
              <w:spacing w:after="0"/>
              <w:rPr>
                <w:sz w:val="20"/>
                <w:szCs w:val="20"/>
                <w:color w:val="auto"/>
              </w:rPr>
            </w:pPr>
            <w:r>
              <w:rPr>
                <w:rFonts w:ascii="Arial" w:cs="Arial" w:eastAsia="Arial" w:hAnsi="Arial"/>
                <w:sz w:val="12"/>
                <w:szCs w:val="12"/>
                <w:b w:val="1"/>
                <w:bCs w:val="1"/>
                <w:color w:val="auto"/>
                <w:w w:val="88"/>
              </w:rPr>
              <w:t>December 31, 2021</w:t>
            </w: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700"/>
              <w:spacing w:after="0"/>
              <w:rPr>
                <w:sz w:val="20"/>
                <w:szCs w:val="20"/>
                <w:color w:val="auto"/>
              </w:rPr>
            </w:pPr>
            <w:r>
              <w:rPr>
                <w:rFonts w:ascii="Arial" w:cs="Arial" w:eastAsia="Arial" w:hAnsi="Arial"/>
                <w:sz w:val="12"/>
                <w:szCs w:val="12"/>
                <w:b w:val="1"/>
                <w:bCs w:val="1"/>
                <w:color w:val="auto"/>
                <w:w w:val="86"/>
              </w:rPr>
              <w:t>December 31, 2020</w:t>
            </w:r>
          </w:p>
        </w:tc>
        <w:tc>
          <w:tcPr>
            <w:tcW w:w="920" w:type="dxa"/>
            <w:vAlign w:val="bottom"/>
            <w:tcBorders>
              <w:bottom w:val="single" w:sz="8" w:color="auto"/>
            </w:tcBorders>
          </w:tcPr>
          <w:p>
            <w:pPr>
              <w:spacing w:after="0"/>
              <w:rPr>
                <w:sz w:val="14"/>
                <w:szCs w:val="14"/>
                <w:color w:val="auto"/>
              </w:rPr>
            </w:pPr>
          </w:p>
        </w:tc>
      </w:tr>
      <w:tr>
        <w:trPr>
          <w:trHeight w:val="153"/>
        </w:trPr>
        <w:tc>
          <w:tcPr>
            <w:tcW w:w="5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Fair Value</w:t>
            </w:r>
          </w:p>
        </w:tc>
        <w:tc>
          <w:tcPr>
            <w:tcW w:w="4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Percent</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Fair Value</w:t>
            </w: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w w:val="86"/>
              </w:rPr>
              <w:t>Percent</w:t>
            </w:r>
          </w:p>
        </w:tc>
      </w:tr>
      <w:tr>
        <w:trPr>
          <w:trHeight w:val="149"/>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60" w:type="dxa"/>
            <w:vAlign w:val="bottom"/>
            <w:gridSpan w:val="6"/>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920" w:type="dxa"/>
            <w:vAlign w:val="bottom"/>
          </w:tcPr>
          <w:p>
            <w:pPr>
              <w:spacing w:after="0"/>
              <w:rPr>
                <w:sz w:val="12"/>
                <w:szCs w:val="12"/>
                <w:color w:val="auto"/>
              </w:rPr>
            </w:pPr>
          </w:p>
        </w:tc>
      </w:tr>
      <w:tr>
        <w:trPr>
          <w:trHeight w:val="158"/>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Fixed maturity securities, available for sale:</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5"/>
        </w:trPr>
        <w:tc>
          <w:tcPr>
            <w:tcW w:w="5580" w:type="dxa"/>
            <w:vAlign w:val="bottom"/>
          </w:tcPr>
          <w:p>
            <w:pPr>
              <w:ind w:left="120"/>
              <w:spacing w:after="0"/>
              <w:rPr>
                <w:sz w:val="20"/>
                <w:szCs w:val="20"/>
                <w:color w:val="auto"/>
              </w:rPr>
            </w:pPr>
            <w:r>
              <w:rPr>
                <w:rFonts w:ascii="Arial" w:cs="Arial" w:eastAsia="Arial" w:hAnsi="Arial"/>
                <w:sz w:val="12"/>
                <w:szCs w:val="12"/>
                <w:color w:val="auto"/>
              </w:rPr>
              <w:t>United States Government full faith and credit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r>
      <w:tr>
        <w:trPr>
          <w:trHeight w:val="160"/>
        </w:trPr>
        <w:tc>
          <w:tcPr>
            <w:tcW w:w="5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United States Government sponsored entities</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 %</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5"/>
        </w:trPr>
        <w:tc>
          <w:tcPr>
            <w:tcW w:w="5580" w:type="dxa"/>
            <w:vAlign w:val="bottom"/>
          </w:tcPr>
          <w:p>
            <w:pPr>
              <w:ind w:left="120"/>
              <w:spacing w:after="0"/>
              <w:rPr>
                <w:sz w:val="20"/>
                <w:szCs w:val="20"/>
                <w:color w:val="auto"/>
              </w:rPr>
            </w:pPr>
            <w:r>
              <w:rPr>
                <w:rFonts w:ascii="Arial" w:cs="Arial" w:eastAsia="Arial" w:hAnsi="Arial"/>
                <w:sz w:val="12"/>
                <w:szCs w:val="12"/>
                <w:color w:val="auto"/>
              </w:rPr>
              <w:t>United States municipalities, states and territories</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1,441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1,309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4 %</w:t>
            </w:r>
          </w:p>
        </w:tc>
      </w:tr>
      <w:tr>
        <w:trPr>
          <w:trHeight w:val="160"/>
        </w:trPr>
        <w:tc>
          <w:tcPr>
            <w:tcW w:w="5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Foreign Governments</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5"/>
        </w:trPr>
        <w:tc>
          <w:tcPr>
            <w:tcW w:w="5580" w:type="dxa"/>
            <w:vAlign w:val="bottom"/>
          </w:tcPr>
          <w:p>
            <w:pPr>
              <w:spacing w:after="0"/>
              <w:rPr>
                <w:sz w:val="20"/>
                <w:szCs w:val="20"/>
                <w:color w:val="auto"/>
              </w:rPr>
            </w:pPr>
            <w:r>
              <w:rPr>
                <w:rFonts w:ascii="Arial" w:cs="Arial" w:eastAsia="Arial" w:hAnsi="Arial"/>
                <w:sz w:val="12"/>
                <w:szCs w:val="12"/>
                <w:color w:val="auto"/>
              </w:rPr>
              <w:t>Corporate securities:</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0"/>
        </w:trPr>
        <w:tc>
          <w:tcPr>
            <w:tcW w:w="5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Finance, insurance and real estate</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5,109</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r>
      <w:tr>
        <w:trPr>
          <w:trHeight w:val="155"/>
        </w:trPr>
        <w:tc>
          <w:tcPr>
            <w:tcW w:w="5580" w:type="dxa"/>
            <w:vAlign w:val="bottom"/>
          </w:tcPr>
          <w:p>
            <w:pPr>
              <w:ind w:left="120"/>
              <w:spacing w:after="0"/>
              <w:rPr>
                <w:sz w:val="20"/>
                <w:szCs w:val="20"/>
                <w:color w:val="auto"/>
              </w:rPr>
            </w:pPr>
            <w:r>
              <w:rPr>
                <w:rFonts w:ascii="Arial" w:cs="Arial" w:eastAsia="Arial" w:hAnsi="Arial"/>
                <w:sz w:val="12"/>
                <w:szCs w:val="12"/>
                <w:color w:val="auto"/>
              </w:rPr>
              <w:t>Manufacturing, construction and mining</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932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936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60"/>
        </w:trPr>
        <w:tc>
          <w:tcPr>
            <w:tcW w:w="5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Utilities, energy and related sectors</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2,987</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r>
      <w:tr>
        <w:trPr>
          <w:trHeight w:val="155"/>
        </w:trPr>
        <w:tc>
          <w:tcPr>
            <w:tcW w:w="5580" w:type="dxa"/>
            <w:vAlign w:val="bottom"/>
          </w:tcPr>
          <w:p>
            <w:pPr>
              <w:ind w:left="120"/>
              <w:spacing w:after="0"/>
              <w:rPr>
                <w:sz w:val="20"/>
                <w:szCs w:val="20"/>
                <w:color w:val="auto"/>
              </w:rPr>
            </w:pPr>
            <w:r>
              <w:rPr>
                <w:rFonts w:ascii="Arial" w:cs="Arial" w:eastAsia="Arial" w:hAnsi="Arial"/>
                <w:sz w:val="12"/>
                <w:szCs w:val="12"/>
                <w:color w:val="auto"/>
              </w:rPr>
              <w:t>Wholesale/retail trade</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2,627</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2,106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7 %</w:t>
            </w:r>
          </w:p>
        </w:tc>
      </w:tr>
      <w:tr>
        <w:trPr>
          <w:trHeight w:val="160"/>
        </w:trPr>
        <w:tc>
          <w:tcPr>
            <w:tcW w:w="5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Services, media and other</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3,349</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r>
      <w:tr>
        <w:trPr>
          <w:trHeight w:val="155"/>
        </w:trPr>
        <w:tc>
          <w:tcPr>
            <w:tcW w:w="5580" w:type="dxa"/>
            <w:vAlign w:val="bottom"/>
          </w:tcPr>
          <w:p>
            <w:pPr>
              <w:spacing w:after="0"/>
              <w:rPr>
                <w:sz w:val="20"/>
                <w:szCs w:val="20"/>
                <w:color w:val="auto"/>
              </w:rPr>
            </w:pPr>
            <w:r>
              <w:rPr>
                <w:rFonts w:ascii="Arial" w:cs="Arial" w:eastAsia="Arial" w:hAnsi="Arial"/>
                <w:sz w:val="12"/>
                <w:szCs w:val="12"/>
                <w:color w:val="auto"/>
              </w:rPr>
              <w:t>Hybrid securities</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881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963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60"/>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Non-agency residential mortgage-backed securities</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694</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r>
      <w:tr>
        <w:trPr>
          <w:trHeight w:val="155"/>
        </w:trPr>
        <w:tc>
          <w:tcPr>
            <w:tcW w:w="5580" w:type="dxa"/>
            <w:vAlign w:val="bottom"/>
          </w:tcPr>
          <w:p>
            <w:pPr>
              <w:spacing w:after="0"/>
              <w:rPr>
                <w:sz w:val="20"/>
                <w:szCs w:val="20"/>
                <w:color w:val="auto"/>
              </w:rPr>
            </w:pPr>
            <w:r>
              <w:rPr>
                <w:rFonts w:ascii="Arial" w:cs="Arial" w:eastAsia="Arial" w:hAnsi="Arial"/>
                <w:sz w:val="12"/>
                <w:szCs w:val="12"/>
                <w:color w:val="auto"/>
              </w:rPr>
              <w:t>Commercial mortgage-backed securities</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2,964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2,806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9 %</w:t>
            </w:r>
          </w:p>
        </w:tc>
      </w:tr>
      <w:tr>
        <w:trPr>
          <w:trHeight w:val="160"/>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r>
      <w:tr>
        <w:trPr>
          <w:trHeight w:val="15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Collateral loan obligations ("CLO")</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4,145</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11 %</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4,268</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14 %</w:t>
            </w:r>
          </w:p>
        </w:tc>
      </w:tr>
      <w:tr>
        <w:trPr>
          <w:trHeight w:val="151"/>
        </w:trPr>
        <w:tc>
          <w:tcPr>
            <w:tcW w:w="55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Total fixed maturity available for sale securities</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29,962</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25,499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81 %</w:t>
            </w:r>
          </w:p>
        </w:tc>
      </w:tr>
      <w:tr>
        <w:trPr>
          <w:trHeight w:val="155"/>
        </w:trPr>
        <w:tc>
          <w:tcPr>
            <w:tcW w:w="5580" w:type="dxa"/>
            <w:vAlign w:val="bottom"/>
          </w:tcPr>
          <w:p>
            <w:pPr>
              <w:spacing w:after="0"/>
              <w:rPr>
                <w:sz w:val="20"/>
                <w:szCs w:val="20"/>
                <w:color w:val="auto"/>
              </w:rPr>
            </w:pPr>
            <w:r>
              <w:rPr>
                <w:rFonts w:ascii="Arial" w:cs="Arial" w:eastAsia="Arial" w:hAnsi="Arial"/>
                <w:sz w:val="12"/>
                <w:szCs w:val="12"/>
                <w:color w:val="auto"/>
              </w:rPr>
              <w:t>Equity securities (a)</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1,171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1,047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60"/>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Alternative investments:</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5"/>
        </w:trPr>
        <w:tc>
          <w:tcPr>
            <w:tcW w:w="5580" w:type="dxa"/>
            <w:vAlign w:val="bottom"/>
          </w:tcPr>
          <w:p>
            <w:pPr>
              <w:ind w:left="100"/>
              <w:spacing w:after="0"/>
              <w:rPr>
                <w:sz w:val="20"/>
                <w:szCs w:val="20"/>
                <w:color w:val="auto"/>
              </w:rPr>
            </w:pPr>
            <w:r>
              <w:rPr>
                <w:rFonts w:ascii="Arial" w:cs="Arial" w:eastAsia="Arial" w:hAnsi="Arial"/>
                <w:sz w:val="12"/>
                <w:szCs w:val="12"/>
                <w:color w:val="auto"/>
              </w:rPr>
              <w:t>Private equity</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1,181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614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2 %</w:t>
            </w:r>
          </w:p>
        </w:tc>
      </w:tr>
      <w:tr>
        <w:trPr>
          <w:trHeight w:val="160"/>
        </w:trPr>
        <w:tc>
          <w:tcPr>
            <w:tcW w:w="55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Real assets</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r>
      <w:tr>
        <w:trPr>
          <w:trHeight w:val="155"/>
        </w:trPr>
        <w:tc>
          <w:tcPr>
            <w:tcW w:w="5580" w:type="dxa"/>
            <w:vAlign w:val="bottom"/>
          </w:tcPr>
          <w:p>
            <w:pPr>
              <w:ind w:left="100"/>
              <w:spacing w:after="0"/>
              <w:rPr>
                <w:sz w:val="20"/>
                <w:szCs w:val="20"/>
                <w:color w:val="auto"/>
              </w:rPr>
            </w:pPr>
            <w:r>
              <w:rPr>
                <w:rFonts w:ascii="Arial" w:cs="Arial" w:eastAsia="Arial" w:hAnsi="Arial"/>
                <w:sz w:val="12"/>
                <w:szCs w:val="12"/>
                <w:color w:val="auto"/>
              </w:rPr>
              <w:t>Credit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829</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254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1 %</w:t>
            </w:r>
          </w:p>
        </w:tc>
      </w:tr>
      <w:tr>
        <w:trPr>
          <w:trHeight w:val="160"/>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Commercial mortgage loans</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r>
      <w:tr>
        <w:trPr>
          <w:trHeight w:val="155"/>
        </w:trPr>
        <w:tc>
          <w:tcPr>
            <w:tcW w:w="5580" w:type="dxa"/>
            <w:vAlign w:val="bottom"/>
          </w:tcPr>
          <w:p>
            <w:pPr>
              <w:spacing w:after="0"/>
              <w:rPr>
                <w:sz w:val="20"/>
                <w:szCs w:val="20"/>
                <w:color w:val="auto"/>
              </w:rPr>
            </w:pPr>
            <w:r>
              <w:rPr>
                <w:rFonts w:ascii="Arial" w:cs="Arial" w:eastAsia="Arial" w:hAnsi="Arial"/>
                <w:sz w:val="12"/>
                <w:szCs w:val="12"/>
                <w:color w:val="auto"/>
              </w:rPr>
              <w:t>Residential mortgage loans</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1,549</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1,123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4 %</w:t>
            </w:r>
          </w:p>
        </w:tc>
      </w:tr>
      <w:tr>
        <w:trPr>
          <w:trHeight w:val="160"/>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Other (primarily derivatives and company owned life insurance)</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997</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r>
      <w:tr>
        <w:trPr>
          <w:trHeight w:val="155"/>
        </w:trPr>
        <w:tc>
          <w:tcPr>
            <w:tcW w:w="5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Short term investments</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1 %</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456</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1 %</w:t>
            </w:r>
          </w:p>
        </w:tc>
      </w:tr>
      <w:tr>
        <w:trPr>
          <w:trHeight w:val="176"/>
        </w:trPr>
        <w:tc>
          <w:tcPr>
            <w:tcW w:w="5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b w:val="1"/>
                <w:bCs w:val="1"/>
                <w:color w:val="auto"/>
              </w:rPr>
              <w:t>Total investments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38,975</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31,204</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(a) Includes investment grade non-redeemable preferred stocks ($928 million and $853 million at December 31, 2021 and 2020, respectively).</w:t>
      </w:r>
    </w:p>
    <w:p>
      <w:pPr>
        <w:spacing w:after="0" w:line="183"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5"/>
          <w:szCs w:val="15"/>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(i) corporate securities rated investment grade by established nationally recognized statistical rating organizations (each, an “NRSRO”), (ii) U.S. Government and government-sponsored agency securities, or (iii) securities of comparable investment quality, if not rated.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4" w:name="page75"/>
    <w:bookmarkEnd w:id="74"/>
    <w:p>
      <w:pPr>
        <w:ind w:left="1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10" w:firstLine="338"/>
        <w:spacing w:after="0" w:line="268" w:lineRule="auto"/>
        <w:rPr>
          <w:sz w:val="20"/>
          <w:szCs w:val="20"/>
          <w:color w:val="auto"/>
        </w:rPr>
      </w:pPr>
      <w:r>
        <w:rPr>
          <w:rFonts w:ascii="Arial" w:cs="Arial" w:eastAsia="Arial" w:hAnsi="Arial"/>
          <w:sz w:val="15"/>
          <w:szCs w:val="15"/>
          <w:color w:val="auto"/>
        </w:rPr>
        <w:t>As of December 31, 2021 and December 31, 2020, our fixed maturity available-for-sale ("AFS") securities portfolio was approximately $30 billion and $25 billion, respectively. The following table summarizes the credit quality, by NRSRO rating, of our fixed income portfolio:</w:t>
      </w:r>
    </w:p>
    <w:tbl>
      <w:tblPr>
        <w:tblLayout w:type="fixed"/>
        <w:tblInd w:w="1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700"/>
              <w:spacing w:after="0"/>
              <w:rPr>
                <w:sz w:val="20"/>
                <w:szCs w:val="20"/>
                <w:color w:val="auto"/>
              </w:rPr>
            </w:pPr>
            <w:r>
              <w:rPr>
                <w:rFonts w:ascii="Arial" w:cs="Arial" w:eastAsia="Arial" w:hAnsi="Arial"/>
                <w:sz w:val="12"/>
                <w:szCs w:val="12"/>
                <w:b w:val="1"/>
                <w:bCs w:val="1"/>
                <w:color w:val="auto"/>
                <w:w w:val="88"/>
              </w:rPr>
              <w:t>December 31, 2021</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680"/>
              <w:spacing w:after="0"/>
              <w:rPr>
                <w:sz w:val="20"/>
                <w:szCs w:val="20"/>
                <w:color w:val="auto"/>
              </w:rPr>
            </w:pPr>
            <w:r>
              <w:rPr>
                <w:rFonts w:ascii="Arial" w:cs="Arial" w:eastAsia="Arial" w:hAnsi="Arial"/>
                <w:sz w:val="12"/>
                <w:szCs w:val="12"/>
                <w:b w:val="1"/>
                <w:bCs w:val="1"/>
                <w:color w:val="auto"/>
                <w:w w:val="88"/>
              </w:rPr>
              <w:t>December 31, 2020</w:t>
            </w:r>
          </w:p>
        </w:tc>
        <w:tc>
          <w:tcPr>
            <w:tcW w:w="900" w:type="dxa"/>
            <w:vAlign w:val="bottom"/>
            <w:tcBorders>
              <w:bottom w:val="single" w:sz="8" w:color="auto"/>
            </w:tcBorders>
          </w:tcPr>
          <w:p>
            <w:pPr>
              <w:spacing w:after="0"/>
              <w:rPr>
                <w:sz w:val="14"/>
                <w:szCs w:val="14"/>
                <w:color w:val="auto"/>
              </w:rPr>
            </w:pPr>
          </w:p>
        </w:tc>
      </w:tr>
      <w:tr>
        <w:trPr>
          <w:trHeight w:val="153"/>
        </w:trPr>
        <w:tc>
          <w:tcPr>
            <w:tcW w:w="5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Fair Value</w:t>
            </w:r>
          </w:p>
        </w:tc>
        <w:tc>
          <w:tcPr>
            <w:tcW w:w="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6"/>
              </w:rPr>
              <w:t>Percent</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Fair Value</w:t>
            </w: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w w:val="81"/>
              </w:rPr>
              <w:t>Percent</w:t>
            </w:r>
          </w:p>
        </w:tc>
      </w:tr>
      <w:tr>
        <w:trPr>
          <w:trHeight w:val="149"/>
        </w:trPr>
        <w:tc>
          <w:tcPr>
            <w:tcW w:w="5580" w:type="dxa"/>
            <w:vAlign w:val="bottom"/>
          </w:tcPr>
          <w:p>
            <w:pPr>
              <w:spacing w:after="0"/>
              <w:rPr>
                <w:sz w:val="20"/>
                <w:szCs w:val="20"/>
                <w:color w:val="auto"/>
              </w:rPr>
            </w:pPr>
            <w:r>
              <w:rPr>
                <w:rFonts w:ascii="Arial" w:cs="Arial" w:eastAsia="Arial" w:hAnsi="Arial"/>
                <w:sz w:val="12"/>
                <w:szCs w:val="12"/>
                <w:b w:val="1"/>
                <w:bCs w:val="1"/>
                <w:color w:val="auto"/>
              </w:rPr>
              <w:t>Rating</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80" w:type="dxa"/>
            <w:vAlign w:val="bottom"/>
            <w:gridSpan w:val="6"/>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900" w:type="dxa"/>
            <w:vAlign w:val="bottom"/>
          </w:tcPr>
          <w:p>
            <w:pPr>
              <w:spacing w:after="0"/>
              <w:rPr>
                <w:sz w:val="12"/>
                <w:szCs w:val="12"/>
                <w:color w:val="auto"/>
              </w:rPr>
            </w:pPr>
          </w:p>
        </w:tc>
      </w:tr>
      <w:tr>
        <w:trPr>
          <w:trHeight w:val="158"/>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AAA</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488</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r>
      <w:tr>
        <w:trPr>
          <w:trHeight w:val="155"/>
        </w:trPr>
        <w:tc>
          <w:tcPr>
            <w:tcW w:w="5580" w:type="dxa"/>
            <w:vAlign w:val="bottom"/>
          </w:tcPr>
          <w:p>
            <w:pPr>
              <w:spacing w:after="0"/>
              <w:rPr>
                <w:sz w:val="20"/>
                <w:szCs w:val="20"/>
                <w:color w:val="auto"/>
              </w:rPr>
            </w:pPr>
            <w:r>
              <w:rPr>
                <w:rFonts w:ascii="Arial" w:cs="Arial" w:eastAsia="Arial" w:hAnsi="Arial"/>
                <w:sz w:val="12"/>
                <w:szCs w:val="12"/>
                <w:color w:val="auto"/>
              </w:rPr>
              <w:t>AA</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2,181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1,590</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6 %</w:t>
            </w:r>
          </w:p>
        </w:tc>
      </w:tr>
      <w:tr>
        <w:trPr>
          <w:trHeight w:val="160"/>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A</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7,667</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7,040</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28 %</w:t>
            </w:r>
          </w:p>
        </w:tc>
      </w:tr>
      <w:tr>
        <w:trPr>
          <w:trHeight w:val="155"/>
        </w:trPr>
        <w:tc>
          <w:tcPr>
            <w:tcW w:w="5580" w:type="dxa"/>
            <w:vAlign w:val="bottom"/>
          </w:tcPr>
          <w:p>
            <w:pPr>
              <w:spacing w:after="0"/>
              <w:rPr>
                <w:sz w:val="20"/>
                <w:szCs w:val="20"/>
                <w:color w:val="auto"/>
              </w:rPr>
            </w:pPr>
            <w:r>
              <w:rPr>
                <w:rFonts w:ascii="Arial" w:cs="Arial" w:eastAsia="Arial" w:hAnsi="Arial"/>
                <w:sz w:val="12"/>
                <w:szCs w:val="12"/>
                <w:color w:val="auto"/>
              </w:rPr>
              <w:t>BBB</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10,462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35 %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9,669</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38 %</w:t>
            </w:r>
          </w:p>
        </w:tc>
      </w:tr>
      <w:tr>
        <w:trPr>
          <w:trHeight w:val="160"/>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Not rated (b)</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6,642</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22 %</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4,336</w:t>
            </w:r>
          </w:p>
        </w:tc>
        <w:tc>
          <w:tcPr>
            <w:tcW w:w="6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17 %</w:t>
            </w:r>
          </w:p>
        </w:tc>
      </w:tr>
      <w:tr>
        <w:trPr>
          <w:trHeight w:val="147"/>
        </w:trPr>
        <w:tc>
          <w:tcPr>
            <w:tcW w:w="5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investment grade</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27,612</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92 %</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23,123</w:t>
            </w: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91 %</w:t>
            </w:r>
          </w:p>
        </w:tc>
      </w:tr>
      <w:tr>
        <w:trPr>
          <w:trHeight w:val="151"/>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BB</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1,493</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r>
      <w:tr>
        <w:trPr>
          <w:trHeight w:val="155"/>
        </w:trPr>
        <w:tc>
          <w:tcPr>
            <w:tcW w:w="5580" w:type="dxa"/>
            <w:vAlign w:val="bottom"/>
          </w:tcPr>
          <w:p>
            <w:pPr>
              <w:spacing w:after="0"/>
              <w:rPr>
                <w:sz w:val="20"/>
                <w:szCs w:val="20"/>
                <w:color w:val="auto"/>
              </w:rPr>
            </w:pPr>
            <w:r>
              <w:rPr>
                <w:rFonts w:ascii="Arial" w:cs="Arial" w:eastAsia="Arial" w:hAnsi="Arial"/>
                <w:sz w:val="12"/>
                <w:szCs w:val="12"/>
                <w:color w:val="auto"/>
              </w:rPr>
              <w:t>B and below (a)</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432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612</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2 %</w:t>
            </w:r>
          </w:p>
        </w:tc>
      </w:tr>
      <w:tr>
        <w:trPr>
          <w:trHeight w:val="160"/>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Not rated (b)</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271</w:t>
            </w:r>
          </w:p>
        </w:tc>
        <w:tc>
          <w:tcPr>
            <w:tcW w:w="6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1 %</w:t>
            </w:r>
          </w:p>
        </w:tc>
      </w:tr>
      <w:tr>
        <w:trPr>
          <w:trHeight w:val="147"/>
        </w:trPr>
        <w:tc>
          <w:tcPr>
            <w:tcW w:w="5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below investment grade</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2,350</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8 %</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2,376</w:t>
            </w: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9 %</w:t>
            </w:r>
          </w:p>
        </w:tc>
      </w:tr>
      <w:tr>
        <w:trPr>
          <w:trHeight w:val="176"/>
        </w:trPr>
        <w:tc>
          <w:tcPr>
            <w:tcW w:w="5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b w:val="1"/>
                <w:bCs w:val="1"/>
                <w:color w:val="auto"/>
              </w:rPr>
              <w:t>Total</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29,962</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25,499</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170" w:hanging="170"/>
        <w:spacing w:after="0"/>
        <w:tabs>
          <w:tab w:leader="none" w:pos="17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Includes $68 million and $106 million at December 31, 2021 and December 31, 2020, respectively, of non-agency RMBS that carry a NAIC 1 designation.</w:t>
      </w:r>
    </w:p>
    <w:p>
      <w:pPr>
        <w:spacing w:after="0" w:line="42" w:lineRule="exact"/>
        <w:rPr>
          <w:rFonts w:ascii="Arial" w:cs="Arial" w:eastAsia="Arial" w:hAnsi="Arial"/>
          <w:sz w:val="12"/>
          <w:szCs w:val="12"/>
          <w:color w:val="auto"/>
        </w:rPr>
      </w:pPr>
    </w:p>
    <w:p>
      <w:pPr>
        <w:ind w:left="170" w:hanging="170"/>
        <w:spacing w:after="0"/>
        <w:tabs>
          <w:tab w:leader="none" w:pos="17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Securities denoted as not-rated by an NRSRO were classified as investment or non-investment grade according to the securities' respective NAIC designation.</w:t>
      </w:r>
    </w:p>
    <w:p>
      <w:pPr>
        <w:spacing w:after="0" w:line="92" w:lineRule="exact"/>
        <w:rPr>
          <w:sz w:val="20"/>
          <w:szCs w:val="20"/>
          <w:color w:val="auto"/>
        </w:rPr>
      </w:pPr>
    </w:p>
    <w:p>
      <w:pPr>
        <w:jc w:val="both"/>
        <w:ind w:left="10" w:firstLine="338"/>
        <w:spacing w:after="0" w:line="258" w:lineRule="auto"/>
        <w:rPr>
          <w:sz w:val="20"/>
          <w:szCs w:val="20"/>
          <w:color w:val="auto"/>
        </w:rPr>
      </w:pPr>
      <w:r>
        <w:rPr>
          <w:rFonts w:ascii="Arial" w:cs="Arial" w:eastAsia="Arial" w:hAnsi="Arial"/>
          <w:sz w:val="15"/>
          <w:szCs w:val="15"/>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an NRSRO, the SVO utilizes that rating and assigns an NAIC designation based upon the following system:</w:t>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NAIC Designation</w:t>
            </w:r>
          </w:p>
        </w:tc>
        <w:tc>
          <w:tcPr>
            <w:tcW w:w="5580" w:type="dxa"/>
            <w:vAlign w:val="bottom"/>
          </w:tcPr>
          <w:p>
            <w:pPr>
              <w:jc w:val="center"/>
              <w:spacing w:after="0"/>
              <w:rPr>
                <w:sz w:val="20"/>
                <w:szCs w:val="20"/>
                <w:color w:val="auto"/>
              </w:rPr>
            </w:pPr>
            <w:r>
              <w:rPr>
                <w:rFonts w:ascii="Arial" w:cs="Arial" w:eastAsia="Arial" w:hAnsi="Arial"/>
                <w:sz w:val="12"/>
                <w:szCs w:val="12"/>
                <w:b w:val="1"/>
                <w:bCs w:val="1"/>
                <w:color w:val="auto"/>
                <w:w w:val="93"/>
              </w:rPr>
              <w:t>NRSRO Equivalent Rating</w:t>
            </w:r>
          </w:p>
        </w:tc>
      </w:tr>
      <w:tr>
        <w:trPr>
          <w:trHeight w:val="154"/>
        </w:trPr>
        <w:tc>
          <w:tcPr>
            <w:tcW w:w="5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tcBorders>
              <w:top w:val="single" w:sz="8" w:color="CCEEFF"/>
            </w:tcBorders>
            <w:shd w:val="clear" w:color="auto" w:fill="CCEEFF"/>
          </w:tcPr>
          <w:p>
            <w:pPr>
              <w:spacing w:after="0"/>
              <w:rPr>
                <w:sz w:val="13"/>
                <w:szCs w:val="13"/>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AAA/AA/A</w:t>
            </w:r>
          </w:p>
        </w:tc>
      </w:tr>
      <w:tr>
        <w:trPr>
          <w:trHeight w:val="155"/>
        </w:trPr>
        <w:tc>
          <w:tcPr>
            <w:tcW w:w="558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2"/>
                <w:szCs w:val="12"/>
                <w:color w:val="auto"/>
                <w:w w:val="99"/>
              </w:rPr>
              <w:t>BBB</w:t>
            </w:r>
          </w:p>
        </w:tc>
      </w:tr>
      <w:tr>
        <w:trPr>
          <w:trHeight w:val="160"/>
        </w:trPr>
        <w:tc>
          <w:tcPr>
            <w:tcW w:w="5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shd w:val="clear" w:color="auto" w:fill="CCEEFF"/>
          </w:tcPr>
          <w:p>
            <w:pPr>
              <w:spacing w:after="0"/>
              <w:rPr>
                <w:sz w:val="13"/>
                <w:szCs w:val="13"/>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BB</w:t>
            </w:r>
          </w:p>
        </w:tc>
      </w:tr>
      <w:tr>
        <w:trPr>
          <w:trHeight w:val="155"/>
        </w:trPr>
        <w:tc>
          <w:tcPr>
            <w:tcW w:w="558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0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2"/>
                <w:szCs w:val="12"/>
                <w:color w:val="auto"/>
                <w:w w:val="99"/>
              </w:rPr>
              <w:t>B</w:t>
            </w:r>
          </w:p>
        </w:tc>
      </w:tr>
      <w:tr>
        <w:trPr>
          <w:trHeight w:val="160"/>
        </w:trPr>
        <w:tc>
          <w:tcPr>
            <w:tcW w:w="5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w:t>
            </w:r>
          </w:p>
        </w:tc>
        <w:tc>
          <w:tcPr>
            <w:tcW w:w="100" w:type="dxa"/>
            <w:vAlign w:val="bottom"/>
            <w:shd w:val="clear" w:color="auto" w:fill="CCEEFF"/>
          </w:tcPr>
          <w:p>
            <w:pPr>
              <w:spacing w:after="0"/>
              <w:rPr>
                <w:sz w:val="13"/>
                <w:szCs w:val="13"/>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CCC and lower</w:t>
            </w:r>
          </w:p>
        </w:tc>
      </w:tr>
      <w:tr>
        <w:trPr>
          <w:trHeight w:val="153"/>
        </w:trPr>
        <w:tc>
          <w:tcPr>
            <w:tcW w:w="5580" w:type="dxa"/>
            <w:vAlign w:val="bottom"/>
          </w:tcPr>
          <w:p>
            <w:pPr>
              <w:jc w:val="center"/>
              <w:spacing w:after="0"/>
              <w:rPr>
                <w:sz w:val="20"/>
                <w:szCs w:val="20"/>
                <w:color w:val="auto"/>
              </w:rPr>
            </w:pPr>
            <w:r>
              <w:rPr>
                <w:rFonts w:ascii="Arial" w:cs="Arial" w:eastAsia="Arial" w:hAnsi="Arial"/>
                <w:sz w:val="12"/>
                <w:szCs w:val="12"/>
                <w:color w:val="auto"/>
                <w:w w:val="89"/>
              </w:rPr>
              <w:t>6</w:t>
            </w:r>
          </w:p>
        </w:tc>
        <w:tc>
          <w:tcPr>
            <w:tcW w:w="10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2"/>
                <w:szCs w:val="12"/>
                <w:color w:val="auto"/>
                <w:w w:val="90"/>
              </w:rPr>
              <w:t>In or near default</w:t>
            </w:r>
          </w:p>
        </w:tc>
      </w:tr>
    </w:tbl>
    <w:p>
      <w:pPr>
        <w:spacing w:after="0" w:line="332" w:lineRule="exact"/>
        <w:rPr>
          <w:sz w:val="20"/>
          <w:szCs w:val="20"/>
          <w:color w:val="auto"/>
        </w:rPr>
      </w:pPr>
    </w:p>
    <w:p>
      <w:pPr>
        <w:jc w:val="both"/>
        <w:ind w:left="10" w:firstLine="338"/>
        <w:spacing w:after="0" w:line="297" w:lineRule="auto"/>
        <w:rPr>
          <w:sz w:val="20"/>
          <w:szCs w:val="20"/>
          <w:color w:val="auto"/>
        </w:rPr>
      </w:pPr>
      <w:r>
        <w:rPr>
          <w:rFonts w:ascii="Arial" w:cs="Arial" w:eastAsia="Arial" w:hAnsi="Arial"/>
          <w:sz w:val="13"/>
          <w:szCs w:val="13"/>
          <w:color w:val="auto"/>
        </w:rPr>
        <w:t>The NAIC uses designation methodologies for non-agency RMBS, including RMBS backed by subprime mortgage loans and for commercial mortgage-backed securities ("CMBS"). The NAIC’s objective with the designation methodologies for these structured securities is to increase accuracy in assessing expected losses and to use the improved assessment to determine a more appropriate capital requirement for such structured securities. Prior to 2021, the NAIC designations for structured securities, including subprime and Alternative A-paper ("Alt-A") RMBS, were based upon a comparison of the bond’s amortized cost to the NAIC’s loss expectation for each security. Securities where modeling does not generate an expected loss in all scenarios are given the highest designation of NAIC 1. In 2021, the NAIC eliminated the comparison of non-legacy (issued after 2012) bond's amortized cost to the NAIC's loss expectation and instead assigned a NAIC designation based on the loss expectation alone. Several of our RMBS securities carry a NAIC 1 designation while the NRSRO rating indicates below investment grade. The revised methodologies reduce regulatory reliance on rating agencies and allow for greater regulatory input into the assumptions used to estimate expected losses from such structured securities. In the tables below, we present the rating of structured securities based on ratings from the NAIC rating methodologies described above (which in some cases do not correspond to rating agency designations). All NAIC designations (e.g., NAIC 1-6) are based on the NAIC methodologies.</w:t>
      </w:r>
    </w:p>
    <w:p>
      <w:pPr>
        <w:spacing w:after="0" w:line="200" w:lineRule="exact"/>
        <w:rPr>
          <w:sz w:val="20"/>
          <w:szCs w:val="20"/>
          <w:color w:val="auto"/>
        </w:rPr>
      </w:pPr>
    </w:p>
    <w:p>
      <w:pPr>
        <w:spacing w:after="0" w:line="36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8058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70"/>
          </w:cols>
          <w:pgMar w:left="310" w:top="129" w:right="319" w:bottom="1440" w:gutter="0" w:footer="0" w:header="0"/>
        </w:sectPr>
      </w:pPr>
    </w:p>
    <w:bookmarkStart w:id="75" w:name="page76"/>
    <w:bookmarkEnd w:id="7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below presents our fixed maturity securities by NAIC designation as of December 31, 2021 and December 31, 2020 (dollars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December 31, 2021</w:t>
            </w:r>
          </w:p>
        </w:tc>
        <w:tc>
          <w:tcPr>
            <w:tcW w:w="2380" w:type="dxa"/>
            <w:vAlign w:val="bottom"/>
            <w:tcBorders>
              <w:bottom w:val="single" w:sz="8" w:color="auto"/>
            </w:tcBorders>
          </w:tcPr>
          <w:p>
            <w:pPr>
              <w:spacing w:after="0"/>
              <w:rPr>
                <w:sz w:val="13"/>
                <w:szCs w:val="13"/>
                <w:color w:val="auto"/>
              </w:rPr>
            </w:pPr>
          </w:p>
        </w:tc>
      </w:tr>
      <w:tr>
        <w:trPr>
          <w:trHeight w:val="157"/>
        </w:trPr>
        <w:tc>
          <w:tcPr>
            <w:tcW w:w="4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NAIC Designation</w:t>
            </w:r>
          </w:p>
        </w:tc>
        <w:tc>
          <w:tcPr>
            <w:tcW w:w="400" w:type="dxa"/>
            <w:vAlign w:val="bottom"/>
          </w:tcPr>
          <w:p>
            <w:pPr>
              <w:spacing w:after="0"/>
              <w:rPr>
                <w:sz w:val="13"/>
                <w:szCs w:val="13"/>
                <w:color w:val="auto"/>
              </w:rPr>
            </w:pPr>
          </w:p>
        </w:tc>
        <w:tc>
          <w:tcPr>
            <w:tcW w:w="1980" w:type="dxa"/>
            <w:vAlign w:val="bottom"/>
            <w:gridSpan w:val="2"/>
          </w:tcPr>
          <w:p>
            <w:pPr>
              <w:ind w:left="340"/>
              <w:spacing w:after="0"/>
              <w:rPr>
                <w:sz w:val="20"/>
                <w:szCs w:val="20"/>
                <w:color w:val="auto"/>
              </w:rPr>
            </w:pPr>
            <w:r>
              <w:rPr>
                <w:rFonts w:ascii="Arial" w:cs="Arial" w:eastAsia="Arial" w:hAnsi="Arial"/>
                <w:sz w:val="12"/>
                <w:szCs w:val="12"/>
                <w:b w:val="1"/>
                <w:bCs w:val="1"/>
                <w:color w:val="auto"/>
              </w:rPr>
              <w:t>Amortized Cost</w:t>
            </w:r>
          </w:p>
        </w:tc>
        <w:tc>
          <w:tcPr>
            <w:tcW w:w="400" w:type="dxa"/>
            <w:vAlign w:val="bottom"/>
          </w:tcPr>
          <w:p>
            <w:pPr>
              <w:spacing w:after="0"/>
              <w:rPr>
                <w:sz w:val="13"/>
                <w:szCs w:val="13"/>
                <w:color w:val="auto"/>
              </w:rPr>
            </w:pPr>
          </w:p>
        </w:tc>
        <w:tc>
          <w:tcPr>
            <w:tcW w:w="1980" w:type="dxa"/>
            <w:vAlign w:val="bottom"/>
            <w:gridSpan w:val="2"/>
          </w:tcPr>
          <w:p>
            <w:pPr>
              <w:ind w:left="480"/>
              <w:spacing w:after="0"/>
              <w:rPr>
                <w:sz w:val="20"/>
                <w:szCs w:val="20"/>
                <w:color w:val="auto"/>
              </w:rPr>
            </w:pPr>
            <w:r>
              <w:rPr>
                <w:rFonts w:ascii="Arial" w:cs="Arial" w:eastAsia="Arial" w:hAnsi="Arial"/>
                <w:sz w:val="12"/>
                <w:szCs w:val="12"/>
                <w:b w:val="1"/>
                <w:bCs w:val="1"/>
                <w:color w:val="auto"/>
              </w:rPr>
              <w:t>Fair Value</w:t>
            </w:r>
          </w:p>
        </w:tc>
        <w:tc>
          <w:tcPr>
            <w:tcW w:w="2380" w:type="dxa"/>
            <w:vAlign w:val="bottom"/>
          </w:tcPr>
          <w:p>
            <w:pPr>
              <w:jc w:val="right"/>
              <w:ind w:right="440"/>
              <w:spacing w:after="0"/>
              <w:rPr>
                <w:sz w:val="20"/>
                <w:szCs w:val="20"/>
                <w:color w:val="auto"/>
              </w:rPr>
            </w:pPr>
            <w:r>
              <w:rPr>
                <w:rFonts w:ascii="Arial" w:cs="Arial" w:eastAsia="Arial" w:hAnsi="Arial"/>
                <w:sz w:val="12"/>
                <w:szCs w:val="12"/>
                <w:b w:val="1"/>
                <w:bCs w:val="1"/>
                <w:color w:val="auto"/>
              </w:rPr>
              <w:t>Percent of Total Fair Value</w:t>
            </w:r>
          </w:p>
        </w:tc>
      </w:tr>
      <w:tr>
        <w:trPr>
          <w:trHeight w:val="149"/>
        </w:trPr>
        <w:tc>
          <w:tcPr>
            <w:tcW w:w="4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15,636</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15,848</w:t>
            </w:r>
          </w:p>
        </w:tc>
        <w:tc>
          <w:tcPr>
            <w:tcW w:w="100" w:type="dxa"/>
            <w:vAlign w:val="bottom"/>
            <w:tcBorders>
              <w:top w:val="single" w:sz="8" w:color="CCEEFF"/>
            </w:tcBorders>
            <w:shd w:val="clear" w:color="auto" w:fill="CCEEFF"/>
          </w:tcPr>
          <w:p>
            <w:pPr>
              <w:spacing w:after="0"/>
              <w:rPr>
                <w:sz w:val="12"/>
                <w:szCs w:val="12"/>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54 %</w:t>
            </w:r>
          </w:p>
        </w:tc>
      </w:tr>
      <w:tr>
        <w:trPr>
          <w:trHeight w:val="155"/>
        </w:trPr>
        <w:tc>
          <w:tcPr>
            <w:tcW w:w="402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10,779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11,441</w:t>
            </w:r>
          </w:p>
        </w:tc>
        <w:tc>
          <w:tcPr>
            <w:tcW w:w="100" w:type="dxa"/>
            <w:vAlign w:val="bottom"/>
          </w:tcPr>
          <w:p>
            <w:pPr>
              <w:spacing w:after="0"/>
              <w:rPr>
                <w:sz w:val="13"/>
                <w:szCs w:val="13"/>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38 %</w:t>
            </w:r>
          </w:p>
        </w:tc>
      </w:tr>
      <w:tr>
        <w:trPr>
          <w:trHeight w:val="160"/>
        </w:trPr>
        <w:tc>
          <w:tcPr>
            <w:tcW w:w="4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1,850</w:t>
            </w:r>
          </w:p>
        </w:tc>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r>
      <w:tr>
        <w:trPr>
          <w:trHeight w:val="155"/>
        </w:trPr>
        <w:tc>
          <w:tcPr>
            <w:tcW w:w="402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567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669</w:t>
            </w:r>
          </w:p>
        </w:tc>
        <w:tc>
          <w:tcPr>
            <w:tcW w:w="100" w:type="dxa"/>
            <w:vAlign w:val="bottom"/>
          </w:tcPr>
          <w:p>
            <w:pPr>
              <w:spacing w:after="0"/>
              <w:rPr>
                <w:sz w:val="13"/>
                <w:szCs w:val="13"/>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2 %</w:t>
            </w:r>
          </w:p>
        </w:tc>
      </w:tr>
      <w:tr>
        <w:trPr>
          <w:trHeight w:val="160"/>
        </w:trPr>
        <w:tc>
          <w:tcPr>
            <w:tcW w:w="4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5"/>
        </w:trPr>
        <w:tc>
          <w:tcPr>
            <w:tcW w:w="402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89"/>
              </w:rPr>
              <w:t>6</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w:t>
            </w:r>
          </w:p>
        </w:tc>
        <w:tc>
          <w:tcPr>
            <w:tcW w:w="100" w:type="dxa"/>
            <w:vAlign w:val="bottom"/>
            <w:tcBorders>
              <w:bottom w:val="single" w:sz="8" w:color="CCEEFF"/>
            </w:tcBorders>
          </w:tcPr>
          <w:p>
            <w:pPr>
              <w:spacing w:after="0"/>
              <w:rPr>
                <w:sz w:val="13"/>
                <w:szCs w:val="13"/>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w:t>
            </w:r>
          </w:p>
        </w:tc>
      </w:tr>
      <w:tr>
        <w:trPr>
          <w:trHeight w:val="176"/>
        </w:trPr>
        <w:tc>
          <w:tcPr>
            <w:tcW w:w="41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b w:val="1"/>
                <w:bCs w:val="1"/>
                <w:color w:val="auto"/>
              </w:rPr>
              <w:t>Total</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28,724</w:t>
            </w: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29,962</w:t>
            </w:r>
          </w:p>
        </w:tc>
        <w:tc>
          <w:tcPr>
            <w:tcW w:w="10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December 31, 2020</w:t>
            </w:r>
          </w:p>
        </w:tc>
        <w:tc>
          <w:tcPr>
            <w:tcW w:w="2380" w:type="dxa"/>
            <w:vAlign w:val="bottom"/>
            <w:tcBorders>
              <w:bottom w:val="single" w:sz="8" w:color="auto"/>
            </w:tcBorders>
          </w:tcPr>
          <w:p>
            <w:pPr>
              <w:spacing w:after="0"/>
              <w:rPr>
                <w:sz w:val="13"/>
                <w:szCs w:val="13"/>
                <w:color w:val="auto"/>
              </w:rPr>
            </w:pPr>
          </w:p>
        </w:tc>
      </w:tr>
      <w:tr>
        <w:trPr>
          <w:trHeight w:val="149"/>
        </w:trPr>
        <w:tc>
          <w:tcPr>
            <w:tcW w:w="4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NAIC Designation</w:t>
            </w:r>
          </w:p>
        </w:tc>
        <w:tc>
          <w:tcPr>
            <w:tcW w:w="400" w:type="dxa"/>
            <w:vAlign w:val="bottom"/>
          </w:tcPr>
          <w:p>
            <w:pPr>
              <w:spacing w:after="0"/>
              <w:rPr>
                <w:sz w:val="12"/>
                <w:szCs w:val="12"/>
                <w:color w:val="auto"/>
              </w:rPr>
            </w:pPr>
          </w:p>
        </w:tc>
        <w:tc>
          <w:tcPr>
            <w:tcW w:w="1980" w:type="dxa"/>
            <w:vAlign w:val="bottom"/>
            <w:gridSpan w:val="2"/>
          </w:tcPr>
          <w:p>
            <w:pPr>
              <w:ind w:left="340"/>
              <w:spacing w:after="0"/>
              <w:rPr>
                <w:sz w:val="20"/>
                <w:szCs w:val="20"/>
                <w:color w:val="auto"/>
              </w:rPr>
            </w:pPr>
            <w:r>
              <w:rPr>
                <w:rFonts w:ascii="Arial" w:cs="Arial" w:eastAsia="Arial" w:hAnsi="Arial"/>
                <w:sz w:val="12"/>
                <w:szCs w:val="12"/>
                <w:b w:val="1"/>
                <w:bCs w:val="1"/>
                <w:color w:val="auto"/>
              </w:rPr>
              <w:t>Amortized Cost</w:t>
            </w:r>
          </w:p>
        </w:tc>
        <w:tc>
          <w:tcPr>
            <w:tcW w:w="400" w:type="dxa"/>
            <w:vAlign w:val="bottom"/>
          </w:tcPr>
          <w:p>
            <w:pPr>
              <w:spacing w:after="0"/>
              <w:rPr>
                <w:sz w:val="12"/>
                <w:szCs w:val="12"/>
                <w:color w:val="auto"/>
              </w:rPr>
            </w:pPr>
          </w:p>
        </w:tc>
        <w:tc>
          <w:tcPr>
            <w:tcW w:w="1980" w:type="dxa"/>
            <w:vAlign w:val="bottom"/>
            <w:gridSpan w:val="2"/>
          </w:tcPr>
          <w:p>
            <w:pPr>
              <w:ind w:left="480"/>
              <w:spacing w:after="0"/>
              <w:rPr>
                <w:sz w:val="20"/>
                <w:szCs w:val="20"/>
                <w:color w:val="auto"/>
              </w:rPr>
            </w:pPr>
            <w:r>
              <w:rPr>
                <w:rFonts w:ascii="Arial" w:cs="Arial" w:eastAsia="Arial" w:hAnsi="Arial"/>
                <w:sz w:val="12"/>
                <w:szCs w:val="12"/>
                <w:b w:val="1"/>
                <w:bCs w:val="1"/>
                <w:color w:val="auto"/>
              </w:rPr>
              <w:t>Fair Value</w:t>
            </w:r>
          </w:p>
        </w:tc>
        <w:tc>
          <w:tcPr>
            <w:tcW w:w="2380" w:type="dxa"/>
            <w:vAlign w:val="bottom"/>
          </w:tcPr>
          <w:p>
            <w:pPr>
              <w:jc w:val="right"/>
              <w:ind w:right="440"/>
              <w:spacing w:after="0"/>
              <w:rPr>
                <w:sz w:val="20"/>
                <w:szCs w:val="20"/>
                <w:color w:val="auto"/>
              </w:rPr>
            </w:pPr>
            <w:r>
              <w:rPr>
                <w:rFonts w:ascii="Arial" w:cs="Arial" w:eastAsia="Arial" w:hAnsi="Arial"/>
                <w:sz w:val="12"/>
                <w:szCs w:val="12"/>
                <w:b w:val="1"/>
                <w:bCs w:val="1"/>
                <w:color w:val="auto"/>
              </w:rPr>
              <w:t>Percent of Total Fair Value</w:t>
            </w:r>
          </w:p>
        </w:tc>
      </w:tr>
      <w:tr>
        <w:trPr>
          <w:trHeight w:val="149"/>
        </w:trPr>
        <w:tc>
          <w:tcPr>
            <w:tcW w:w="4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11,696</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12,370</w:t>
            </w:r>
          </w:p>
        </w:tc>
        <w:tc>
          <w:tcPr>
            <w:tcW w:w="100" w:type="dxa"/>
            <w:vAlign w:val="bottom"/>
            <w:tcBorders>
              <w:top w:val="single" w:sz="8" w:color="CCEEFF"/>
            </w:tcBorders>
            <w:shd w:val="clear" w:color="auto" w:fill="CCEEFF"/>
          </w:tcPr>
          <w:p>
            <w:pPr>
              <w:spacing w:after="0"/>
              <w:rPr>
                <w:sz w:val="12"/>
                <w:szCs w:val="12"/>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49 %</w:t>
            </w:r>
          </w:p>
        </w:tc>
      </w:tr>
      <w:tr>
        <w:trPr>
          <w:trHeight w:val="155"/>
        </w:trPr>
        <w:tc>
          <w:tcPr>
            <w:tcW w:w="402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9,753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10,659</w:t>
            </w:r>
          </w:p>
        </w:tc>
        <w:tc>
          <w:tcPr>
            <w:tcW w:w="100" w:type="dxa"/>
            <w:vAlign w:val="bottom"/>
          </w:tcPr>
          <w:p>
            <w:pPr>
              <w:spacing w:after="0"/>
              <w:rPr>
                <w:sz w:val="13"/>
                <w:szCs w:val="13"/>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42 %</w:t>
            </w:r>
          </w:p>
        </w:tc>
      </w:tr>
      <w:tr>
        <w:trPr>
          <w:trHeight w:val="160"/>
        </w:trPr>
        <w:tc>
          <w:tcPr>
            <w:tcW w:w="4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1,595</w:t>
            </w:r>
          </w:p>
        </w:tc>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r>
      <w:tr>
        <w:trPr>
          <w:trHeight w:val="155"/>
        </w:trPr>
        <w:tc>
          <w:tcPr>
            <w:tcW w:w="402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616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700</w:t>
            </w:r>
          </w:p>
        </w:tc>
        <w:tc>
          <w:tcPr>
            <w:tcW w:w="100" w:type="dxa"/>
            <w:vAlign w:val="bottom"/>
          </w:tcPr>
          <w:p>
            <w:pPr>
              <w:spacing w:after="0"/>
              <w:rPr>
                <w:sz w:val="13"/>
                <w:szCs w:val="13"/>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3 %</w:t>
            </w:r>
          </w:p>
        </w:tc>
      </w:tr>
      <w:tr>
        <w:trPr>
          <w:trHeight w:val="160"/>
        </w:trPr>
        <w:tc>
          <w:tcPr>
            <w:tcW w:w="4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5"/>
        </w:trPr>
        <w:tc>
          <w:tcPr>
            <w:tcW w:w="402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89"/>
              </w:rPr>
              <w:t>6</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w:t>
            </w:r>
          </w:p>
        </w:tc>
      </w:tr>
      <w:tr>
        <w:trPr>
          <w:trHeight w:val="176"/>
        </w:trPr>
        <w:tc>
          <w:tcPr>
            <w:tcW w:w="41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b w:val="1"/>
                <w:bCs w:val="1"/>
                <w:color w:val="auto"/>
              </w:rPr>
              <w:t>Total</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23,601</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25,499</w:t>
            </w:r>
          </w:p>
        </w:tc>
        <w:tc>
          <w:tcPr>
            <w:tcW w:w="1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6" w:name="page77"/>
    <w:bookmarkEnd w:id="7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Industry Concentration</w:t>
      </w:r>
    </w:p>
    <w:p>
      <w:pPr>
        <w:spacing w:after="0" w:line="192" w:lineRule="exact"/>
        <w:rPr>
          <w:sz w:val="20"/>
          <w:szCs w:val="20"/>
          <w:color w:val="auto"/>
        </w:rPr>
      </w:pPr>
    </w:p>
    <w:p>
      <w:pPr>
        <w:ind w:firstLine="338"/>
        <w:spacing w:after="0" w:line="274" w:lineRule="auto"/>
        <w:rPr>
          <w:sz w:val="20"/>
          <w:szCs w:val="20"/>
          <w:color w:val="auto"/>
        </w:rPr>
      </w:pPr>
      <w:r>
        <w:rPr>
          <w:rFonts w:ascii="Arial" w:cs="Arial" w:eastAsia="Arial" w:hAnsi="Arial"/>
          <w:sz w:val="15"/>
          <w:szCs w:val="15"/>
          <w:color w:val="auto"/>
        </w:rPr>
        <w:t>The tables below present the top ten industry categories of our fixed maturity and equity securities and FHLB common stock, including the fair value and percent of total fixed maturity and equity securities and FHLB common stock fair value as of December 31, 2021 and 2020 (dollars in millions):</w:t>
      </w:r>
    </w:p>
    <w:p>
      <w:pPr>
        <w:sectPr>
          <w:pgSz w:w="11900" w:h="16838" w:orient="portrait"/>
          <w:cols w:equalWidth="0" w:num="1">
            <w:col w:w="11260"/>
          </w:cols>
          <w:pgMar w:left="320" w:top="129" w:right="31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-160655</wp:posOffset>
            </wp:positionV>
            <wp:extent cx="529463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94630" cy="698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ABS Other</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CLO securities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Banking</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Whole loan collateralized mortgage obligation ("CMO")</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Life insurance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Electric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Municipal</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Healthcare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Technology</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Other Financial Institution</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232410</wp:posOffset>
            </wp:positionV>
            <wp:extent cx="529463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94630" cy="69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Top 10 Industry Concentration</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CLO securities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Banking</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Whole loan collateralized mortgage obligation ("CMO")</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ABS other</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Life insurance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Electric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Municipal</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CMBS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Technology</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Healthcare</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auto"/>
        </w:rPr>
        <w:t>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2"/>
                <w:szCs w:val="12"/>
                <w:b w:val="1"/>
                <w:bCs w:val="1"/>
                <w:color w:val="auto"/>
              </w:rPr>
              <w:t>Fair Value</w:t>
            </w:r>
          </w:p>
        </w:tc>
        <w:tc>
          <w:tcPr>
            <w:tcW w:w="1420" w:type="dxa"/>
            <w:vAlign w:val="bottom"/>
            <w:tcBorders>
              <w:top w:val="single" w:sz="8" w:color="auto"/>
            </w:tcBorders>
          </w:tcPr>
          <w:p>
            <w:pPr>
              <w:jc w:val="right"/>
              <w:ind w:right="120"/>
              <w:spacing w:after="0" w:line="113" w:lineRule="exact"/>
              <w:rPr>
                <w:sz w:val="20"/>
                <w:szCs w:val="20"/>
                <w:color w:val="auto"/>
              </w:rPr>
            </w:pPr>
            <w:r>
              <w:rPr>
                <w:rFonts w:ascii="Arial" w:cs="Arial" w:eastAsia="Arial" w:hAnsi="Arial"/>
                <w:sz w:val="12"/>
                <w:szCs w:val="12"/>
                <w:b w:val="1"/>
                <w:bCs w:val="1"/>
                <w:color w:val="auto"/>
              </w:rPr>
              <w:t>Percent of Total Fair</w:t>
            </w:r>
          </w:p>
        </w:tc>
        <w:tc>
          <w:tcPr>
            <w:tcW w:w="0" w:type="dxa"/>
            <w:vAlign w:val="bottom"/>
          </w:tcPr>
          <w:p>
            <w:pPr>
              <w:spacing w:after="0"/>
              <w:rPr>
                <w:sz w:val="1"/>
                <w:szCs w:val="1"/>
                <w:color w:val="auto"/>
              </w:rPr>
            </w:pPr>
          </w:p>
        </w:tc>
      </w:tr>
      <w:tr>
        <w:trPr>
          <w:trHeight w:val="157"/>
        </w:trPr>
        <w:tc>
          <w:tcPr>
            <w:tcW w:w="2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20" w:type="dxa"/>
            <w:vAlign w:val="bottom"/>
          </w:tcPr>
          <w:p>
            <w:pPr>
              <w:jc w:val="right"/>
              <w:ind w:right="500"/>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5"/>
        </w:trPr>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4,550</w:t>
            </w:r>
          </w:p>
        </w:tc>
        <w:tc>
          <w:tcPr>
            <w:tcW w:w="100" w:type="dxa"/>
            <w:vAlign w:val="bottom"/>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15 %</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4,145</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13 %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2,919</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2,622</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8 %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1,795</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1,701</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1,441</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947</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932</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3 %</w:t>
            </w:r>
          </w:p>
        </w:tc>
        <w:tc>
          <w:tcPr>
            <w:tcW w:w="0" w:type="dxa"/>
            <w:vAlign w:val="bottom"/>
          </w:tcPr>
          <w:p>
            <w:pPr>
              <w:spacing w:after="0"/>
              <w:rPr>
                <w:sz w:val="1"/>
                <w:szCs w:val="1"/>
                <w:color w:val="auto"/>
              </w:rPr>
            </w:pPr>
          </w:p>
        </w:tc>
      </w:tr>
      <w:tr>
        <w:trPr>
          <w:trHeight w:val="162"/>
        </w:trPr>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760</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2 %</w:t>
            </w:r>
          </w:p>
        </w:tc>
        <w:tc>
          <w:tcPr>
            <w:tcW w:w="0" w:type="dxa"/>
            <w:vAlign w:val="bottom"/>
          </w:tcPr>
          <w:p>
            <w:pPr>
              <w:spacing w:after="0"/>
              <w:rPr>
                <w:sz w:val="1"/>
                <w:szCs w:val="1"/>
                <w:color w:val="auto"/>
              </w:rPr>
            </w:pPr>
          </w:p>
        </w:tc>
      </w:tr>
      <w:tr>
        <w:trPr>
          <w:trHeight w:val="149"/>
        </w:trPr>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21,812</w:t>
            </w:r>
          </w:p>
        </w:tc>
        <w:tc>
          <w:tcPr>
            <w:tcW w:w="1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-5352415</wp:posOffset>
            </wp:positionH>
            <wp:positionV relativeFrom="paragraph">
              <wp:posOffset>-904875</wp:posOffset>
            </wp:positionV>
            <wp:extent cx="7155180" cy="1003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5180" cy="10033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-704850</wp:posOffset>
            </wp:positionV>
            <wp:extent cx="7155180" cy="1003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5180" cy="10033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-504190</wp:posOffset>
            </wp:positionV>
            <wp:extent cx="7155180" cy="1003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5180" cy="10033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-304165</wp:posOffset>
            </wp:positionV>
            <wp:extent cx="7155180" cy="1003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5180" cy="10033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-103505</wp:posOffset>
            </wp:positionV>
            <wp:extent cx="7155180" cy="107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5180" cy="107315"/>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-1112520</wp:posOffset>
            </wp:positionV>
            <wp:extent cx="7155180" cy="1073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5180" cy="107315"/>
                    </a:xfrm>
                    <a:prstGeom prst="rect">
                      <a:avLst/>
                    </a:prstGeom>
                    <a:noFill/>
                  </pic:spPr>
                </pic:pic>
              </a:graphicData>
            </a:graphic>
          </wp:anchor>
        </w:drawing>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auto"/>
        </w:rPr>
        <w:t>December 31,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2"/>
                <w:szCs w:val="12"/>
                <w:b w:val="1"/>
                <w:bCs w:val="1"/>
                <w:color w:val="auto"/>
              </w:rPr>
              <w:t>Fair Value</w:t>
            </w:r>
          </w:p>
        </w:tc>
        <w:tc>
          <w:tcPr>
            <w:tcW w:w="1420" w:type="dxa"/>
            <w:vAlign w:val="bottom"/>
            <w:tcBorders>
              <w:top w:val="single" w:sz="8" w:color="auto"/>
            </w:tcBorders>
          </w:tcPr>
          <w:p>
            <w:pPr>
              <w:jc w:val="right"/>
              <w:ind w:right="120"/>
              <w:spacing w:after="0" w:line="113" w:lineRule="exact"/>
              <w:rPr>
                <w:sz w:val="20"/>
                <w:szCs w:val="20"/>
                <w:color w:val="auto"/>
              </w:rPr>
            </w:pPr>
            <w:r>
              <w:rPr>
                <w:rFonts w:ascii="Arial" w:cs="Arial" w:eastAsia="Arial" w:hAnsi="Arial"/>
                <w:sz w:val="12"/>
                <w:szCs w:val="12"/>
                <w:b w:val="1"/>
                <w:bCs w:val="1"/>
                <w:color w:val="auto"/>
              </w:rPr>
              <w:t>Percent of Total Fair</w:t>
            </w:r>
          </w:p>
        </w:tc>
        <w:tc>
          <w:tcPr>
            <w:tcW w:w="0" w:type="dxa"/>
            <w:vAlign w:val="bottom"/>
          </w:tcPr>
          <w:p>
            <w:pPr>
              <w:spacing w:after="0"/>
              <w:rPr>
                <w:sz w:val="1"/>
                <w:szCs w:val="1"/>
                <w:color w:val="auto"/>
              </w:rPr>
            </w:pPr>
          </w:p>
        </w:tc>
      </w:tr>
      <w:tr>
        <w:trPr>
          <w:trHeight w:val="157"/>
        </w:trPr>
        <w:tc>
          <w:tcPr>
            <w:tcW w:w="2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20" w:type="dxa"/>
            <w:vAlign w:val="bottom"/>
          </w:tcPr>
          <w:p>
            <w:pPr>
              <w:jc w:val="right"/>
              <w:ind w:right="500"/>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5"/>
        </w:trPr>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4,268</w:t>
            </w:r>
          </w:p>
        </w:tc>
        <w:tc>
          <w:tcPr>
            <w:tcW w:w="100" w:type="dxa"/>
            <w:vAlign w:val="bottom"/>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16 %</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2,592</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2,343</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1,873</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1,657</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1,548</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1,308</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795</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784</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3 %</w:t>
            </w:r>
          </w:p>
        </w:tc>
        <w:tc>
          <w:tcPr>
            <w:tcW w:w="0" w:type="dxa"/>
            <w:vAlign w:val="bottom"/>
          </w:tcPr>
          <w:p>
            <w:pPr>
              <w:spacing w:after="0"/>
              <w:rPr>
                <w:sz w:val="1"/>
                <w:szCs w:val="1"/>
                <w:color w:val="auto"/>
              </w:rPr>
            </w:pPr>
          </w:p>
        </w:tc>
      </w:tr>
      <w:tr>
        <w:trPr>
          <w:trHeight w:val="162"/>
        </w:trPr>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658</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2 %</w:t>
            </w:r>
          </w:p>
        </w:tc>
        <w:tc>
          <w:tcPr>
            <w:tcW w:w="0" w:type="dxa"/>
            <w:vAlign w:val="bottom"/>
          </w:tcPr>
          <w:p>
            <w:pPr>
              <w:spacing w:after="0"/>
              <w:rPr>
                <w:sz w:val="1"/>
                <w:szCs w:val="1"/>
                <w:color w:val="auto"/>
              </w:rPr>
            </w:pPr>
          </w:p>
        </w:tc>
      </w:tr>
      <w:tr>
        <w:trPr>
          <w:trHeight w:val="151"/>
        </w:trPr>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17,826</w:t>
            </w: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67 %</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-5352415</wp:posOffset>
            </wp:positionH>
            <wp:positionV relativeFrom="paragraph">
              <wp:posOffset>-936625</wp:posOffset>
            </wp:positionV>
            <wp:extent cx="7155180" cy="1003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5180" cy="10033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-736600</wp:posOffset>
            </wp:positionV>
            <wp:extent cx="7155180" cy="1003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5180" cy="10033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-535940</wp:posOffset>
            </wp:positionV>
            <wp:extent cx="7155180" cy="1003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5180" cy="10033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-335915</wp:posOffset>
            </wp:positionV>
            <wp:extent cx="7155180" cy="1003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5180" cy="10033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-135255</wp:posOffset>
            </wp:positionV>
            <wp:extent cx="7155180" cy="1219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5180" cy="12192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-1144270</wp:posOffset>
            </wp:positionV>
            <wp:extent cx="7155180" cy="1073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5180" cy="10731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7700" w:space="720"/>
            <w:col w:w="2840"/>
          </w:cols>
          <w:pgMar w:left="320" w:top="129" w:right="319" w:bottom="1440" w:gutter="0" w:footer="0" w:header="0"/>
          <w:type w:val="continuous"/>
        </w:sectPr>
      </w:pPr>
    </w:p>
    <w:p>
      <w:pPr>
        <w:ind w:right="20"/>
        <w:spacing w:after="0" w:line="274" w:lineRule="auto"/>
        <w:rPr>
          <w:sz w:val="20"/>
          <w:szCs w:val="20"/>
          <w:color w:val="auto"/>
        </w:rPr>
      </w:pPr>
      <w:r>
        <w:rPr>
          <w:rFonts w:ascii="Arial" w:cs="Arial" w:eastAsia="Arial" w:hAnsi="Arial"/>
          <w:sz w:val="15"/>
          <w:szCs w:val="15"/>
          <w:color w:val="auto"/>
        </w:rPr>
        <w:t>The amortized cost and fair value of fixed maturity AFS securities by contractual maturities as of December 31, 2021 and 2020, are shown below. Actual maturities may differ from contractual maturities because issuers may have the right to call or prepay obligations.</w:t>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77" w:name="page78"/>
    <w:bookmarkEnd w:id="7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2"/>
                <w:szCs w:val="12"/>
                <w:b w:val="1"/>
                <w:bCs w:val="1"/>
                <w:color w:val="auto"/>
              </w:rPr>
              <w:t>December 31, 2021</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2"/>
                <w:szCs w:val="12"/>
                <w:b w:val="1"/>
                <w:bCs w:val="1"/>
                <w:color w:val="auto"/>
              </w:rPr>
              <w:t>December 31, 2020</w:t>
            </w:r>
          </w:p>
        </w:tc>
      </w:tr>
      <w:tr>
        <w:trPr>
          <w:trHeight w:val="153"/>
        </w:trPr>
        <w:tc>
          <w:tcPr>
            <w:tcW w:w="5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Amortized Cost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Fair Value</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Amortized Cost</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Fair Value</w:t>
            </w:r>
          </w:p>
        </w:tc>
      </w:tr>
      <w:tr>
        <w:trPr>
          <w:trHeight w:val="149"/>
        </w:trPr>
        <w:tc>
          <w:tcPr>
            <w:tcW w:w="5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gridSpan w:val="5"/>
          </w:tcPr>
          <w:p>
            <w:pPr>
              <w:ind w:left="120"/>
              <w:spacing w:after="0"/>
              <w:rPr>
                <w:sz w:val="20"/>
                <w:szCs w:val="20"/>
                <w:color w:val="auto"/>
              </w:rPr>
            </w:pPr>
            <w:r>
              <w:rPr>
                <w:rFonts w:ascii="Arial" w:cs="Arial" w:eastAsia="Arial" w:hAnsi="Arial"/>
                <w:sz w:val="12"/>
                <w:szCs w:val="12"/>
                <w:b w:val="1"/>
                <w:bCs w:val="1"/>
                <w:color w:val="auto"/>
              </w:rPr>
              <w:t>(In millions)</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8"/>
        </w:trPr>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Corporate, Non-structured Hybrids, Municipal and Government securities:</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5"/>
        </w:trPr>
        <w:tc>
          <w:tcPr>
            <w:tcW w:w="5720" w:type="dxa"/>
            <w:vAlign w:val="bottom"/>
          </w:tcPr>
          <w:p>
            <w:pPr>
              <w:spacing w:after="0"/>
              <w:rPr>
                <w:sz w:val="20"/>
                <w:szCs w:val="20"/>
                <w:color w:val="auto"/>
              </w:rPr>
            </w:pPr>
            <w:r>
              <w:rPr>
                <w:rFonts w:ascii="Arial" w:cs="Arial" w:eastAsia="Arial" w:hAnsi="Arial"/>
                <w:sz w:val="12"/>
                <w:szCs w:val="12"/>
                <w:color w:val="auto"/>
              </w:rPr>
              <w:t>Due in one year or less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3"/>
                <w:szCs w:val="13"/>
                <w:color w:val="auto"/>
              </w:rPr>
            </w:pPr>
          </w:p>
        </w:tc>
        <w:tc>
          <w:tcPr>
            <w:tcW w:w="920" w:type="dxa"/>
            <w:vAlign w:val="bottom"/>
          </w:tcPr>
          <w:p>
            <w:pPr>
              <w:jc w:val="right"/>
              <w:ind w:right="808"/>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106</w:t>
            </w:r>
          </w:p>
        </w:tc>
        <w:tc>
          <w:tcPr>
            <w:tcW w:w="8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111</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112</w:t>
            </w:r>
          </w:p>
        </w:tc>
      </w:tr>
      <w:tr>
        <w:trPr>
          <w:trHeight w:val="160"/>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Due after one year through five years</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1,724</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1,107</w:t>
            </w:r>
          </w:p>
        </w:tc>
      </w:tr>
      <w:tr>
        <w:trPr>
          <w:trHeight w:val="155"/>
        </w:trPr>
        <w:tc>
          <w:tcPr>
            <w:tcW w:w="5720" w:type="dxa"/>
            <w:vAlign w:val="bottom"/>
          </w:tcPr>
          <w:p>
            <w:pPr>
              <w:spacing w:after="0"/>
              <w:rPr>
                <w:sz w:val="20"/>
                <w:szCs w:val="20"/>
                <w:color w:val="auto"/>
              </w:rPr>
            </w:pPr>
            <w:r>
              <w:rPr>
                <w:rFonts w:ascii="Arial" w:cs="Arial" w:eastAsia="Arial" w:hAnsi="Arial"/>
                <w:sz w:val="12"/>
                <w:szCs w:val="12"/>
                <w:color w:val="auto"/>
              </w:rPr>
              <w:t>Due after five years through ten years</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2,141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2,201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1,808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1,918</w:t>
            </w:r>
          </w:p>
        </w:tc>
      </w:tr>
      <w:tr>
        <w:trPr>
          <w:trHeight w:val="158"/>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Due after ten years</w:t>
            </w:r>
          </w:p>
        </w:tc>
        <w:tc>
          <w:tcPr>
            <w:tcW w:w="1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12,842</w:t>
            </w:r>
          </w:p>
        </w:tc>
        <w:tc>
          <w:tcPr>
            <w:tcW w:w="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13,515</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11,436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12,489</w:t>
            </w:r>
          </w:p>
        </w:tc>
      </w:tr>
      <w:tr>
        <w:trPr>
          <w:trHeight w:val="149"/>
        </w:trPr>
        <w:tc>
          <w:tcPr>
            <w:tcW w:w="572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16,812</w:t>
            </w:r>
          </w:p>
        </w:tc>
        <w:tc>
          <w:tcPr>
            <w:tcW w:w="100" w:type="dxa"/>
            <w:vAlign w:val="bottom"/>
          </w:tcPr>
          <w:p>
            <w:pPr>
              <w:spacing w:after="0"/>
              <w:rPr>
                <w:sz w:val="12"/>
                <w:szCs w:val="12"/>
                <w:color w:val="auto"/>
              </w:rPr>
            </w:pPr>
          </w:p>
        </w:tc>
        <w:tc>
          <w:tcPr>
            <w:tcW w:w="920" w:type="dxa"/>
            <w:vAlign w:val="bottom"/>
          </w:tcPr>
          <w:p>
            <w:pPr>
              <w:jc w:val="right"/>
              <w:ind w:right="808"/>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87"/>
              </w:rPr>
              <w:t>17,576</w:t>
            </w:r>
          </w:p>
        </w:tc>
        <w:tc>
          <w:tcPr>
            <w:tcW w:w="8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14,410</w:t>
            </w:r>
          </w:p>
        </w:tc>
        <w:tc>
          <w:tcPr>
            <w:tcW w:w="8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15,626</w:t>
            </w:r>
          </w:p>
        </w:tc>
      </w:tr>
      <w:tr>
        <w:trPr>
          <w:trHeight w:val="160"/>
        </w:trPr>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securities, which provide for periodic payments:</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5"/>
        </w:trPr>
        <w:tc>
          <w:tcPr>
            <w:tcW w:w="572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8,516</w:t>
            </w:r>
          </w:p>
        </w:tc>
        <w:tc>
          <w:tcPr>
            <w:tcW w:w="100" w:type="dxa"/>
            <w:vAlign w:val="bottom"/>
          </w:tcPr>
          <w:p>
            <w:pPr>
              <w:spacing w:after="0"/>
              <w:rPr>
                <w:sz w:val="13"/>
                <w:szCs w:val="13"/>
                <w:color w:val="auto"/>
              </w:rPr>
            </w:pPr>
          </w:p>
        </w:tc>
        <w:tc>
          <w:tcPr>
            <w:tcW w:w="920" w:type="dxa"/>
            <w:vAlign w:val="bottom"/>
          </w:tcPr>
          <w:p>
            <w:pPr>
              <w:jc w:val="right"/>
              <w:ind w:right="808"/>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8,695</w:t>
            </w:r>
          </w:p>
        </w:tc>
        <w:tc>
          <w:tcPr>
            <w:tcW w:w="8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1,920</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1,999</w:t>
            </w:r>
          </w:p>
        </w:tc>
      </w:tr>
      <w:tr>
        <w:trPr>
          <w:trHeight w:val="160"/>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CLO securities</w:t>
            </w: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4,268</w:t>
            </w:r>
          </w:p>
        </w:tc>
      </w:tr>
      <w:tr>
        <w:trPr>
          <w:trHeight w:val="155"/>
        </w:trPr>
        <w:tc>
          <w:tcPr>
            <w:tcW w:w="5720" w:type="dxa"/>
            <w:vAlign w:val="bottom"/>
          </w:tcPr>
          <w:p>
            <w:pPr>
              <w:spacing w:after="0"/>
              <w:rPr>
                <w:sz w:val="20"/>
                <w:szCs w:val="20"/>
                <w:color w:val="auto"/>
              </w:rPr>
            </w:pPr>
            <w:r>
              <w:rPr>
                <w:rFonts w:ascii="Arial" w:cs="Arial" w:eastAsia="Arial" w:hAnsi="Arial"/>
                <w:sz w:val="12"/>
                <w:szCs w:val="12"/>
                <w:color w:val="auto"/>
              </w:rPr>
              <w:t>Commercial-mortgage-backed securities</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2,669</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2,964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2,468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2,806</w:t>
            </w:r>
          </w:p>
        </w:tc>
      </w:tr>
      <w:tr>
        <w:trPr>
          <w:trHeight w:val="160"/>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Structured hybrids</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5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Residential mortgage-backed securities</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800</w:t>
            </w:r>
          </w:p>
        </w:tc>
      </w:tr>
      <w:tr>
        <w:trPr>
          <w:trHeight w:val="149"/>
        </w:trPr>
        <w:tc>
          <w:tcPr>
            <w:tcW w:w="57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Subtotal</w:t>
            </w: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11,912</w:t>
            </w:r>
          </w:p>
        </w:tc>
        <w:tc>
          <w:tcPr>
            <w:tcW w:w="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12,386</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9,191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9,873</w:t>
            </w:r>
          </w:p>
        </w:tc>
      </w:tr>
      <w:tr>
        <w:trPr>
          <w:trHeight w:val="151"/>
        </w:trPr>
        <w:tc>
          <w:tcPr>
            <w:tcW w:w="5720" w:type="dxa"/>
            <w:vAlign w:val="bottom"/>
          </w:tcPr>
          <w:p>
            <w:pPr>
              <w:ind w:left="100"/>
              <w:spacing w:after="0"/>
              <w:rPr>
                <w:sz w:val="20"/>
                <w:szCs w:val="20"/>
                <w:color w:val="auto"/>
              </w:rPr>
            </w:pPr>
            <w:r>
              <w:rPr>
                <w:rFonts w:ascii="Arial" w:cs="Arial" w:eastAsia="Arial" w:hAnsi="Arial"/>
                <w:sz w:val="12"/>
                <w:szCs w:val="12"/>
                <w:b w:val="1"/>
                <w:bCs w:val="1"/>
                <w:color w:val="auto"/>
              </w:rPr>
              <w:t>Total fixed maturity available-for-sale securities</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28,724</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29,962</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23,601</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25,499</w:t>
            </w: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Non-Agency RMBS Exposure</w:t>
      </w:r>
    </w:p>
    <w:p>
      <w:pPr>
        <w:spacing w:after="0" w:line="102"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68"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The fair value of our investments in subprime and Alt-A RMBS securities was $52 million and $75 million as of December 31, 2021, respectively, and $68 million and $94 million as of December 31, 2020, respectively.</w:t>
      </w:r>
    </w:p>
    <w:p>
      <w:pPr>
        <w:spacing w:after="0" w:line="79"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The following tables summarize our exposure to subprime and Alt-A RMBS by credit quality using NAIC designations, NRSRO ratings and vintage year as of December 31, 2021 and December 31, 2020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4"/>
          </w:tcPr>
          <w:p>
            <w:pPr>
              <w:ind w:left="700"/>
              <w:spacing w:after="0"/>
              <w:rPr>
                <w:sz w:val="20"/>
                <w:szCs w:val="20"/>
                <w:color w:val="auto"/>
              </w:rPr>
            </w:pPr>
            <w:r>
              <w:rPr>
                <w:rFonts w:ascii="Arial" w:cs="Arial" w:eastAsia="Arial" w:hAnsi="Arial"/>
                <w:sz w:val="12"/>
                <w:szCs w:val="12"/>
                <w:b w:val="1"/>
                <w:bCs w:val="1"/>
                <w:color w:val="auto"/>
              </w:rPr>
              <w:t>December 31, 2021</w:t>
            </w:r>
          </w:p>
        </w:tc>
        <w:tc>
          <w:tcPr>
            <w:tcW w:w="220" w:type="dxa"/>
            <w:vAlign w:val="bottom"/>
          </w:tcPr>
          <w:p>
            <w:pPr>
              <w:spacing w:after="0"/>
              <w:rPr>
                <w:sz w:val="13"/>
                <w:szCs w:val="13"/>
                <w:color w:val="auto"/>
              </w:rPr>
            </w:pPr>
          </w:p>
        </w:tc>
        <w:tc>
          <w:tcPr>
            <w:tcW w:w="2560" w:type="dxa"/>
            <w:vAlign w:val="bottom"/>
            <w:gridSpan w:val="3"/>
          </w:tcPr>
          <w:p>
            <w:pPr>
              <w:jc w:val="right"/>
              <w:ind w:right="840"/>
              <w:spacing w:after="0"/>
              <w:rPr>
                <w:sz w:val="20"/>
                <w:szCs w:val="20"/>
                <w:color w:val="auto"/>
              </w:rPr>
            </w:pPr>
            <w:r>
              <w:rPr>
                <w:rFonts w:ascii="Arial" w:cs="Arial" w:eastAsia="Arial" w:hAnsi="Arial"/>
                <w:sz w:val="12"/>
                <w:szCs w:val="12"/>
                <w:b w:val="1"/>
                <w:bCs w:val="1"/>
                <w:color w:val="auto"/>
              </w:rPr>
              <w:t>December 31, 2020</w:t>
            </w:r>
          </w:p>
        </w:tc>
      </w:tr>
      <w:tr>
        <w:trPr>
          <w:trHeight w:val="157"/>
        </w:trPr>
        <w:tc>
          <w:tcPr>
            <w:tcW w:w="5600" w:type="dxa"/>
            <w:vAlign w:val="bottom"/>
          </w:tcPr>
          <w:p>
            <w:pPr>
              <w:spacing w:after="0"/>
              <w:rPr>
                <w:sz w:val="20"/>
                <w:szCs w:val="20"/>
                <w:color w:val="auto"/>
              </w:rPr>
            </w:pPr>
            <w:r>
              <w:rPr>
                <w:rFonts w:ascii="Arial" w:cs="Arial" w:eastAsia="Arial" w:hAnsi="Arial"/>
                <w:sz w:val="12"/>
                <w:szCs w:val="12"/>
                <w:b w:val="1"/>
                <w:bCs w:val="1"/>
                <w:color w:val="auto"/>
              </w:rPr>
              <w:t>NAIC Designation:</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Fair Value</w:t>
            </w:r>
          </w:p>
        </w:tc>
        <w:tc>
          <w:tcPr>
            <w:tcW w:w="1400" w:type="dxa"/>
            <w:vAlign w:val="bottom"/>
            <w:tcBorders>
              <w:top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Percent of Total</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Fair Value</w:t>
            </w:r>
          </w:p>
        </w:tc>
        <w:tc>
          <w:tcPr>
            <w:tcW w:w="1420" w:type="dxa"/>
            <w:vAlign w:val="bottom"/>
            <w:tcBorders>
              <w:top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Percent of Total</w:t>
            </w:r>
          </w:p>
        </w:tc>
      </w:tr>
      <w:tr>
        <w:trPr>
          <w:trHeight w:val="149"/>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1</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91 %</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w:t>
            </w:r>
          </w:p>
        </w:tc>
        <w:tc>
          <w:tcPr>
            <w:tcW w:w="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94 %</w:t>
            </w:r>
          </w:p>
        </w:tc>
      </w:tr>
      <w:tr>
        <w:trPr>
          <w:trHeight w:val="155"/>
        </w:trPr>
        <w:tc>
          <w:tcPr>
            <w:tcW w:w="5600" w:type="dxa"/>
            <w:vAlign w:val="bottom"/>
          </w:tcPr>
          <w:p>
            <w:pPr>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1 %</w:t>
            </w:r>
          </w:p>
        </w:tc>
      </w:tr>
      <w:tr>
        <w:trPr>
          <w:trHeight w:val="160"/>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3</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r>
      <w:tr>
        <w:trPr>
          <w:trHeight w:val="155"/>
        </w:trPr>
        <w:tc>
          <w:tcPr>
            <w:tcW w:w="5600" w:type="dxa"/>
            <w:vAlign w:val="bottom"/>
          </w:tcPr>
          <w:p>
            <w:pPr>
              <w:spacing w:after="0"/>
              <w:rPr>
                <w:sz w:val="20"/>
                <w:szCs w:val="20"/>
                <w:color w:val="auto"/>
              </w:rPr>
            </w:pPr>
            <w:r>
              <w:rPr>
                <w:rFonts w:ascii="Arial" w:cs="Arial" w:eastAsia="Arial" w:hAnsi="Arial"/>
                <w:sz w:val="12"/>
                <w:szCs w:val="12"/>
                <w:color w:val="auto"/>
              </w:rPr>
              <w:t>4</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2 %</w:t>
            </w:r>
          </w:p>
        </w:tc>
      </w:tr>
      <w:tr>
        <w:trPr>
          <w:trHeight w:val="160"/>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r>
      <w:tr>
        <w:trPr>
          <w:trHeight w:val="155"/>
        </w:trPr>
        <w:tc>
          <w:tcPr>
            <w:tcW w:w="5600" w:type="dxa"/>
            <w:vAlign w:val="bottom"/>
          </w:tcPr>
          <w:p>
            <w:pPr>
              <w:spacing w:after="0"/>
              <w:rPr>
                <w:sz w:val="20"/>
                <w:szCs w:val="20"/>
                <w:color w:val="auto"/>
              </w:rPr>
            </w:pPr>
            <w:r>
              <w:rPr>
                <w:rFonts w:ascii="Arial" w:cs="Arial" w:eastAsia="Arial" w:hAnsi="Arial"/>
                <w:sz w:val="12"/>
                <w:szCs w:val="12"/>
                <w:color w:val="auto"/>
              </w:rPr>
              <w:t>6</w:t>
            </w:r>
          </w:p>
        </w:tc>
        <w:tc>
          <w:tcPr>
            <w:tcW w:w="22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2"/>
                <w:szCs w:val="12"/>
                <w:color w:val="auto"/>
              </w:rPr>
              <w:t>— %</w:t>
            </w:r>
          </w:p>
        </w:tc>
        <w:tc>
          <w:tcPr>
            <w:tcW w:w="2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 %</w:t>
            </w:r>
          </w:p>
        </w:tc>
      </w:tr>
      <w:tr>
        <w:trPr>
          <w:trHeight w:val="176"/>
        </w:trPr>
        <w:tc>
          <w:tcPr>
            <w:tcW w:w="56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2"/>
                <w:szCs w:val="12"/>
                <w:b w:val="1"/>
                <w:bCs w:val="1"/>
                <w:color w:val="auto"/>
              </w:rPr>
              <w:t>Total</w:t>
            </w: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5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58"/>
        </w:trPr>
        <w:tc>
          <w:tcPr>
            <w:tcW w:w="5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NRSRO:</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5"/>
        </w:trPr>
        <w:tc>
          <w:tcPr>
            <w:tcW w:w="5600" w:type="dxa"/>
            <w:vAlign w:val="bottom"/>
          </w:tcPr>
          <w:p>
            <w:pPr>
              <w:spacing w:after="0"/>
              <w:rPr>
                <w:sz w:val="20"/>
                <w:szCs w:val="20"/>
                <w:color w:val="auto"/>
              </w:rPr>
            </w:pPr>
            <w:r>
              <w:rPr>
                <w:rFonts w:ascii="Arial" w:cs="Arial" w:eastAsia="Arial" w:hAnsi="Arial"/>
                <w:sz w:val="12"/>
                <w:szCs w:val="12"/>
                <w:color w:val="auto"/>
              </w:rPr>
              <w:t>AAA</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2"/>
                <w:szCs w:val="12"/>
                <w:color w:val="auto"/>
              </w:rPr>
              <w:t>— %</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1 %</w:t>
            </w:r>
          </w:p>
        </w:tc>
      </w:tr>
      <w:tr>
        <w:trPr>
          <w:trHeight w:val="160"/>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AA</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r>
      <w:tr>
        <w:trPr>
          <w:trHeight w:val="155"/>
        </w:trPr>
        <w:tc>
          <w:tcPr>
            <w:tcW w:w="5600" w:type="dxa"/>
            <w:vAlign w:val="bottom"/>
          </w:tcPr>
          <w:p>
            <w:pPr>
              <w:spacing w:after="0"/>
              <w:rPr>
                <w:sz w:val="20"/>
                <w:szCs w:val="20"/>
                <w:color w:val="auto"/>
              </w:rPr>
            </w:pPr>
            <w:r>
              <w:rPr>
                <w:rFonts w:ascii="Arial" w:cs="Arial" w:eastAsia="Arial" w:hAnsi="Arial"/>
                <w:sz w:val="12"/>
                <w:szCs w:val="12"/>
                <w:color w:val="auto"/>
              </w:rPr>
              <w:t>A</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17</w:t>
            </w:r>
          </w:p>
        </w:tc>
        <w:tc>
          <w:tcPr>
            <w:tcW w:w="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10 %</w:t>
            </w:r>
          </w:p>
        </w:tc>
      </w:tr>
      <w:tr>
        <w:trPr>
          <w:trHeight w:val="160"/>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BBB</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r>
      <w:tr>
        <w:trPr>
          <w:trHeight w:val="155"/>
        </w:trPr>
        <w:tc>
          <w:tcPr>
            <w:tcW w:w="5600" w:type="dxa"/>
            <w:vAlign w:val="bottom"/>
          </w:tcPr>
          <w:p>
            <w:pPr>
              <w:spacing w:after="0"/>
              <w:rPr>
                <w:sz w:val="20"/>
                <w:szCs w:val="20"/>
                <w:color w:val="auto"/>
              </w:rPr>
            </w:pPr>
            <w:r>
              <w:rPr>
                <w:rFonts w:ascii="Arial" w:cs="Arial" w:eastAsia="Arial" w:hAnsi="Arial"/>
                <w:sz w:val="12"/>
                <w:szCs w:val="12"/>
                <w:color w:val="auto"/>
              </w:rPr>
              <w:t>Not rated - Above investment grade (a)</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19 %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w:t>
            </w:r>
          </w:p>
        </w:tc>
        <w:tc>
          <w:tcPr>
            <w:tcW w:w="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12 %</w:t>
            </w:r>
          </w:p>
        </w:tc>
      </w:tr>
      <w:tr>
        <w:trPr>
          <w:trHeight w:val="158"/>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BB and below</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1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56 %</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65 %</w:t>
            </w:r>
          </w:p>
        </w:tc>
      </w:tr>
      <w:tr>
        <w:trPr>
          <w:trHeight w:val="151"/>
        </w:trPr>
        <w:tc>
          <w:tcPr>
            <w:tcW w:w="5600" w:type="dxa"/>
            <w:vAlign w:val="bottom"/>
          </w:tcPr>
          <w:p>
            <w:pPr>
              <w:ind w:left="100"/>
              <w:spacing w:after="0"/>
              <w:rPr>
                <w:sz w:val="20"/>
                <w:szCs w:val="20"/>
                <w:color w:val="auto"/>
              </w:rPr>
            </w:pPr>
            <w:r>
              <w:rPr>
                <w:rFonts w:ascii="Arial" w:cs="Arial" w:eastAsia="Arial" w:hAnsi="Arial"/>
                <w:sz w:val="12"/>
                <w:szCs w:val="12"/>
                <w:b w:val="1"/>
                <w:bCs w:val="1"/>
                <w:color w:val="auto"/>
              </w:rPr>
              <w:t>Total</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43"/>
        </w:trPr>
        <w:tc>
          <w:tcPr>
            <w:tcW w:w="5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2"/>
                <w:szCs w:val="12"/>
                <w:b w:val="1"/>
                <w:bCs w:val="1"/>
                <w:color w:val="auto"/>
              </w:rPr>
              <w:t>Vintage:</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58"/>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2007</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w:t>
            </w:r>
          </w:p>
        </w:tc>
      </w:tr>
      <w:tr>
        <w:trPr>
          <w:trHeight w:val="155"/>
        </w:trPr>
        <w:tc>
          <w:tcPr>
            <w:tcW w:w="5600" w:type="dxa"/>
            <w:vAlign w:val="bottom"/>
          </w:tcPr>
          <w:p>
            <w:pPr>
              <w:spacing w:after="0"/>
              <w:rPr>
                <w:sz w:val="20"/>
                <w:szCs w:val="20"/>
                <w:color w:val="auto"/>
              </w:rPr>
            </w:pPr>
            <w:r>
              <w:rPr>
                <w:rFonts w:ascii="Arial" w:cs="Arial" w:eastAsia="Arial" w:hAnsi="Arial"/>
                <w:sz w:val="12"/>
                <w:szCs w:val="12"/>
                <w:color w:val="auto"/>
              </w:rPr>
              <w:t>2006</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27 %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43</w:t>
            </w:r>
          </w:p>
        </w:tc>
        <w:tc>
          <w:tcPr>
            <w:tcW w:w="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27 %</w:t>
            </w:r>
          </w:p>
        </w:tc>
      </w:tr>
      <w:tr>
        <w:trPr>
          <w:trHeight w:val="160"/>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2005 and prior</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49 %</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50 %</w:t>
            </w:r>
          </w:p>
        </w:tc>
      </w:tr>
      <w:tr>
        <w:trPr>
          <w:trHeight w:val="149"/>
        </w:trPr>
        <w:tc>
          <w:tcPr>
            <w:tcW w:w="5600" w:type="dxa"/>
            <w:vAlign w:val="bottom"/>
          </w:tcPr>
          <w:p>
            <w:pPr>
              <w:ind w:left="100"/>
              <w:spacing w:after="0"/>
              <w:rPr>
                <w:sz w:val="20"/>
                <w:szCs w:val="20"/>
                <w:color w:val="auto"/>
              </w:rPr>
            </w:pPr>
            <w:r>
              <w:rPr>
                <w:rFonts w:ascii="Arial" w:cs="Arial" w:eastAsia="Arial" w:hAnsi="Arial"/>
                <w:sz w:val="12"/>
                <w:szCs w:val="12"/>
                <w:b w:val="1"/>
                <w:bCs w:val="1"/>
                <w:color w:val="auto"/>
              </w:rPr>
              <w:t>Total</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8" w:name="page79"/>
    <w:bookmarkEnd w:id="7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color w:val="auto"/>
        </w:rPr>
        <w:t>(a) Securities denoted as not-rated by an NRSRO were classified as investment or non-investment grade according to the securities' respective NAIC designation.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ABS and CLO Exposures</w:t>
      </w:r>
    </w:p>
    <w:p>
      <w:pPr>
        <w:spacing w:after="0" w:line="113"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Our ABS exposures are largely diversified by underlying collateral and issuer type. Our CLO exposures are generally senior tranches of CLOs which have leveraged loans as their underlying collateral.</w:t>
      </w:r>
    </w:p>
    <w:p>
      <w:pPr>
        <w:spacing w:after="0" w:line="79" w:lineRule="exact"/>
        <w:rPr>
          <w:sz w:val="20"/>
          <w:szCs w:val="20"/>
          <w:color w:val="auto"/>
        </w:rPr>
      </w:pPr>
    </w:p>
    <w:p>
      <w:pPr>
        <w:jc w:val="both"/>
        <w:ind w:right="20" w:firstLine="338"/>
        <w:spacing w:after="0" w:line="274" w:lineRule="auto"/>
        <w:rPr>
          <w:sz w:val="20"/>
          <w:szCs w:val="20"/>
          <w:color w:val="auto"/>
        </w:rPr>
      </w:pPr>
      <w:r>
        <w:rPr>
          <w:rFonts w:ascii="Arial" w:cs="Arial" w:eastAsia="Arial" w:hAnsi="Arial"/>
          <w:sz w:val="15"/>
          <w:szCs w:val="15"/>
          <w:color w:val="auto"/>
        </w:rPr>
        <w:t>As of December 31, 2021, the CLO and ABS positions were trading at a net unrealized gain position of $145 million and $37 million, respectively. As of December 31, 2020, the CLO and ABS positions were trading at a net unrealized gain position of $247 million and $79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Municipal Bond Exposure</w:t>
      </w:r>
    </w:p>
    <w:p>
      <w:pPr>
        <w:spacing w:after="0" w:line="113"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Our municipal bond exposure is a combination of general obligation bonds (fair value of $258 million and an amortized cost of $247 million as of December 31, 2021) and special revenue bonds (fair value of $1,183 million and amortized cost of $1,138 million as of December 31, 2021).</w:t>
      </w:r>
    </w:p>
    <w:p>
      <w:pPr>
        <w:spacing w:after="0" w:line="68"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Across all municipal bonds, the largest issuer represented 7% of the category, less than 1% of the entire portfolio and is rated NAIC 1. Our focus within municipal bonds is on NAIC 1 rated instruments, and 91% of our municipal bond exposure is rated NAIC 1.</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Mortgage Loans</w:t>
      </w:r>
    </w:p>
    <w:p>
      <w:pPr>
        <w:spacing w:after="0" w:line="102"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4"/>
          <w:szCs w:val="14"/>
          <w:color w:val="auto"/>
        </w:rPr>
        <w:t>We rate all CMLs to quantify the level of risk. We place those loans with higher risk on a watch list and closely monitor them for collateral deficiency or other credit events that may lead to a potential loss of principal and/or interest. If we determine the value of any CML to be impaired (i.e., when it is probable that we will be unable to collect on amounts due according to the contractual terms of the loan agreement), the carrying value of the CML is reduced to either the present value of expected cash flows from the loan, discounted at the loan’s effective interest rate, or fair value of the collateral. For those mortgage loans that are determined to require foreclosure, the carrying value is reduced to the fair value of the underlying collateral, net of estimated costs to obtain and sell at the point of foreclosure. The carrying value of the impaired loans is reduced by establishing a specific write-down recorded in Recognized gains and losses, net in the Consolidated Statements of Earnings included in Item 8 of Part II of this Annual Report.</w:t>
      </w:r>
    </w:p>
    <w:p>
      <w:pPr>
        <w:spacing w:after="0" w:line="57"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LTV and DSC ratios are utilized as part of the review process described above. As of December 31, 2021, our mortgage loans on real estate portfolio had a weighted average DSC ratio of 2.4 times, and a weighted average LTV ratio of 56%. See Note E to the Consolidated Financial Statements included in Item 8 of Part II of this Annual Report for additional information regarding our LTV and DSC ratios.</w:t>
      </w:r>
    </w:p>
    <w:p>
      <w:pPr>
        <w:spacing w:after="0" w:line="66"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F&amp;G's RMLs are closed end, amortizing loans and 100% of the properties are located in the United States. F&amp;G diversifies its RML portfolio by state to attempt to reduce concentration risk. RMLs have a primary credit quality indicator of either a performing or nonperforming loan. F&amp;G defines non-performing RMLs as those that are 90 or more days past due and/or in nonaccrual status, which is assessed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9" w:name="page80"/>
    <w:bookmarkEnd w:id="7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Unrealized Losses</w:t>
      </w:r>
    </w:p>
    <w:p>
      <w:pPr>
        <w:spacing w:after="0" w:line="113" w:lineRule="exact"/>
        <w:rPr>
          <w:sz w:val="20"/>
          <w:szCs w:val="20"/>
          <w:color w:val="auto"/>
        </w:rPr>
      </w:pPr>
    </w:p>
    <w:p>
      <w:pPr>
        <w:ind w:right="80" w:firstLine="270"/>
        <w:spacing w:after="0" w:line="274" w:lineRule="auto"/>
        <w:rPr>
          <w:sz w:val="20"/>
          <w:szCs w:val="20"/>
          <w:color w:val="auto"/>
        </w:rPr>
      </w:pPr>
      <w:r>
        <w:rPr>
          <w:rFonts w:ascii="Arial" w:cs="Arial" w:eastAsia="Arial" w:hAnsi="Arial"/>
          <w:sz w:val="15"/>
          <w:szCs w:val="15"/>
          <w:color w:val="auto"/>
        </w:rPr>
        <w:t>The amortized cost and fair value of the fixed maturity securities and the equity securities that were in an unrealized loss position as of December 31, 2021 and 2020, were as follows (in millions):</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2021</w:t>
            </w: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140" w:type="dxa"/>
            <w:vAlign w:val="bottom"/>
            <w:gridSpan w:val="2"/>
          </w:tcPr>
          <w:p>
            <w:pPr>
              <w:ind w:left="400"/>
              <w:spacing w:after="0" w:line="109" w:lineRule="exact"/>
              <w:rPr>
                <w:sz w:val="20"/>
                <w:szCs w:val="20"/>
                <w:color w:val="auto"/>
              </w:rPr>
            </w:pPr>
            <w:r>
              <w:rPr>
                <w:rFonts w:ascii="Arial" w:cs="Arial" w:eastAsia="Arial" w:hAnsi="Arial"/>
                <w:sz w:val="12"/>
                <w:szCs w:val="12"/>
                <w:b w:val="1"/>
                <w:bCs w:val="1"/>
                <w:color w:val="auto"/>
              </w:rPr>
              <w:t>Number of</w:t>
            </w:r>
          </w:p>
        </w:tc>
        <w:tc>
          <w:tcPr>
            <w:tcW w:w="420" w:type="dxa"/>
            <w:vAlign w:val="bottom"/>
          </w:tcPr>
          <w:p>
            <w:pPr>
              <w:spacing w:after="0"/>
              <w:rPr>
                <w:sz w:val="9"/>
                <w:szCs w:val="9"/>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Amortized Cost</w:t>
            </w:r>
          </w:p>
        </w:tc>
        <w:tc>
          <w:tcPr>
            <w:tcW w:w="440" w:type="dxa"/>
            <w:vAlign w:val="bottom"/>
          </w:tcPr>
          <w:p>
            <w:pPr>
              <w:spacing w:after="0"/>
              <w:rPr>
                <w:sz w:val="9"/>
                <w:szCs w:val="9"/>
                <w:color w:val="auto"/>
              </w:rPr>
            </w:pPr>
          </w:p>
        </w:tc>
        <w:tc>
          <w:tcPr>
            <w:tcW w:w="1160" w:type="dxa"/>
            <w:vAlign w:val="bottom"/>
            <w:gridSpan w:val="3"/>
          </w:tcPr>
          <w:p>
            <w:pPr>
              <w:ind w:left="20"/>
              <w:spacing w:after="0" w:line="109" w:lineRule="exact"/>
              <w:rPr>
                <w:sz w:val="20"/>
                <w:szCs w:val="20"/>
                <w:color w:val="auto"/>
              </w:rPr>
            </w:pPr>
            <w:r>
              <w:rPr>
                <w:rFonts w:ascii="Arial" w:cs="Arial" w:eastAsia="Arial" w:hAnsi="Arial"/>
                <w:sz w:val="12"/>
                <w:szCs w:val="12"/>
                <w:b w:val="1"/>
                <w:bCs w:val="1"/>
                <w:color w:val="auto"/>
              </w:rPr>
              <w:t>Allowance for</w:t>
            </w:r>
          </w:p>
        </w:tc>
        <w:tc>
          <w:tcPr>
            <w:tcW w:w="124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w w:val="98"/>
              </w:rPr>
              <w:t>Unrealized Losses</w:t>
            </w:r>
          </w:p>
        </w:tc>
        <w:tc>
          <w:tcPr>
            <w:tcW w:w="4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13"/>
                <w:szCs w:val="13"/>
                <w:color w:val="auto"/>
              </w:rPr>
            </w:pPr>
          </w:p>
        </w:tc>
        <w:tc>
          <w:tcPr>
            <w:tcW w:w="1140" w:type="dxa"/>
            <w:vAlign w:val="bottom"/>
            <w:gridSpan w:val="2"/>
          </w:tcPr>
          <w:p>
            <w:pPr>
              <w:ind w:left="280"/>
              <w:spacing w:after="0"/>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Expected Credit Losses</w:t>
            </w:r>
          </w:p>
        </w:tc>
        <w:tc>
          <w:tcPr>
            <w:tcW w:w="124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00" w:type="dxa"/>
            <w:vAlign w:val="bottom"/>
            <w:tcBorders>
              <w:top w:val="single" w:sz="8" w:color="CCEEFF"/>
            </w:tcBorders>
            <w:shd w:val="clear" w:color="auto" w:fill="CCEEFF"/>
          </w:tcPr>
          <w:p>
            <w:pPr>
              <w:ind w:left="360"/>
              <w:spacing w:after="0" w:line="133" w:lineRule="exact"/>
              <w:rPr>
                <w:sz w:val="20"/>
                <w:szCs w:val="20"/>
                <w:color w:val="auto"/>
              </w:rPr>
            </w:pPr>
            <w:r>
              <w:rPr>
                <w:rFonts w:ascii="Arial" w:cs="Arial" w:eastAsia="Arial" w:hAnsi="Arial"/>
                <w:sz w:val="12"/>
                <w:szCs w:val="12"/>
                <w:color w:val="auto"/>
              </w:rPr>
              <w:t>Fixed maturity securities, available for sale:</w:t>
            </w: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560"/>
              <w:spacing w:after="0"/>
              <w:rPr>
                <w:sz w:val="20"/>
                <w:szCs w:val="20"/>
                <w:color w:val="auto"/>
              </w:rPr>
            </w:pPr>
            <w:r>
              <w:rPr>
                <w:rFonts w:ascii="Arial" w:cs="Arial" w:eastAsia="Arial" w:hAnsi="Arial"/>
                <w:sz w:val="12"/>
                <w:szCs w:val="12"/>
                <w:color w:val="auto"/>
              </w:rPr>
              <w:t>United States Government full faith and credit</w:t>
            </w:r>
          </w:p>
        </w:tc>
        <w:tc>
          <w:tcPr>
            <w:tcW w:w="104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United States Government sponsored agencies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560"/>
              <w:spacing w:after="0"/>
              <w:rPr>
                <w:sz w:val="20"/>
                <w:szCs w:val="20"/>
                <w:color w:val="auto"/>
              </w:rPr>
            </w:pPr>
            <w:r>
              <w:rPr>
                <w:rFonts w:ascii="Arial" w:cs="Arial" w:eastAsia="Arial" w:hAnsi="Arial"/>
                <w:sz w:val="12"/>
                <w:szCs w:val="12"/>
                <w:color w:val="auto"/>
              </w:rPr>
              <w:t>United States municipalities, states and territories</w:t>
            </w:r>
          </w:p>
        </w:tc>
        <w:tc>
          <w:tcPr>
            <w:tcW w:w="1040" w:type="dxa"/>
            <w:vAlign w:val="bottom"/>
          </w:tcPr>
          <w:p>
            <w:pPr>
              <w:jc w:val="right"/>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503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Foreign Governments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360"/>
              <w:spacing w:after="0"/>
              <w:rPr>
                <w:sz w:val="20"/>
                <w:szCs w:val="20"/>
                <w:color w:val="auto"/>
              </w:rPr>
            </w:pPr>
            <w:r>
              <w:rPr>
                <w:rFonts w:ascii="Arial" w:cs="Arial" w:eastAsia="Arial" w:hAnsi="Arial"/>
                <w:sz w:val="12"/>
                <w:szCs w:val="12"/>
                <w:color w:val="auto"/>
              </w:rPr>
              <w:t>Corporate securities: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Finance, insurance and real estate</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5"/>
        </w:trPr>
        <w:tc>
          <w:tcPr>
            <w:tcW w:w="4500" w:type="dxa"/>
            <w:vAlign w:val="bottom"/>
          </w:tcPr>
          <w:p>
            <w:pPr>
              <w:ind w:left="560"/>
              <w:spacing w:after="0"/>
              <w:rPr>
                <w:sz w:val="20"/>
                <w:szCs w:val="20"/>
                <w:color w:val="auto"/>
              </w:rPr>
            </w:pPr>
            <w:r>
              <w:rPr>
                <w:rFonts w:ascii="Arial" w:cs="Arial" w:eastAsia="Arial" w:hAnsi="Arial"/>
                <w:sz w:val="12"/>
                <w:szCs w:val="12"/>
                <w:color w:val="auto"/>
              </w:rPr>
              <w:t>Manufacturing, construction and mining</w:t>
            </w:r>
          </w:p>
        </w:tc>
        <w:tc>
          <w:tcPr>
            <w:tcW w:w="1040" w:type="dxa"/>
            <w:vAlign w:val="bottom"/>
          </w:tcPr>
          <w:p>
            <w:pPr>
              <w:jc w:val="right"/>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Utilities, energy and related sectors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5"/>
        </w:trPr>
        <w:tc>
          <w:tcPr>
            <w:tcW w:w="4500" w:type="dxa"/>
            <w:vAlign w:val="bottom"/>
          </w:tcPr>
          <w:p>
            <w:pPr>
              <w:ind w:left="560"/>
              <w:spacing w:after="0"/>
              <w:rPr>
                <w:sz w:val="20"/>
                <w:szCs w:val="20"/>
                <w:color w:val="auto"/>
              </w:rPr>
            </w:pPr>
            <w:r>
              <w:rPr>
                <w:rFonts w:ascii="Arial" w:cs="Arial" w:eastAsia="Arial" w:hAnsi="Arial"/>
                <w:sz w:val="12"/>
                <w:szCs w:val="12"/>
                <w:color w:val="auto"/>
              </w:rPr>
              <w:t>Wholesale/retail trade</w:t>
            </w:r>
          </w:p>
        </w:tc>
        <w:tc>
          <w:tcPr>
            <w:tcW w:w="1040" w:type="dxa"/>
            <w:vAlign w:val="bottom"/>
          </w:tcPr>
          <w:p>
            <w:pPr>
              <w:jc w:val="right"/>
              <w:spacing w:after="0"/>
              <w:rPr>
                <w:sz w:val="20"/>
                <w:szCs w:val="20"/>
                <w:color w:val="auto"/>
              </w:rPr>
            </w:pPr>
            <w:r>
              <w:rPr>
                <w:rFonts w:ascii="Arial" w:cs="Arial" w:eastAsia="Arial" w:hAnsi="Arial"/>
                <w:sz w:val="12"/>
                <w:szCs w:val="12"/>
                <w:color w:val="auto"/>
              </w:rPr>
              <w:t>313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1,188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Services, media and other</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5"/>
        </w:trPr>
        <w:tc>
          <w:tcPr>
            <w:tcW w:w="4500" w:type="dxa"/>
            <w:vAlign w:val="bottom"/>
          </w:tcPr>
          <w:p>
            <w:pPr>
              <w:ind w:left="360"/>
              <w:spacing w:after="0"/>
              <w:rPr>
                <w:sz w:val="20"/>
                <w:szCs w:val="20"/>
                <w:color w:val="auto"/>
              </w:rPr>
            </w:pPr>
            <w:r>
              <w:rPr>
                <w:rFonts w:ascii="Arial" w:cs="Arial" w:eastAsia="Arial" w:hAnsi="Arial"/>
                <w:sz w:val="12"/>
                <w:szCs w:val="12"/>
                <w:color w:val="auto"/>
              </w:rPr>
              <w:t>Hybrid securities</w:t>
            </w:r>
          </w:p>
        </w:tc>
        <w:tc>
          <w:tcPr>
            <w:tcW w:w="10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Non-agency residential mortgage backed securities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360"/>
              <w:spacing w:after="0"/>
              <w:rPr>
                <w:sz w:val="20"/>
                <w:szCs w:val="20"/>
                <w:color w:val="auto"/>
              </w:rPr>
            </w:pPr>
            <w:r>
              <w:rPr>
                <w:rFonts w:ascii="Arial" w:cs="Arial" w:eastAsia="Arial" w:hAnsi="Arial"/>
                <w:sz w:val="12"/>
                <w:szCs w:val="12"/>
                <w:color w:val="auto"/>
              </w:rPr>
              <w:t>Commercial mortgage backed securities</w:t>
            </w:r>
          </w:p>
        </w:tc>
        <w:tc>
          <w:tcPr>
            <w:tcW w:w="1040" w:type="dxa"/>
            <w:vAlign w:val="bottom"/>
          </w:tcPr>
          <w:p>
            <w:pPr>
              <w:jc w:val="right"/>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616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Arial" w:cs="Arial" w:eastAsia="Arial" w:hAnsi="Arial"/>
                <w:sz w:val="12"/>
                <w:szCs w:val="12"/>
                <w:color w:val="auto"/>
                <w:w w:val="95"/>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Asset backed securities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375</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4,603</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7"/>
        </w:trPr>
        <w:tc>
          <w:tcPr>
            <w:tcW w:w="4500" w:type="dxa"/>
            <w:vAlign w:val="bottom"/>
          </w:tcPr>
          <w:p>
            <w:pPr>
              <w:ind w:left="460"/>
              <w:spacing w:after="0"/>
              <w:rPr>
                <w:sz w:val="20"/>
                <w:szCs w:val="20"/>
                <w:color w:val="auto"/>
              </w:rPr>
            </w:pPr>
            <w:r>
              <w:rPr>
                <w:rFonts w:ascii="Arial" w:cs="Arial" w:eastAsia="Arial" w:hAnsi="Arial"/>
                <w:sz w:val="12"/>
                <w:szCs w:val="12"/>
                <w:b w:val="1"/>
                <w:bCs w:val="1"/>
                <w:color w:val="auto"/>
              </w:rPr>
              <w:t>Total fixed maturity available for sale securities</w:t>
            </w:r>
          </w:p>
        </w:tc>
        <w:tc>
          <w:tcPr>
            <w:tcW w:w="1040" w:type="dxa"/>
            <w:vAlign w:val="bottom"/>
          </w:tcPr>
          <w:p>
            <w:pPr>
              <w:jc w:val="right"/>
              <w:spacing w:after="0"/>
              <w:rPr>
                <w:sz w:val="20"/>
                <w:szCs w:val="20"/>
                <w:color w:val="auto"/>
              </w:rPr>
            </w:pPr>
            <w:r>
              <w:rPr>
                <w:rFonts w:ascii="Arial" w:cs="Arial" w:eastAsia="Arial" w:hAnsi="Arial"/>
                <w:sz w:val="12"/>
                <w:szCs w:val="12"/>
                <w:color w:val="auto"/>
              </w:rPr>
              <w:t>2,036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11,709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ind w:left="700"/>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Equity securities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ind w:left="460"/>
              <w:spacing w:after="0"/>
              <w:rPr>
                <w:sz w:val="20"/>
                <w:szCs w:val="20"/>
                <w:color w:val="auto"/>
              </w:rPr>
            </w:pPr>
            <w:r>
              <w:rPr>
                <w:rFonts w:ascii="Arial" w:cs="Arial" w:eastAsia="Arial" w:hAnsi="Arial"/>
                <w:sz w:val="12"/>
                <w:szCs w:val="12"/>
                <w:b w:val="1"/>
                <w:bCs w:val="1"/>
                <w:color w:val="auto"/>
              </w:rPr>
              <w:t>Total investments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2,056</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11,968</w:t>
            </w: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(249)</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45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2020</w:t>
            </w: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spacing w:after="0"/>
              <w:rPr>
                <w:sz w:val="9"/>
                <w:szCs w:val="9"/>
                <w:color w:val="auto"/>
              </w:rPr>
            </w:pPr>
          </w:p>
        </w:tc>
        <w:tc>
          <w:tcPr>
            <w:tcW w:w="1140" w:type="dxa"/>
            <w:vAlign w:val="bottom"/>
            <w:gridSpan w:val="2"/>
            <w:shd w:val="clear" w:color="auto" w:fill="CCEEFF"/>
          </w:tcPr>
          <w:p>
            <w:pPr>
              <w:ind w:left="400"/>
              <w:spacing w:after="0" w:line="109" w:lineRule="exact"/>
              <w:rPr>
                <w:sz w:val="20"/>
                <w:szCs w:val="20"/>
                <w:color w:val="auto"/>
              </w:rPr>
            </w:pPr>
            <w:r>
              <w:rPr>
                <w:rFonts w:ascii="Arial" w:cs="Arial" w:eastAsia="Arial" w:hAnsi="Arial"/>
                <w:sz w:val="12"/>
                <w:szCs w:val="12"/>
                <w:b w:val="1"/>
                <w:bCs w:val="1"/>
                <w:color w:val="auto"/>
              </w:rPr>
              <w:t>Number of</w:t>
            </w:r>
          </w:p>
        </w:tc>
        <w:tc>
          <w:tcPr>
            <w:tcW w:w="42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rPr>
              <w:t>Amortized Cost</w:t>
            </w:r>
          </w:p>
        </w:tc>
        <w:tc>
          <w:tcPr>
            <w:tcW w:w="440" w:type="dxa"/>
            <w:vAlign w:val="bottom"/>
            <w:shd w:val="clear" w:color="auto" w:fill="CCEEFF"/>
          </w:tcPr>
          <w:p>
            <w:pPr>
              <w:spacing w:after="0"/>
              <w:rPr>
                <w:sz w:val="9"/>
                <w:szCs w:val="9"/>
                <w:color w:val="auto"/>
              </w:rPr>
            </w:pPr>
          </w:p>
        </w:tc>
        <w:tc>
          <w:tcPr>
            <w:tcW w:w="1160" w:type="dxa"/>
            <w:vAlign w:val="bottom"/>
            <w:gridSpan w:val="3"/>
            <w:shd w:val="clear" w:color="auto" w:fill="CCEEFF"/>
          </w:tcPr>
          <w:p>
            <w:pPr>
              <w:ind w:left="20"/>
              <w:spacing w:after="0" w:line="109" w:lineRule="exact"/>
              <w:rPr>
                <w:sz w:val="20"/>
                <w:szCs w:val="20"/>
                <w:color w:val="auto"/>
              </w:rPr>
            </w:pPr>
            <w:r>
              <w:rPr>
                <w:rFonts w:ascii="Arial" w:cs="Arial" w:eastAsia="Arial" w:hAnsi="Arial"/>
                <w:sz w:val="12"/>
                <w:szCs w:val="12"/>
                <w:b w:val="1"/>
                <w:bCs w:val="1"/>
                <w:color w:val="auto"/>
              </w:rPr>
              <w:t>Allowance for</w:t>
            </w:r>
          </w:p>
        </w:tc>
        <w:tc>
          <w:tcPr>
            <w:tcW w:w="1240" w:type="dxa"/>
            <w:vAlign w:val="bottom"/>
            <w:gridSpan w:val="3"/>
            <w:vMerge w:val="restart"/>
            <w:shd w:val="clear" w:color="auto" w:fill="CCEEFF"/>
          </w:tcPr>
          <w:p>
            <w:pPr>
              <w:ind w:left="180"/>
              <w:spacing w:after="0"/>
              <w:rPr>
                <w:sz w:val="20"/>
                <w:szCs w:val="20"/>
                <w:color w:val="auto"/>
              </w:rPr>
            </w:pPr>
            <w:r>
              <w:rPr>
                <w:rFonts w:ascii="Arial" w:cs="Arial" w:eastAsia="Arial" w:hAnsi="Arial"/>
                <w:sz w:val="12"/>
                <w:szCs w:val="12"/>
                <w:b w:val="1"/>
                <w:bCs w:val="1"/>
                <w:color w:val="auto"/>
                <w:w w:val="98"/>
              </w:rPr>
              <w:t>Unrealized Losses</w:t>
            </w:r>
          </w:p>
        </w:tc>
        <w:tc>
          <w:tcPr>
            <w:tcW w:w="4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2"/>
                <w:szCs w:val="12"/>
                <w:b w:val="1"/>
                <w:bCs w:val="1"/>
                <w:color w:val="auto"/>
              </w:rPr>
              <w:t>securities</w:t>
            </w:r>
          </w:p>
        </w:tc>
        <w:tc>
          <w:tcPr>
            <w:tcW w:w="42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600" w:type="dxa"/>
            <w:vAlign w:val="bottom"/>
            <w:gridSpan w:val="4"/>
            <w:shd w:val="clear" w:color="auto" w:fill="CCEEFF"/>
          </w:tcPr>
          <w:p>
            <w:pPr>
              <w:ind w:left="40"/>
              <w:spacing w:after="0"/>
              <w:rPr>
                <w:sz w:val="20"/>
                <w:szCs w:val="20"/>
                <w:color w:val="auto"/>
              </w:rPr>
            </w:pPr>
            <w:r>
              <w:rPr>
                <w:rFonts w:ascii="Arial" w:cs="Arial" w:eastAsia="Arial" w:hAnsi="Arial"/>
                <w:sz w:val="12"/>
                <w:szCs w:val="12"/>
                <w:b w:val="1"/>
                <w:bCs w:val="1"/>
                <w:color w:val="auto"/>
              </w:rPr>
              <w:t>Expected Credit Losses</w:t>
            </w:r>
          </w:p>
        </w:tc>
        <w:tc>
          <w:tcPr>
            <w:tcW w:w="1240" w:type="dxa"/>
            <w:vAlign w:val="bottom"/>
            <w:gridSpan w:val="3"/>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00" w:type="dxa"/>
            <w:vAlign w:val="bottom"/>
          </w:tcPr>
          <w:p>
            <w:pPr>
              <w:ind w:left="360"/>
              <w:spacing w:after="0" w:line="133" w:lineRule="exact"/>
              <w:rPr>
                <w:sz w:val="20"/>
                <w:szCs w:val="20"/>
                <w:color w:val="auto"/>
              </w:rPr>
            </w:pPr>
            <w:r>
              <w:rPr>
                <w:rFonts w:ascii="Arial" w:cs="Arial" w:eastAsia="Arial" w:hAnsi="Arial"/>
                <w:sz w:val="12"/>
                <w:szCs w:val="12"/>
                <w:color w:val="auto"/>
              </w:rPr>
              <w:t>Fixed maturity securities, available for sale:</w:t>
            </w: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540"/>
              <w:spacing w:after="0"/>
              <w:rPr>
                <w:sz w:val="20"/>
                <w:szCs w:val="20"/>
                <w:color w:val="auto"/>
              </w:rPr>
            </w:pPr>
            <w:r>
              <w:rPr>
                <w:rFonts w:ascii="Arial" w:cs="Arial" w:eastAsia="Arial" w:hAnsi="Arial"/>
                <w:sz w:val="12"/>
                <w:szCs w:val="12"/>
                <w:color w:val="auto"/>
              </w:rPr>
              <w:t>United States Government full faith and credit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540"/>
              <w:spacing w:after="0"/>
              <w:rPr>
                <w:sz w:val="20"/>
                <w:szCs w:val="20"/>
                <w:color w:val="auto"/>
              </w:rPr>
            </w:pPr>
            <w:r>
              <w:rPr>
                <w:rFonts w:ascii="Arial" w:cs="Arial" w:eastAsia="Arial" w:hAnsi="Arial"/>
                <w:sz w:val="12"/>
                <w:szCs w:val="12"/>
                <w:color w:val="auto"/>
              </w:rPr>
              <w:t>United States Government sponsored agencies</w:t>
            </w:r>
          </w:p>
        </w:tc>
        <w:tc>
          <w:tcPr>
            <w:tcW w:w="104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68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540"/>
              <w:spacing w:after="0"/>
              <w:rPr>
                <w:sz w:val="20"/>
                <w:szCs w:val="20"/>
                <w:color w:val="auto"/>
              </w:rPr>
            </w:pPr>
            <w:r>
              <w:rPr>
                <w:rFonts w:ascii="Arial" w:cs="Arial" w:eastAsia="Arial" w:hAnsi="Arial"/>
                <w:sz w:val="12"/>
                <w:szCs w:val="12"/>
                <w:color w:val="auto"/>
              </w:rPr>
              <w:t>United States municipalities, states and territories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460"/>
              <w:spacing w:after="0"/>
              <w:rPr>
                <w:sz w:val="20"/>
                <w:szCs w:val="20"/>
                <w:color w:val="auto"/>
              </w:rPr>
            </w:pPr>
            <w:r>
              <w:rPr>
                <w:rFonts w:ascii="Arial" w:cs="Arial" w:eastAsia="Arial" w:hAnsi="Arial"/>
                <w:sz w:val="12"/>
                <w:szCs w:val="12"/>
                <w:color w:val="auto"/>
              </w:rPr>
              <w:t>Foreign Governments</w:t>
            </w: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1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68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Corporate securities:</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540"/>
              <w:spacing w:after="0"/>
              <w:rPr>
                <w:sz w:val="20"/>
                <w:szCs w:val="20"/>
                <w:color w:val="auto"/>
              </w:rPr>
            </w:pPr>
            <w:r>
              <w:rPr>
                <w:rFonts w:ascii="Arial" w:cs="Arial" w:eastAsia="Arial" w:hAnsi="Arial"/>
                <w:sz w:val="12"/>
                <w:szCs w:val="12"/>
                <w:color w:val="auto"/>
              </w:rPr>
              <w:t>Finance, insurance and real estate</w:t>
            </w:r>
          </w:p>
        </w:tc>
        <w:tc>
          <w:tcPr>
            <w:tcW w:w="104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347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540"/>
              <w:spacing w:after="0"/>
              <w:rPr>
                <w:sz w:val="20"/>
                <w:szCs w:val="20"/>
                <w:color w:val="auto"/>
              </w:rPr>
            </w:pPr>
            <w:r>
              <w:rPr>
                <w:rFonts w:ascii="Arial" w:cs="Arial" w:eastAsia="Arial" w:hAnsi="Arial"/>
                <w:sz w:val="12"/>
                <w:szCs w:val="12"/>
                <w:color w:val="auto"/>
              </w:rPr>
              <w:t>Utilities, energy and related sectors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540"/>
              <w:spacing w:after="0"/>
              <w:rPr>
                <w:sz w:val="20"/>
                <w:szCs w:val="20"/>
                <w:color w:val="auto"/>
              </w:rPr>
            </w:pPr>
            <w:r>
              <w:rPr>
                <w:rFonts w:ascii="Arial" w:cs="Arial" w:eastAsia="Arial" w:hAnsi="Arial"/>
                <w:sz w:val="12"/>
                <w:szCs w:val="12"/>
                <w:color w:val="auto"/>
              </w:rPr>
              <w:t>Wholesale/retail trade</w:t>
            </w:r>
          </w:p>
        </w:tc>
        <w:tc>
          <w:tcPr>
            <w:tcW w:w="104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540"/>
              <w:spacing w:after="0"/>
              <w:rPr>
                <w:sz w:val="20"/>
                <w:szCs w:val="20"/>
                <w:color w:val="auto"/>
              </w:rPr>
            </w:pPr>
            <w:r>
              <w:rPr>
                <w:rFonts w:ascii="Arial" w:cs="Arial" w:eastAsia="Arial" w:hAnsi="Arial"/>
                <w:sz w:val="12"/>
                <w:szCs w:val="12"/>
                <w:color w:val="auto"/>
              </w:rPr>
              <w:t>Services, media and other</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360"/>
              <w:spacing w:after="0"/>
              <w:rPr>
                <w:sz w:val="20"/>
                <w:szCs w:val="20"/>
                <w:color w:val="auto"/>
              </w:rPr>
            </w:pPr>
            <w:r>
              <w:rPr>
                <w:rFonts w:ascii="Arial" w:cs="Arial" w:eastAsia="Arial" w:hAnsi="Arial"/>
                <w:sz w:val="12"/>
                <w:szCs w:val="12"/>
                <w:color w:val="auto"/>
              </w:rPr>
              <w:t>Hybrid securities</w:t>
            </w:r>
          </w:p>
        </w:tc>
        <w:tc>
          <w:tcPr>
            <w:tcW w:w="10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68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Non-agency residential mortgage backed securities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2"/>
                <w:szCs w:val="12"/>
                <w:color w:val="auto"/>
                <w:w w:val="95"/>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360"/>
              <w:spacing w:after="0"/>
              <w:rPr>
                <w:sz w:val="20"/>
                <w:szCs w:val="20"/>
                <w:color w:val="auto"/>
              </w:rPr>
            </w:pPr>
            <w:r>
              <w:rPr>
                <w:rFonts w:ascii="Arial" w:cs="Arial" w:eastAsia="Arial" w:hAnsi="Arial"/>
                <w:sz w:val="12"/>
                <w:szCs w:val="12"/>
                <w:color w:val="auto"/>
              </w:rPr>
              <w:t>Commercial mortgage backed securities</w:t>
            </w:r>
          </w:p>
        </w:tc>
        <w:tc>
          <w:tcPr>
            <w:tcW w:w="104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Asset backed securities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460"/>
              <w:spacing w:after="0"/>
              <w:rPr>
                <w:sz w:val="20"/>
                <w:szCs w:val="20"/>
                <w:color w:val="auto"/>
              </w:rPr>
            </w:pPr>
            <w:r>
              <w:rPr>
                <w:rFonts w:ascii="Arial" w:cs="Arial" w:eastAsia="Arial" w:hAnsi="Arial"/>
                <w:sz w:val="12"/>
                <w:szCs w:val="12"/>
                <w:b w:val="1"/>
                <w:bCs w:val="1"/>
                <w:color w:val="auto"/>
              </w:rPr>
              <w:t>Total fixed maturity available for sale securities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1,585</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700"/>
              <w:spacing w:after="0"/>
              <w:rPr>
                <w:sz w:val="20"/>
                <w:szCs w:val="20"/>
                <w:color w:val="auto"/>
              </w:rPr>
            </w:pPr>
            <w:r>
              <w:rPr>
                <w:rFonts w:ascii="Arial" w:cs="Arial" w:eastAsia="Arial" w:hAnsi="Arial"/>
                <w:sz w:val="12"/>
                <w:szCs w:val="12"/>
                <w:color w:val="auto"/>
                <w:w w:val="95"/>
              </w:rPr>
              <w:t>(1)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Equity securities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ind w:left="460"/>
              <w:spacing w:after="0"/>
              <w:rPr>
                <w:sz w:val="20"/>
                <w:szCs w:val="20"/>
                <w:color w:val="auto"/>
              </w:rPr>
            </w:pPr>
            <w:r>
              <w:rPr>
                <w:rFonts w:ascii="Arial" w:cs="Arial" w:eastAsia="Arial" w:hAnsi="Arial"/>
                <w:sz w:val="12"/>
                <w:szCs w:val="12"/>
                <w:b w:val="1"/>
                <w:bCs w:val="1"/>
                <w:color w:val="auto"/>
              </w:rPr>
              <w:t>Total investments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202</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1,601</w:t>
            </w: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2"/>
                <w:szCs w:val="12"/>
                <w:color w:val="auto"/>
                <w:w w:val="95"/>
              </w:rPr>
              <w:t>(1)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80" w:name="page81"/>
    <w:bookmarkEnd w:id="8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4"/>
          <w:szCs w:val="14"/>
          <w:color w:val="auto"/>
        </w:rPr>
        <w:t>The gross unrealized loss position on the fixed maturity available-for-sale fixed and equity portfolio was $249 million and $38 million as of December 31, 2021 and 2020, respectively. Most components of the portfolio exhibited price depreciation as treasury rates increased, offset by narrower credit spreads. The total amortized cost of all securities in an unrealized loss position was $11,968 million and $1,601 million as of December 31, 2021 and 2020, respectively. The average market value/book value of the investment category with the largest unrealized loss position was 96% for Utilities, energy and related sectors as of December 31, 2021. In the aggregate, Utilities, energy and related sectors represented 18% of the total unrealized loss position as of December 31, 2021. The average market value/book value of the investment category with the largest unrealized loss position was 97% for Asset backed securities as of December 31, 2020. In the aggregate, Asset backed securities represented 47% of the total unrealized loss position as of December 31, 2020.</w:t>
      </w:r>
    </w:p>
    <w:p>
      <w:pPr>
        <w:spacing w:after="0" w:line="68" w:lineRule="exact"/>
        <w:rPr>
          <w:sz w:val="20"/>
          <w:szCs w:val="20"/>
          <w:color w:val="auto"/>
        </w:rPr>
      </w:pPr>
    </w:p>
    <w:p>
      <w:pPr>
        <w:jc w:val="both"/>
        <w:ind w:right="20" w:firstLine="338"/>
        <w:spacing w:after="0" w:line="274" w:lineRule="auto"/>
        <w:rPr>
          <w:sz w:val="20"/>
          <w:szCs w:val="20"/>
          <w:color w:val="auto"/>
        </w:rPr>
      </w:pPr>
      <w:r>
        <w:rPr>
          <w:rFonts w:ascii="Arial" w:cs="Arial" w:eastAsia="Arial" w:hAnsi="Arial"/>
          <w:sz w:val="15"/>
          <w:szCs w:val="15"/>
          <w:color w:val="auto"/>
        </w:rPr>
        <w:t>The amortized cost and fair value of fixed maturity available for sale securities under watch list analysis and the number of months in a loss position with investment grade securities (NRSRO rating of BBB/Baa or higher) were as follows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December 31, 2021</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Number of securities</w:t>
            </w:r>
          </w:p>
        </w:tc>
        <w:tc>
          <w:tcPr>
            <w:tcW w:w="16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Amortized Cost</w:t>
            </w:r>
          </w:p>
        </w:tc>
        <w:tc>
          <w:tcPr>
            <w:tcW w:w="80" w:type="dxa"/>
            <w:vAlign w:val="bottom"/>
          </w:tcPr>
          <w:p>
            <w:pPr>
              <w:spacing w:after="0"/>
              <w:rPr>
                <w:sz w:val="9"/>
                <w:szCs w:val="9"/>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9"/>
                <w:szCs w:val="9"/>
                <w:color w:val="auto"/>
              </w:rPr>
            </w:pPr>
          </w:p>
        </w:tc>
        <w:tc>
          <w:tcPr>
            <w:tcW w:w="132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Allowance for Credit</w:t>
            </w:r>
          </w:p>
        </w:tc>
        <w:tc>
          <w:tcPr>
            <w:tcW w:w="120" w:type="dxa"/>
            <w:vAlign w:val="bottom"/>
          </w:tcPr>
          <w:p>
            <w:pPr>
              <w:spacing w:after="0"/>
              <w:rPr>
                <w:sz w:val="9"/>
                <w:szCs w:val="9"/>
                <w:color w:val="auto"/>
              </w:rPr>
            </w:pPr>
          </w:p>
        </w:tc>
        <w:tc>
          <w:tcPr>
            <w:tcW w:w="1080" w:type="dxa"/>
            <w:vAlign w:val="bottom"/>
          </w:tcPr>
          <w:p>
            <w:pPr>
              <w:ind w:left="40"/>
              <w:spacing w:after="0" w:line="109" w:lineRule="exact"/>
              <w:rPr>
                <w:sz w:val="20"/>
                <w:szCs w:val="20"/>
                <w:color w:val="auto"/>
              </w:rPr>
            </w:pPr>
            <w:r>
              <w:rPr>
                <w:rFonts w:ascii="Arial" w:cs="Arial" w:eastAsia="Arial" w:hAnsi="Arial"/>
                <w:sz w:val="12"/>
                <w:szCs w:val="12"/>
                <w:b w:val="1"/>
                <w:bCs w:val="1"/>
                <w:color w:val="auto"/>
              </w:rPr>
              <w:t>Gross Unrealized</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440"/>
              <w:spacing w:after="0"/>
              <w:rPr>
                <w:sz w:val="20"/>
                <w:szCs w:val="20"/>
                <w:color w:val="auto"/>
              </w:rPr>
            </w:pPr>
            <w:r>
              <w:rPr>
                <w:rFonts w:ascii="Arial" w:cs="Arial" w:eastAsia="Arial" w:hAnsi="Arial"/>
                <w:sz w:val="12"/>
                <w:szCs w:val="12"/>
                <w:b w:val="1"/>
                <w:bCs w:val="1"/>
                <w:color w:val="auto"/>
              </w:rPr>
              <w:t>Loss</w:t>
            </w:r>
          </w:p>
        </w:tc>
        <w:tc>
          <w:tcPr>
            <w:tcW w:w="120" w:type="dxa"/>
            <w:vAlign w:val="bottom"/>
          </w:tcPr>
          <w:p>
            <w:pPr>
              <w:spacing w:after="0"/>
              <w:rPr>
                <w:sz w:val="13"/>
                <w:szCs w:val="13"/>
                <w:color w:val="auto"/>
              </w:rPr>
            </w:pPr>
          </w:p>
        </w:tc>
        <w:tc>
          <w:tcPr>
            <w:tcW w:w="1080" w:type="dxa"/>
            <w:vAlign w:val="bottom"/>
          </w:tcPr>
          <w:p>
            <w:pPr>
              <w:ind w:left="320"/>
              <w:spacing w:after="0"/>
              <w:rPr>
                <w:sz w:val="20"/>
                <w:szCs w:val="20"/>
                <w:color w:val="auto"/>
              </w:rPr>
            </w:pPr>
            <w:r>
              <w:rPr>
                <w:rFonts w:ascii="Arial" w:cs="Arial" w:eastAsia="Arial" w:hAnsi="Arial"/>
                <w:sz w:val="12"/>
                <w:szCs w:val="12"/>
                <w:b w:val="1"/>
                <w:bCs w:val="1"/>
                <w:color w:val="auto"/>
              </w:rPr>
              <w:t>Losses</w:t>
            </w:r>
          </w:p>
        </w:tc>
        <w:tc>
          <w:tcPr>
            <w:tcW w:w="0" w:type="dxa"/>
            <w:vAlign w:val="bottom"/>
          </w:tcPr>
          <w:p>
            <w:pPr>
              <w:spacing w:after="0"/>
              <w:rPr>
                <w:sz w:val="1"/>
                <w:szCs w:val="1"/>
                <w:color w:val="auto"/>
              </w:rPr>
            </w:pPr>
          </w:p>
        </w:tc>
      </w:tr>
      <w:tr>
        <w:trPr>
          <w:trHeight w:val="138"/>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Investment grade:</w:t>
            </w: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20"/>
                <w:szCs w:val="20"/>
                <w:color w:val="auto"/>
              </w:rPr>
            </w:pPr>
            <w:r>
              <w:rPr>
                <w:rFonts w:ascii="Arial" w:cs="Arial" w:eastAsia="Arial" w:hAnsi="Arial"/>
                <w:sz w:val="12"/>
                <w:szCs w:val="12"/>
                <w:color w:val="auto"/>
              </w:rPr>
              <w:t>Less than six months</w:t>
            </w:r>
          </w:p>
        </w:tc>
        <w:tc>
          <w:tcPr>
            <w:tcW w:w="132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ind w:left="920"/>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60"/>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Six months or more and less than twelve months</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20"/>
                <w:szCs w:val="20"/>
                <w:color w:val="auto"/>
              </w:rPr>
            </w:pPr>
            <w:r>
              <w:rPr>
                <w:rFonts w:ascii="Arial" w:cs="Arial" w:eastAsia="Arial" w:hAnsi="Arial"/>
                <w:sz w:val="12"/>
                <w:szCs w:val="12"/>
                <w:color w:val="auto"/>
              </w:rPr>
              <w:t>Twelve months or greater</w:t>
            </w:r>
          </w:p>
        </w:tc>
        <w:tc>
          <w:tcPr>
            <w:tcW w:w="1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2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investment grade</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Below investment grade:</w:t>
            </w: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20"/>
                <w:szCs w:val="20"/>
                <w:color w:val="auto"/>
              </w:rPr>
            </w:pPr>
            <w:r>
              <w:rPr>
                <w:rFonts w:ascii="Arial" w:cs="Arial" w:eastAsia="Arial" w:hAnsi="Arial"/>
                <w:sz w:val="12"/>
                <w:szCs w:val="12"/>
                <w:color w:val="auto"/>
              </w:rPr>
              <w:t>Less than six months</w:t>
            </w:r>
          </w:p>
        </w:tc>
        <w:tc>
          <w:tcPr>
            <w:tcW w:w="1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2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Six months or more and less than twelve months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20"/>
                <w:szCs w:val="20"/>
                <w:color w:val="auto"/>
              </w:rPr>
            </w:pPr>
            <w:r>
              <w:rPr>
                <w:rFonts w:ascii="Arial" w:cs="Arial" w:eastAsia="Arial" w:hAnsi="Arial"/>
                <w:sz w:val="12"/>
                <w:szCs w:val="12"/>
                <w:color w:val="auto"/>
              </w:rPr>
              <w:t>Twelve months or greater</w:t>
            </w:r>
          </w:p>
        </w:tc>
        <w:tc>
          <w:tcPr>
            <w:tcW w:w="13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80" w:type="dxa"/>
            <w:vAlign w:val="bottom"/>
          </w:tcPr>
          <w:p>
            <w:pPr>
              <w:ind w:left="920"/>
              <w:spacing w:after="0"/>
              <w:rPr>
                <w:sz w:val="20"/>
                <w:szCs w:val="20"/>
                <w:color w:val="auto"/>
              </w:rPr>
            </w:pP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51"/>
        </w:trPr>
        <w:tc>
          <w:tcPr>
            <w:tcW w:w="4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below investment grade</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ind w:left="920"/>
              <w:spacing w:after="0"/>
              <w:rPr>
                <w:sz w:val="20"/>
                <w:szCs w:val="20"/>
                <w:color w:val="auto"/>
              </w:rPr>
            </w:pPr>
            <w:r>
              <w:rPr>
                <w:rFonts w:ascii="Arial" w:cs="Arial" w:eastAsia="Arial" w:hAnsi="Arial"/>
                <w:sz w:val="12"/>
                <w:szCs w:val="12"/>
                <w:color w:val="auto"/>
                <w:w w:val="95"/>
              </w:rPr>
              <w:t>(7)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spacing w:after="0"/>
              <w:rPr>
                <w:sz w:val="9"/>
                <w:szCs w:val="9"/>
                <w:color w:val="auto"/>
              </w:rPr>
            </w:pPr>
          </w:p>
        </w:tc>
        <w:tc>
          <w:tcPr>
            <w:tcW w:w="142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b w:val="1"/>
                <w:bCs w:val="1"/>
                <w:color w:val="auto"/>
              </w:rPr>
              <w:t>Number of securities</w:t>
            </w:r>
          </w:p>
        </w:tc>
        <w:tc>
          <w:tcPr>
            <w:tcW w:w="160" w:type="dxa"/>
            <w:vAlign w:val="bottom"/>
            <w:shd w:val="clear" w:color="auto" w:fill="CCEEFF"/>
          </w:tcPr>
          <w:p>
            <w:pPr>
              <w:spacing w:after="0"/>
              <w:rPr>
                <w:sz w:val="9"/>
                <w:szCs w:val="9"/>
                <w:color w:val="auto"/>
              </w:rPr>
            </w:pPr>
          </w:p>
        </w:tc>
        <w:tc>
          <w:tcPr>
            <w:tcW w:w="126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b w:val="1"/>
                <w:bCs w:val="1"/>
                <w:color w:val="auto"/>
              </w:rPr>
              <w:t>Amortized Cost</w:t>
            </w:r>
          </w:p>
        </w:tc>
        <w:tc>
          <w:tcPr>
            <w:tcW w:w="80" w:type="dxa"/>
            <w:vAlign w:val="bottom"/>
            <w:shd w:val="clear" w:color="auto" w:fill="CCEEFF"/>
          </w:tcPr>
          <w:p>
            <w:pPr>
              <w:spacing w:after="0"/>
              <w:rPr>
                <w:sz w:val="9"/>
                <w:szCs w:val="9"/>
                <w:color w:val="auto"/>
              </w:rPr>
            </w:pPr>
          </w:p>
        </w:tc>
        <w:tc>
          <w:tcPr>
            <w:tcW w:w="132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b w:val="1"/>
                <w:bCs w:val="1"/>
                <w:color w:val="auto"/>
              </w:rPr>
              <w:t>Fair Value</w:t>
            </w:r>
          </w:p>
        </w:tc>
        <w:tc>
          <w:tcPr>
            <w:tcW w:w="100" w:type="dxa"/>
            <w:vAlign w:val="bottom"/>
            <w:shd w:val="clear" w:color="auto" w:fill="CCEEFF"/>
          </w:tcPr>
          <w:p>
            <w:pPr>
              <w:spacing w:after="0"/>
              <w:rPr>
                <w:sz w:val="9"/>
                <w:szCs w:val="9"/>
                <w:color w:val="auto"/>
              </w:rPr>
            </w:pPr>
          </w:p>
        </w:tc>
        <w:tc>
          <w:tcPr>
            <w:tcW w:w="1320" w:type="dxa"/>
            <w:vAlign w:val="bottom"/>
            <w:gridSpan w:val="2"/>
            <w:shd w:val="clear" w:color="auto" w:fill="CCEEFF"/>
          </w:tcPr>
          <w:p>
            <w:pPr>
              <w:ind w:left="20"/>
              <w:spacing w:after="0" w:line="109" w:lineRule="exact"/>
              <w:rPr>
                <w:sz w:val="20"/>
                <w:szCs w:val="20"/>
                <w:color w:val="auto"/>
              </w:rPr>
            </w:pPr>
            <w:r>
              <w:rPr>
                <w:rFonts w:ascii="Arial" w:cs="Arial" w:eastAsia="Arial" w:hAnsi="Arial"/>
                <w:sz w:val="12"/>
                <w:szCs w:val="12"/>
                <w:b w:val="1"/>
                <w:bCs w:val="1"/>
                <w:color w:val="auto"/>
              </w:rPr>
              <w:t>Allowance for Credit</w:t>
            </w: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ind w:left="40"/>
              <w:spacing w:after="0" w:line="109" w:lineRule="exact"/>
              <w:rPr>
                <w:sz w:val="20"/>
                <w:szCs w:val="20"/>
                <w:color w:val="auto"/>
              </w:rPr>
            </w:pPr>
            <w:r>
              <w:rPr>
                <w:rFonts w:ascii="Arial" w:cs="Arial" w:eastAsia="Arial" w:hAnsi="Arial"/>
                <w:sz w:val="12"/>
                <w:szCs w:val="12"/>
                <w:b w:val="1"/>
                <w:bCs w:val="1"/>
                <w:color w:val="auto"/>
              </w:rPr>
              <w:t>Gross Unrealized</w:t>
            </w: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2"/>
                <w:szCs w:val="12"/>
                <w:b w:val="1"/>
                <w:bCs w:val="1"/>
                <w:color w:val="auto"/>
              </w:rPr>
              <w:t>Loss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ind w:left="320"/>
              <w:spacing w:after="0"/>
              <w:rPr>
                <w:sz w:val="20"/>
                <w:szCs w:val="20"/>
                <w:color w:val="auto"/>
              </w:rPr>
            </w:pPr>
            <w:r>
              <w:rPr>
                <w:rFonts w:ascii="Arial" w:cs="Arial" w:eastAsia="Arial" w:hAnsi="Arial"/>
                <w:sz w:val="12"/>
                <w:szCs w:val="12"/>
                <w:b w:val="1"/>
                <w:bCs w:val="1"/>
                <w:color w:val="auto"/>
              </w:rPr>
              <w:t>Losses</w:t>
            </w:r>
          </w:p>
        </w:tc>
        <w:tc>
          <w:tcPr>
            <w:tcW w:w="0" w:type="dxa"/>
            <w:vAlign w:val="bottom"/>
          </w:tcPr>
          <w:p>
            <w:pPr>
              <w:spacing w:after="0"/>
              <w:rPr>
                <w:sz w:val="1"/>
                <w:szCs w:val="1"/>
                <w:color w:val="auto"/>
              </w:rPr>
            </w:pPr>
          </w:p>
        </w:tc>
      </w:tr>
      <w:tr>
        <w:trPr>
          <w:trHeight w:val="137"/>
        </w:trPr>
        <w:tc>
          <w:tcPr>
            <w:tcW w:w="4400" w:type="dxa"/>
            <w:vAlign w:val="bottom"/>
          </w:tcPr>
          <w:p>
            <w:pPr>
              <w:spacing w:after="0"/>
              <w:rPr>
                <w:sz w:val="20"/>
                <w:szCs w:val="20"/>
                <w:color w:val="auto"/>
              </w:rPr>
            </w:pPr>
            <w:r>
              <w:rPr>
                <w:rFonts w:ascii="Arial" w:cs="Arial" w:eastAsia="Arial" w:hAnsi="Arial"/>
                <w:sz w:val="12"/>
                <w:szCs w:val="12"/>
                <w:b w:val="1"/>
                <w:bCs w:val="1"/>
                <w:color w:val="auto"/>
              </w:rPr>
              <w:t>Investment grade:</w:t>
            </w: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Less than six months</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ind w:left="1060"/>
              <w:spacing w:after="0"/>
              <w:rPr>
                <w:sz w:val="20"/>
                <w:szCs w:val="20"/>
                <w:color w:val="auto"/>
              </w:rPr>
            </w:pPr>
            <w:r>
              <w:rPr>
                <w:rFonts w:ascii="Arial" w:cs="Arial" w:eastAsia="Arial" w:hAnsi="Arial"/>
                <w:sz w:val="12"/>
                <w:szCs w:val="12"/>
                <w:color w:val="auto"/>
                <w:w w:val="95"/>
              </w:rPr>
              <w:t>(6)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ind w:left="920"/>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20"/>
                <w:szCs w:val="20"/>
                <w:color w:val="auto"/>
              </w:rPr>
            </w:pPr>
            <w:r>
              <w:rPr>
                <w:rFonts w:ascii="Arial" w:cs="Arial" w:eastAsia="Arial" w:hAnsi="Arial"/>
                <w:sz w:val="12"/>
                <w:szCs w:val="12"/>
                <w:color w:val="auto"/>
              </w:rPr>
              <w:t>Six months or more and less than twelve months</w:t>
            </w:r>
          </w:p>
        </w:tc>
        <w:tc>
          <w:tcPr>
            <w:tcW w:w="1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2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Twelve months or greater</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investment grade</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102</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2"/>
                <w:szCs w:val="12"/>
                <w:color w:val="auto"/>
                <w:w w:val="95"/>
              </w:rPr>
              <w:t>(6)</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00" w:type="dxa"/>
            <w:vAlign w:val="bottom"/>
          </w:tcPr>
          <w:p>
            <w:pPr>
              <w:spacing w:after="0"/>
              <w:rPr>
                <w:sz w:val="20"/>
                <w:szCs w:val="20"/>
                <w:color w:val="auto"/>
              </w:rPr>
            </w:pPr>
            <w:r>
              <w:rPr>
                <w:rFonts w:ascii="Arial" w:cs="Arial" w:eastAsia="Arial" w:hAnsi="Arial"/>
                <w:sz w:val="12"/>
                <w:szCs w:val="12"/>
                <w:b w:val="1"/>
                <w:bCs w:val="1"/>
                <w:color w:val="auto"/>
              </w:rPr>
              <w:t>Below investment grade:</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Less than six months</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20"/>
                <w:szCs w:val="20"/>
                <w:color w:val="auto"/>
              </w:rPr>
            </w:pPr>
            <w:r>
              <w:rPr>
                <w:rFonts w:ascii="Arial" w:cs="Arial" w:eastAsia="Arial" w:hAnsi="Arial"/>
                <w:sz w:val="12"/>
                <w:szCs w:val="12"/>
                <w:color w:val="auto"/>
              </w:rPr>
              <w:t>Six months or more and less than twelve months</w:t>
            </w:r>
          </w:p>
        </w:tc>
        <w:tc>
          <w:tcPr>
            <w:tcW w:w="1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2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Twelve months or greater</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below investment grade</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2"/>
                <w:szCs w:val="12"/>
                <w:color w:val="auto"/>
                <w:w w:val="95"/>
              </w:rPr>
              <w:t>(6)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1" w:name="page82"/>
    <w:bookmarkEnd w:id="8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Expected Credit Losses and Watch List</w:t>
      </w:r>
    </w:p>
    <w:p>
      <w:pPr>
        <w:spacing w:after="0" w:line="53" w:lineRule="exact"/>
        <w:rPr>
          <w:sz w:val="20"/>
          <w:szCs w:val="20"/>
          <w:color w:val="auto"/>
        </w:rPr>
      </w:pPr>
    </w:p>
    <w:p>
      <w:pPr>
        <w:jc w:val="both"/>
        <w:ind w:firstLine="338"/>
        <w:spacing w:after="0" w:line="311" w:lineRule="auto"/>
        <w:rPr>
          <w:sz w:val="20"/>
          <w:szCs w:val="20"/>
          <w:color w:val="auto"/>
        </w:rPr>
      </w:pPr>
      <w:r>
        <w:rPr>
          <w:rFonts w:ascii="Arial" w:cs="Arial" w:eastAsia="Arial" w:hAnsi="Arial"/>
          <w:sz w:val="13"/>
          <w:szCs w:val="13"/>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 At December 31, 2021, our watch list included seven securities in an unrealized loss position with an amortized cost of $132 million, allowance for expected credit losses of $0 million, unrealized losses of $7 million and a fair value of $125 million.</w:t>
      </w:r>
    </w:p>
    <w:p>
      <w:pPr>
        <w:spacing w:after="0" w:line="48"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At December 31, 2020, our watch list included four securities in an unrealized loss position with an amortized cost of $102 million, allowance for expected credit losses of $6 million, unrealized losses of $1 million and a fair value of $95 million.</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watch list excludes structured securities due to a revision of processes as a result of ASU 2016-13.</w:t>
      </w:r>
    </w:p>
    <w:p>
      <w:pPr>
        <w:spacing w:after="0" w:line="109"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There were 36 structured securities to which we had a potential credit disclosure with a fair value of $45 million and $65 million as of December 31, 2021 and 2020, respectively. Our analysis of these structured securities, which included cash flow testing, resulted in allowances for expected credit losses of $8 million and $3 million as of December 31, 2021 and 2020,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Exposure to Sovereign Debt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investment portfolio had no direct exposure to European sovereign debt as of December 31, 2021 and 2020.</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2021 and 2020, we also had no material exposure risk related to financial investments in Puerto Rico.</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and investment income</w:t>
      </w:r>
    </w:p>
    <w:p>
      <w:pPr>
        <w:spacing w:after="0" w:line="109" w:lineRule="exact"/>
        <w:rPr>
          <w:sz w:val="20"/>
          <w:szCs w:val="20"/>
          <w:color w:val="auto"/>
        </w:rPr>
      </w:pPr>
    </w:p>
    <w:p>
      <w:pPr>
        <w:jc w:val="both"/>
        <w:ind w:right="20" w:firstLine="338"/>
        <w:spacing w:after="0" w:line="274" w:lineRule="auto"/>
        <w:rPr>
          <w:sz w:val="20"/>
          <w:szCs w:val="20"/>
          <w:color w:val="auto"/>
        </w:rPr>
      </w:pPr>
      <w:r>
        <w:rPr>
          <w:rFonts w:ascii="Arial" w:cs="Arial" w:eastAsia="Arial" w:hAnsi="Arial"/>
          <w:sz w:val="15"/>
          <w:szCs w:val="15"/>
          <w:color w:val="auto"/>
        </w:rPr>
        <w:t>For discussion regarding our net investment income and net investment gains (losses) refer to Note E to the Consolidated Financial Statements included in Item 8 of Part II of this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AFS Securities</w:t>
      </w:r>
    </w:p>
    <w:p>
      <w:pPr>
        <w:spacing w:after="0" w:line="109"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 xml:space="preserve">For additional information regarding our AFS securities, including the amortized cost, gross unrealized gains (losses), and fair value as well as the amortized cost and fair value of fixed maturity AFS securities by contractual maturities, as of December 31, 2021 and 2020, refer to Note E </w:t>
      </w:r>
      <w:r>
        <w:rPr>
          <w:rFonts w:ascii="Arial" w:cs="Arial" w:eastAsia="Arial" w:hAnsi="Arial"/>
          <w:sz w:val="15"/>
          <w:szCs w:val="15"/>
          <w:i w:val="1"/>
          <w:iCs w:val="1"/>
          <w:color w:val="auto"/>
        </w:rPr>
        <w:t>Investments</w:t>
      </w:r>
      <w:r>
        <w:rPr>
          <w:rFonts w:ascii="Arial" w:cs="Arial" w:eastAsia="Arial" w:hAnsi="Arial"/>
          <w:sz w:val="15"/>
          <w:szCs w:val="15"/>
          <w:color w:val="auto"/>
        </w:rPr>
        <w:t xml:space="preserve"> to the Consolidated Financial Statements included in Item 8 of Part II of this Annual Report.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Concentrations of Financial Instruments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detail regarding our concentration of financial instruments refer to Item 7A. of Part II of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Derivatives</w:t>
      </w:r>
    </w:p>
    <w:p>
      <w:pPr>
        <w:spacing w:after="0" w:line="109"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We are exposed to credit loss in the event of nonperformance by our counterparties on call options. We attempt to reduce this credit risk by purchasing such options from large, well-established financial institutions.</w:t>
      </w:r>
    </w:p>
    <w:p>
      <w:pPr>
        <w:spacing w:after="0" w:line="68" w:lineRule="exact"/>
        <w:rPr>
          <w:sz w:val="20"/>
          <w:szCs w:val="20"/>
          <w:color w:val="auto"/>
        </w:rPr>
      </w:pPr>
    </w:p>
    <w:p>
      <w:pPr>
        <w:jc w:val="both"/>
        <w:ind w:right="20" w:firstLine="338"/>
        <w:spacing w:after="0" w:line="274" w:lineRule="auto"/>
        <w:rPr>
          <w:sz w:val="20"/>
          <w:szCs w:val="20"/>
          <w:color w:val="auto"/>
        </w:rPr>
      </w:pPr>
      <w:r>
        <w:rPr>
          <w:rFonts w:ascii="Arial" w:cs="Arial" w:eastAsia="Arial" w:hAnsi="Arial"/>
          <w:sz w:val="15"/>
          <w:szCs w:val="15"/>
          <w:color w:val="auto"/>
        </w:rPr>
        <w:t>We also hold cash and cash equivalents received from counterparties for call option collateral, as well as U.S. Government securities pledged as call option collateral, if our counterparty’s net exposures exceed pre-determined thresholds.</w:t>
      </w:r>
    </w:p>
    <w:p>
      <w:pPr>
        <w:spacing w:after="0" w:line="79"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5"/>
          <w:szCs w:val="15"/>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Consolidated Balance Sheets.</w:t>
      </w:r>
    </w:p>
    <w:p>
      <w:pPr>
        <w:spacing w:after="0" w:line="81"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 xml:space="preserve">See Note F </w:t>
      </w:r>
      <w:r>
        <w:rPr>
          <w:rFonts w:ascii="Arial" w:cs="Arial" w:eastAsia="Arial" w:hAnsi="Arial"/>
          <w:sz w:val="15"/>
          <w:szCs w:val="15"/>
          <w:i w:val="1"/>
          <w:iCs w:val="1"/>
          <w:color w:val="auto"/>
        </w:rPr>
        <w:t>Derivative Financial Instruments</w:t>
      </w:r>
      <w:r>
        <w:rPr>
          <w:rFonts w:ascii="Arial" w:cs="Arial" w:eastAsia="Arial" w:hAnsi="Arial"/>
          <w:sz w:val="15"/>
          <w:szCs w:val="15"/>
          <w:color w:val="auto"/>
        </w:rPr>
        <w:t xml:space="preserve"> to the Consolidated Financial Statements included in Item 8 of Part II of this Annual Report for additional information regarding our derivatives and our exposure to credit loss on call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2" w:name="page83"/>
    <w:bookmarkEnd w:id="8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and Other</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The Corporate and Other segment consists of the operations of the parent holding company, our various real estate brokerage businesses and our real estate technology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This segment also includes certain other unallocated corporate overhead expenses and eliminations of revenues and expenses between it and our Title segment.</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presents the results of operations of our Corporate and Other segment for the years indicated:</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90"/>
              </w:rPr>
              <w:t>Year Ended December 31,</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53"/>
        </w:trPr>
        <w:tc>
          <w:tcPr>
            <w:tcW w:w="696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r>
      <w:tr>
        <w:trPr>
          <w:trHeight w:val="145"/>
        </w:trPr>
        <w:tc>
          <w:tcPr>
            <w:tcW w:w="6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1"/>
              </w:rPr>
              <w:t>(In millions)</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8"/>
        </w:trPr>
        <w:tc>
          <w:tcPr>
            <w:tcW w:w="6960" w:type="dxa"/>
            <w:vAlign w:val="bottom"/>
          </w:tcPr>
          <w:p>
            <w:pPr>
              <w:ind w:left="220"/>
              <w:spacing w:after="0"/>
              <w:rPr>
                <w:sz w:val="20"/>
                <w:szCs w:val="20"/>
                <w:color w:val="auto"/>
              </w:rPr>
            </w:pPr>
            <w:r>
              <w:rPr>
                <w:rFonts w:ascii="Arial" w:cs="Arial" w:eastAsia="Arial" w:hAnsi="Arial"/>
                <w:sz w:val="12"/>
                <w:szCs w:val="12"/>
                <w:color w:val="auto"/>
              </w:rPr>
              <w:t>Revenues:</w:t>
            </w: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2"/>
        </w:trPr>
        <w:tc>
          <w:tcPr>
            <w:tcW w:w="69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Escrow, title-related and other fees</w:t>
            </w:r>
          </w:p>
        </w:tc>
        <w:tc>
          <w:tcPr>
            <w:tcW w:w="9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w:t>
            </w:r>
          </w:p>
        </w:tc>
      </w:tr>
      <w:tr>
        <w:trPr>
          <w:trHeight w:val="155"/>
        </w:trPr>
        <w:tc>
          <w:tcPr>
            <w:tcW w:w="6960" w:type="dxa"/>
            <w:vAlign w:val="bottom"/>
          </w:tcPr>
          <w:p>
            <w:pPr>
              <w:ind w:left="380"/>
              <w:spacing w:after="0"/>
              <w:rPr>
                <w:sz w:val="20"/>
                <w:szCs w:val="20"/>
                <w:color w:val="auto"/>
              </w:rPr>
            </w:pPr>
            <w:r>
              <w:rPr>
                <w:rFonts w:ascii="Arial" w:cs="Arial" w:eastAsia="Arial" w:hAnsi="Arial"/>
                <w:sz w:val="12"/>
                <w:szCs w:val="12"/>
                <w:color w:val="auto"/>
              </w:rPr>
              <w:t>Interest and investment income</w:t>
            </w:r>
          </w:p>
        </w:tc>
        <w:tc>
          <w:tcPr>
            <w:tcW w:w="94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60"/>
        </w:trPr>
        <w:tc>
          <w:tcPr>
            <w:tcW w:w="69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Recognized gains and losses, net</w:t>
            </w:r>
          </w:p>
        </w:tc>
        <w:tc>
          <w:tcPr>
            <w:tcW w:w="9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47"/>
        </w:trPr>
        <w:tc>
          <w:tcPr>
            <w:tcW w:w="6960" w:type="dxa"/>
            <w:vAlign w:val="bottom"/>
          </w:tcPr>
          <w:p>
            <w:pPr>
              <w:ind w:left="620"/>
              <w:spacing w:after="0"/>
              <w:rPr>
                <w:sz w:val="20"/>
                <w:szCs w:val="20"/>
                <w:color w:val="auto"/>
              </w:rPr>
            </w:pPr>
            <w:r>
              <w:rPr>
                <w:rFonts w:ascii="Arial" w:cs="Arial" w:eastAsia="Arial" w:hAnsi="Arial"/>
                <w:sz w:val="12"/>
                <w:szCs w:val="12"/>
                <w:color w:val="auto"/>
              </w:rPr>
              <w:t>Total revenues</w:t>
            </w:r>
          </w:p>
        </w:tc>
        <w:tc>
          <w:tcPr>
            <w:tcW w:w="9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210</w:t>
            </w:r>
          </w:p>
        </w:tc>
      </w:tr>
      <w:tr>
        <w:trPr>
          <w:trHeight w:val="160"/>
        </w:trPr>
        <w:tc>
          <w:tcPr>
            <w:tcW w:w="69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Expenses:</w:t>
            </w:r>
          </w:p>
        </w:tc>
        <w:tc>
          <w:tcPr>
            <w:tcW w:w="9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6960" w:type="dxa"/>
            <w:vAlign w:val="bottom"/>
          </w:tcPr>
          <w:p>
            <w:pPr>
              <w:ind w:left="380"/>
              <w:spacing w:after="0"/>
              <w:rPr>
                <w:sz w:val="20"/>
                <w:szCs w:val="20"/>
                <w:color w:val="auto"/>
              </w:rPr>
            </w:pPr>
            <w:r>
              <w:rPr>
                <w:rFonts w:ascii="Arial" w:cs="Arial" w:eastAsia="Arial" w:hAnsi="Arial"/>
                <w:sz w:val="12"/>
                <w:szCs w:val="12"/>
                <w:color w:val="auto"/>
              </w:rPr>
              <w:t>Personnel costs</w:t>
            </w: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134</w:t>
            </w:r>
          </w:p>
        </w:tc>
      </w:tr>
      <w:tr>
        <w:trPr>
          <w:trHeight w:val="160"/>
        </w:trPr>
        <w:tc>
          <w:tcPr>
            <w:tcW w:w="69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 operating expenses</w:t>
            </w:r>
          </w:p>
        </w:tc>
        <w:tc>
          <w:tcPr>
            <w:tcW w:w="9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r>
      <w:tr>
        <w:trPr>
          <w:trHeight w:val="155"/>
        </w:trPr>
        <w:tc>
          <w:tcPr>
            <w:tcW w:w="6960" w:type="dxa"/>
            <w:vAlign w:val="bottom"/>
          </w:tcPr>
          <w:p>
            <w:pPr>
              <w:ind w:left="380"/>
              <w:spacing w:after="0"/>
              <w:rPr>
                <w:sz w:val="20"/>
                <w:szCs w:val="20"/>
                <w:color w:val="auto"/>
              </w:rPr>
            </w:pPr>
            <w:r>
              <w:rPr>
                <w:rFonts w:ascii="Arial" w:cs="Arial" w:eastAsia="Arial" w:hAnsi="Arial"/>
                <w:sz w:val="12"/>
                <w:szCs w:val="12"/>
                <w:color w:val="auto"/>
              </w:rPr>
              <w:t>Depreciation and amortization</w:t>
            </w: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60"/>
        </w:trPr>
        <w:tc>
          <w:tcPr>
            <w:tcW w:w="69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Interest expense</w:t>
            </w:r>
          </w:p>
        </w:tc>
        <w:tc>
          <w:tcPr>
            <w:tcW w:w="9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w:t>
            </w:r>
          </w:p>
        </w:tc>
      </w:tr>
      <w:tr>
        <w:trPr>
          <w:trHeight w:val="147"/>
        </w:trPr>
        <w:tc>
          <w:tcPr>
            <w:tcW w:w="6960" w:type="dxa"/>
            <w:vAlign w:val="bottom"/>
            <w:tcBorders>
              <w:bottom w:val="single" w:sz="8" w:color="CCEEFF"/>
            </w:tcBorders>
          </w:tcPr>
          <w:p>
            <w:pPr>
              <w:ind w:left="620"/>
              <w:spacing w:after="0"/>
              <w:rPr>
                <w:sz w:val="20"/>
                <w:szCs w:val="20"/>
                <w:color w:val="auto"/>
              </w:rPr>
            </w:pPr>
            <w:r>
              <w:rPr>
                <w:rFonts w:ascii="Arial" w:cs="Arial" w:eastAsia="Arial" w:hAnsi="Arial"/>
                <w:sz w:val="12"/>
                <w:szCs w:val="12"/>
                <w:color w:val="auto"/>
              </w:rPr>
              <w:t>Total expenses</w:t>
            </w:r>
          </w:p>
        </w:tc>
        <w:tc>
          <w:tcPr>
            <w:tcW w:w="9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314</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w:t>
            </w:r>
          </w:p>
        </w:tc>
      </w:tr>
      <w:tr>
        <w:trPr>
          <w:trHeight w:val="176"/>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Loss from continuing operations, before income taxes and equity in earnings of unconsolidated affiliates</w:t>
            </w:r>
          </w:p>
        </w:tc>
        <w:tc>
          <w:tcPr>
            <w:tcW w:w="94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jc w:val="both"/>
        <w:ind w:firstLine="203"/>
        <w:spacing w:after="0" w:line="274" w:lineRule="auto"/>
        <w:rPr>
          <w:sz w:val="20"/>
          <w:szCs w:val="20"/>
          <w:color w:val="auto"/>
        </w:rPr>
      </w:pPr>
      <w:r>
        <w:rPr>
          <w:rFonts w:ascii="Arial" w:cs="Arial" w:eastAsia="Arial" w:hAnsi="Arial"/>
          <w:sz w:val="15"/>
          <w:szCs w:val="15"/>
          <w:color w:val="auto"/>
        </w:rPr>
        <w:t>The revenue in the Corporate and Other segment for all years represents revenue generated by our non-title real estate technology and brokerage subsidiaries as well as mark-to-market valuation changes on certain corporate deferred compensation plans.</w:t>
      </w:r>
    </w:p>
    <w:p>
      <w:pPr>
        <w:spacing w:after="0" w:line="57" w:lineRule="exact"/>
        <w:rPr>
          <w:sz w:val="20"/>
          <w:szCs w:val="20"/>
          <w:color w:val="auto"/>
        </w:rPr>
      </w:pPr>
    </w:p>
    <w:p>
      <w:pPr>
        <w:jc w:val="both"/>
        <w:ind w:firstLine="203"/>
        <w:spacing w:after="0" w:line="279" w:lineRule="auto"/>
        <w:rPr>
          <w:sz w:val="20"/>
          <w:szCs w:val="20"/>
          <w:color w:val="auto"/>
        </w:rPr>
      </w:pPr>
      <w:r>
        <w:rPr>
          <w:rFonts w:ascii="Arial" w:cs="Arial" w:eastAsia="Arial" w:hAnsi="Arial"/>
          <w:sz w:val="14"/>
          <w:szCs w:val="14"/>
          <w:color w:val="auto"/>
        </w:rPr>
        <w:t>Total revenues in the Corporate and Other segment increased $13 million, or 8% in the year ended December 31, 2021 as compared to 2020, and decreased $39 million, or 19%, in the year ended December 31, 2020 as compared to 2019. The increase in the year ended December 31, 2021 as compared to 2020 is primarily attributable to increased Recognized gains and losses, net of approximately $19 million, partially offset by decreased interest and investment income of $6 million associated with a year-over-year reduction in fixed-income investment holdings. The decrease in the year ended December 31, 2020 as compared to 2019 is primarily attributable to valuation losses associated with our deferred compensation plan assets in 2020 and decreased interest and investment income of $17 million associated with a year-over-year reduction in cash holdings.</w:t>
      </w:r>
    </w:p>
    <w:p>
      <w:pPr>
        <w:spacing w:after="0" w:line="56" w:lineRule="exact"/>
        <w:rPr>
          <w:sz w:val="20"/>
          <w:szCs w:val="20"/>
          <w:color w:val="auto"/>
        </w:rPr>
      </w:pPr>
    </w:p>
    <w:p>
      <w:pPr>
        <w:jc w:val="both"/>
        <w:ind w:firstLine="203"/>
        <w:spacing w:after="0" w:line="262" w:lineRule="auto"/>
        <w:rPr>
          <w:sz w:val="20"/>
          <w:szCs w:val="20"/>
          <w:color w:val="auto"/>
        </w:rPr>
      </w:pPr>
      <w:r>
        <w:rPr>
          <w:rFonts w:ascii="Arial" w:cs="Arial" w:eastAsia="Arial" w:hAnsi="Arial"/>
          <w:sz w:val="15"/>
          <w:szCs w:val="15"/>
          <w:color w:val="auto"/>
        </w:rPr>
        <w:t>Personnel costs in the Corporate and Other segment decreased $1 million, or 1% in the year ended December 31, 2021 as compared to 2020, and decreased $26 million, or 19%, in the year ended December 31, 2020 compared to 2019. The decrease in the year ended December 31, 2020 as compared to 2019 is attributable to the aforementioned decrease in the valuation of deferred compensation plan assets compared to the corresponding period in 2019.</w:t>
      </w:r>
    </w:p>
    <w:p>
      <w:pPr>
        <w:spacing w:after="0" w:line="66" w:lineRule="exact"/>
        <w:rPr>
          <w:sz w:val="20"/>
          <w:szCs w:val="20"/>
          <w:color w:val="auto"/>
        </w:rPr>
      </w:pPr>
    </w:p>
    <w:p>
      <w:pPr>
        <w:jc w:val="both"/>
        <w:ind w:firstLine="203"/>
        <w:spacing w:after="0" w:line="256" w:lineRule="auto"/>
        <w:rPr>
          <w:sz w:val="20"/>
          <w:szCs w:val="20"/>
          <w:color w:val="auto"/>
        </w:rPr>
      </w:pPr>
      <w:r>
        <w:rPr>
          <w:rFonts w:ascii="Arial" w:cs="Arial" w:eastAsia="Arial" w:hAnsi="Arial"/>
          <w:sz w:val="15"/>
          <w:szCs w:val="15"/>
          <w:color w:val="auto"/>
        </w:rPr>
        <w:t>Other operating expenses in the Corporate and Other segment decreased $49 million, or 33%, in the year ended December 31, 2021 as compared to 2020, and decreased $24 million, or 14% in the year ended December 31, 2020 as compared to 2019. The decrease in 2021 as compared to 2020 is primarily attributable to a decrease in F&amp;G transaction costs of approximately $38 million and reduced real estate brokerage expenses of $24 million in 2021 related to previous divestitures, partially offset by growth in our real estate technology businesses. The decrease in the year ended December 31, 2020 as compared to 2019 is primarily attributable to the reverse termination fee paid in 2019 related to the abandoned Stewart Information Services Corporation acquisition, partially offset by F&amp;G acquisition costs in 2020</w:t>
      </w:r>
    </w:p>
    <w:p>
      <w:pPr>
        <w:spacing w:after="0" w:line="72" w:lineRule="exact"/>
        <w:rPr>
          <w:sz w:val="20"/>
          <w:szCs w:val="20"/>
          <w:color w:val="auto"/>
        </w:rPr>
      </w:pPr>
    </w:p>
    <w:p>
      <w:pPr>
        <w:jc w:val="both"/>
        <w:ind w:firstLine="203"/>
        <w:spacing w:after="0" w:line="311" w:lineRule="auto"/>
        <w:rPr>
          <w:sz w:val="20"/>
          <w:szCs w:val="20"/>
          <w:color w:val="auto"/>
        </w:rPr>
      </w:pPr>
      <w:r>
        <w:rPr>
          <w:rFonts w:ascii="Arial" w:cs="Arial" w:eastAsia="Arial" w:hAnsi="Arial"/>
          <w:sz w:val="13"/>
          <w:szCs w:val="13"/>
          <w:color w:val="auto"/>
        </w:rPr>
        <w:t>Interest expense increased $14 million, or 20%, in the year ended December 31, 2021 as compared to 2020, and increased $24 million, or 51%, in the year ended December 31, 2020 as compared to 2019. The increase in the year ended December 31, 2021 as compared to 2020 is primarily attributable to increased average debt outstanding in 2021 associated with issuance of our 3.20% Notes in September 2021 as well as having a full year outstanding of our 3.40% Notes and our 2.45% Notes issued in 2020. The increase in the year ended December 31, 2020 as compared to 2019 is primarily attributable to increased average debt outstanding in 2020 associated with the Term Loan Credit Agreement, our 3.40% Notes and our 2.45%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3" w:name="page84"/>
    <w:bookmarkEnd w:id="8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02"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3"/>
          <w:szCs w:val="13"/>
          <w:i w:val="1"/>
          <w:iCs w:val="1"/>
          <w:color w:val="auto"/>
        </w:rPr>
        <w:t xml:space="preserve">Cash Requirements. </w:t>
      </w:r>
      <w:r>
        <w:rPr>
          <w:rFonts w:ascii="Arial" w:cs="Arial" w:eastAsia="Arial" w:hAnsi="Arial"/>
          <w:sz w:val="13"/>
          <w:szCs w:val="13"/>
          <w:color w:val="auto"/>
        </w:rPr>
        <w:t>Our current cash requirements include personnel costs, operating expenses, claim payments, taxes, payments of interest and principal on our debt,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expenditures, business acquisitions, stock repurchases and dividends on our common stock. We paid dividends of $1.56 per share in 2021, or approximately $446 million to our common shareholders. On February 16, 2022, our Board of Directors declared cash dividends of $0.44 per share, payable on March 31, 2022, to FNF common shareholders of record as of March 17, 2022.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 including the repayment of $400 million in outstanding principal amount associated with our 5.50% Notes due in September 2022.</w:t>
      </w:r>
    </w:p>
    <w:p>
      <w:pPr>
        <w:spacing w:after="0" w:line="43"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4"/>
          <w:szCs w:val="14"/>
          <w:color w:val="auto"/>
        </w:rPr>
        <w:t xml:space="preserve">As of December 31, 2021, we had cash and cash equivalents of $4,360 million, short term investments of $491 million and available capacity under our Revolving Credit Facility of $800 million. On September 17, 2021, we completed our underwritten public offering of $450 million aggregate principal amount of our 3.20% Notes due 2051, pursuant to our registration statement on Form S-3 (File No. 333-239002) and the related prospectus supplement. The net proceeds from the registered offering of the 3.20% Notes were approximately $443 million, after deducting underwriting discounts, commissions and offering expenses. We plan to use the net proceeds from the offering for general corporate purposes. For further information related to the 3.20% Notes, refer to Note G </w:t>
      </w:r>
      <w:r>
        <w:rPr>
          <w:rFonts w:ascii="Arial" w:cs="Arial" w:eastAsia="Arial" w:hAnsi="Arial"/>
          <w:sz w:val="14"/>
          <w:szCs w:val="14"/>
          <w:i w:val="1"/>
          <w:iCs w:val="1"/>
          <w:color w:val="auto"/>
        </w:rPr>
        <w:t>Notes Payable</w:t>
      </w:r>
      <w:r>
        <w:rPr>
          <w:rFonts w:ascii="Arial" w:cs="Arial" w:eastAsia="Arial" w:hAnsi="Arial"/>
          <w:sz w:val="14"/>
          <w:szCs w:val="14"/>
          <w:color w:val="auto"/>
        </w:rPr>
        <w:t xml:space="preserve"> to the Consolidated Financial Statements included in Item 8 of Part II of this Annual Report. 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59"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Our title insurance subsidiaries generate cash from premiums earned and their respective investment portfolios, and these funds are adequate to satisfy the payments of claims and other liabilities. Due to the magnitude of our title segment investment portfolio in relation to our title claim loss reserves, we do not specifically match durations of our investments to the cash outflows required to pay claims, but do manage outflows on a shorter time frame.</w:t>
      </w:r>
    </w:p>
    <w:p>
      <w:pPr>
        <w:spacing w:after="0" w:line="6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4"/>
          <w:szCs w:val="14"/>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2021, $2,375 million of our net assets were restricted from dividend payments without prior approval from the relevant departments of insurance. We anticipate that our title insurance subsidiaries will pay or make dividends to us in 2021 of approximately $831 million. Our underwritten title companies and non-insurance subsidiaries are not regulated to the same extent as our insurance subsidiaries.</w:t>
      </w:r>
    </w:p>
    <w:p>
      <w:pPr>
        <w:spacing w:after="0" w:line="5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72"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Cash flow from our operations will be used for general corporate purposes including to reinvest in operations, repay debt, pay dividends, repurchase stock, pursue other strategic initiatives and/or conserve cash.</w:t>
      </w:r>
    </w:p>
    <w:p>
      <w:pPr>
        <w:spacing w:after="0" w:line="5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i w:val="1"/>
          <w:iCs w:val="1"/>
          <w:color w:val="auto"/>
        </w:rPr>
        <w:t>Operating Cash Flow</w:t>
      </w:r>
      <w:r>
        <w:rPr>
          <w:rFonts w:ascii="Arial" w:cs="Arial" w:eastAsia="Arial" w:hAnsi="Arial"/>
          <w:sz w:val="14"/>
          <w:szCs w:val="14"/>
          <w:color w:val="auto"/>
        </w:rPr>
        <w:t>. Our cash flows provided by operations for the years ended December 31, 2021, 2020, 2019 were $4,090 million, $1,578 million, and $1,121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respectively. The increase in cash provided by operating activities of $2,512 million in 2021 as compared to 2020 is primarily attributable to the increase in pre-tax earnings in 2021, non-cash valuation changes in equity, preferred and derivative securities of $821 million, increased cash inflows associated with the change in future policy benefits of $726 million, increased cash inflows associated with the change in funds withheld from reinsurers of $865 million, partially offset by gains on sales of investments and other assets of $668 million, increased cash outflows associated with increased deferred policy acquisition costs and deferred sales inducements of $409 million and the timing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4" w:name="page85"/>
    <w:bookmarkEnd w:id="8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80"/>
        <w:spacing w:after="0" w:line="279" w:lineRule="auto"/>
        <w:rPr>
          <w:sz w:val="20"/>
          <w:szCs w:val="20"/>
          <w:color w:val="auto"/>
        </w:rPr>
      </w:pPr>
      <w:r>
        <w:rPr>
          <w:rFonts w:ascii="Arial" w:cs="Arial" w:eastAsia="Arial" w:hAnsi="Arial"/>
          <w:sz w:val="14"/>
          <w:szCs w:val="14"/>
          <w:color w:val="auto"/>
        </w:rPr>
        <w:t>receipts and payments of prepaid assets, payables, receivables and income taxes. The primary driver of the increased cash flows associated with the change in future policy benefits in 2021 as compared to 2020 was cash received for PRT transactions associated with our F&amp;G business. The increase in cash provided by operating activities of $457 million in 2020 as compared to 2019 is primarily attributable to the increase in pre-tax earnings in 2020 and the addition of interest credited to contractholder account balances of $750 million in 2020, partially offset by deferred policy acquisition costs and deferred sales inducements of $266 million in 2020, charges assessed to contractholders for mortality and administration of $100 million in 2020, and the timing of receipts and payments of prepaid assets, payables, receivables and income taxes.</w:t>
      </w:r>
    </w:p>
    <w:p>
      <w:pPr>
        <w:spacing w:after="0" w:line="56" w:lineRule="exact"/>
        <w:rPr>
          <w:sz w:val="20"/>
          <w:szCs w:val="20"/>
          <w:color w:val="auto"/>
        </w:rPr>
      </w:pPr>
    </w:p>
    <w:p>
      <w:pPr>
        <w:jc w:val="both"/>
        <w:ind w:right="80" w:firstLine="270"/>
        <w:spacing w:after="0" w:line="274" w:lineRule="auto"/>
        <w:rPr>
          <w:sz w:val="20"/>
          <w:szCs w:val="20"/>
          <w:color w:val="auto"/>
        </w:rPr>
      </w:pPr>
      <w:r>
        <w:rPr>
          <w:rFonts w:ascii="Arial" w:cs="Arial" w:eastAsia="Arial" w:hAnsi="Arial"/>
          <w:sz w:val="14"/>
          <w:szCs w:val="14"/>
          <w:i w:val="1"/>
          <w:iCs w:val="1"/>
          <w:color w:val="auto"/>
        </w:rPr>
        <w:t xml:space="preserve">Investing Cash Flows. </w:t>
      </w:r>
      <w:r>
        <w:rPr>
          <w:rFonts w:ascii="Arial" w:cs="Arial" w:eastAsia="Arial" w:hAnsi="Arial"/>
          <w:sz w:val="14"/>
          <w:szCs w:val="14"/>
          <w:color w:val="auto"/>
        </w:rPr>
        <w:t>Our cash used in investing activities for the years ended December 31, 2021, 2020, and 2019 were $7,449 million, $2,331 million, and $520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respectively. The increase in cash used in investing activities of $5,118 million in 2021 as compared to 2020 is primarily associated with increased purchases of investment securities of $11,055 million, increased investment in unconsolidated affiliates of $1,419 million, partially offset by increased proceeds from sales, calls and maturities of investment securities of $6,204 million, increased distributions from unconsolidated affiliates of $250 million and reduced cash outflows associated with acquisitions of $818 million. The increase in cash used in investing activities of $1,811 million in 2020 as compared to 2019 is primarily attributable to the net cash outflow of $1,076 million associated with the F&amp;G acquisition, increased purchases of investment securities of $4,092 million and additional investments in unconsolidated affiliates of $293 million, partially offset by increased sales, calls, and maturities of investment securities of $2,761 million, sales and maturities of short-term investments of $540 million and increased distributions from unconsolidated affiliates of $195 million. The increased activity related to purchases, sales and calls of investment securities in the 2020 period is primarily associated with our F&amp;G segment.</w:t>
      </w:r>
    </w:p>
    <w:p>
      <w:pPr>
        <w:spacing w:after="0" w:line="62" w:lineRule="exact"/>
        <w:rPr>
          <w:sz w:val="20"/>
          <w:szCs w:val="20"/>
          <w:color w:val="auto"/>
        </w:rPr>
      </w:pPr>
    </w:p>
    <w:p>
      <w:pPr>
        <w:jc w:val="both"/>
        <w:ind w:right="80" w:firstLine="270"/>
        <w:spacing w:after="0" w:line="274" w:lineRule="auto"/>
        <w:rPr>
          <w:sz w:val="20"/>
          <w:szCs w:val="20"/>
          <w:color w:val="auto"/>
        </w:rPr>
      </w:pPr>
      <w:r>
        <w:rPr>
          <w:rFonts w:ascii="Arial" w:cs="Arial" w:eastAsia="Arial" w:hAnsi="Arial"/>
          <w:sz w:val="15"/>
          <w:szCs w:val="15"/>
          <w:i w:val="1"/>
          <w:iCs w:val="1"/>
          <w:color w:val="auto"/>
        </w:rPr>
        <w:t xml:space="preserve">Capital Expenditures. </w:t>
      </w:r>
      <w:r>
        <w:rPr>
          <w:rFonts w:ascii="Arial" w:cs="Arial" w:eastAsia="Arial" w:hAnsi="Arial"/>
          <w:sz w:val="15"/>
          <w:szCs w:val="15"/>
          <w:color w:val="auto"/>
        </w:rPr>
        <w:t>Total capital expenditures for property and equipment and capitalized software were $131 million, $110 million, and $96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2021, 2020, and 2019 respectively.</w:t>
      </w:r>
    </w:p>
    <w:p>
      <w:pPr>
        <w:spacing w:after="0" w:line="57" w:lineRule="exact"/>
        <w:rPr>
          <w:sz w:val="20"/>
          <w:szCs w:val="20"/>
          <w:color w:val="auto"/>
        </w:rPr>
      </w:pPr>
    </w:p>
    <w:p>
      <w:pPr>
        <w:jc w:val="both"/>
        <w:ind w:right="80" w:firstLine="270"/>
        <w:spacing w:after="0" w:line="274" w:lineRule="auto"/>
        <w:rPr>
          <w:sz w:val="20"/>
          <w:szCs w:val="20"/>
          <w:color w:val="auto"/>
        </w:rPr>
      </w:pPr>
      <w:r>
        <w:rPr>
          <w:rFonts w:ascii="Arial" w:cs="Arial" w:eastAsia="Arial" w:hAnsi="Arial"/>
          <w:sz w:val="14"/>
          <w:szCs w:val="14"/>
          <w:i w:val="1"/>
          <w:iCs w:val="1"/>
          <w:color w:val="auto"/>
        </w:rPr>
        <w:t xml:space="preserve">Financing Cash Flows. </w:t>
      </w:r>
      <w:r>
        <w:rPr>
          <w:rFonts w:ascii="Arial" w:cs="Arial" w:eastAsia="Arial" w:hAnsi="Arial"/>
          <w:sz w:val="14"/>
          <w:szCs w:val="14"/>
          <w:color w:val="auto"/>
        </w:rPr>
        <w:t>Our cash flows provided by (used in) financing activities for the year ended December 31, 2021, 2020, and 2019 were $5,000 million and $2,096 million, and</w:t>
      </w:r>
      <w:r>
        <w:rPr>
          <w:rFonts w:ascii="Arial" w:cs="Arial" w:eastAsia="Arial" w:hAnsi="Arial"/>
          <w:sz w:val="14"/>
          <w:szCs w:val="14"/>
          <w:i w:val="1"/>
          <w:iCs w:val="1"/>
          <w:color w:val="auto"/>
        </w:rPr>
        <w:t xml:space="preserve"> </w:t>
      </w:r>
      <w:r>
        <w:rPr>
          <w:rFonts w:ascii="Arial" w:cs="Arial" w:eastAsia="Arial" w:hAnsi="Arial"/>
          <w:sz w:val="14"/>
          <w:szCs w:val="14"/>
          <w:color w:val="auto"/>
        </w:rPr>
        <w:t>$(482) million respectively. The increase in cash provided by financing activities of $2,904 million in 2021 as compared to 2020 is primarily associated with increased cash inflows associated with the change in contractholder accounts of $3,595 million, increased cash inflows associated with the change in secured trust deposits of $304 million and reduced debt service payments of $1,000 million, partially offset by reduced debt offerings and borrowings of $1,797 million and increased purchases of treasury stock of $227 million. The increase in cash provided by financing activities of $2,578 million in 2020 as compared to 2019 is primarily attributable to cash inflows from the offerings of our 3.40% Notes of $648 million and 2.45% Notes of $593 million, and increased cash inflows from contractholder account deposits of $2,967 million, partially offset by increased cash outflows from contractholder withdrawals of $1,327 million, increased purchases of treasury stock of $150 million and the purchase of the outstanding Class A units of ServiceLink held by minority owners of $90 million. The increased activity in contractholder deposits and withdrawals in the 2020 period is associated with our F&amp;G segment.</w:t>
      </w:r>
    </w:p>
    <w:p>
      <w:pPr>
        <w:spacing w:after="0" w:line="62" w:lineRule="exact"/>
        <w:rPr>
          <w:sz w:val="20"/>
          <w:szCs w:val="20"/>
          <w:color w:val="auto"/>
        </w:rPr>
      </w:pPr>
    </w:p>
    <w:p>
      <w:pPr>
        <w:jc w:val="both"/>
        <w:ind w:right="100" w:firstLine="270"/>
        <w:spacing w:after="0" w:line="259" w:lineRule="auto"/>
        <w:rPr>
          <w:sz w:val="20"/>
          <w:szCs w:val="20"/>
          <w:color w:val="auto"/>
        </w:rPr>
      </w:pPr>
      <w:r>
        <w:rPr>
          <w:rFonts w:ascii="Arial" w:cs="Arial" w:eastAsia="Arial" w:hAnsi="Arial"/>
          <w:sz w:val="15"/>
          <w:szCs w:val="15"/>
          <w:i w:val="1"/>
          <w:iCs w:val="1"/>
          <w:color w:val="auto"/>
        </w:rPr>
        <w:t xml:space="preserve">Financing Arrangements. </w:t>
      </w:r>
      <w:r>
        <w:rPr>
          <w:rFonts w:ascii="Arial" w:cs="Arial" w:eastAsia="Arial" w:hAnsi="Arial"/>
          <w:sz w:val="15"/>
          <w:szCs w:val="15"/>
          <w:color w:val="auto"/>
        </w:rPr>
        <w:t>For a description of our financing arrangements see Note G</w:t>
      </w:r>
      <w:r>
        <w:rPr>
          <w:rFonts w:ascii="Arial" w:cs="Arial" w:eastAsia="Arial" w:hAnsi="Arial"/>
          <w:sz w:val="15"/>
          <w:szCs w:val="15"/>
          <w:i w:val="1"/>
          <w:iCs w:val="1"/>
          <w:color w:val="auto"/>
        </w:rPr>
        <w:t xml:space="preserve"> Notes Payable </w:t>
      </w:r>
      <w:r>
        <w:rPr>
          <w:rFonts w:ascii="Arial" w:cs="Arial" w:eastAsia="Arial" w:hAnsi="Arial"/>
          <w:sz w:val="15"/>
          <w:szCs w:val="15"/>
          <w:color w:val="auto"/>
        </w:rPr>
        <w:t>included in Item 8 of Part II of this Annual Report, which is incorporated by</w:t>
      </w:r>
      <w:r>
        <w:rPr>
          <w:rFonts w:ascii="Arial" w:cs="Arial" w:eastAsia="Arial" w:hAnsi="Arial"/>
          <w:sz w:val="15"/>
          <w:szCs w:val="15"/>
          <w:i w:val="1"/>
          <w:iCs w:val="1"/>
          <w:color w:val="auto"/>
        </w:rPr>
        <w:t xml:space="preserve"> </w:t>
      </w:r>
      <w:r>
        <w:rPr>
          <w:rFonts w:ascii="Arial" w:cs="Arial" w:eastAsia="Arial" w:hAnsi="Arial"/>
          <w:sz w:val="15"/>
          <w:szCs w:val="15"/>
          <w:color w:val="auto"/>
        </w:rPr>
        <w:t>reference into this Item 7 of Part II.</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 xml:space="preserve">Obligations - Contractual and Other. </w:t>
      </w:r>
      <w:r>
        <w:rPr>
          <w:rFonts w:ascii="Arial" w:cs="Arial" w:eastAsia="Arial" w:hAnsi="Arial"/>
          <w:sz w:val="15"/>
          <w:szCs w:val="15"/>
          <w:color w:val="auto"/>
        </w:rPr>
        <w:t>As of December 31, 2021, our required annual payments relating to contractual and other obligations were as follows:</w:t>
      </w:r>
    </w:p>
    <w:p>
      <w:pPr>
        <w:spacing w:after="0" w:line="15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2026</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Thereafter</w:t>
            </w: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Total</w:t>
            </w:r>
          </w:p>
        </w:tc>
      </w:tr>
      <w:tr>
        <w:trPr>
          <w:trHeight w:val="153"/>
        </w:trPr>
        <w:tc>
          <w:tcPr>
            <w:tcW w:w="2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(In millions)</w:t>
            </w: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2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Notes payable principal repayment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w:t>
            </w:r>
          </w:p>
        </w:tc>
      </w:tr>
      <w:tr>
        <w:trPr>
          <w:trHeight w:val="155"/>
        </w:trPr>
        <w:tc>
          <w:tcPr>
            <w:tcW w:w="2720" w:type="dxa"/>
            <w:vAlign w:val="bottom"/>
          </w:tcPr>
          <w:p>
            <w:pPr>
              <w:ind w:left="280"/>
              <w:spacing w:after="0"/>
              <w:rPr>
                <w:sz w:val="20"/>
                <w:szCs w:val="20"/>
                <w:color w:val="auto"/>
              </w:rPr>
            </w:pPr>
            <w:r>
              <w:rPr>
                <w:rFonts w:ascii="Arial" w:cs="Arial" w:eastAsia="Arial" w:hAnsi="Arial"/>
                <w:sz w:val="12"/>
                <w:szCs w:val="12"/>
                <w:color w:val="auto"/>
              </w:rPr>
              <w:t>Operating lease payments</w:t>
            </w: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60"/>
        </w:trPr>
        <w:tc>
          <w:tcPr>
            <w:tcW w:w="2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Pension and other benefit payments</w:t>
            </w: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55"/>
        </w:trPr>
        <w:tc>
          <w:tcPr>
            <w:tcW w:w="2720" w:type="dxa"/>
            <w:vAlign w:val="bottom"/>
          </w:tcPr>
          <w:p>
            <w:pPr>
              <w:ind w:left="280"/>
              <w:spacing w:after="0"/>
              <w:rPr>
                <w:sz w:val="20"/>
                <w:szCs w:val="20"/>
                <w:color w:val="auto"/>
              </w:rPr>
            </w:pPr>
            <w:r>
              <w:rPr>
                <w:rFonts w:ascii="Arial" w:cs="Arial" w:eastAsia="Arial" w:hAnsi="Arial"/>
                <w:sz w:val="12"/>
                <w:szCs w:val="12"/>
                <w:color w:val="auto"/>
              </w:rPr>
              <w:t>Annuity and universal life products</w:t>
            </w: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2,995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3,404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2,975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3,093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3,022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28,962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44,45</w:t>
            </w:r>
          </w:p>
        </w:tc>
      </w:tr>
      <w:tr>
        <w:trPr>
          <w:trHeight w:val="160"/>
        </w:trPr>
        <w:tc>
          <w:tcPr>
            <w:tcW w:w="2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Pension risk transfer annuity payments</w:t>
            </w: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w:t>
            </w:r>
          </w:p>
        </w:tc>
      </w:tr>
      <w:tr>
        <w:trPr>
          <w:trHeight w:val="155"/>
        </w:trPr>
        <w:tc>
          <w:tcPr>
            <w:tcW w:w="2720" w:type="dxa"/>
            <w:vAlign w:val="bottom"/>
          </w:tcPr>
          <w:p>
            <w:pPr>
              <w:ind w:left="280"/>
              <w:spacing w:after="0"/>
              <w:rPr>
                <w:sz w:val="20"/>
                <w:szCs w:val="20"/>
                <w:color w:val="auto"/>
              </w:rPr>
            </w:pPr>
            <w:r>
              <w:rPr>
                <w:rFonts w:ascii="Arial" w:cs="Arial" w:eastAsia="Arial" w:hAnsi="Arial"/>
                <w:sz w:val="12"/>
                <w:szCs w:val="12"/>
                <w:color w:val="auto"/>
              </w:rPr>
              <w:t>Funding agreements (FABN/FHLB)</w:t>
            </w: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308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855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750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649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3,44</w:t>
            </w:r>
          </w:p>
        </w:tc>
      </w:tr>
      <w:tr>
        <w:trPr>
          <w:trHeight w:val="160"/>
        </w:trPr>
        <w:tc>
          <w:tcPr>
            <w:tcW w:w="2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Title claim loss estimated payments</w:t>
            </w: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w:t>
            </w:r>
          </w:p>
        </w:tc>
      </w:tr>
      <w:tr>
        <w:trPr>
          <w:trHeight w:val="155"/>
        </w:trPr>
        <w:tc>
          <w:tcPr>
            <w:tcW w:w="272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Interest on fixed rate notes payable</w:t>
            </w: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571</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r>
      <w:tr>
        <w:trPr>
          <w:trHeight w:val="176"/>
        </w:trPr>
        <w:tc>
          <w:tcPr>
            <w:tcW w:w="2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Total</w:t>
            </w: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4,297</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4,455</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4,348</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4,451</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4,124</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34,267</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55,94</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85" w:name="page86"/>
    <w:bookmarkEnd w:id="8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As of December 31, 2021, we had title insurance reserves of $1,883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66" w:lineRule="exact"/>
        <w:rPr>
          <w:sz w:val="20"/>
          <w:szCs w:val="20"/>
          <w:color w:val="auto"/>
        </w:rPr>
      </w:pPr>
    </w:p>
    <w:p>
      <w:pPr>
        <w:ind w:left="520" w:hanging="259"/>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future mortgage interest rates, which will affect the number of real estate and refinancing transactions and; therefore, the rate at which title insurance claims will emerge;</w:t>
      </w:r>
    </w:p>
    <w:p>
      <w:pPr>
        <w:spacing w:after="0" w:line="28" w:lineRule="exact"/>
        <w:rPr>
          <w:rFonts w:ascii="Arial" w:cs="Arial" w:eastAsia="Arial" w:hAnsi="Arial"/>
          <w:sz w:val="14"/>
          <w:szCs w:val="14"/>
          <w:color w:val="auto"/>
        </w:rPr>
      </w:pPr>
    </w:p>
    <w:p>
      <w:pPr>
        <w:ind w:left="540" w:right="20" w:hanging="279"/>
        <w:spacing w:after="0" w:line="250" w:lineRule="auto"/>
        <w:tabs>
          <w:tab w:leader="none" w:pos="5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legal environment whereby court decisions and reinterpretations of title insurance policy language to broaden coverage could increase total obligations and influence claim payout patterns;</w:t>
      </w:r>
    </w:p>
    <w:p>
      <w:pPr>
        <w:spacing w:after="0" w:line="1" w:lineRule="exact"/>
        <w:rPr>
          <w:rFonts w:ascii="Arial" w:cs="Arial" w:eastAsia="Arial" w:hAnsi="Arial"/>
          <w:sz w:val="15"/>
          <w:szCs w:val="15"/>
          <w:color w:val="auto"/>
        </w:rPr>
      </w:pPr>
    </w:p>
    <w:p>
      <w:pPr>
        <w:ind w:left="540" w:right="20" w:hanging="279"/>
        <w:spacing w:after="0" w:line="250" w:lineRule="auto"/>
        <w:tabs>
          <w:tab w:leader="none" w:pos="5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spacing w:after="0" w:line="1" w:lineRule="exact"/>
        <w:rPr>
          <w:rFonts w:ascii="Arial" w:cs="Arial" w:eastAsia="Arial" w:hAnsi="Arial"/>
          <w:sz w:val="15"/>
          <w:szCs w:val="15"/>
          <w:color w:val="auto"/>
        </w:rPr>
      </w:pPr>
    </w:p>
    <w:p>
      <w:pPr>
        <w:ind w:left="520" w:hanging="259"/>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loss cost trends whereby increases or decreases in inflationary factors (including the value of real estate) will influence the ultimate amount of title insurance loss payments.</w:t>
      </w:r>
    </w:p>
    <w:p>
      <w:pPr>
        <w:spacing w:after="0" w:line="145"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15"/>
          <w:szCs w:val="15"/>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57"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15"/>
          <w:szCs w:val="15"/>
          <w:color w:val="auto"/>
        </w:rPr>
        <w:t xml:space="preserve">We sponsor certain frozen pension and other post-retirement benefit plans. See Note U. </w:t>
      </w:r>
      <w:r>
        <w:rPr>
          <w:rFonts w:ascii="Arial" w:cs="Arial" w:eastAsia="Arial" w:hAnsi="Arial"/>
          <w:sz w:val="15"/>
          <w:szCs w:val="15"/>
          <w:i w:val="1"/>
          <w:iCs w:val="1"/>
          <w:color w:val="auto"/>
        </w:rPr>
        <w:t>Employee Benefit Plans</w:t>
      </w:r>
      <w:r>
        <w:rPr>
          <w:rFonts w:ascii="Arial" w:cs="Arial" w:eastAsia="Arial" w:hAnsi="Arial"/>
          <w:sz w:val="15"/>
          <w:szCs w:val="15"/>
          <w:color w:val="auto"/>
        </w:rPr>
        <w:t xml:space="preserve"> to our Consolidated Financial Statements included in Item 8 of Part II of this Annual Report for further information.</w:t>
      </w:r>
    </w:p>
    <w:p>
      <w:pPr>
        <w:spacing w:after="0" w:line="57" w:lineRule="exact"/>
        <w:rPr>
          <w:sz w:val="20"/>
          <w:szCs w:val="20"/>
          <w:color w:val="auto"/>
        </w:rPr>
      </w:pPr>
    </w:p>
    <w:p>
      <w:pPr>
        <w:jc w:val="both"/>
        <w:ind w:firstLine="270"/>
        <w:spacing w:after="0" w:line="275" w:lineRule="auto"/>
        <w:rPr>
          <w:sz w:val="20"/>
          <w:szCs w:val="20"/>
          <w:color w:val="auto"/>
        </w:rPr>
      </w:pPr>
      <w:r>
        <w:rPr>
          <w:rFonts w:ascii="Arial" w:cs="Arial" w:eastAsia="Arial" w:hAnsi="Arial"/>
          <w:sz w:val="14"/>
          <w:szCs w:val="14"/>
          <w:i w:val="1"/>
          <w:iCs w:val="1"/>
          <w:color w:val="auto"/>
        </w:rPr>
        <w:t>Capital Stock Tran</w:t>
      </w:r>
      <w:r>
        <w:rPr>
          <w:rFonts w:ascii="Arial" w:cs="Arial" w:eastAsia="Arial" w:hAnsi="Arial"/>
          <w:sz w:val="14"/>
          <w:szCs w:val="14"/>
          <w:color w:val="auto"/>
        </w:rPr>
        <w:t>s</w:t>
      </w:r>
      <w:r>
        <w:rPr>
          <w:rFonts w:ascii="Arial" w:cs="Arial" w:eastAsia="Arial" w:hAnsi="Arial"/>
          <w:sz w:val="14"/>
          <w:szCs w:val="14"/>
          <w:i w:val="1"/>
          <w:iCs w:val="1"/>
          <w:color w:val="auto"/>
        </w:rPr>
        <w:t>actions</w:t>
      </w:r>
      <w:r>
        <w:rPr>
          <w:rFonts w:ascii="Arial" w:cs="Arial" w:eastAsia="Arial" w:hAnsi="Arial"/>
          <w:sz w:val="14"/>
          <w:szCs w:val="14"/>
          <w:color w:val="auto"/>
        </w:rPr>
        <w:t>. On July 17, 2018, our Board of Directors approved a three-year stock repurchase program effective August 1, 2018 (the "2018 Repurchase Program")</w:t>
      </w:r>
      <w:r>
        <w:rPr>
          <w:rFonts w:ascii="Arial" w:cs="Arial" w:eastAsia="Arial" w:hAnsi="Arial"/>
          <w:sz w:val="14"/>
          <w:szCs w:val="14"/>
          <w:i w:val="1"/>
          <w:iCs w:val="1"/>
          <w:color w:val="auto"/>
        </w:rPr>
        <w:t xml:space="preserve"> </w:t>
      </w:r>
      <w:r>
        <w:rPr>
          <w:rFonts w:ascii="Arial" w:cs="Arial" w:eastAsia="Arial" w:hAnsi="Arial"/>
          <w:sz w:val="14"/>
          <w:szCs w:val="14"/>
          <w:color w:val="auto"/>
        </w:rPr>
        <w:t>under which we may purchase up to 25 million shares of our FNF common stock through July 31, 2021. On August 3, 2021, our Board of Directors approved the 2021 Repurchase Program under which we may purchase up to 25 million shares of our FNF common stock through July 31, 2024</w:t>
      </w:r>
      <w:r>
        <w:rPr>
          <w:rFonts w:ascii="Arial" w:cs="Arial" w:eastAsia="Arial" w:hAnsi="Arial"/>
          <w:sz w:val="15"/>
          <w:szCs w:val="15"/>
          <w:color w:val="auto"/>
        </w:rPr>
        <w:t>.</w:t>
      </w:r>
      <w:r>
        <w:rPr>
          <w:rFonts w:ascii="Arial" w:cs="Arial" w:eastAsia="Arial" w:hAnsi="Arial"/>
          <w:sz w:val="14"/>
          <w:szCs w:val="14"/>
          <w:color w:val="auto"/>
        </w:rPr>
        <w:t xml:space="preserve"> We may make repurchases from time to time in the on market, in block purchases or in privately negotiated transactions, depending on market conditions and other factors. We repurchased 10,180,000 shares of FNF common stock during the year ended December 31, 2021 for approximately $461 million, or an average of $45.22 per share. Subsequent to December 31, 2021 and through market close on February 23, 2022, we repurchased a total of 250,000 shares for $13 million, or an average of $52.60 under the 2021 Repurchase Program. Since the original commencement of the 2021 Repurchase Program, we repurchased a total of 3,230,000 FNF common shares for an aggregate amount of $161 million, or an average of $49.90 per share.</w:t>
      </w:r>
    </w:p>
    <w:p>
      <w:pPr>
        <w:spacing w:after="0" w:line="59"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i w:val="1"/>
          <w:iCs w:val="1"/>
          <w:color w:val="auto"/>
        </w:rPr>
        <w:t xml:space="preserve">Equity and Preferred Security Investments. </w:t>
      </w:r>
      <w:r>
        <w:rPr>
          <w:rFonts w:ascii="Arial" w:cs="Arial" w:eastAsia="Arial" w:hAnsi="Arial"/>
          <w:sz w:val="15"/>
          <w:szCs w:val="15"/>
          <w:color w:val="auto"/>
        </w:rPr>
        <w:t>Our equity and preferred security investments may be subject to significant volatility. Currently prevailing accounting standards require us</w:t>
      </w:r>
      <w:r>
        <w:rPr>
          <w:rFonts w:ascii="Arial" w:cs="Arial" w:eastAsia="Arial" w:hAnsi="Arial"/>
          <w:sz w:val="15"/>
          <w:szCs w:val="15"/>
          <w:i w:val="1"/>
          <w:iCs w:val="1"/>
          <w:color w:val="auto"/>
        </w:rPr>
        <w:t xml:space="preserve"> </w:t>
      </w:r>
      <w:r>
        <w:rPr>
          <w:rFonts w:ascii="Arial" w:cs="Arial" w:eastAsia="Arial" w:hAnsi="Arial"/>
          <w:sz w:val="15"/>
          <w:szCs w:val="15"/>
          <w:color w:val="auto"/>
        </w:rPr>
        <w:t>to record the change in fair value of equity and preferred security investments held as of any given period end within earnings. Our results of operations in future periods is anticipated to be subject to such volatility.</w:t>
      </w:r>
    </w:p>
    <w:p>
      <w:pPr>
        <w:spacing w:after="0" w:line="66"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i w:val="1"/>
          <w:iCs w:val="1"/>
          <w:color w:val="auto"/>
        </w:rPr>
        <w:t xml:space="preserve">Off-Balance Sheet Arrangements. </w:t>
      </w:r>
      <w:r>
        <w:rPr>
          <w:rFonts w:ascii="Arial" w:cs="Arial" w:eastAsia="Arial" w:hAnsi="Arial"/>
          <w:sz w:val="15"/>
          <w:szCs w:val="15"/>
          <w:color w:val="auto"/>
        </w:rPr>
        <w:t>In conducting our operations, we routinely hold customers’ assets in escrow, pending completion of real estate transactions, and are responsible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proper disposition of these balances for our customers. Certain of these amounts are maintained in segregated bank accounts and have not been included in the accompanying Consolidated Balance Sheets, consistent with Generally Accepted Accounting Principles and industry practice. These balances amounted to $30.5 billion and $26.5 billion at December 31, 2021 and 2020, respectively. As a result of holding these customers’ assets in escrow, we have ongoing programs for realizing economic benefits during the year through favorable borrowing and vendor arrangements with various banks.</w:t>
      </w:r>
    </w:p>
    <w:p>
      <w:pPr>
        <w:spacing w:after="0" w:line="117"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4"/>
          <w:szCs w:val="14"/>
          <w:color w:val="auto"/>
        </w:rPr>
        <w:t xml:space="preserve">We have unfunded investment commitments as of December 31, 2021 based upon the timing of when investments are executed compared to when the actual investments are funded, as some investments require that funding occur over a period of months or years. Please refer to Note E </w:t>
      </w:r>
      <w:r>
        <w:rPr>
          <w:rFonts w:ascii="Arial" w:cs="Arial" w:eastAsia="Arial" w:hAnsi="Arial"/>
          <w:sz w:val="14"/>
          <w:szCs w:val="14"/>
          <w:i w:val="1"/>
          <w:iCs w:val="1"/>
          <w:color w:val="auto"/>
        </w:rPr>
        <w:t>Investments</w:t>
      </w:r>
      <w:r>
        <w:rPr>
          <w:rFonts w:ascii="Arial" w:cs="Arial" w:eastAsia="Arial" w:hAnsi="Arial"/>
          <w:sz w:val="14"/>
          <w:szCs w:val="14"/>
          <w:color w:val="auto"/>
        </w:rPr>
        <w:t xml:space="preserve"> and Note H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to the Consolidated Financial Statements included in Item 8 of Part II of this Annual Report for additional details on unfunded investment commitments.</w:t>
      </w:r>
    </w:p>
    <w:p>
      <w:pPr>
        <w:spacing w:after="0" w:line="47"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3"/>
          <w:szCs w:val="13"/>
          <w:i w:val="1"/>
          <w:iCs w:val="1"/>
          <w:color w:val="auto"/>
        </w:rPr>
        <w:t xml:space="preserve">FHLB Collateral. </w:t>
      </w:r>
      <w:r>
        <w:rPr>
          <w:rFonts w:ascii="Arial" w:cs="Arial" w:eastAsia="Arial" w:hAnsi="Arial"/>
          <w:sz w:val="13"/>
          <w:szCs w:val="13"/>
          <w:color w:val="auto"/>
        </w:rPr>
        <w:t>We are currently a member of the FHLB and are required to maintain a collateral deposit that backs any funding agreements issued. We use these funding</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agreements as part of a spread enhancement strategy. We have the ability to obtain funding from the FHLB based on a percentage of the value of our assets, subject to the availability of eligible collateral. Collateral is pledged based on the outstanding balances of FHLB funding agreements. The amount of funding varies based on the type, rating and maturity of the collateral posted to the FHLB. Generally, U.S. government agency notes and mortgage-backed securities are pledged to the FHLB as collateral. Market value fluctuations resulting from changes in interest rates, spreads and other risk factors for each type of asset are monitored and additional collateral is either pledged or released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6" w:name="page87"/>
    <w:bookmarkEnd w:id="8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4"/>
          <w:szCs w:val="14"/>
          <w:color w:val="auto"/>
        </w:rPr>
        <w:t>Our borrowing capacity under these credit facilities does not have an expiration date as long as we maintain a satisfactory level of creditworthiness based on the FHLB’s credit assessment. As of December 31, 2021 and 2020, we had $1,543 million and $1,203 million, respectively, in FHLB non-putable funding agreements included under contractholder funds on our consolidated balance sheet. As of December 31, 2021 and 2020, we had assets with a fair value of approximately $2,420 million and $1,471 million, respectively, which collateralized the FHLB funding agreements. Assets pledged to the FHLB are included in fixed maturities, AFS, on our consolidated balance sheets.</w:t>
      </w:r>
    </w:p>
    <w:p>
      <w:pPr>
        <w:spacing w:after="0" w:line="41"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i w:val="1"/>
          <w:iCs w:val="1"/>
          <w:color w:val="auto"/>
        </w:rPr>
        <w:t xml:space="preserve">Collateral-Derivative Contracts. </w:t>
      </w:r>
      <w:r>
        <w:rPr>
          <w:rFonts w:ascii="Arial" w:cs="Arial" w:eastAsia="Arial" w:hAnsi="Arial"/>
          <w:sz w:val="15"/>
          <w:szCs w:val="15"/>
          <w:color w:val="auto"/>
        </w:rPr>
        <w:t>Under the terms of our ISDA agreements, we may receive from, or deliver to, counterparties collateral to assure that all terms of the ISDA</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agreements will be met with regard to the Credit Support Annex (“CSA”). The terms of the CSA call for us to pay interest on any cash received equal to the federal funds rate. As of December 31, 2021 and 2020, respectively, $790 million and $491 million of collateral was posted by our counterparties as they did not meet the net exposure thresholds. Collateral requirements are monitored on a daily basis and incorporate changes in market values of both the derivatives contract as well as the collateral pledged. Market value fluctuations are due to changes in interest rates, spreads and other risk factors.</w:t>
      </w:r>
    </w:p>
    <w:p>
      <w:pPr>
        <w:spacing w:after="0" w:line="361"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3"/>
          <w:szCs w:val="13"/>
          <w:b w:val="1"/>
          <w:bCs w:val="1"/>
          <w:i w:val="1"/>
          <w:iCs w:val="1"/>
          <w:color w:val="auto"/>
        </w:rPr>
        <w:t>Quantitative and Qualitative Disclosure about Market Risk</w:t>
      </w:r>
    </w:p>
    <w:p>
      <w:pPr>
        <w:spacing w:after="0" w:line="21" w:lineRule="exact"/>
        <w:rPr>
          <w:sz w:val="20"/>
          <w:szCs w:val="20"/>
          <w:color w:val="auto"/>
        </w:rPr>
      </w:pPr>
    </w:p>
    <w:p>
      <w:pPr>
        <w:jc w:val="both"/>
        <w:ind w:right="20" w:firstLine="270"/>
        <w:spacing w:after="0" w:line="336" w:lineRule="auto"/>
        <w:rPr>
          <w:sz w:val="20"/>
          <w:szCs w:val="20"/>
          <w:color w:val="auto"/>
        </w:rPr>
      </w:pPr>
      <w:r>
        <w:rPr>
          <w:rFonts w:ascii="Arial" w:cs="Arial" w:eastAsia="Arial" w:hAnsi="Arial"/>
          <w:sz w:val="13"/>
          <w:szCs w:val="13"/>
          <w:color w:val="auto"/>
        </w:rPr>
        <w:t xml:space="preserve">In the normal course of business, we are routinely subject to a variety of risks, as described in Item 1A.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of this Annual Report and in our other filings with the Securities and Exchange Commission. For example, we are exposed to the risk that decreased real estate activity, which depends in part on the level of interest rates, may reduce our revenues.</w:t>
      </w:r>
    </w:p>
    <w:p>
      <w:pPr>
        <w:jc w:val="both"/>
        <w:ind w:firstLine="270"/>
        <w:spacing w:after="0" w:line="274" w:lineRule="auto"/>
        <w:rPr>
          <w:sz w:val="20"/>
          <w:szCs w:val="20"/>
          <w:color w:val="auto"/>
        </w:rPr>
      </w:pPr>
      <w:r>
        <w:rPr>
          <w:rFonts w:ascii="Arial" w:cs="Arial" w:eastAsia="Arial" w:hAnsi="Arial"/>
          <w:sz w:val="15"/>
          <w:szCs w:val="15"/>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fixed income investments.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regularly assess these market risks and have established policies and business practices designed to protect against the adverse effects of these exposures.</w:t>
      </w:r>
    </w:p>
    <w:p>
      <w:pPr>
        <w:spacing w:after="0" w:line="87"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At December 31, 2021, we had $3,096 million in long-term debt, none of which bears interest at a floating rate. Accordingly, fluctuations in market interest rates will not have a material impact on our resulting interest expense.</w:t>
      </w:r>
    </w:p>
    <w:p>
      <w:pPr>
        <w:spacing w:after="0" w:line="34"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4"/>
          <w:szCs w:val="14"/>
          <w:color w:val="auto"/>
        </w:rPr>
        <w:t>Our fixed maturity investments, certain preferred securities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w:t>
      </w:r>
    </w:p>
    <w:p>
      <w:pPr>
        <w:spacing w:after="0" w:line="41"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3"/>
          <w:szCs w:val="13"/>
          <w:color w:val="auto"/>
        </w:rPr>
        <w:t>Equity price risk is the risk that we will incur economic losses due to adverse changes in equity prices. In the past, our exposure to changes in equity prices primarily resulted from our holdings of equity securities. At December 31, 2021, we held $1,263 million in marketable equity securities (not including our investments in preferred securities of $1,401 million and our investments in unconsolidated affiliates of $2,486 million).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32"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Financial instruments, which potentially subject us to concentrations of credit risk, consist primarily of cash equivalents, short-term investments, and trade receivables. We require placement of cash in financial institutions evaluated as highly creditworthy.</w:t>
      </w:r>
    </w:p>
    <w:p>
      <w:pPr>
        <w:spacing w:after="0" w:line="34"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For purposes of this Annual Report, we perform a sensitivity analysis to determine the effects that market risk exposures may have on the fair values of our debt and other financial instruments.</w:t>
      </w:r>
    </w:p>
    <w:p>
      <w:pPr>
        <w:spacing w:after="0" w:line="46"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The financial instruments that are included in the sensitivity analysis with respect to interest rate risk include fixed maturity investments, preferred securities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58" w:lineRule="exact"/>
        <w:rPr>
          <w:sz w:val="20"/>
          <w:szCs w:val="20"/>
          <w:color w:val="auto"/>
        </w:rPr>
      </w:pPr>
    </w:p>
    <w:p>
      <w:pPr>
        <w:jc w:val="both"/>
        <w:ind w:firstLine="270"/>
        <w:spacing w:after="0" w:line="354" w:lineRule="auto"/>
        <w:rPr>
          <w:sz w:val="20"/>
          <w:szCs w:val="20"/>
          <w:color w:val="auto"/>
        </w:rPr>
      </w:pPr>
      <w:r>
        <w:rPr>
          <w:rFonts w:ascii="Arial" w:cs="Arial" w:eastAsia="Arial" w:hAnsi="Arial"/>
          <w:sz w:val="13"/>
          <w:szCs w:val="13"/>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7" w:name="page88"/>
    <w:bookmarkEnd w:id="8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values for equity price risk are determined by comparing the market price of investments against their reported values as of the balance sheet date.</w:t>
      </w:r>
    </w:p>
    <w:p>
      <w:pPr>
        <w:spacing w:after="0" w:line="87"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3.7% of total liabilities at December 31, 2021) is not included in the hypothetical effects.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Risk Factors</w:t>
      </w:r>
    </w:p>
    <w:p>
      <w:pPr>
        <w:spacing w:after="0" w:line="91"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5"/>
          <w:szCs w:val="15"/>
          <w:color w:val="auto"/>
        </w:rPr>
        <w:t>Market risk is the risk of the loss of fair value resulting from adverse changes in market rates and prices, such as interest rates, foreign currency exchange rates, commodity prices and equity prices. Market risk is directly influenced by the volatility and liquidity in the markets in which the related underlying financial instruments are traded. We have significant holdings in financial instruments, which are naturally exposed to a variety of market risks. They are primarily exposed to interest rate risk, credit risk and equity price risk and have some exposure to counterparty risk, which affect the fair value of financial instruments subject to market risk.</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have no market risk sensitive instruments entered into for trading purposes; therefore, all of our market risk sensitive instruments were entered into for purposes other than trading.</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results of the sensitivity analysis at December 31, 2021 and 2020, are as follows: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Interest Rate Risk</w:t>
      </w:r>
    </w:p>
    <w:p>
      <w:pPr>
        <w:spacing w:after="0" w:line="91"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At December 31, 2021, an increase (decrease) in the levels of interest rates of 100 basis points, with all other variables held constant, would result in a (decrease) increase in the fair value of our fixed maturity securities and certain of our investments in preferred securities, which are tied to interest rates of $2.3 billion as compared with a (decrease) increase of $1.3 billion at December 31, 2020.</w:t>
      </w:r>
    </w:p>
    <w:p>
      <w:pPr>
        <w:spacing w:after="0" w:line="77"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3"/>
          <w:szCs w:val="13"/>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 such securities at losses prior to their maturity to meet liquidity needs. Within our F&amp;G segment, liquidity needs are managed using the surrender and withdrawal provisions of the annuity contracts and through other means.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Price Risk</w:t>
      </w:r>
    </w:p>
    <w:p>
      <w:pPr>
        <w:spacing w:after="0" w:line="91"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At December 31, 2021, a 10% increase (decrease) in market prices, with all other variables held constant, would result in an increase (decrease) in the fair value of our equity securities portfolio of $126 million, as compared with an increase (decrease) of $196 million at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Risk Related to our F&amp;G Segment</w:t>
      </w:r>
    </w:p>
    <w:p>
      <w:pPr>
        <w:spacing w:after="0" w:line="147" w:lineRule="exact"/>
        <w:rPr>
          <w:sz w:val="20"/>
          <w:szCs w:val="20"/>
          <w:color w:val="auto"/>
        </w:rPr>
      </w:pPr>
    </w:p>
    <w:p>
      <w:pPr>
        <w:jc w:val="both"/>
        <w:ind w:firstLine="338"/>
        <w:spacing w:after="0" w:line="283" w:lineRule="auto"/>
        <w:rPr>
          <w:sz w:val="20"/>
          <w:szCs w:val="20"/>
          <w:color w:val="auto"/>
        </w:rPr>
      </w:pPr>
      <w:r>
        <w:rPr>
          <w:rFonts w:ascii="Arial" w:cs="Arial" w:eastAsia="Arial" w:hAnsi="Arial"/>
          <w:sz w:val="14"/>
          <w:szCs w:val="14"/>
          <w:color w:val="auto"/>
        </w:rPr>
        <w:t>Interest rate risk is the F&amp;G segment's primary market risk exposure. We define interest rate risk as the risk of an economic loss due to adverse changes in interest rates. This risk arises from F&amp;G's holdings in interest sensitive assets and liabilities, primarily as a result of investing life insurance premiums and fixed annuity deposits received in interest-sensitive assets and carrying these funds as interest-sensitive liabilities. Substantial and sustained increases or decreases in market interest rates can affect the profitability of the insurance products and the fair value of our investments, as the majority of F&amp;G's insurance liabilities are backed by fixed maturity securities.</w:t>
      </w:r>
    </w:p>
    <w:p>
      <w:pPr>
        <w:spacing w:after="0" w:line="63"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5"/>
          <w:szCs w:val="15"/>
          <w:color w:val="auto"/>
        </w:rPr>
        <w:t>The profitability of most of F&amp;G's products depends on the spreads between interest yield on investments and rates credited on insurance liabilities. F&amp;G has the ability to adjust the rates credited, primarily caps and credit rates, on the majority of the annuity liabilities at least annually, subject to minimum guaranteed values. In addition, the majority of the annuity products have surrender and withdrawal penalty provisions designed to encourage persistency and to help ensure targeted spreads are earned. However, competitive factors, including the impact of the level of surrenders and withdrawals, may limit F&amp;G's ability to adjust or maintain crediting rates at the levels necessary to avoid a narrowing of spreads under certain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8" w:name="page89"/>
    <w:bookmarkEnd w:id="8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In order to meet F&amp;G's policy and contractual obligations, F&amp;G must earn a sufficient return on invested assets. Significant changes in interest rates exposes F&amp;G to the risk of not earning the anticipated spreads between the interest rate earned on its investments and the credited interest rates paid on outstanding policies and contracts. Both rising and declining interest rates can negatively affect interest earnings, spread income and the attractiveness of certain products.</w:t>
      </w:r>
    </w:p>
    <w:p>
      <w:pPr>
        <w:spacing w:after="0" w:line="44"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During periods of increasing interest rates, F&amp;G may offer higher crediting rates on interest-sensitive products, such as IUL insurance and fixed annuities, and may increase crediting rates on in-force products to keep these products competitive. A rise in interest rates, in the absence of other countervailing changes, will result in a decline in the market value of F&amp;G's investment portfolio.</w:t>
      </w:r>
    </w:p>
    <w:p>
      <w:pPr>
        <w:spacing w:after="0" w:line="44"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4"/>
          <w:szCs w:val="14"/>
          <w:color w:val="auto"/>
        </w:rPr>
        <w:t>As part of F&amp;G's asset liability management (“ALM”) program, F&amp;G has made a significant effort to identify the assets appropriate to different product lines and ensure investing strategies match the profile of these liabilities. The ALM strategy is designed to align the expected cash flows from the investment portfolio with the expected liability cash flows. As such, a major component of F&amp;G's effort to manage interest rate risk has been to structure the investment portfolio with cash flow characteristics that are consistent with the cash flow characteristics of the insurance liabilities. F&amp;G uses actuarial models to simulate the cash flows expected from the existing business under various interest rate scenarios. These simulations enable F&amp;G to measure the potential gain or loss in the fair value of interest rate-sensitive financial instruments, to evaluate the adequacy of expected cash flows from assets to meet the expected cash requirements of the liabilities and to determine if it is necessary to lengthen or shorten the average life and duration of our investment portfolio. Duration measures the price sensitivity of a security to a small change in interest rates. When the durations of assets and liabilities are similar, exposure to interest rate risk is minimized because a change in the value of assets could be expected to be largely offset by a change in the value of liabilities.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duration of the investment portfolio, excluding cash and cash equivalents, derivatives, policy loans, and common stocks as of December 31, 2021, is summarized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800" w:type="dxa"/>
            <w:vAlign w:val="bottom"/>
          </w:tcPr>
          <w:p>
            <w:pPr>
              <w:spacing w:after="0"/>
              <w:rPr>
                <w:sz w:val="20"/>
                <w:szCs w:val="20"/>
                <w:color w:val="auto"/>
              </w:rPr>
            </w:pPr>
            <w:r>
              <w:rPr>
                <w:rFonts w:ascii="Arial" w:cs="Arial" w:eastAsia="Arial" w:hAnsi="Arial"/>
                <w:sz w:val="12"/>
                <w:szCs w:val="12"/>
                <w:b w:val="1"/>
                <w:bCs w:val="1"/>
                <w:color w:val="auto"/>
              </w:rPr>
              <w:t>(Dollars in millions)</w:t>
            </w: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62"/>
        </w:trPr>
        <w:tc>
          <w:tcPr>
            <w:tcW w:w="7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Duration (years)</w:t>
            </w: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360"/>
              <w:spacing w:after="0"/>
              <w:rPr>
                <w:sz w:val="20"/>
                <w:szCs w:val="20"/>
                <w:color w:val="auto"/>
              </w:rPr>
            </w:pPr>
            <w:r>
              <w:rPr>
                <w:rFonts w:ascii="Arial" w:cs="Arial" w:eastAsia="Arial" w:hAnsi="Arial"/>
                <w:sz w:val="12"/>
                <w:szCs w:val="12"/>
                <w:b w:val="1"/>
                <w:bCs w:val="1"/>
                <w:color w:val="auto"/>
              </w:rPr>
              <w:t>Amortized Cost</w:t>
            </w:r>
          </w:p>
        </w:tc>
        <w:tc>
          <w:tcPr>
            <w:tcW w:w="17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 of Total</w:t>
            </w:r>
          </w:p>
        </w:tc>
      </w:tr>
      <w:tr>
        <w:trPr>
          <w:trHeight w:val="154"/>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0-4</w:t>
            </w: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17,765</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48 %</w:t>
            </w:r>
          </w:p>
        </w:tc>
      </w:tr>
      <w:tr>
        <w:trPr>
          <w:trHeight w:val="155"/>
        </w:trPr>
        <w:tc>
          <w:tcPr>
            <w:tcW w:w="7800" w:type="dxa"/>
            <w:vAlign w:val="bottom"/>
          </w:tcPr>
          <w:p>
            <w:pPr>
              <w:spacing w:after="0"/>
              <w:rPr>
                <w:sz w:val="20"/>
                <w:szCs w:val="20"/>
                <w:color w:val="auto"/>
              </w:rPr>
            </w:pPr>
            <w:r>
              <w:rPr>
                <w:rFonts w:ascii="Arial" w:cs="Arial" w:eastAsia="Arial" w:hAnsi="Arial"/>
                <w:sz w:val="12"/>
                <w:szCs w:val="12"/>
                <w:color w:val="auto"/>
              </w:rPr>
              <w:t>5-9</w:t>
            </w:r>
          </w:p>
        </w:tc>
        <w:tc>
          <w:tcPr>
            <w:tcW w:w="4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8,414</w:t>
            </w:r>
          </w:p>
        </w:tc>
        <w:tc>
          <w:tcPr>
            <w:tcW w:w="1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23 %</w:t>
            </w:r>
          </w:p>
        </w:tc>
      </w:tr>
      <w:tr>
        <w:trPr>
          <w:trHeight w:val="160"/>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10-14</w:t>
            </w: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5,619</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r>
      <w:tr>
        <w:trPr>
          <w:trHeight w:val="155"/>
        </w:trPr>
        <w:tc>
          <w:tcPr>
            <w:tcW w:w="7800" w:type="dxa"/>
            <w:vAlign w:val="bottom"/>
          </w:tcPr>
          <w:p>
            <w:pPr>
              <w:spacing w:after="0"/>
              <w:rPr>
                <w:sz w:val="20"/>
                <w:szCs w:val="20"/>
                <w:color w:val="auto"/>
              </w:rPr>
            </w:pPr>
            <w:r>
              <w:rPr>
                <w:rFonts w:ascii="Arial" w:cs="Arial" w:eastAsia="Arial" w:hAnsi="Arial"/>
                <w:sz w:val="12"/>
                <w:szCs w:val="12"/>
                <w:color w:val="auto"/>
              </w:rPr>
              <w:t>15-19</w:t>
            </w:r>
          </w:p>
        </w:tc>
        <w:tc>
          <w:tcPr>
            <w:tcW w:w="4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4,474</w:t>
            </w:r>
          </w:p>
        </w:tc>
        <w:tc>
          <w:tcPr>
            <w:tcW w:w="1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12 %</w:t>
            </w:r>
          </w:p>
        </w:tc>
      </w:tr>
      <w:tr>
        <w:trPr>
          <w:trHeight w:val="160"/>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20-30</w:t>
            </w:r>
          </w:p>
        </w:tc>
        <w:tc>
          <w:tcPr>
            <w:tcW w:w="4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883</w:t>
            </w:r>
          </w:p>
        </w:tc>
        <w:tc>
          <w:tcPr>
            <w:tcW w:w="100" w:type="dxa"/>
            <w:vAlign w:val="bottom"/>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2 %</w:t>
            </w:r>
          </w:p>
        </w:tc>
      </w:tr>
      <w:tr>
        <w:trPr>
          <w:trHeight w:val="147"/>
        </w:trPr>
        <w:tc>
          <w:tcPr>
            <w:tcW w:w="7800" w:type="dxa"/>
            <w:vAlign w:val="bottom"/>
          </w:tcPr>
          <w:p>
            <w:pPr>
              <w:spacing w:after="0"/>
              <w:rPr>
                <w:sz w:val="20"/>
                <w:szCs w:val="20"/>
                <w:color w:val="auto"/>
              </w:rPr>
            </w:pPr>
            <w:r>
              <w:rPr>
                <w:rFonts w:ascii="Arial" w:cs="Arial" w:eastAsia="Arial" w:hAnsi="Arial"/>
                <w:sz w:val="12"/>
                <w:szCs w:val="12"/>
                <w:color w:val="auto"/>
              </w:rPr>
              <w:t>Total</w:t>
            </w: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37,155</w:t>
            </w:r>
          </w:p>
        </w:tc>
        <w:tc>
          <w:tcPr>
            <w:tcW w:w="100" w:type="dxa"/>
            <w:vAlign w:val="bottom"/>
          </w:tcPr>
          <w:p>
            <w:pPr>
              <w:spacing w:after="0"/>
              <w:rPr>
                <w:sz w:val="12"/>
                <w:szCs w:val="1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7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Price Risk Related to our F&amp;G Segment</w:t>
      </w:r>
    </w:p>
    <w:p>
      <w:pPr>
        <w:spacing w:after="0" w:line="113"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5"/>
          <w:szCs w:val="15"/>
          <w:color w:val="auto"/>
        </w:rPr>
        <w:t>Our F&amp;G segment is exposed to equity price risk through certain insurance products. F&amp;G offers a variety of FIA/ IUL contracts with crediting strategies linked to the performance of indices such as the S&amp;P 500 Index, Dow Jones Industrials or the NASDAQ 100 Index, and target volatility indices. Additionally, the estimated cost of providing GMWB on FIA products incorporates various assumptions about the overall performance of equity markets over certain time periods. Periods of significant and sustained downturns in equity markets, increased equity volatility or reduced interest rates could result in an increase in the valuation of the future policy benefit or policyholder account balance liabilities associated with such products, resulting in a reduction in F&amp;G's net earnings. The rate of amortization of intangibles related to FIA/ IUL products and the cost of providing GMWB could also increase if equity market performance is worse than assumed.</w:t>
      </w:r>
    </w:p>
    <w:p>
      <w:pPr>
        <w:spacing w:after="0" w:line="50" w:lineRule="exact"/>
        <w:rPr>
          <w:sz w:val="20"/>
          <w:szCs w:val="20"/>
          <w:color w:val="auto"/>
        </w:rPr>
      </w:pPr>
    </w:p>
    <w:p>
      <w:pPr>
        <w:jc w:val="both"/>
        <w:ind w:firstLine="338"/>
        <w:spacing w:after="0" w:line="275" w:lineRule="auto"/>
        <w:rPr>
          <w:sz w:val="20"/>
          <w:szCs w:val="20"/>
          <w:color w:val="auto"/>
        </w:rPr>
      </w:pPr>
      <w:r>
        <w:rPr>
          <w:rFonts w:ascii="Arial" w:cs="Arial" w:eastAsia="Arial" w:hAnsi="Arial"/>
          <w:sz w:val="14"/>
          <w:szCs w:val="14"/>
          <w:color w:val="auto"/>
        </w:rPr>
        <w:t>To economically hedge the equity returns on these products, F&amp;G purchases derivatives to hedge the FIA and IUL equity exposures. The primary way F&amp;G hedges FIA/ IUL equity exposure is to purchase over the counter equity index call options from broker-dealer derivative counterparties approved by F&amp;G. The second way to hedge FIA equity exposure is by purchasing exchange traded equity index futures contracts. This hedging strategy enables F&amp;G to reduce the overall hedging costs and achieve a high correlation of returns on the call options purchased relative to the index credits earned by the FIA/ IUL contractholders. The majority of the call options are one-year options purchased to match the funding requirements underlying the FIA/ IUL contracts. These hedge programs are limited to the current policy term of the FIA/ IUL contracts. Future returns, which may be reflected in FIA/ IUL contracts’ credited rates beyond the current policy term, are not hedged. F&amp;G attempts to manage the costs of these purchases through the terms of its FIA/ IUL contracts, which permit F&amp;G to change cap, spread or participation rates, subject to certain guaranteed minimums that must be maintained.</w:t>
      </w:r>
    </w:p>
    <w:p>
      <w:pPr>
        <w:spacing w:after="0" w:line="38"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The derivatives are used to fund the FIA/ IUL contract index credits and the cost of the call options purchased is treated as a component of spread earnings. While the FIA/ IUL hedging program does not explicitly hedge GAAP income volatility, the FIA/ IUL hedging program tends to mitigate a significant portion of the GAAP reserve changes associated with movements in the equity market. This is due to the fact that a key component in the calculation of GAAP reserves is the market valuation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9" w:name="page90"/>
    <w:bookmarkEnd w:id="8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current term embedded derivative. Due to the alignment of the embedded derivative reserve component with hedging of this same embedded derivative, there should be a reasonable match between changes in this component of the reserve and changes in the assets backing this component of the reserve. However, there may be an interim mismatch due to the fact that the hedges, which are put in place are only intended to cover exposures expected to remain until the end of an indexing term. To the extent index credits earned by the contractholder exceed the proceeds from option expirations and futures income, F&amp;G incurs a raw hedging loss.</w:t>
      </w:r>
    </w:p>
    <w:p>
      <w:pPr>
        <w:spacing w:after="0" w:line="47"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 xml:space="preserve">See Note F </w:t>
      </w:r>
      <w:r>
        <w:rPr>
          <w:rFonts w:ascii="Arial" w:cs="Arial" w:eastAsia="Arial" w:hAnsi="Arial"/>
          <w:sz w:val="15"/>
          <w:szCs w:val="15"/>
          <w:i w:val="1"/>
          <w:iCs w:val="1"/>
          <w:color w:val="auto"/>
        </w:rPr>
        <w:t>Derivative Financial Instruments</w:t>
      </w:r>
      <w:r>
        <w:rPr>
          <w:rFonts w:ascii="Arial" w:cs="Arial" w:eastAsia="Arial" w:hAnsi="Arial"/>
          <w:sz w:val="15"/>
          <w:szCs w:val="15"/>
          <w:color w:val="auto"/>
        </w:rPr>
        <w:t xml:space="preserve"> in the Consolidated Financial Statements included in Item 8 of Part II of this Annual Report for additional details on the derivatives portfolio.</w:t>
      </w:r>
    </w:p>
    <w:p>
      <w:pPr>
        <w:spacing w:after="0" w:line="34"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5"/>
          <w:szCs w:val="15"/>
          <w:color w:val="auto"/>
        </w:rPr>
        <w:t>Fair value changes associated with these investments are intended to, but do not always, substantially offset the increase or decrease in the amounts added to policyholder account balances for indexed products. When index credits to policyholders exceed option proceeds received at expiration related to such credits, any shortfall is funded by F&amp;G's net investment spread earnings and futures income. See "Non-GAAP Financial Measures" for further information. For the year ended December 31, 2021 and the seven months ended December 31, 2020, the annual index credits to policyholders on their anniversaries were $628 million and $178 million, respectively. Proceeds received at expiration on options related to such credits were $702 million and $185 million, respectively.</w:t>
      </w:r>
    </w:p>
    <w:p>
      <w:pPr>
        <w:spacing w:after="0" w:line="49" w:lineRule="exact"/>
        <w:rPr>
          <w:sz w:val="20"/>
          <w:szCs w:val="20"/>
          <w:color w:val="auto"/>
        </w:rPr>
      </w:pPr>
    </w:p>
    <w:p>
      <w:pPr>
        <w:jc w:val="both"/>
        <w:ind w:firstLine="338"/>
        <w:spacing w:after="0" w:line="321" w:lineRule="auto"/>
        <w:rPr>
          <w:sz w:val="20"/>
          <w:szCs w:val="20"/>
          <w:color w:val="auto"/>
        </w:rPr>
      </w:pPr>
      <w:r>
        <w:rPr>
          <w:rFonts w:ascii="Arial" w:cs="Arial" w:eastAsia="Arial" w:hAnsi="Arial"/>
          <w:sz w:val="13"/>
          <w:szCs w:val="13"/>
          <w:color w:val="auto"/>
        </w:rPr>
        <w:t>Other market exposures are hedged periodically depending on market conditions and our risk tolerance. The FIA/ IUL hedging strategy economically hedges the equity returns and exposes us to the risk that unhedged market exposures result in divergence between changes in the fair value of the liabilities and the hedging assets. F&amp;G uses a variety of techniques, including direct estimation of market sensitivities, to monitor this risk daily. F&amp;G intends to continue to adjust the hedging strategy as market conditions and risk tolerance change.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Risk and Counterparty Risk Related to our F&amp;G Segment</w:t>
      </w:r>
    </w:p>
    <w:p>
      <w:pPr>
        <w:spacing w:after="0" w:line="147"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4"/>
          <w:szCs w:val="14"/>
          <w:color w:val="auto"/>
        </w:rPr>
        <w:t>Our F&amp;G segment is exposed to the risk that a counterparty will default on its contractual obligation resulting in financial loss. F&amp;G's major source of credit risk arises predominantly in its insurance operations’ portfolios of debt and similar securities. The fair value of F&amp;G's fixed maturity portfolio totaled $30 billion and $25 billion at December 31, 2021 and 2020, respectively. F&amp;G's credit risk materializes primarily as impairment losses. F&amp;G is exposed to occasional cyclical economic downturns, during which impairment losses may be significantly higher than the long-term historical average. This is offset by years where it expects the actual impairment losses to be substantially lower than the long-term average. Credit risk in the portfolio can also materialize as increased capital requirements as assets migrate into lower credit qualities over time. The effect of rating migration on its capital requirements is also dependent on the economic cycle and increased asset impairment levels may go hand in hand with increased asset related capital requirements.</w:t>
      </w:r>
    </w:p>
    <w:p>
      <w:pPr>
        <w:spacing w:after="0" w:line="34"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5"/>
          <w:szCs w:val="15"/>
          <w:color w:val="auto"/>
        </w:rPr>
        <w:t>F&amp;G attempts to manage the risk of default and rating migration by applying disciplined credit evaluation and underwriting standards and limiting allocations to lower quality, higher risk investments. In addition, F&amp;G diversifies exposure by issuer and country, using rating based issuer and country limits. F&amp;G also sets investment constraints that limit our exposure by industry segment. To limit the impact that credit risk can have on earnings and capital adequacy levels, F&amp;G has portfolio-level credit risk constraints in place. Limit compliance is monitored on a monthly or, in some cases, daily basis.</w:t>
      </w:r>
    </w:p>
    <w:p>
      <w:pPr>
        <w:spacing w:after="0" w:line="47"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5"/>
          <w:szCs w:val="15"/>
          <w:color w:val="auto"/>
        </w:rPr>
        <w:t xml:space="preserve">In connection with the use of call options, F&amp;G is exposed to counterparty credit risk-the risk that a counterparty fails to perform under the terms of the derivative contract. F&amp;G has adopted a policy of only dealing with credit worthy counterparties and obtaining sufficient collateral where appropriate, as a means of attempting to mitigate the financial loss from defaults. The exposure and credit rating of the counterparties are continuously monitored and the aggregate value of transactions concluded is spread amongst different approved counterparties to limit the concentration in one counterparty. This policy allows for the purchase of derivative instruments from counterparties and/or clearinghouses that meet the required qualifications under the Iowa Code. F&amp;G reviews the ratings of all the counterparties periodically. Collateral support documents are negotiated to further reduce the exposure when deemed necessary. See Note F </w:t>
      </w:r>
      <w:r>
        <w:rPr>
          <w:rFonts w:ascii="Arial" w:cs="Arial" w:eastAsia="Arial" w:hAnsi="Arial"/>
          <w:sz w:val="15"/>
          <w:szCs w:val="15"/>
          <w:i w:val="1"/>
          <w:iCs w:val="1"/>
          <w:color w:val="auto"/>
        </w:rPr>
        <w:t>Derivative Financial Instruments</w:t>
      </w:r>
      <w:r>
        <w:rPr>
          <w:rFonts w:ascii="Arial" w:cs="Arial" w:eastAsia="Arial" w:hAnsi="Arial"/>
          <w:sz w:val="15"/>
          <w:szCs w:val="15"/>
          <w:color w:val="auto"/>
        </w:rPr>
        <w:t xml:space="preserve"> in the Consolidated Financial Statements included in Item 8 of Part II of this Annual Report for additional information regarding our exposure to credit loss.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0" w:name="page91"/>
    <w:bookmarkEnd w:id="9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5"/>
          <w:szCs w:val="15"/>
          <w:color w:val="auto"/>
        </w:rPr>
        <w:t>F&amp;G also has credit risk related to the ability of reinsurance counterparties to honor their obligations to pay the contract amounts under various agreements. To minimize the risk of credit loss on such contracts, F&amp;G diversifies exposures among many reinsurers and limits the amount of exposure to each based on credit rating. F&amp;G also generally limits selection of counterparties with which to do new transactions to those with an “A-” credit rating or above and/or that are appropriately collateralized and provide credit for reinsurance. When exceptions are made to that principle, F&amp;G ensures that collateral is obtained to mitigate risk of loss. The following table presents F&amp;G's reinsurance recoverable balances and financial strength ratings for our five largest reinsurance recoverable balances as of December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40" w:type="dxa"/>
            <w:vAlign w:val="bottom"/>
            <w:gridSpan w:val="2"/>
          </w:tcPr>
          <w:p>
            <w:pPr>
              <w:spacing w:after="0"/>
              <w:rPr>
                <w:sz w:val="20"/>
                <w:szCs w:val="20"/>
                <w:color w:val="auto"/>
              </w:rPr>
            </w:pPr>
            <w:r>
              <w:rPr>
                <w:rFonts w:ascii="Arial" w:cs="Arial" w:eastAsia="Arial" w:hAnsi="Arial"/>
                <w:sz w:val="12"/>
                <w:szCs w:val="12"/>
                <w:b w:val="1"/>
                <w:bCs w:val="1"/>
                <w:color w:val="auto"/>
              </w:rPr>
              <w:t>(Dollars in millions)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ind w:left="680"/>
              <w:spacing w:after="0"/>
              <w:rPr>
                <w:sz w:val="20"/>
                <w:szCs w:val="20"/>
                <w:color w:val="auto"/>
              </w:rPr>
            </w:pPr>
            <w:r>
              <w:rPr>
                <w:rFonts w:ascii="Arial" w:cs="Arial" w:eastAsia="Arial" w:hAnsi="Arial"/>
                <w:sz w:val="12"/>
                <w:szCs w:val="12"/>
                <w:b w:val="1"/>
                <w:bCs w:val="1"/>
                <w:color w:val="auto"/>
              </w:rPr>
              <w:t>Financial Strength Rating</w:t>
            </w: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Parent Company/Principal Reinsurers</w:t>
            </w:r>
          </w:p>
        </w:tc>
        <w:tc>
          <w:tcPr>
            <w:tcW w:w="138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Reinsurance</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1"/>
              </w:rPr>
              <w:t>AM Best</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7"/>
              </w:rPr>
              <w:t>S&amp;P</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0"/>
              </w:rPr>
              <w:t>Fitch</w:t>
            </w:r>
          </w:p>
        </w:tc>
        <w:tc>
          <w:tcPr>
            <w:tcW w:w="12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Moody's</w:t>
            </w:r>
          </w:p>
        </w:tc>
        <w:tc>
          <w:tcPr>
            <w:tcW w:w="0" w:type="dxa"/>
            <w:vAlign w:val="bottom"/>
          </w:tcPr>
          <w:p>
            <w:pPr>
              <w:spacing w:after="0"/>
              <w:rPr>
                <w:sz w:val="1"/>
                <w:szCs w:val="1"/>
                <w:color w:val="auto"/>
              </w:rPr>
            </w:pPr>
          </w:p>
        </w:tc>
      </w:tr>
      <w:tr>
        <w:trPr>
          <w:trHeight w:val="157"/>
        </w:trPr>
        <w:tc>
          <w:tcPr>
            <w:tcW w:w="4440" w:type="dxa"/>
            <w:vAlign w:val="bottom"/>
            <w:gridSpan w:val="2"/>
            <w:vMerge w:val="continue"/>
          </w:tcPr>
          <w:p>
            <w:pPr>
              <w:spacing w:after="0"/>
              <w:rPr>
                <w:sz w:val="13"/>
                <w:szCs w:val="13"/>
                <w:color w:val="auto"/>
              </w:rPr>
            </w:pPr>
          </w:p>
        </w:tc>
        <w:tc>
          <w:tcPr>
            <w:tcW w:w="1380" w:type="dxa"/>
            <w:vAlign w:val="bottom"/>
            <w:gridSpan w:val="2"/>
          </w:tcPr>
          <w:p>
            <w:pPr>
              <w:ind w:left="320"/>
              <w:spacing w:after="0"/>
              <w:rPr>
                <w:sz w:val="20"/>
                <w:szCs w:val="20"/>
                <w:color w:val="auto"/>
              </w:rPr>
            </w:pPr>
            <w:r>
              <w:rPr>
                <w:rFonts w:ascii="Arial" w:cs="Arial" w:eastAsia="Arial" w:hAnsi="Arial"/>
                <w:sz w:val="12"/>
                <w:szCs w:val="12"/>
                <w:b w:val="1"/>
                <w:bCs w:val="1"/>
                <w:color w:val="auto"/>
              </w:rPr>
              <w:t>Recoverable</w:t>
            </w:r>
          </w:p>
        </w:tc>
        <w:tc>
          <w:tcPr>
            <w:tcW w:w="138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Wilton Reinsurance Company</w:t>
            </w:r>
          </w:p>
        </w:tc>
        <w:tc>
          <w:tcPr>
            <w:tcW w:w="10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7"/>
              </w:rPr>
              <w:t>$1,269</w:t>
            </w:r>
          </w:p>
        </w:tc>
        <w:tc>
          <w:tcPr>
            <w:tcW w:w="10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A+</w:t>
            </w:r>
          </w:p>
        </w:tc>
        <w:tc>
          <w:tcPr>
            <w:tcW w:w="10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2"/>
              </w:rPr>
              <w:t>not rated</w:t>
            </w: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2"/>
              </w:rPr>
              <w:t>A+</w:t>
            </w:r>
          </w:p>
        </w:tc>
        <w:tc>
          <w:tcPr>
            <w:tcW w:w="10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8"/>
              </w:rPr>
              <w:t>not rated</w:t>
            </w:r>
          </w:p>
        </w:tc>
        <w:tc>
          <w:tcPr>
            <w:tcW w:w="0" w:type="dxa"/>
            <w:vAlign w:val="bottom"/>
          </w:tcPr>
          <w:p>
            <w:pPr>
              <w:spacing w:after="0"/>
              <w:rPr>
                <w:sz w:val="1"/>
                <w:szCs w:val="1"/>
                <w:color w:val="auto"/>
              </w:rPr>
            </w:pPr>
          </w:p>
        </w:tc>
      </w:tr>
      <w:tr>
        <w:trPr>
          <w:trHeight w:val="155"/>
        </w:trPr>
        <w:tc>
          <w:tcPr>
            <w:tcW w:w="4440" w:type="dxa"/>
            <w:vAlign w:val="bottom"/>
            <w:gridSpan w:val="2"/>
          </w:tcPr>
          <w:p>
            <w:pPr>
              <w:spacing w:after="0"/>
              <w:rPr>
                <w:sz w:val="20"/>
                <w:szCs w:val="20"/>
                <w:color w:val="auto"/>
              </w:rPr>
            </w:pPr>
            <w:r>
              <w:rPr>
                <w:rFonts w:ascii="Arial" w:cs="Arial" w:eastAsia="Arial" w:hAnsi="Arial"/>
                <w:sz w:val="12"/>
                <w:szCs w:val="12"/>
                <w:color w:val="auto"/>
              </w:rPr>
              <w:t>Aspida Re</w:t>
            </w: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873</w:t>
            </w:r>
          </w:p>
        </w:tc>
        <w:tc>
          <w:tcPr>
            <w:tcW w:w="10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A-</w:t>
            </w:r>
          </w:p>
        </w:tc>
        <w:tc>
          <w:tcPr>
            <w:tcW w:w="138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not rated</w:t>
            </w:r>
          </w:p>
        </w:tc>
        <w:tc>
          <w:tcPr>
            <w:tcW w:w="140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BBB</w:t>
            </w:r>
          </w:p>
        </w:tc>
        <w:tc>
          <w:tcPr>
            <w:tcW w:w="1280" w:type="dxa"/>
            <w:vAlign w:val="bottom"/>
          </w:tcPr>
          <w:p>
            <w:pPr>
              <w:jc w:val="center"/>
              <w:spacing w:after="0"/>
              <w:rPr>
                <w:sz w:val="20"/>
                <w:szCs w:val="20"/>
                <w:color w:val="auto"/>
              </w:rPr>
            </w:pPr>
            <w:r>
              <w:rPr>
                <w:rFonts w:ascii="Arial" w:cs="Arial" w:eastAsia="Arial" w:hAnsi="Arial"/>
                <w:sz w:val="12"/>
                <w:szCs w:val="12"/>
                <w:color w:val="auto"/>
                <w:w w:val="88"/>
              </w:rPr>
              <w:t>not rated</w:t>
            </w:r>
          </w:p>
        </w:tc>
        <w:tc>
          <w:tcPr>
            <w:tcW w:w="0" w:type="dxa"/>
            <w:vAlign w:val="bottom"/>
          </w:tcPr>
          <w:p>
            <w:pPr>
              <w:spacing w:after="0"/>
              <w:rPr>
                <w:sz w:val="1"/>
                <w:szCs w:val="1"/>
                <w:color w:val="auto"/>
              </w:rPr>
            </w:pPr>
          </w:p>
        </w:tc>
      </w:tr>
      <w:tr>
        <w:trPr>
          <w:trHeight w:val="160"/>
        </w:trPr>
        <w:tc>
          <w:tcPr>
            <w:tcW w:w="4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Somerset</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780</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A-</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rPr>
              <w:t>BBB+</w:t>
            </w:r>
          </w:p>
        </w:tc>
        <w:tc>
          <w:tcPr>
            <w:tcW w:w="14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8"/>
              </w:rPr>
              <w:t>not rated</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not rated</w:t>
            </w:r>
          </w:p>
        </w:tc>
        <w:tc>
          <w:tcPr>
            <w:tcW w:w="0" w:type="dxa"/>
            <w:vAlign w:val="bottom"/>
          </w:tcPr>
          <w:p>
            <w:pPr>
              <w:spacing w:after="0"/>
              <w:rPr>
                <w:sz w:val="1"/>
                <w:szCs w:val="1"/>
                <w:color w:val="auto"/>
              </w:rPr>
            </w:pPr>
          </w:p>
        </w:tc>
      </w:tr>
      <w:tr>
        <w:trPr>
          <w:trHeight w:val="155"/>
        </w:trPr>
        <w:tc>
          <w:tcPr>
            <w:tcW w:w="4440" w:type="dxa"/>
            <w:vAlign w:val="bottom"/>
            <w:gridSpan w:val="2"/>
          </w:tcPr>
          <w:p>
            <w:pPr>
              <w:spacing w:after="0"/>
              <w:rPr>
                <w:sz w:val="20"/>
                <w:szCs w:val="20"/>
                <w:color w:val="auto"/>
              </w:rPr>
            </w:pPr>
            <w:r>
              <w:rPr>
                <w:rFonts w:ascii="Arial" w:cs="Arial" w:eastAsia="Arial" w:hAnsi="Arial"/>
                <w:sz w:val="12"/>
                <w:szCs w:val="12"/>
                <w:color w:val="auto"/>
              </w:rPr>
              <w:t>Security Life of Denver Insurance Company</w:t>
            </w: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102</w:t>
            </w:r>
          </w:p>
        </w:tc>
        <w:tc>
          <w:tcPr>
            <w:tcW w:w="100" w:type="dxa"/>
            <w:vAlign w:val="bottom"/>
          </w:tcPr>
          <w:p>
            <w:pPr>
              <w:spacing w:after="0"/>
              <w:rPr>
                <w:sz w:val="13"/>
                <w:szCs w:val="13"/>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2"/>
                <w:szCs w:val="12"/>
                <w:color w:val="auto"/>
                <w:w w:val="92"/>
              </w:rPr>
              <w:t>not rated</w:t>
            </w:r>
          </w:p>
        </w:tc>
        <w:tc>
          <w:tcPr>
            <w:tcW w:w="1380" w:type="dxa"/>
            <w:vAlign w:val="bottom"/>
            <w:gridSpan w:val="2"/>
          </w:tcPr>
          <w:p>
            <w:pPr>
              <w:jc w:val="center"/>
              <w:ind w:right="60"/>
              <w:spacing w:after="0"/>
              <w:rPr>
                <w:sz w:val="20"/>
                <w:szCs w:val="20"/>
                <w:color w:val="auto"/>
              </w:rPr>
            </w:pPr>
            <w:r>
              <w:rPr>
                <w:rFonts w:ascii="Arial" w:cs="Arial" w:eastAsia="Arial" w:hAnsi="Arial"/>
                <w:sz w:val="12"/>
                <w:szCs w:val="12"/>
                <w:color w:val="auto"/>
                <w:w w:val="99"/>
              </w:rPr>
              <w:t>A-</w:t>
            </w:r>
          </w:p>
        </w:tc>
        <w:tc>
          <w:tcPr>
            <w:tcW w:w="1400" w:type="dxa"/>
            <w:vAlign w:val="bottom"/>
            <w:gridSpan w:val="2"/>
          </w:tcPr>
          <w:p>
            <w:pPr>
              <w:jc w:val="center"/>
              <w:ind w:right="100"/>
              <w:spacing w:after="0"/>
              <w:rPr>
                <w:sz w:val="20"/>
                <w:szCs w:val="20"/>
                <w:color w:val="auto"/>
              </w:rPr>
            </w:pPr>
            <w:r>
              <w:rPr>
                <w:rFonts w:ascii="Arial" w:cs="Arial" w:eastAsia="Arial" w:hAnsi="Arial"/>
                <w:sz w:val="12"/>
                <w:szCs w:val="12"/>
                <w:color w:val="auto"/>
              </w:rPr>
              <w:t>A-</w:t>
            </w:r>
          </w:p>
        </w:tc>
        <w:tc>
          <w:tcPr>
            <w:tcW w:w="1280" w:type="dxa"/>
            <w:vAlign w:val="bottom"/>
          </w:tcPr>
          <w:p>
            <w:pPr>
              <w:jc w:val="center"/>
              <w:spacing w:after="0"/>
              <w:rPr>
                <w:sz w:val="20"/>
                <w:szCs w:val="20"/>
                <w:color w:val="auto"/>
              </w:rPr>
            </w:pPr>
            <w:r>
              <w:rPr>
                <w:rFonts w:ascii="Arial" w:cs="Arial" w:eastAsia="Arial" w:hAnsi="Arial"/>
                <w:sz w:val="12"/>
                <w:szCs w:val="12"/>
                <w:color w:val="auto"/>
                <w:w w:val="85"/>
              </w:rPr>
              <w:t>Baa1</w:t>
            </w:r>
          </w:p>
        </w:tc>
        <w:tc>
          <w:tcPr>
            <w:tcW w:w="0" w:type="dxa"/>
            <w:vAlign w:val="bottom"/>
          </w:tcPr>
          <w:p>
            <w:pPr>
              <w:spacing w:after="0"/>
              <w:rPr>
                <w:sz w:val="1"/>
                <w:szCs w:val="1"/>
                <w:color w:val="auto"/>
              </w:rPr>
            </w:pPr>
          </w:p>
        </w:tc>
      </w:tr>
      <w:tr>
        <w:trPr>
          <w:trHeight w:val="160"/>
        </w:trPr>
        <w:tc>
          <w:tcPr>
            <w:tcW w:w="4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London Life</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102</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rPr>
              <w:t>A+</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not rated</w:t>
            </w:r>
          </w:p>
        </w:tc>
        <w:tc>
          <w:tcPr>
            <w:tcW w:w="14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8"/>
              </w:rPr>
              <w:t>not rated</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not rated</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In the normal course of business, certain reinsurance recoverables are subject to reviews by the reinsurers. We are not aware of any material disputes arising from these reviews or other communications with the counterparties as of December 31, 2021 that would require an allowance for uncollectible amounts.</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For information on concentrations of reinsurance risk, refer to Note O </w:t>
      </w:r>
      <w:r>
        <w:rPr>
          <w:rFonts w:ascii="Arial" w:cs="Arial" w:eastAsia="Arial" w:hAnsi="Arial"/>
          <w:sz w:val="14"/>
          <w:szCs w:val="14"/>
          <w:i w:val="1"/>
          <w:iCs w:val="1"/>
          <w:color w:val="auto"/>
        </w:rPr>
        <w:t>Reinsurance</w:t>
      </w:r>
      <w:r>
        <w:rPr>
          <w:rFonts w:ascii="Arial" w:cs="Arial" w:eastAsia="Arial" w:hAnsi="Arial"/>
          <w:sz w:val="14"/>
          <w:szCs w:val="14"/>
          <w:color w:val="auto"/>
        </w:rPr>
        <w:t xml:space="preserve"> in the Consolidated Financial Statements included in Item 8 of Part II of this Annual Report</w:t>
      </w:r>
      <w:r>
        <w:rPr>
          <w:rFonts w:ascii="Arial" w:cs="Arial" w:eastAsia="Arial" w:hAnsi="Arial"/>
          <w:sz w:val="14"/>
          <w:szCs w:val="14"/>
          <w:i w:val="1"/>
          <w:iCs w:val="1"/>
          <w:color w:val="auto"/>
        </w:rPr>
        <w:t>.</w:t>
      </w:r>
    </w:p>
    <w:p>
      <w:pPr>
        <w:spacing w:after="0" w:line="87" w:lineRule="exact"/>
        <w:rPr>
          <w:sz w:val="20"/>
          <w:szCs w:val="20"/>
          <w:color w:val="auto"/>
        </w:rPr>
      </w:pPr>
    </w:p>
    <w:p>
      <w:pPr>
        <w:jc w:val="both"/>
        <w:ind w:right="20" w:firstLine="338"/>
        <w:spacing w:after="0" w:line="274" w:lineRule="auto"/>
        <w:rPr>
          <w:sz w:val="20"/>
          <w:szCs w:val="20"/>
          <w:color w:val="auto"/>
        </w:rPr>
      </w:pPr>
      <w:r>
        <w:rPr>
          <w:rFonts w:ascii="Arial" w:cs="Arial" w:eastAsia="Arial" w:hAnsi="Arial"/>
          <w:sz w:val="15"/>
          <w:szCs w:val="15"/>
          <w:color w:val="auto"/>
        </w:rPr>
        <w:t xml:space="preserve">For information on counter party risk associated with our title business, refer to Note H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xml:space="preserve"> in the Consolidated Financial Statements included in Item 8 of Part II of this Annual Report</w:t>
      </w:r>
      <w:r>
        <w:rPr>
          <w:rFonts w:ascii="Arial" w:cs="Arial" w:eastAsia="Arial" w:hAnsi="Arial"/>
          <w:sz w:val="15"/>
          <w:szCs w:val="15"/>
          <w:i w:val="1"/>
          <w:iCs w:val="1"/>
          <w:color w:val="auto"/>
        </w:rPr>
        <w:t>.</w:t>
      </w:r>
      <w:r>
        <w:rPr>
          <w:rFonts w:ascii="Arial" w:cs="Arial" w:eastAsia="Arial" w:hAnsi="Arial"/>
          <w:sz w:val="15"/>
          <w:szCs w:val="15"/>
          <w:color w:val="auto"/>
        </w:rPr>
        <w:t>.</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Use of Estimates and Assumptions</w:t>
      </w:r>
    </w:p>
    <w:p>
      <w:pPr>
        <w:spacing w:after="0" w:line="75"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The preparation of our Consolidated Financial Statements included in Item 8 of Part II of this Annual Report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assumptions used.</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Concentrations of Financial Instruments Related to our F&amp;G Segment</w:t>
      </w:r>
    </w:p>
    <w:p>
      <w:pPr>
        <w:spacing w:after="0" w:line="75"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4"/>
          <w:szCs w:val="14"/>
          <w:color w:val="auto"/>
        </w:rPr>
        <w:t>As of December 31, 2021, our F&amp;G segment’s most significant investment in one industry, excluding United States ("U.S.") and Foreign Government securities, was its investment securities in the Banking industry with a fair value of $2,919 million or 8% of the invested assets portfolio and an amortized cost of $2,854 million. As of December 31, 2021, F&amp;G’s holdings in this industry include investments in 132 different issuers with the top ten investments accounting for 37% of the total holdings in this industry. As of December 31, 2021, F&amp;G had one issuer, Blackstone Wave Asset Holdco, in which investments exceeded 10% of shareholders' equity and was F&amp;G's largest concentration in any single issuer with a total fair value of $870 million or 2% of the invested assets portfolio. Blackstone Wave Asset Holdco is a special purpose vehicle that holds investments in numerous limited partnership investments. Those limited partnership investments are further diversified by holding interest in multiple individual investments and industries.</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Concentrations of Financial and Capital Markets Risk Related to our F&amp;G Segment</w:t>
      </w:r>
    </w:p>
    <w:p>
      <w:pPr>
        <w:spacing w:after="0" w:line="75"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4"/>
          <w:szCs w:val="14"/>
          <w:color w:val="auto"/>
        </w:rPr>
        <w:t>Our F&amp;G segment is exposed to financial and capital markets risk, including changes in interest rates and credit spreads, which can have an adverse effect on its results of operations, financial condition and liquidity. Exposure to such financial and capital markets risk relates primarily to the market price and cash flow variability associated with changes in interest rates. A rise in interest rates, in the absence of other countervailing changes, will increase the net unrealized loss position and, if long-term interest rates rise dramatically within a six to twelve month time period, certain of F&amp;G’s products may be exposed to disintermediation risk. Disintermediation risk refers to the risk that policyholders surrender their contracts in a rising interest rate environment, requiring F&amp;G to liquidate assets in an unrealized loss position. We attempt to mitigate the risk, including changes in interest rates by investing in less rate-sensitive investments, including senior tranches of collateralized loan obligations, non-agency residential mortgage-backed securities, and various types of asset backed securities. Management believes this risk is also mitigated to some extent by surrender charge protection provided by F&amp;G’s products. We expect to continue to face these challenges and uncertainties that could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1" w:name="page92"/>
    <w:bookmarkEnd w:id="9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3"/>
          <w:szCs w:val="13"/>
          <w:b w:val="1"/>
          <w:bCs w:val="1"/>
          <w:i w:val="1"/>
          <w:iCs w:val="1"/>
          <w:color w:val="auto"/>
        </w:rPr>
        <w:t>Financial Statements and Supplementary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FINANCIAL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6"/>
          </w:tcPr>
          <w:p>
            <w:pPr>
              <w:jc w:val="center"/>
              <w:ind w:right="60"/>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w w:val="92"/>
              </w:rPr>
              <w:t>Number</w:t>
            </w:r>
          </w:p>
        </w:tc>
        <w:tc>
          <w:tcPr>
            <w:tcW w:w="0" w:type="dxa"/>
            <w:vAlign w:val="bottom"/>
          </w:tcPr>
          <w:p>
            <w:pPr>
              <w:spacing w:after="0"/>
              <w:rPr>
                <w:sz w:val="1"/>
                <w:szCs w:val="1"/>
                <w:color w:val="auto"/>
              </w:rPr>
            </w:pPr>
          </w:p>
        </w:tc>
      </w:tr>
      <w:tr>
        <w:trPr>
          <w:trHeight w:val="138"/>
        </w:trPr>
        <w:tc>
          <w:tcPr>
            <w:tcW w:w="10080" w:type="dxa"/>
            <w:vAlign w:val="bottom"/>
            <w:gridSpan w:val="12"/>
          </w:tcPr>
          <w:p>
            <w:pPr>
              <w:spacing w:after="0" w:line="138" w:lineRule="exact"/>
              <w:rPr>
                <w:rFonts w:ascii="Arial" w:cs="Arial" w:eastAsia="Arial" w:hAnsi="Arial"/>
                <w:sz w:val="15"/>
                <w:szCs w:val="15"/>
                <w:color w:val="0000FF"/>
                <w:w w:val="95"/>
              </w:rPr>
            </w:pPr>
            <w:hyperlink w:anchor="page93">
              <w:r>
                <w:rPr>
                  <w:rFonts w:ascii="Arial" w:cs="Arial" w:eastAsia="Arial" w:hAnsi="Arial"/>
                  <w:sz w:val="15"/>
                  <w:szCs w:val="15"/>
                  <w:color w:val="0000FF"/>
                  <w:w w:val="95"/>
                </w:rPr>
                <w:t>Report of Independent Registered Public Accounting Firm on Effectiveness of Internal Control over Financial Reporting (Ernst &amp; Young, LLP, Jacksonville, FL,</w:t>
              </w:r>
            </w:hyperlink>
          </w:p>
        </w:tc>
        <w:tc>
          <w:tcPr>
            <w:tcW w:w="660" w:type="dxa"/>
            <w:vAlign w:val="bottom"/>
            <w:tcBorders>
              <w:top w:val="single" w:sz="8" w:color="auto"/>
            </w:tcBorders>
            <w:gridSpan w:val="3"/>
            <w:vMerge w:val="restart"/>
          </w:tcPr>
          <w:p>
            <w:pPr>
              <w:jc w:val="center"/>
              <w:ind w:left="428"/>
              <w:spacing w:after="0"/>
              <w:rPr>
                <w:rFonts w:ascii="Arial" w:cs="Arial" w:eastAsia="Arial" w:hAnsi="Arial"/>
                <w:sz w:val="15"/>
                <w:szCs w:val="15"/>
                <w:color w:val="0000FF"/>
                <w:w w:val="95"/>
              </w:rPr>
            </w:pPr>
            <w:hyperlink w:anchor="page93">
              <w:r>
                <w:rPr>
                  <w:rFonts w:ascii="Arial" w:cs="Arial" w:eastAsia="Arial" w:hAnsi="Arial"/>
                  <w:sz w:val="15"/>
                  <w:szCs w:val="15"/>
                  <w:color w:val="0000FF"/>
                  <w:w w:val="95"/>
                </w:rPr>
                <w:t>91</w:t>
              </w:r>
            </w:hyperlink>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680" w:type="dxa"/>
            <w:vAlign w:val="bottom"/>
            <w:tcBorders>
              <w:top w:val="single" w:sz="8" w:color="0000FF"/>
            </w:tcBorders>
            <w:gridSpan w:val="11"/>
          </w:tcPr>
          <w:p>
            <w:pPr>
              <w:spacing w:after="0" w:line="127" w:lineRule="exact"/>
              <w:rPr>
                <w:rFonts w:ascii="Arial" w:cs="Arial" w:eastAsia="Arial" w:hAnsi="Arial"/>
                <w:sz w:val="14"/>
                <w:szCs w:val="14"/>
                <w:color w:val="0000FF"/>
              </w:rPr>
            </w:pPr>
            <w:hyperlink w:anchor="page93">
              <w:r>
                <w:rPr>
                  <w:rFonts w:ascii="Arial" w:cs="Arial" w:eastAsia="Arial" w:hAnsi="Arial"/>
                  <w:sz w:val="14"/>
                  <w:szCs w:val="14"/>
                  <w:color w:val="0000FF"/>
                </w:rPr>
                <w:t>Auditor Firm ID</w:t>
              </w:r>
              <w:r>
                <w:rPr>
                  <w:rFonts w:ascii="Arial" w:cs="Arial" w:eastAsia="Arial" w:hAnsi="Arial"/>
                  <w:sz w:val="14"/>
                  <w:szCs w:val="14"/>
                  <w:color w:val="0E32E1"/>
                </w:rPr>
                <w:t>:42)</w:t>
              </w:r>
            </w:hyperlink>
          </w:p>
        </w:tc>
        <w:tc>
          <w:tcPr>
            <w:tcW w:w="400" w:type="dxa"/>
            <w:vAlign w:val="bottom"/>
          </w:tcPr>
          <w:p>
            <w:pPr>
              <w:spacing w:after="0"/>
              <w:rPr>
                <w:sz w:val="10"/>
                <w:szCs w:val="10"/>
                <w:color w:val="auto"/>
              </w:rPr>
            </w:pPr>
          </w:p>
        </w:tc>
        <w:tc>
          <w:tcPr>
            <w:tcW w:w="660" w:type="dxa"/>
            <w:vAlign w:val="bottom"/>
            <w:tcBorders>
              <w:top w:val="single" w:sz="8" w:color="auto"/>
            </w:tcBorders>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0080" w:type="dxa"/>
            <w:vAlign w:val="bottom"/>
            <w:gridSpan w:val="12"/>
          </w:tcPr>
          <w:p>
            <w:pPr>
              <w:spacing w:after="0"/>
              <w:rPr>
                <w:rFonts w:ascii="Arial" w:cs="Arial" w:eastAsia="Arial" w:hAnsi="Arial"/>
                <w:sz w:val="15"/>
                <w:szCs w:val="15"/>
                <w:color w:val="0000FF"/>
                <w:w w:val="97"/>
              </w:rPr>
            </w:pPr>
            <w:hyperlink w:anchor="page94">
              <w:r>
                <w:rPr>
                  <w:rFonts w:ascii="Arial" w:cs="Arial" w:eastAsia="Arial" w:hAnsi="Arial"/>
                  <w:sz w:val="15"/>
                  <w:szCs w:val="15"/>
                  <w:color w:val="0000FF"/>
                  <w:w w:val="97"/>
                </w:rPr>
                <w:t>Report of Independent Registered Public Accounting Firm on Consolidated Financial Statements (Ernst &amp; Young, LLP, Jacksonville, FL, Auditor Firm ID</w:t>
              </w:r>
              <w:r>
                <w:rPr>
                  <w:rFonts w:ascii="Arial" w:cs="Arial" w:eastAsia="Arial" w:hAnsi="Arial"/>
                  <w:sz w:val="15"/>
                  <w:szCs w:val="15"/>
                  <w:color w:val="0E32E1"/>
                  <w:w w:val="97"/>
                </w:rPr>
                <w:t xml:space="preserve">: </w:t>
              </w:r>
            </w:hyperlink>
            <w:r>
              <w:rPr>
                <w:rFonts w:ascii="Arial" w:cs="Arial" w:eastAsia="Arial" w:hAnsi="Arial"/>
                <w:sz w:val="15"/>
                <w:szCs w:val="15"/>
                <w:color w:val="0000FF"/>
                <w:w w:val="97"/>
              </w:rPr>
              <w:t>42)</w:t>
            </w:r>
          </w:p>
        </w:tc>
        <w:tc>
          <w:tcPr>
            <w:tcW w:w="660" w:type="dxa"/>
            <w:vAlign w:val="bottom"/>
            <w:gridSpan w:val="3"/>
          </w:tcPr>
          <w:p>
            <w:pPr>
              <w:jc w:val="center"/>
              <w:ind w:left="428"/>
              <w:spacing w:after="0"/>
              <w:rPr>
                <w:rFonts w:ascii="Arial" w:cs="Arial" w:eastAsia="Arial" w:hAnsi="Arial"/>
                <w:sz w:val="15"/>
                <w:szCs w:val="15"/>
                <w:color w:val="0000FF"/>
                <w:w w:val="95"/>
              </w:rPr>
            </w:pPr>
            <w:hyperlink w:anchor="page94">
              <w:r>
                <w:rPr>
                  <w:rFonts w:ascii="Arial" w:cs="Arial" w:eastAsia="Arial" w:hAnsi="Arial"/>
                  <w:sz w:val="15"/>
                  <w:szCs w:val="15"/>
                  <w:color w:val="0000FF"/>
                  <w:w w:val="95"/>
                </w:rPr>
                <w:t>92</w:t>
              </w:r>
            </w:hyperlink>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280" w:type="dxa"/>
            <w:vAlign w:val="bottom"/>
            <w:gridSpan w:val="9"/>
          </w:tcPr>
          <w:p>
            <w:pPr>
              <w:spacing w:after="0"/>
              <w:rPr>
                <w:rFonts w:ascii="Arial" w:cs="Arial" w:eastAsia="Arial" w:hAnsi="Arial"/>
                <w:sz w:val="15"/>
                <w:szCs w:val="15"/>
                <w:color w:val="0000FF"/>
              </w:rPr>
            </w:pPr>
            <w:hyperlink w:anchor="page97">
              <w:r>
                <w:rPr>
                  <w:rFonts w:ascii="Arial" w:cs="Arial" w:eastAsia="Arial" w:hAnsi="Arial"/>
                  <w:sz w:val="15"/>
                  <w:szCs w:val="15"/>
                  <w:color w:val="0000FF"/>
                </w:rPr>
                <w:t xml:space="preserve">Consolidated Balance Sheets as of December 31, 2021 and </w:t>
              </w:r>
            </w:hyperlink>
            <w:r>
              <w:rPr>
                <w:rFonts w:ascii="Arial" w:cs="Arial" w:eastAsia="Arial" w:hAnsi="Arial"/>
                <w:sz w:val="15"/>
                <w:szCs w:val="15"/>
                <w:color w:val="0000FF"/>
              </w:rPr>
              <w:t>2020</w:t>
            </w:r>
          </w:p>
        </w:tc>
        <w:tc>
          <w:tcPr>
            <w:tcW w:w="2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660" w:type="dxa"/>
            <w:vAlign w:val="bottom"/>
            <w:gridSpan w:val="3"/>
          </w:tcPr>
          <w:p>
            <w:pPr>
              <w:jc w:val="center"/>
              <w:ind w:left="428"/>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96</w:t>
              </w:r>
            </w:hyperlink>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40" w:type="dxa"/>
            <w:vAlign w:val="bottom"/>
            <w:gridSpan w:val="6"/>
          </w:tcPr>
          <w:p>
            <w:pPr>
              <w:spacing w:after="0"/>
              <w:rPr>
                <w:rFonts w:ascii="Arial" w:cs="Arial" w:eastAsia="Arial" w:hAnsi="Arial"/>
                <w:sz w:val="15"/>
                <w:szCs w:val="15"/>
                <w:color w:val="0000FF"/>
                <w:w w:val="89"/>
              </w:rPr>
            </w:pPr>
            <w:hyperlink w:anchor="page98">
              <w:r>
                <w:rPr>
                  <w:rFonts w:ascii="Arial" w:cs="Arial" w:eastAsia="Arial" w:hAnsi="Arial"/>
                  <w:sz w:val="15"/>
                  <w:szCs w:val="15"/>
                  <w:color w:val="0000FF"/>
                  <w:w w:val="89"/>
                </w:rPr>
                <w:t xml:space="preserve">Consolidated Statements of Earnings for the years ended December 31, </w:t>
              </w:r>
            </w:hyperlink>
            <w:r>
              <w:rPr>
                <w:rFonts w:ascii="Arial" w:cs="Arial" w:eastAsia="Arial" w:hAnsi="Arial"/>
                <w:sz w:val="15"/>
                <w:szCs w:val="15"/>
                <w:color w:val="0000FF"/>
                <w:w w:val="89"/>
              </w:rPr>
              <w:t xml:space="preserve">2021, 2020, </w:t>
            </w:r>
            <w:hyperlink w:anchor="page98">
              <w:r>
                <w:rPr>
                  <w:rFonts w:ascii="Arial" w:cs="Arial" w:eastAsia="Arial" w:hAnsi="Arial"/>
                  <w:sz w:val="15"/>
                  <w:szCs w:val="15"/>
                  <w:color w:val="0000FF"/>
                  <w:w w:val="89"/>
                </w:rPr>
                <w:t>and 2019</w:t>
              </w:r>
            </w:hyperlink>
          </w:p>
        </w:tc>
        <w:tc>
          <w:tcPr>
            <w:tcW w:w="4440" w:type="dxa"/>
            <w:vAlign w:val="bottom"/>
            <w:gridSpan w:val="6"/>
          </w:tcPr>
          <w:p>
            <w:pPr>
              <w:spacing w:after="0"/>
              <w:rPr>
                <w:sz w:val="14"/>
                <w:szCs w:val="14"/>
                <w:color w:val="auto"/>
              </w:rPr>
            </w:pPr>
          </w:p>
        </w:tc>
        <w:tc>
          <w:tcPr>
            <w:tcW w:w="660" w:type="dxa"/>
            <w:vAlign w:val="bottom"/>
            <w:gridSpan w:val="3"/>
          </w:tcPr>
          <w:p>
            <w:pPr>
              <w:jc w:val="center"/>
              <w:ind w:left="428"/>
              <w:spacing w:after="0"/>
              <w:rPr>
                <w:rFonts w:ascii="Arial" w:cs="Arial" w:eastAsia="Arial" w:hAnsi="Arial"/>
                <w:sz w:val="15"/>
                <w:szCs w:val="15"/>
                <w:color w:val="0E32E1"/>
                <w:w w:val="95"/>
              </w:rPr>
            </w:pPr>
            <w:hyperlink w:anchor="page98">
              <w:r>
                <w:rPr>
                  <w:rFonts w:ascii="Arial" w:cs="Arial" w:eastAsia="Arial" w:hAnsi="Arial"/>
                  <w:sz w:val="15"/>
                  <w:szCs w:val="15"/>
                  <w:color w:val="0E32E1"/>
                  <w:w w:val="95"/>
                </w:rPr>
                <w:t>97</w:t>
              </w:r>
            </w:hyperlink>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620" w:type="dxa"/>
            <w:vAlign w:val="bottom"/>
            <w:gridSpan w:val="8"/>
          </w:tcPr>
          <w:p>
            <w:pPr>
              <w:spacing w:after="0"/>
              <w:rPr>
                <w:rFonts w:ascii="Arial" w:cs="Arial" w:eastAsia="Arial" w:hAnsi="Arial"/>
                <w:sz w:val="15"/>
                <w:szCs w:val="15"/>
                <w:color w:val="0000FF"/>
                <w:w w:val="89"/>
              </w:rPr>
            </w:pPr>
            <w:hyperlink w:anchor="page99">
              <w:r>
                <w:rPr>
                  <w:rFonts w:ascii="Arial" w:cs="Arial" w:eastAsia="Arial" w:hAnsi="Arial"/>
                  <w:sz w:val="15"/>
                  <w:szCs w:val="15"/>
                  <w:color w:val="0000FF"/>
                  <w:w w:val="89"/>
                </w:rPr>
                <w:t xml:space="preserve">Consolidated Statements of Comprehensive Earnings for the years ended December 31, </w:t>
              </w:r>
            </w:hyperlink>
            <w:r>
              <w:rPr>
                <w:rFonts w:ascii="Arial" w:cs="Arial" w:eastAsia="Arial" w:hAnsi="Arial"/>
                <w:sz w:val="15"/>
                <w:szCs w:val="15"/>
                <w:color w:val="0000FF"/>
                <w:w w:val="89"/>
              </w:rPr>
              <w:t xml:space="preserve">2021, 2020, </w:t>
            </w:r>
            <w:hyperlink w:anchor="page99">
              <w:r>
                <w:rPr>
                  <w:rFonts w:ascii="Arial" w:cs="Arial" w:eastAsia="Arial" w:hAnsi="Arial"/>
                  <w:sz w:val="15"/>
                  <w:szCs w:val="15"/>
                  <w:color w:val="0000FF"/>
                  <w:w w:val="89"/>
                </w:rPr>
                <w:t>and 2019</w:t>
              </w:r>
            </w:hyperlink>
          </w:p>
        </w:tc>
        <w:tc>
          <w:tcPr>
            <w:tcW w:w="3460" w:type="dxa"/>
            <w:vAlign w:val="bottom"/>
            <w:gridSpan w:val="4"/>
          </w:tcPr>
          <w:p>
            <w:pPr>
              <w:spacing w:after="0"/>
              <w:rPr>
                <w:sz w:val="14"/>
                <w:szCs w:val="14"/>
                <w:color w:val="auto"/>
              </w:rPr>
            </w:pPr>
          </w:p>
        </w:tc>
        <w:tc>
          <w:tcPr>
            <w:tcW w:w="660" w:type="dxa"/>
            <w:vAlign w:val="bottom"/>
            <w:gridSpan w:val="3"/>
          </w:tcPr>
          <w:p>
            <w:pPr>
              <w:jc w:val="center"/>
              <w:ind w:left="428"/>
              <w:spacing w:after="0"/>
              <w:rPr>
                <w:rFonts w:ascii="Arial" w:cs="Arial" w:eastAsia="Arial" w:hAnsi="Arial"/>
                <w:sz w:val="15"/>
                <w:szCs w:val="15"/>
                <w:color w:val="0E32E1"/>
                <w:w w:val="95"/>
              </w:rPr>
            </w:pPr>
            <w:hyperlink w:anchor="page99">
              <w:r>
                <w:rPr>
                  <w:rFonts w:ascii="Arial" w:cs="Arial" w:eastAsia="Arial" w:hAnsi="Arial"/>
                  <w:sz w:val="15"/>
                  <w:szCs w:val="15"/>
                  <w:color w:val="0E32E1"/>
                  <w:w w:val="95"/>
                </w:rPr>
                <w:t>98</w:t>
              </w:r>
            </w:hyperlink>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620" w:type="dxa"/>
            <w:vAlign w:val="bottom"/>
            <w:gridSpan w:val="8"/>
          </w:tcPr>
          <w:p>
            <w:pPr>
              <w:spacing w:after="0"/>
              <w:rPr>
                <w:rFonts w:ascii="Arial" w:cs="Arial" w:eastAsia="Arial" w:hAnsi="Arial"/>
                <w:sz w:val="15"/>
                <w:szCs w:val="15"/>
                <w:color w:val="0000FF"/>
              </w:rPr>
            </w:pPr>
            <w:hyperlink w:anchor="page101">
              <w:r>
                <w:rPr>
                  <w:rFonts w:ascii="Arial" w:cs="Arial" w:eastAsia="Arial" w:hAnsi="Arial"/>
                  <w:sz w:val="15"/>
                  <w:szCs w:val="15"/>
                  <w:color w:val="0000FF"/>
                </w:rPr>
                <w:t xml:space="preserve">Consolidated Statements of Equity for the years ended December 31, </w:t>
              </w:r>
            </w:hyperlink>
            <w:r>
              <w:rPr>
                <w:rFonts w:ascii="Arial" w:cs="Arial" w:eastAsia="Arial" w:hAnsi="Arial"/>
                <w:sz w:val="15"/>
                <w:szCs w:val="15"/>
                <w:color w:val="0000FF"/>
              </w:rPr>
              <w:t xml:space="preserve">2021, 2020, </w:t>
            </w:r>
            <w:hyperlink w:anchor="page101">
              <w:r>
                <w:rPr>
                  <w:rFonts w:ascii="Arial" w:cs="Arial" w:eastAsia="Arial" w:hAnsi="Arial"/>
                  <w:sz w:val="15"/>
                  <w:szCs w:val="15"/>
                  <w:color w:val="0000FF"/>
                </w:rPr>
                <w:t>and 2019</w:t>
              </w:r>
            </w:hyperlink>
          </w:p>
        </w:tc>
        <w:tc>
          <w:tcPr>
            <w:tcW w:w="3460" w:type="dxa"/>
            <w:vAlign w:val="bottom"/>
            <w:gridSpan w:val="4"/>
          </w:tcPr>
          <w:p>
            <w:pPr>
              <w:spacing w:after="0"/>
              <w:rPr>
                <w:sz w:val="14"/>
                <w:szCs w:val="14"/>
                <w:color w:val="auto"/>
              </w:rPr>
            </w:pPr>
          </w:p>
        </w:tc>
        <w:tc>
          <w:tcPr>
            <w:tcW w:w="660" w:type="dxa"/>
            <w:vAlign w:val="bottom"/>
            <w:gridSpan w:val="3"/>
          </w:tcPr>
          <w:p>
            <w:pPr>
              <w:jc w:val="center"/>
              <w:ind w:left="428"/>
              <w:spacing w:after="0"/>
              <w:rPr>
                <w:rFonts w:ascii="Arial" w:cs="Arial" w:eastAsia="Arial" w:hAnsi="Arial"/>
                <w:sz w:val="15"/>
                <w:szCs w:val="15"/>
                <w:color w:val="0E32E1"/>
                <w:w w:val="95"/>
              </w:rPr>
            </w:pPr>
            <w:hyperlink w:anchor="page101">
              <w:r>
                <w:rPr>
                  <w:rFonts w:ascii="Arial" w:cs="Arial" w:eastAsia="Arial" w:hAnsi="Arial"/>
                  <w:sz w:val="15"/>
                  <w:szCs w:val="15"/>
                  <w:color w:val="0E32E1"/>
                  <w:w w:val="95"/>
                </w:rPr>
                <w:t>99</w:t>
              </w:r>
            </w:hyperlink>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gridSpan w:val="3"/>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0080" w:type="dxa"/>
            <w:vAlign w:val="bottom"/>
            <w:gridSpan w:val="12"/>
          </w:tcPr>
          <w:p>
            <w:pPr>
              <w:spacing w:after="0"/>
              <w:rPr>
                <w:rFonts w:ascii="Arial" w:cs="Arial" w:eastAsia="Arial" w:hAnsi="Arial"/>
                <w:sz w:val="15"/>
                <w:szCs w:val="15"/>
                <w:color w:val="0000FF"/>
              </w:rPr>
            </w:pPr>
            <w:hyperlink w:anchor="page102">
              <w:r>
                <w:rPr>
                  <w:rFonts w:ascii="Arial" w:cs="Arial" w:eastAsia="Arial" w:hAnsi="Arial"/>
                  <w:sz w:val="15"/>
                  <w:szCs w:val="15"/>
                  <w:color w:val="0000FF"/>
                </w:rPr>
                <w:t xml:space="preserve">Consolidated Statements of Cash Flows for the years ended December 31, </w:t>
              </w:r>
            </w:hyperlink>
            <w:r>
              <w:rPr>
                <w:rFonts w:ascii="Arial" w:cs="Arial" w:eastAsia="Arial" w:hAnsi="Arial"/>
                <w:sz w:val="15"/>
                <w:szCs w:val="15"/>
                <w:color w:val="0000FF"/>
              </w:rPr>
              <w:t xml:space="preserve">2021, 2020, </w:t>
            </w:r>
            <w:hyperlink w:anchor="page102">
              <w:r>
                <w:rPr>
                  <w:rFonts w:ascii="Arial" w:cs="Arial" w:eastAsia="Arial" w:hAnsi="Arial"/>
                  <w:sz w:val="15"/>
                  <w:szCs w:val="15"/>
                  <w:color w:val="0000FF"/>
                </w:rPr>
                <w:t>and 2019</w:t>
              </w:r>
            </w:hyperlink>
          </w:p>
        </w:tc>
        <w:tc>
          <w:tcPr>
            <w:tcW w:w="1140" w:type="dxa"/>
            <w:vAlign w:val="bottom"/>
            <w:gridSpan w:val="5"/>
          </w:tcPr>
          <w:p>
            <w:pPr>
              <w:jc w:val="center"/>
              <w:spacing w:after="0"/>
              <w:rPr>
                <w:rFonts w:ascii="Arial" w:cs="Arial" w:eastAsia="Arial" w:hAnsi="Arial"/>
                <w:sz w:val="15"/>
                <w:szCs w:val="15"/>
                <w:color w:val="0E32E1"/>
                <w:w w:val="87"/>
              </w:rPr>
            </w:pPr>
            <w:hyperlink w:anchor="page102">
              <w:r>
                <w:rPr>
                  <w:rFonts w:ascii="Arial" w:cs="Arial" w:eastAsia="Arial" w:hAnsi="Arial"/>
                  <w:sz w:val="15"/>
                  <w:szCs w:val="15"/>
                  <w:color w:val="0E32E1"/>
                  <w:w w:val="87"/>
                </w:rPr>
                <w:t>101</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gridSpan w:val="3"/>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3"/>
            <w:shd w:val="clear" w:color="auto" w:fill="0E32E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40" w:type="dxa"/>
            <w:vAlign w:val="bottom"/>
            <w:gridSpan w:val="3"/>
          </w:tcPr>
          <w:p>
            <w:pPr>
              <w:spacing w:after="0"/>
              <w:rPr>
                <w:rFonts w:ascii="Arial" w:cs="Arial" w:eastAsia="Arial" w:hAnsi="Arial"/>
                <w:sz w:val="15"/>
                <w:szCs w:val="15"/>
                <w:color w:val="0000FF"/>
                <w:w w:val="89"/>
              </w:rPr>
            </w:pPr>
            <w:hyperlink w:anchor="page104">
              <w:r>
                <w:rPr>
                  <w:rFonts w:ascii="Arial" w:cs="Arial" w:eastAsia="Arial" w:hAnsi="Arial"/>
                  <w:sz w:val="15"/>
                  <w:szCs w:val="15"/>
                  <w:color w:val="0000FF"/>
                  <w:w w:val="89"/>
                </w:rPr>
                <w:t>Notes to Consolidated Financial Statements</w:t>
              </w:r>
            </w:hyperlink>
          </w:p>
        </w:tc>
        <w:tc>
          <w:tcPr>
            <w:tcW w:w="3160" w:type="dxa"/>
            <w:vAlign w:val="bottom"/>
            <w:gridSpan w:val="4"/>
          </w:tcPr>
          <w:p>
            <w:pPr>
              <w:spacing w:after="0"/>
              <w:rPr>
                <w:sz w:val="14"/>
                <w:szCs w:val="14"/>
                <w:color w:val="auto"/>
              </w:rPr>
            </w:pPr>
          </w:p>
        </w:tc>
        <w:tc>
          <w:tcPr>
            <w:tcW w:w="4280" w:type="dxa"/>
            <w:vAlign w:val="bottom"/>
            <w:gridSpan w:val="5"/>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4"/>
          </w:tcPr>
          <w:p>
            <w:pPr>
              <w:jc w:val="center"/>
              <w:ind w:right="460"/>
              <w:spacing w:after="0"/>
              <w:rPr>
                <w:rFonts w:ascii="Arial" w:cs="Arial" w:eastAsia="Arial" w:hAnsi="Arial"/>
                <w:sz w:val="15"/>
                <w:szCs w:val="15"/>
                <w:color w:val="0E32E1"/>
                <w:w w:val="87"/>
              </w:rPr>
            </w:pPr>
            <w:hyperlink w:anchor="page104">
              <w:r>
                <w:rPr>
                  <w:rFonts w:ascii="Arial" w:cs="Arial" w:eastAsia="Arial" w:hAnsi="Arial"/>
                  <w:sz w:val="15"/>
                  <w:szCs w:val="15"/>
                  <w:color w:val="0E32E1"/>
                  <w:w w:val="87"/>
                </w:rPr>
                <w:t>103</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5"/>
        </w:trPr>
        <w:tc>
          <w:tcPr>
            <w:tcW w:w="2640" w:type="dxa"/>
            <w:vAlign w:val="bottom"/>
            <w:tcBorders>
              <w:top w:val="single" w:sz="8" w:color="0000FF"/>
            </w:tcBorders>
            <w:gridSpan w:val="3"/>
          </w:tcPr>
          <w:p>
            <w:pPr>
              <w:spacing w:after="0"/>
              <w:rPr>
                <w:sz w:val="24"/>
                <w:szCs w:val="24"/>
                <w:color w:val="auto"/>
              </w:rPr>
            </w:pPr>
          </w:p>
        </w:tc>
        <w:tc>
          <w:tcPr>
            <w:tcW w:w="3160" w:type="dxa"/>
            <w:vAlign w:val="bottom"/>
            <w:gridSpan w:val="4"/>
          </w:tcPr>
          <w:p>
            <w:pPr>
              <w:jc w:val="right"/>
              <w:ind w:right="100"/>
              <w:spacing w:after="0"/>
              <w:rPr>
                <w:sz w:val="20"/>
                <w:szCs w:val="20"/>
                <w:color w:val="auto"/>
              </w:rPr>
            </w:pPr>
            <w:r>
              <w:rPr>
                <w:rFonts w:ascii="Arial" w:cs="Arial" w:eastAsia="Arial" w:hAnsi="Arial"/>
                <w:sz w:val="15"/>
                <w:szCs w:val="15"/>
                <w:color w:val="auto"/>
              </w:rPr>
              <w:t>90</w:t>
            </w:r>
          </w:p>
        </w:tc>
        <w:tc>
          <w:tcPr>
            <w:tcW w:w="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160" w:type="dxa"/>
            <w:vAlign w:val="bottom"/>
            <w:tcBorders>
              <w:top w:val="single" w:sz="8" w:color="0E32E1"/>
            </w:tcBorders>
          </w:tcPr>
          <w:p>
            <w:pPr>
              <w:spacing w:after="0"/>
              <w:rPr>
                <w:sz w:val="24"/>
                <w:szCs w:val="24"/>
                <w:color w:val="auto"/>
              </w:rPr>
            </w:pPr>
          </w:p>
        </w:tc>
        <w:tc>
          <w:tcPr>
            <w:tcW w:w="20" w:type="dxa"/>
            <w:vAlign w:val="bottom"/>
            <w:tcBorders>
              <w:top w:val="single" w:sz="8" w:color="0E32E1"/>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-26670</wp:posOffset>
            </wp:positionV>
            <wp:extent cx="32385"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-26670</wp:posOffset>
            </wp:positionV>
            <wp:extent cx="3238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2" w:name="page93"/>
    <w:bookmarkEnd w:id="9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Fidelity National Financial, Inc.</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68"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have audited Fidelity National Financial, Inc. and subsidiaries’ internal control over financial reporting as of December 31, 2021, based on criteria established in Internal Control— Integrated Framework issued by the Committee of Sponsoring Organizations of the Treadway Commission (2013 framework) (the COSO criteria). In our opinion, Fidelity National Financial, Inc. and subsidiaries (the Company) maintained, in all material respects, effective internal control over financial reporting as of December 31, 2021, based on the COSO criteria.</w:t>
      </w:r>
    </w:p>
    <w:p>
      <w:pPr>
        <w:spacing w:after="0" w:line="9"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balance sheets of the Company as of December 31, 2021 and 2020, the related consolidated statements of earnings, comprehensive earnings, equity and cash flows for each of the three years in the period ended December 31, 2021, and the related notes and financial statement schedules listed in the Index at Item 15(a)(2) and our report dated February 25, 2022 expressed an unqualified opinion thereon.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6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68"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 w:lineRule="exact"/>
        <w:rPr>
          <w:sz w:val="20"/>
          <w:szCs w:val="20"/>
          <w:color w:val="auto"/>
        </w:rPr>
      </w:pPr>
    </w:p>
    <w:p>
      <w:pPr>
        <w:jc w:val="both"/>
        <w:ind w:right="20"/>
        <w:spacing w:after="0" w:line="35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Jacksonville, Florida</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February 25, 2022</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3" w:name="page94"/>
    <w:bookmarkEnd w:id="9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Fidelity National Financial, Inc.</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audited the accompanying consolidated balance sheets of Fidelity National Financial, Inc. and subsidiaries (the Company) as of December 31, 2021 and 2020, the related consolidated statements of earnings, comprehensive earnings, equity and cash flows for each of the three years in the period ended December 31, 2021,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25, 2022 expressed an unqualified opinion thereon.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13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22" w:lineRule="exact"/>
        <w:rPr>
          <w:sz w:val="20"/>
          <w:szCs w:val="20"/>
          <w:color w:val="auto"/>
        </w:rPr>
      </w:pPr>
    </w:p>
    <w:p>
      <w:pPr>
        <w:ind w:left="2560"/>
        <w:spacing w:after="0"/>
        <w:rPr>
          <w:sz w:val="20"/>
          <w:szCs w:val="20"/>
          <w:color w:val="auto"/>
        </w:rPr>
      </w:pPr>
      <w:r>
        <w:rPr>
          <w:rFonts w:ascii="Arial" w:cs="Arial" w:eastAsia="Arial" w:hAnsi="Arial"/>
          <w:sz w:val="15"/>
          <w:szCs w:val="15"/>
          <w:b w:val="1"/>
          <w:bCs w:val="1"/>
          <w:i w:val="1"/>
          <w:iCs w:val="1"/>
          <w:color w:val="auto"/>
        </w:rPr>
        <w:t>Loss Provision Rate Assumption related to the Reserve for Title Claim Losses</w:t>
      </w:r>
    </w:p>
    <w:p>
      <w:pPr>
        <w:sectPr>
          <w:pgSz w:w="11900" w:h="16838" w:orient="portrait"/>
          <w:cols w:equalWidth="0" w:num="1">
            <w:col w:w="11260"/>
          </w:cols>
          <w:pgMar w:left="320" w:top="129" w:right="31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right="40"/>
        <w:spacing w:after="0" w:line="283" w:lineRule="auto"/>
        <w:rPr>
          <w:sz w:val="20"/>
          <w:szCs w:val="20"/>
          <w:color w:val="auto"/>
        </w:rPr>
      </w:pPr>
      <w:r>
        <w:rPr>
          <w:rFonts w:ascii="Arial" w:cs="Arial" w:eastAsia="Arial" w:hAnsi="Arial"/>
          <w:sz w:val="14"/>
          <w:szCs w:val="14"/>
          <w:color w:val="auto"/>
        </w:rPr>
        <w:t>The Company’s reserve for title claim losses totaled $1.9 billion as of December 31, 2021. As discussed in Note A to the consolidated financial statements, the reserve for title claim losses includes known claims as well as losses that have been incurred but not yet reported, net of recoupments. The Company establishes reserves for claims which are incurred but not reported at the time premium revenue is recognized based on estimated loss provision rates. There is significant uncertainty inherent in determining the loss provision rates.</w:t>
      </w:r>
    </w:p>
    <w:p>
      <w:pPr>
        <w:spacing w:after="0" w:line="74" w:lineRule="exact"/>
        <w:rPr>
          <w:sz w:val="20"/>
          <w:szCs w:val="20"/>
          <w:color w:val="auto"/>
        </w:rPr>
      </w:pPr>
    </w:p>
    <w:p>
      <w:pPr>
        <w:sectPr>
          <w:pgSz w:w="11900" w:h="16838" w:orient="portrait"/>
          <w:cols w:equalWidth="0" w:num="2">
            <w:col w:w="1840" w:space="720"/>
            <w:col w:w="8700"/>
          </w:cols>
          <w:pgMar w:left="320" w:top="129" w:right="319" w:bottom="1440" w:gutter="0" w:footer="0" w:header="0"/>
          <w:type w:val="continuous"/>
        </w:sectPr>
      </w:pPr>
    </w:p>
    <w:p>
      <w:pPr>
        <w:jc w:val="both"/>
        <w:ind w:left="2560" w:right="40"/>
        <w:spacing w:after="0" w:line="290" w:lineRule="auto"/>
        <w:rPr>
          <w:sz w:val="20"/>
          <w:szCs w:val="20"/>
          <w:color w:val="auto"/>
        </w:rPr>
      </w:pPr>
      <w:r>
        <w:rPr>
          <w:rFonts w:ascii="Arial" w:cs="Arial" w:eastAsia="Arial" w:hAnsi="Arial"/>
          <w:sz w:val="14"/>
          <w:szCs w:val="14"/>
          <w:color w:val="auto"/>
        </w:rPr>
        <w:t>Auditing the Company’s reserve for title claim losses was complex because of the highly judgmental nature of the determination of the loss provision rates used in the valuation of the reserve for title claim losses. The significant judgment was primarily due to the sensitivity of management’s estimate to claim loss history, industry trends, current legal environment, and geographic considerations.</w:t>
      </w:r>
    </w:p>
    <w:p>
      <w:pPr>
        <w:sectPr>
          <w:pgSz w:w="11900" w:h="16838" w:orient="portrait"/>
          <w:cols w:equalWidth="0" w:num="1">
            <w:col w:w="11260"/>
          </w:cols>
          <w:pgMar w:left="320" w:top="12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63500</wp:posOffset>
            </wp:positionV>
            <wp:extent cx="718058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94" w:name="page95"/>
    <w:bookmarkEnd w:id="9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04" w:lineRule="exact"/>
        <w:rPr>
          <w:sz w:val="20"/>
          <w:szCs w:val="20"/>
          <w:color w:val="auto"/>
        </w:rPr>
      </w:pPr>
    </w:p>
    <w:p>
      <w:pPr>
        <w:ind w:left="20" w:right="480"/>
        <w:spacing w:after="0" w:line="299" w:lineRule="auto"/>
        <w:rPr>
          <w:sz w:val="20"/>
          <w:szCs w:val="20"/>
          <w:color w:val="auto"/>
        </w:rPr>
      </w:pPr>
      <w:r>
        <w:rPr>
          <w:rFonts w:ascii="Arial" w:cs="Arial" w:eastAsia="Arial" w:hAnsi="Arial"/>
          <w:sz w:val="13"/>
          <w:szCs w:val="13"/>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right="480"/>
        <w:spacing w:after="0" w:line="299" w:lineRule="auto"/>
        <w:rPr>
          <w:sz w:val="20"/>
          <w:szCs w:val="20"/>
          <w:color w:val="auto"/>
        </w:rPr>
      </w:pPr>
      <w:r>
        <w:rPr>
          <w:rFonts w:ascii="Arial" w:cs="Arial" w:eastAsia="Arial" w:hAnsi="Arial"/>
          <w:sz w:val="13"/>
          <w:szCs w:val="13"/>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We obtained an understanding, evaluated the design, and tested the operating effectiveness of the Company’s controls over management’s process for the development of the loss provision rates and the recorded reserve for title claim losses. These controls included, among others, the review and approval process management has in place for the development of the loss provision rates and the estimation of the reserve for title claim losses.</w:t>
      </w:r>
    </w:p>
    <w:p>
      <w:pPr>
        <w:spacing w:after="0" w:line="148"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color w:val="auto"/>
        </w:rPr>
        <w:t>To evaluate the judgment used by management in determining the loss provision rates, among other procedures, we considered claim loss history, industry trends, current legal environment and geographic considerations, and how management assessed these factors in the current period as compared to prior periods. We involved actuarial professionals with specialized skills and industry knowledge, who assisted in performing an evaluation of the Company’s current year loss provision rates compared with those used in prior periods, as well as a review of loss development experience for prior years. We also independently calculated a range of reasonable reserve estimates which we compared to management’s recorded reserve for title claim losses.</w:t>
      </w:r>
    </w:p>
    <w:p>
      <w:pPr>
        <w:spacing w:after="0" w:line="140" w:lineRule="exact"/>
        <w:rPr>
          <w:sz w:val="20"/>
          <w:szCs w:val="20"/>
          <w:color w:val="auto"/>
        </w:rPr>
      </w:pPr>
    </w:p>
    <w:p>
      <w:pPr>
        <w:ind w:right="400"/>
        <w:spacing w:after="0" w:line="258" w:lineRule="auto"/>
        <w:rPr>
          <w:sz w:val="20"/>
          <w:szCs w:val="20"/>
          <w:color w:val="auto"/>
        </w:rPr>
      </w:pPr>
      <w:r>
        <w:rPr>
          <w:rFonts w:ascii="Arial" w:cs="Arial" w:eastAsia="Arial" w:hAnsi="Arial"/>
          <w:sz w:val="15"/>
          <w:szCs w:val="15"/>
          <w:b w:val="1"/>
          <w:bCs w:val="1"/>
          <w:i w:val="1"/>
          <w:iCs w:val="1"/>
          <w:color w:val="auto"/>
        </w:rPr>
        <w:t>Value of Business Acquired (VOBA), Deferred Acquisition Costs (DAC), Deferred Sales Inducements (DSI) and secondary guarantee liabilities</w:t>
      </w:r>
    </w:p>
    <w:p>
      <w:pPr>
        <w:spacing w:after="0" w:line="1" w:lineRule="exact"/>
        <w:rPr>
          <w:sz w:val="20"/>
          <w:szCs w:val="20"/>
          <w:color w:val="auto"/>
        </w:rPr>
      </w:pPr>
    </w:p>
    <w:p>
      <w:pPr>
        <w:jc w:val="both"/>
        <w:ind w:firstLine="33"/>
        <w:spacing w:after="0" w:line="271" w:lineRule="auto"/>
        <w:rPr>
          <w:sz w:val="20"/>
          <w:szCs w:val="20"/>
          <w:color w:val="auto"/>
        </w:rPr>
      </w:pPr>
      <w:r>
        <w:rPr>
          <w:rFonts w:ascii="Arial" w:cs="Arial" w:eastAsia="Arial" w:hAnsi="Arial"/>
          <w:sz w:val="13"/>
          <w:szCs w:val="13"/>
          <w:color w:val="auto"/>
        </w:rPr>
        <w:t>At December 31, 2021 VOBA, DAC, and DSI reported within other intangible assets, net totaled $2.0 billion and contractholder funds totaled $35.5 billion, a portion of which related to indexed universal life (IUL)-type and Investment-type contracts with secondary guarantees. As discussed in Note A to the consolidated financial statements, VOBA, DAC, and DSI are generally amortized over the lives of the policies in</w:t>
      </w:r>
    </w:p>
    <w:p>
      <w:pPr>
        <w:spacing w:after="0" w:line="1"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color w:val="auto"/>
        </w:rPr>
        <w:t>relation to the emergence of actual gross profits (AGPs) and estimated gross profits (EGPs). Secondary guarantee liabilities on IUL-type products or Investment-type contracts are calculated by multiplying the benefit ratio by the cumulative assessments recorded from contract inception through the balance sheet date less the cumulative secondary guarantee benefit payments plus interest. The benefit ratio is the ratio of</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 present value of secondary guarantees to the present value of the assessments used to provide the secondary guarantees. The assessments</w:t>
      </w:r>
    </w:p>
    <w:p>
      <w:pPr>
        <w:spacing w:after="0" w:line="42" w:lineRule="exact"/>
        <w:rPr>
          <w:sz w:val="20"/>
          <w:szCs w:val="20"/>
          <w:color w:val="auto"/>
        </w:rPr>
      </w:pPr>
    </w:p>
    <w:p>
      <w:pPr>
        <w:jc w:val="both"/>
        <w:ind w:right="20"/>
        <w:spacing w:after="0" w:line="280" w:lineRule="auto"/>
        <w:rPr>
          <w:sz w:val="20"/>
          <w:szCs w:val="20"/>
          <w:color w:val="auto"/>
        </w:rPr>
      </w:pPr>
      <w:r>
        <w:rPr>
          <w:rFonts w:ascii="Arial" w:cs="Arial" w:eastAsia="Arial" w:hAnsi="Arial"/>
          <w:sz w:val="13"/>
          <w:szCs w:val="13"/>
          <w:color w:val="auto"/>
        </w:rPr>
        <w:t>are calculated using the same assumptions used in VOBA, DAC, and DSI EGPs. There is significant uncertainty inherent in calculating EGPs and assessments as the calculation is sensitive to management’s best estimate of assumptions such as earned rate, budgeted option costs,</w:t>
      </w:r>
    </w:p>
    <w:p>
      <w:pPr>
        <w:jc w:val="both"/>
        <w:spacing w:after="0" w:line="242" w:lineRule="auto"/>
        <w:rPr>
          <w:sz w:val="20"/>
          <w:szCs w:val="20"/>
          <w:color w:val="auto"/>
        </w:rPr>
      </w:pPr>
      <w:r>
        <w:rPr>
          <w:rFonts w:ascii="Arial" w:cs="Arial" w:eastAsia="Arial" w:hAnsi="Arial"/>
          <w:sz w:val="14"/>
          <w:szCs w:val="14"/>
          <w:color w:val="auto"/>
        </w:rPr>
        <w:t>surrender rates, mortality, and guaranteed minimum withdrawal benefit (GMWB) utilization. Changes in assumptions, including the Company’s earned rate, budgeted option costs, surrender rates, mortality, and GMWB utilization can have a significant impact on the pattern of EGPs of the underlying business and as a result the amortization of VOBA, DAC and DSI balances. Management’s assumptions are adjusted, also known as unlocking, based on actual policyholder behavior and market experience and projecting for expected trends. The unlocking results in amortization being recalculated using the new assumptions for estimated gross profits, resulting either in additional or less cumulative amortization expense. Additionally, if experience or assumption changes result in a new benefit ratio, the secondary guarantee liabilities are adjusted to reflect the changes in a manner similar to the unlocking of VOBA, DAC, and DSI.</w:t>
      </w:r>
    </w:p>
    <w:p>
      <w:pPr>
        <w:spacing w:after="0" w:line="171"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color w:val="auto"/>
        </w:rPr>
        <w:t>Auditing the valuation of the Company’s VOBA, DAC, and DSI that are amortized in relation to the emergence of AGPs/EGPs and valuation of secondary guarantee liabilities on IUL-type products or Investment-type contracts was complex because of the highly judgmental nature of the methods used and determination of the assumptions applied to determine the EGPs and assessments. The high degree of judgment was primarily due to the sensitivity of the EGPs and assessments to the methods used and assumptions applied which have a significant effect on the valuation of VOBA, DAC, DSI and secondary guarantee liabilities on IUL-type products or Investment-type contracts.</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5"/>
          <w:szCs w:val="15"/>
          <w:color w:val="auto"/>
        </w:rPr>
        <w:t>We obtained an understanding, evaluated the design and tested the operating effectiveness of the Company’s controls over the VOBA, DAC, DSI, and contractholder funds estimation processes. These controls included, among others, the review and approval process management has in place for the development of the significant assumptions described above.</w:t>
      </w:r>
    </w:p>
    <w:p>
      <w:pPr>
        <w:spacing w:after="0" w:line="172" w:lineRule="exact"/>
        <w:rPr>
          <w:sz w:val="20"/>
          <w:szCs w:val="20"/>
          <w:color w:val="auto"/>
        </w:rPr>
      </w:pPr>
    </w:p>
    <w:p>
      <w:pPr>
        <w:ind w:right="40"/>
        <w:spacing w:after="0" w:line="226" w:lineRule="auto"/>
        <w:rPr>
          <w:sz w:val="20"/>
          <w:szCs w:val="20"/>
          <w:color w:val="auto"/>
        </w:rPr>
      </w:pPr>
      <w:r>
        <w:rPr>
          <w:rFonts w:ascii="Arial" w:cs="Arial" w:eastAsia="Arial" w:hAnsi="Arial"/>
          <w:sz w:val="15"/>
          <w:szCs w:val="15"/>
          <w:color w:val="auto"/>
        </w:rPr>
        <w:t>To evaluate the judgment used by management in determining the EGPs and assessments, among other procedures, we involved actuarial specialists and evaluated the methodology applied by management in determining the EGPs and assessments with those used in prior periods. To evaluate the significant assumptions used by management, we compared policyholder behavior assumptions that we identified as being higher risk to prior actual experience, observable market data or management’s estimates of prospective changes in these assumptions. We performed an independent recalculation of EGPs and secondary guarantee liabilities for a sample of product cohorts, which we compared to the actuarial model used by management.</w:t>
      </w:r>
    </w:p>
    <w:p>
      <w:pPr>
        <w:spacing w:after="0" w:line="200" w:lineRule="exact"/>
        <w:rPr>
          <w:sz w:val="20"/>
          <w:szCs w:val="20"/>
          <w:color w:val="auto"/>
        </w:rPr>
      </w:pPr>
    </w:p>
    <w:p>
      <w:pPr>
        <w:spacing w:after="0" w:line="392"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56515</wp:posOffset>
            </wp:positionV>
            <wp:extent cx="718058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2">
            <w:col w:w="1860" w:space="720"/>
            <w:col w:w="8660"/>
          </w:cols>
          <w:pgMar w:left="320" w:top="129"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72"/>
        </w:trPr>
        <w:tc>
          <w:tcPr>
            <w:tcW w:w="2060" w:type="dxa"/>
            <w:vAlign w:val="bottom"/>
            <w:gridSpan w:val="2"/>
          </w:tcPr>
          <w:p>
            <w:pPr>
              <w:spacing w:after="0"/>
              <w:rPr>
                <w:rFonts w:ascii="Arial" w:cs="Arial" w:eastAsia="Arial" w:hAnsi="Arial"/>
                <w:sz w:val="15"/>
                <w:szCs w:val="15"/>
                <w:color w:val="0000FF"/>
              </w:rPr>
            </w:pPr>
            <w:hyperlink w:anchor="page2">
              <w:r>
                <w:rPr>
                  <w:rFonts w:ascii="Arial" w:cs="Arial" w:eastAsia="Arial" w:hAnsi="Arial"/>
                  <w:sz w:val="15"/>
                  <w:szCs w:val="15"/>
                  <w:color w:val="0000FF"/>
                </w:rPr>
                <w:t>Table of Contents</w:t>
              </w:r>
            </w:hyperlink>
          </w:p>
        </w:tc>
        <w:tc>
          <w:tcPr>
            <w:tcW w:w="9180" w:type="dxa"/>
            <w:vAlign w:val="bottom"/>
          </w:tcPr>
          <w:p>
            <w:pPr>
              <w:spacing w:after="0"/>
              <w:rPr>
                <w:sz w:val="14"/>
                <w:szCs w:val="14"/>
                <w:color w:val="auto"/>
              </w:rPr>
            </w:pPr>
          </w:p>
        </w:tc>
      </w:tr>
      <w:tr>
        <w:trPr>
          <w:trHeight w:val="700"/>
        </w:trPr>
        <w:tc>
          <w:tcPr>
            <w:tcW w:w="106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c>
          <w:tcPr>
            <w:tcW w:w="9180" w:type="dxa"/>
            <w:vAlign w:val="bottom"/>
          </w:tcPr>
          <w:p>
            <w:pPr>
              <w:ind w:left="520"/>
              <w:spacing w:after="0"/>
              <w:rPr>
                <w:sz w:val="20"/>
                <w:szCs w:val="20"/>
                <w:color w:val="auto"/>
              </w:rPr>
            </w:pPr>
            <w:r>
              <w:rPr>
                <w:rFonts w:ascii="Arial" w:cs="Arial" w:eastAsia="Arial" w:hAnsi="Arial"/>
                <w:sz w:val="15"/>
                <w:szCs w:val="15"/>
                <w:b w:val="1"/>
                <w:bCs w:val="1"/>
                <w:i w:val="1"/>
                <w:iCs w:val="1"/>
                <w:color w:val="auto"/>
              </w:rPr>
              <w:t>Valuation of Investments in Securities</w:t>
            </w:r>
          </w:p>
        </w:tc>
      </w:tr>
      <w:tr>
        <w:trPr>
          <w:trHeight w:val="205"/>
        </w:trPr>
        <w:tc>
          <w:tcPr>
            <w:tcW w:w="2060" w:type="dxa"/>
            <w:vAlign w:val="bottom"/>
            <w:gridSpan w:val="2"/>
          </w:tcPr>
          <w:p>
            <w:pPr>
              <w:ind w:left="20"/>
              <w:spacing w:after="0"/>
              <w:rPr>
                <w:sz w:val="20"/>
                <w:szCs w:val="20"/>
                <w:color w:val="auto"/>
              </w:rPr>
            </w:pPr>
            <w:r>
              <w:rPr>
                <w:rFonts w:ascii="Arial" w:cs="Arial" w:eastAsia="Arial" w:hAnsi="Arial"/>
                <w:sz w:val="15"/>
                <w:szCs w:val="15"/>
                <w:i w:val="1"/>
                <w:iCs w:val="1"/>
                <w:color w:val="auto"/>
              </w:rPr>
              <w:t>Description of the Matter</w:t>
            </w:r>
          </w:p>
        </w:tc>
        <w:tc>
          <w:tcPr>
            <w:tcW w:w="9180" w:type="dxa"/>
            <w:vAlign w:val="bottom"/>
          </w:tcPr>
          <w:p>
            <w:pPr>
              <w:ind w:left="520"/>
              <w:spacing w:after="0"/>
              <w:rPr>
                <w:sz w:val="20"/>
                <w:szCs w:val="20"/>
                <w:color w:val="auto"/>
              </w:rPr>
            </w:pPr>
            <w:r>
              <w:rPr>
                <w:rFonts w:ascii="Arial" w:cs="Arial" w:eastAsia="Arial" w:hAnsi="Arial"/>
                <w:sz w:val="15"/>
                <w:szCs w:val="15"/>
                <w:color w:val="auto"/>
                <w:w w:val="97"/>
              </w:rPr>
              <w:t>The Company’s fair value of fixed maturity securities totaled $32.0 billion as of December 31, 2021. The fair value of a subset of these</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20"/>
              <w:spacing w:after="0"/>
              <w:rPr>
                <w:sz w:val="20"/>
                <w:szCs w:val="20"/>
                <w:color w:val="auto"/>
              </w:rPr>
            </w:pPr>
            <w:r>
              <w:rPr>
                <w:rFonts w:ascii="Arial" w:cs="Arial" w:eastAsia="Arial" w:hAnsi="Arial"/>
                <w:sz w:val="15"/>
                <w:szCs w:val="15"/>
                <w:color w:val="auto"/>
                <w:w w:val="94"/>
              </w:rPr>
              <w:t>securities, including asset backed securities and bonds, is based on non-binding broker quotes as described in Note D to the consolidated</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20"/>
              <w:spacing w:after="0"/>
              <w:rPr>
                <w:sz w:val="20"/>
                <w:szCs w:val="20"/>
                <w:color w:val="auto"/>
              </w:rPr>
            </w:pPr>
            <w:r>
              <w:rPr>
                <w:rFonts w:ascii="Arial" w:cs="Arial" w:eastAsia="Arial" w:hAnsi="Arial"/>
                <w:sz w:val="15"/>
                <w:szCs w:val="15"/>
                <w:color w:val="auto"/>
                <w:w w:val="96"/>
              </w:rPr>
              <w:t>financial statements. The lack of visibility into assumptions used in non-binding broker quotes is a significant unobservable input, which</w:t>
            </w:r>
          </w:p>
        </w:tc>
      </w:tr>
      <w:tr>
        <w:trPr>
          <w:trHeight w:val="190"/>
        </w:trPr>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520"/>
              <w:spacing w:after="0"/>
              <w:rPr>
                <w:sz w:val="20"/>
                <w:szCs w:val="20"/>
                <w:color w:val="auto"/>
              </w:rPr>
            </w:pPr>
            <w:r>
              <w:rPr>
                <w:rFonts w:ascii="Arial" w:cs="Arial" w:eastAsia="Arial" w:hAnsi="Arial"/>
                <w:sz w:val="15"/>
                <w:szCs w:val="15"/>
                <w:color w:val="auto"/>
              </w:rPr>
              <w:t>creates greater subjectivity when determining the fair values.</w:t>
            </w:r>
          </w:p>
        </w:tc>
      </w:tr>
      <w:tr>
        <w:trPr>
          <w:trHeight w:val="374"/>
        </w:trPr>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180" w:type="dxa"/>
            <w:vAlign w:val="bottom"/>
          </w:tcPr>
          <w:p>
            <w:pPr>
              <w:ind w:left="520"/>
              <w:spacing w:after="0"/>
              <w:rPr>
                <w:sz w:val="20"/>
                <w:szCs w:val="20"/>
                <w:color w:val="auto"/>
              </w:rPr>
            </w:pPr>
            <w:r>
              <w:rPr>
                <w:rFonts w:ascii="Arial" w:cs="Arial" w:eastAsia="Arial" w:hAnsi="Arial"/>
                <w:sz w:val="15"/>
                <w:szCs w:val="15"/>
                <w:color w:val="auto"/>
                <w:w w:val="92"/>
              </w:rPr>
              <w:t>Auditing the fair value of the securities valued by brokers was especially challenging because determining the fair value is complex and highly</w:t>
            </w:r>
          </w:p>
        </w:tc>
      </w:tr>
      <w:tr>
        <w:trPr>
          <w:trHeight w:val="190"/>
        </w:trPr>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520"/>
              <w:spacing w:after="0"/>
              <w:rPr>
                <w:sz w:val="20"/>
                <w:szCs w:val="20"/>
                <w:color w:val="auto"/>
              </w:rPr>
            </w:pPr>
            <w:r>
              <w:rPr>
                <w:rFonts w:ascii="Arial" w:cs="Arial" w:eastAsia="Arial" w:hAnsi="Arial"/>
                <w:sz w:val="15"/>
                <w:szCs w:val="15"/>
                <w:color w:val="auto"/>
              </w:rPr>
              <w:t>judgmental and involves using inputs and assumptions that are not directly observable in the market.</w:t>
            </w:r>
          </w:p>
        </w:tc>
      </w:tr>
      <w:tr>
        <w:trPr>
          <w:trHeight w:val="351"/>
        </w:trPr>
        <w:tc>
          <w:tcPr>
            <w:tcW w:w="2060" w:type="dxa"/>
            <w:vAlign w:val="bottom"/>
            <w:gridSpan w:val="2"/>
          </w:tcPr>
          <w:p>
            <w:pPr>
              <w:spacing w:after="0"/>
              <w:rPr>
                <w:sz w:val="20"/>
                <w:szCs w:val="20"/>
                <w:color w:val="auto"/>
              </w:rPr>
            </w:pPr>
            <w:r>
              <w:rPr>
                <w:rFonts w:ascii="Arial" w:cs="Arial" w:eastAsia="Arial" w:hAnsi="Arial"/>
                <w:sz w:val="15"/>
                <w:szCs w:val="15"/>
                <w:i w:val="1"/>
                <w:iCs w:val="1"/>
                <w:color w:val="auto"/>
              </w:rPr>
              <w:t>How we Addressed the</w:t>
            </w:r>
          </w:p>
        </w:tc>
        <w:tc>
          <w:tcPr>
            <w:tcW w:w="9180" w:type="dxa"/>
            <w:vAlign w:val="bottom"/>
          </w:tcPr>
          <w:p>
            <w:pPr>
              <w:ind w:left="500"/>
              <w:spacing w:after="0"/>
              <w:rPr>
                <w:sz w:val="20"/>
                <w:szCs w:val="20"/>
                <w:color w:val="auto"/>
              </w:rPr>
            </w:pPr>
            <w:r>
              <w:rPr>
                <w:rFonts w:ascii="Arial" w:cs="Arial" w:eastAsia="Arial" w:hAnsi="Arial"/>
                <w:sz w:val="15"/>
                <w:szCs w:val="15"/>
                <w:color w:val="auto"/>
                <w:w w:val="89"/>
              </w:rPr>
              <w:t>We obtained an understanding, evaluated the design and tested the operating effectiveness of management’s valuation process for broker-quoted</w:t>
            </w:r>
          </w:p>
        </w:tc>
      </w:tr>
      <w:tr>
        <w:trPr>
          <w:trHeight w:val="192"/>
        </w:trPr>
        <w:tc>
          <w:tcPr>
            <w:tcW w:w="2060" w:type="dxa"/>
            <w:vAlign w:val="bottom"/>
            <w:gridSpan w:val="2"/>
          </w:tcPr>
          <w:p>
            <w:pPr>
              <w:spacing w:after="0"/>
              <w:rPr>
                <w:sz w:val="20"/>
                <w:szCs w:val="20"/>
                <w:color w:val="auto"/>
              </w:rPr>
            </w:pPr>
            <w:r>
              <w:rPr>
                <w:rFonts w:ascii="Arial" w:cs="Arial" w:eastAsia="Arial" w:hAnsi="Arial"/>
                <w:sz w:val="15"/>
                <w:szCs w:val="15"/>
                <w:i w:val="1"/>
                <w:iCs w:val="1"/>
                <w:color w:val="auto"/>
              </w:rPr>
              <w:t>Matter in Our Audit</w:t>
            </w:r>
          </w:p>
        </w:tc>
        <w:tc>
          <w:tcPr>
            <w:tcW w:w="9180" w:type="dxa"/>
            <w:vAlign w:val="bottom"/>
          </w:tcPr>
          <w:p>
            <w:pPr>
              <w:ind w:left="500"/>
              <w:spacing w:after="0"/>
              <w:rPr>
                <w:sz w:val="20"/>
                <w:szCs w:val="20"/>
                <w:color w:val="auto"/>
              </w:rPr>
            </w:pPr>
            <w:r>
              <w:rPr>
                <w:rFonts w:ascii="Arial" w:cs="Arial" w:eastAsia="Arial" w:hAnsi="Arial"/>
                <w:sz w:val="15"/>
                <w:szCs w:val="15"/>
                <w:color w:val="auto"/>
                <w:w w:val="93"/>
              </w:rPr>
              <w:t>securities. These controls included management’s evaluation of the broker-quoted values compared to an independently calculated range of</w:t>
            </w:r>
          </w:p>
        </w:tc>
      </w:tr>
      <w:tr>
        <w:trPr>
          <w:trHeight w:val="190"/>
        </w:trPr>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rPr>
              <w:t>values.</w:t>
            </w:r>
          </w:p>
        </w:tc>
      </w:tr>
      <w:tr>
        <w:trPr>
          <w:trHeight w:val="374"/>
        </w:trPr>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rPr>
              <w:t>To test the fair value of the securities, we utilized the support of our valuation specialists which included, among other procedures,</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1"/>
              </w:rPr>
              <w:t>independently calculating a reasonable range of fair values for a sample of securities based on independently obtained information or available</w:t>
            </w:r>
          </w:p>
        </w:tc>
      </w:tr>
      <w:tr>
        <w:trPr>
          <w:trHeight w:val="190"/>
        </w:trPr>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7"/>
              </w:rPr>
              <w:t>transaction data for similar securities. We compared these ranges to management’s estimates of fair value for the selected securities.</w:t>
            </w:r>
          </w:p>
        </w:tc>
      </w:tr>
      <w:tr>
        <w:trPr>
          <w:trHeight w:val="225"/>
        </w:trPr>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180" w:type="dxa"/>
            <w:vAlign w:val="bottom"/>
          </w:tcPr>
          <w:p>
            <w:pPr>
              <w:ind w:left="500"/>
              <w:spacing w:after="0"/>
              <w:rPr>
                <w:sz w:val="20"/>
                <w:szCs w:val="20"/>
                <w:color w:val="auto"/>
              </w:rPr>
            </w:pPr>
            <w:r>
              <w:rPr>
                <w:rFonts w:ascii="Arial" w:cs="Arial" w:eastAsia="Arial" w:hAnsi="Arial"/>
                <w:sz w:val="15"/>
                <w:szCs w:val="15"/>
                <w:b w:val="1"/>
                <w:bCs w:val="1"/>
                <w:i w:val="1"/>
                <w:iCs w:val="1"/>
                <w:color w:val="auto"/>
              </w:rPr>
              <w:t>Assumptions related to Fixed Indexed Annuity Embedded Derivative Liability</w:t>
            </w:r>
          </w:p>
        </w:tc>
      </w:tr>
      <w:tr>
        <w:trPr>
          <w:trHeight w:val="205"/>
        </w:trPr>
        <w:tc>
          <w:tcPr>
            <w:tcW w:w="2060" w:type="dxa"/>
            <w:vAlign w:val="bottom"/>
            <w:gridSpan w:val="2"/>
          </w:tcPr>
          <w:p>
            <w:pPr>
              <w:spacing w:after="0"/>
              <w:rPr>
                <w:sz w:val="20"/>
                <w:szCs w:val="20"/>
                <w:color w:val="auto"/>
              </w:rPr>
            </w:pPr>
            <w:r>
              <w:rPr>
                <w:rFonts w:ascii="Arial" w:cs="Arial" w:eastAsia="Arial" w:hAnsi="Arial"/>
                <w:sz w:val="15"/>
                <w:szCs w:val="15"/>
                <w:i w:val="1"/>
                <w:iCs w:val="1"/>
                <w:color w:val="auto"/>
              </w:rPr>
              <w:t>Description of the Matter</w:t>
            </w:r>
          </w:p>
        </w:tc>
        <w:tc>
          <w:tcPr>
            <w:tcW w:w="9180" w:type="dxa"/>
            <w:vAlign w:val="bottom"/>
          </w:tcPr>
          <w:p>
            <w:pPr>
              <w:ind w:left="500"/>
              <w:spacing w:after="0"/>
              <w:rPr>
                <w:sz w:val="20"/>
                <w:szCs w:val="20"/>
                <w:color w:val="auto"/>
              </w:rPr>
            </w:pPr>
            <w:r>
              <w:rPr>
                <w:rFonts w:ascii="Arial" w:cs="Arial" w:eastAsia="Arial" w:hAnsi="Arial"/>
                <w:sz w:val="15"/>
                <w:szCs w:val="15"/>
                <w:color w:val="auto"/>
                <w:w w:val="93"/>
              </w:rPr>
              <w:t>As of December 31, 2021, the fair value of the Company’s fixed indexed annuity embedded derivative liability totaled $3.9 billion. Certain of</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4"/>
              </w:rPr>
              <w:t>the Company’s fixed indexed annuity contracts allow the policyholder to elect an equity index linked feature, where amounts credited to the</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4"/>
              </w:rPr>
              <w:t>contract’s account value are linked to the performance of designated equity indices selected by the policyholder. The equity index crediting</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5"/>
              </w:rPr>
              <w:t>feature is accounted for as an embedded derivative liability and reported at fair value as discussed in Note D to the consolidated financial</w:t>
            </w:r>
          </w:p>
        </w:tc>
      </w:tr>
      <w:tr>
        <w:trPr>
          <w:trHeight w:val="190"/>
        </w:trPr>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rPr>
              <w:t>statements.</w:t>
            </w:r>
          </w:p>
        </w:tc>
      </w:tr>
      <w:tr>
        <w:trPr>
          <w:trHeight w:val="374"/>
        </w:trPr>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3"/>
              </w:rPr>
              <w:t>Auditing the valuation of the Company’s fixed indexed annuity embedded derivative was complex because of the highly judgmental nature of</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1"/>
              </w:rPr>
              <w:t>the determination of the assumptions required to determine the fair value of the embedded derivative. In particular, the fair value was sensitive</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5"/>
              </w:rPr>
              <w:t>to the significant assumptions used to determine future policy growth including the mortality, surrender rates, partial withdrawals, GMWB</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4"/>
              </w:rPr>
              <w:t>utilization, non-performance spread, and option cost. There is significant uncertainty inherent in determining the mortality, surrender rates,</w:t>
            </w:r>
          </w:p>
        </w:tc>
      </w:tr>
      <w:tr>
        <w:trPr>
          <w:trHeight w:val="190"/>
        </w:trPr>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rPr>
              <w:t>partial withdrawals, GMWB utilization, non-performance spread and option cost assumptions.</w:t>
            </w:r>
          </w:p>
        </w:tc>
      </w:tr>
      <w:tr>
        <w:trPr>
          <w:trHeight w:val="205"/>
        </w:trPr>
        <w:tc>
          <w:tcPr>
            <w:tcW w:w="2060" w:type="dxa"/>
            <w:vAlign w:val="bottom"/>
            <w:gridSpan w:val="2"/>
          </w:tcPr>
          <w:p>
            <w:pPr>
              <w:spacing w:after="0"/>
              <w:rPr>
                <w:sz w:val="20"/>
                <w:szCs w:val="20"/>
                <w:color w:val="auto"/>
              </w:rPr>
            </w:pPr>
            <w:r>
              <w:rPr>
                <w:rFonts w:ascii="Arial" w:cs="Arial" w:eastAsia="Arial" w:hAnsi="Arial"/>
                <w:sz w:val="15"/>
                <w:szCs w:val="15"/>
                <w:i w:val="1"/>
                <w:iCs w:val="1"/>
                <w:color w:val="auto"/>
              </w:rPr>
              <w:t>How we Addressed the</w:t>
            </w:r>
          </w:p>
        </w:tc>
        <w:tc>
          <w:tcPr>
            <w:tcW w:w="9180" w:type="dxa"/>
            <w:vAlign w:val="bottom"/>
          </w:tcPr>
          <w:p>
            <w:pPr>
              <w:ind w:left="500"/>
              <w:spacing w:after="0"/>
              <w:rPr>
                <w:sz w:val="20"/>
                <w:szCs w:val="20"/>
                <w:color w:val="auto"/>
              </w:rPr>
            </w:pPr>
            <w:r>
              <w:rPr>
                <w:rFonts w:ascii="Arial" w:cs="Arial" w:eastAsia="Arial" w:hAnsi="Arial"/>
                <w:sz w:val="15"/>
                <w:szCs w:val="15"/>
                <w:color w:val="auto"/>
                <w:w w:val="93"/>
              </w:rPr>
              <w:t>We obtained an understanding, evaluated the design, and tested the operating effectiveness of the Company’s controls over management’s</w:t>
            </w:r>
          </w:p>
        </w:tc>
      </w:tr>
      <w:tr>
        <w:trPr>
          <w:trHeight w:val="192"/>
        </w:trPr>
        <w:tc>
          <w:tcPr>
            <w:tcW w:w="2060" w:type="dxa"/>
            <w:vAlign w:val="bottom"/>
            <w:gridSpan w:val="2"/>
          </w:tcPr>
          <w:p>
            <w:pPr>
              <w:spacing w:after="0"/>
              <w:rPr>
                <w:sz w:val="20"/>
                <w:szCs w:val="20"/>
                <w:color w:val="auto"/>
              </w:rPr>
            </w:pPr>
            <w:r>
              <w:rPr>
                <w:rFonts w:ascii="Arial" w:cs="Arial" w:eastAsia="Arial" w:hAnsi="Arial"/>
                <w:sz w:val="15"/>
                <w:szCs w:val="15"/>
                <w:i w:val="1"/>
                <w:iCs w:val="1"/>
                <w:color w:val="auto"/>
              </w:rPr>
              <w:t>Matter in Our Audit</w:t>
            </w:r>
          </w:p>
        </w:tc>
        <w:tc>
          <w:tcPr>
            <w:tcW w:w="9180" w:type="dxa"/>
            <w:vAlign w:val="bottom"/>
          </w:tcPr>
          <w:p>
            <w:pPr>
              <w:ind w:left="500"/>
              <w:spacing w:after="0"/>
              <w:rPr>
                <w:sz w:val="20"/>
                <w:szCs w:val="20"/>
                <w:color w:val="auto"/>
              </w:rPr>
            </w:pPr>
            <w:r>
              <w:rPr>
                <w:rFonts w:ascii="Arial" w:cs="Arial" w:eastAsia="Arial" w:hAnsi="Arial"/>
                <w:sz w:val="15"/>
                <w:szCs w:val="15"/>
                <w:color w:val="auto"/>
                <w:w w:val="95"/>
              </w:rPr>
              <w:t>process for the development of the significant assumptions used in measuring the fair value of the embedded derivative for fixed indexed</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5"/>
              </w:rPr>
              <w:t>annuities. These controls included, among others, the review and approval process management has in place for the development of the</w:t>
            </w:r>
          </w:p>
        </w:tc>
      </w:tr>
      <w:tr>
        <w:trPr>
          <w:trHeight w:val="190"/>
        </w:trPr>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rPr>
              <w:t>significant assumptions.</w:t>
            </w:r>
          </w:p>
        </w:tc>
      </w:tr>
      <w:tr>
        <w:trPr>
          <w:trHeight w:val="351"/>
        </w:trPr>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2"/>
              </w:rPr>
              <w:t>To evaluate the judgment used by management in determining the assumptions used in measuring the fair value of the fixed indexed annuity</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3"/>
              </w:rPr>
              <w:t>embedded derivative, among other procedures, we involved actuarial specialists and evaluated the methodology applied by management in</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1"/>
              </w:rPr>
              <w:t>determining the fair value with those used in the prior period and in the industry. To evaluate the significant assumptions used by management</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6"/>
              </w:rPr>
              <w:t>in the methodology applied, we compared policyholder behavior assumptions to prior actual experience and management’s estimate of</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3"/>
              </w:rPr>
              <w:t>prospective changes in the assumptions. In addition, we compared the nonperformance spread and option costs assumptions to observable</w:t>
            </w:r>
          </w:p>
        </w:tc>
      </w:tr>
      <w:tr>
        <w:trPr>
          <w:trHeight w:val="180"/>
        </w:trPr>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w w:val="91"/>
              </w:rPr>
              <w:t>market data. We performed an independent recalculation of the embedded derivative for a sample of products for comparison with the actuarial</w:t>
            </w:r>
          </w:p>
        </w:tc>
      </w:tr>
      <w:tr>
        <w:trPr>
          <w:trHeight w:val="190"/>
        </w:trPr>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tcPr>
          <w:p>
            <w:pPr>
              <w:ind w:left="500"/>
              <w:spacing w:after="0"/>
              <w:rPr>
                <w:sz w:val="20"/>
                <w:szCs w:val="20"/>
                <w:color w:val="auto"/>
              </w:rPr>
            </w:pPr>
            <w:r>
              <w:rPr>
                <w:rFonts w:ascii="Arial" w:cs="Arial" w:eastAsia="Arial" w:hAnsi="Arial"/>
                <w:sz w:val="15"/>
                <w:szCs w:val="15"/>
                <w:color w:val="auto"/>
              </w:rPr>
              <w:t>model used by management.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96" w:name="page97"/>
    <w:bookmarkEnd w:id="9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2017.</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Jacksonville, Florida</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February 25, 2022</w:t>
      </w:r>
    </w:p>
    <w:p>
      <w:pPr>
        <w:spacing w:after="0" w:line="200" w:lineRule="exact"/>
        <w:rPr>
          <w:sz w:val="20"/>
          <w:szCs w:val="20"/>
          <w:color w:val="auto"/>
        </w:rPr>
      </w:pPr>
    </w:p>
    <w:p>
      <w:pPr>
        <w:spacing w:after="0" w:line="270"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0139"/>
          </w:cols>
          <w:pgMar w:left="320" w:top="129" w:right="1440" w:bottom="1440" w:gutter="0" w:footer="0" w:header="0"/>
        </w:sectPr>
      </w:pPr>
    </w:p>
    <w:bookmarkStart w:id="97" w:name="page98"/>
    <w:bookmarkEnd w:id="9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millions, except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980" w:type="dxa"/>
            <w:vAlign w:val="bottom"/>
          </w:tcPr>
          <w:p>
            <w:pPr>
              <w:jc w:val="right"/>
              <w:ind w:right="140"/>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57"/>
        </w:trPr>
        <w:tc>
          <w:tcPr>
            <w:tcW w:w="8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8"/>
        </w:trPr>
        <w:tc>
          <w:tcPr>
            <w:tcW w:w="8920" w:type="dxa"/>
            <w:vAlign w:val="bottom"/>
            <w:shd w:val="clear" w:color="auto" w:fill="CCEEFF"/>
          </w:tcPr>
          <w:p>
            <w:pPr>
              <w:ind w:left="5400"/>
              <w:spacing w:after="0"/>
              <w:rPr>
                <w:sz w:val="20"/>
                <w:szCs w:val="20"/>
                <w:color w:val="auto"/>
              </w:rPr>
            </w:pPr>
            <w:r>
              <w:rPr>
                <w:rFonts w:ascii="Arial" w:cs="Arial" w:eastAsia="Arial" w:hAnsi="Arial"/>
                <w:sz w:val="12"/>
                <w:szCs w:val="12"/>
                <w:b w:val="1"/>
                <w:bCs w:val="1"/>
                <w:color w:val="auto"/>
              </w:rPr>
              <w:t>ASSETS</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Investments: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920" w:type="dxa"/>
            <w:vAlign w:val="bottom"/>
            <w:shd w:val="clear" w:color="auto" w:fill="CCEEFF"/>
          </w:tcPr>
          <w:p>
            <w:pPr>
              <w:ind w:left="180"/>
              <w:spacing w:after="0" w:line="115" w:lineRule="exact"/>
              <w:rPr>
                <w:sz w:val="20"/>
                <w:szCs w:val="20"/>
                <w:color w:val="auto"/>
              </w:rPr>
            </w:pPr>
            <w:r>
              <w:rPr>
                <w:rFonts w:ascii="Arial" w:cs="Arial" w:eastAsia="Arial" w:hAnsi="Arial"/>
                <w:sz w:val="12"/>
                <w:szCs w:val="12"/>
                <w:color w:val="auto"/>
                <w:w w:val="91"/>
              </w:rPr>
              <w:t>Fixed maturity securities available for sale, at fair value, at December 31, 2021 and December 31, 2020, at an amortized cost of $30,705 and $25,577, respectively, net of allowance</w:t>
            </w:r>
          </w:p>
        </w:tc>
        <w:tc>
          <w:tcPr>
            <w:tcW w:w="14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31,990</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27,587</w:t>
            </w:r>
          </w:p>
        </w:tc>
        <w:tc>
          <w:tcPr>
            <w:tcW w:w="0" w:type="dxa"/>
            <w:vAlign w:val="bottom"/>
          </w:tcPr>
          <w:p>
            <w:pPr>
              <w:spacing w:after="0"/>
              <w:rPr>
                <w:sz w:val="1"/>
                <w:szCs w:val="1"/>
                <w:color w:val="auto"/>
              </w:rPr>
            </w:pPr>
          </w:p>
        </w:tc>
      </w:tr>
      <w:tr>
        <w:trPr>
          <w:trHeight w:val="158"/>
        </w:trPr>
        <w:tc>
          <w:tcPr>
            <w:tcW w:w="8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 credit losses of $8 and $19, respectively, and includes pledged fixed maturity securities of $460 and $455, respectively, related to secured trust deposits</w:t>
            </w:r>
          </w:p>
        </w:tc>
        <w:tc>
          <w:tcPr>
            <w:tcW w:w="14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920" w:type="dxa"/>
            <w:vAlign w:val="bottom"/>
          </w:tcPr>
          <w:p>
            <w:pPr>
              <w:ind w:left="180"/>
              <w:spacing w:after="0"/>
              <w:rPr>
                <w:sz w:val="20"/>
                <w:szCs w:val="20"/>
                <w:color w:val="auto"/>
              </w:rPr>
            </w:pPr>
            <w:r>
              <w:rPr>
                <w:rFonts w:ascii="Arial" w:cs="Arial" w:eastAsia="Arial" w:hAnsi="Arial"/>
                <w:sz w:val="12"/>
                <w:szCs w:val="12"/>
                <w:color w:val="auto"/>
              </w:rPr>
              <w:t>Preferred securities, at fair value</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1,401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1,341</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Equity securities, at fair value</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995</w:t>
            </w:r>
          </w:p>
        </w:tc>
        <w:tc>
          <w:tcPr>
            <w:tcW w:w="0" w:type="dxa"/>
            <w:vAlign w:val="bottom"/>
          </w:tcPr>
          <w:p>
            <w:pPr>
              <w:spacing w:after="0"/>
              <w:rPr>
                <w:sz w:val="1"/>
                <w:szCs w:val="1"/>
                <w:color w:val="auto"/>
              </w:rPr>
            </w:pPr>
          </w:p>
        </w:tc>
      </w:tr>
      <w:tr>
        <w:trPr>
          <w:trHeight w:val="155"/>
        </w:trPr>
        <w:tc>
          <w:tcPr>
            <w:tcW w:w="8920" w:type="dxa"/>
            <w:vAlign w:val="bottom"/>
          </w:tcPr>
          <w:p>
            <w:pPr>
              <w:ind w:left="180"/>
              <w:spacing w:after="0"/>
              <w:rPr>
                <w:sz w:val="20"/>
                <w:szCs w:val="20"/>
                <w:color w:val="auto"/>
              </w:rPr>
            </w:pPr>
            <w:r>
              <w:rPr>
                <w:rFonts w:ascii="Arial" w:cs="Arial" w:eastAsia="Arial" w:hAnsi="Arial"/>
                <w:sz w:val="12"/>
                <w:szCs w:val="12"/>
                <w:color w:val="auto"/>
              </w:rPr>
              <w:t>Derivative investments</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816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548</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Mortgage loans, net of allowance for credit losses of $31 and $39 at December 31, 2021 and 2020, respectively.</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2,031</w:t>
            </w:r>
          </w:p>
        </w:tc>
        <w:tc>
          <w:tcPr>
            <w:tcW w:w="0" w:type="dxa"/>
            <w:vAlign w:val="bottom"/>
          </w:tcPr>
          <w:p>
            <w:pPr>
              <w:spacing w:after="0"/>
              <w:rPr>
                <w:sz w:val="1"/>
                <w:szCs w:val="1"/>
                <w:color w:val="auto"/>
              </w:rPr>
            </w:pPr>
          </w:p>
        </w:tc>
      </w:tr>
      <w:tr>
        <w:trPr>
          <w:trHeight w:val="155"/>
        </w:trPr>
        <w:tc>
          <w:tcPr>
            <w:tcW w:w="8920" w:type="dxa"/>
            <w:vAlign w:val="bottom"/>
          </w:tcPr>
          <w:p>
            <w:pPr>
              <w:ind w:left="180"/>
              <w:spacing w:after="0"/>
              <w:rPr>
                <w:sz w:val="20"/>
                <w:szCs w:val="20"/>
                <w:color w:val="auto"/>
              </w:rPr>
            </w:pPr>
            <w:r>
              <w:rPr>
                <w:rFonts w:ascii="Arial" w:cs="Arial" w:eastAsia="Arial" w:hAnsi="Arial"/>
                <w:sz w:val="12"/>
                <w:szCs w:val="12"/>
                <w:color w:val="auto"/>
              </w:rPr>
              <w:t>Investments in unconsolidated affiliates</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2,486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1,294</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long-term investments</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w:t>
            </w:r>
          </w:p>
        </w:tc>
        <w:tc>
          <w:tcPr>
            <w:tcW w:w="0" w:type="dxa"/>
            <w:vAlign w:val="bottom"/>
          </w:tcPr>
          <w:p>
            <w:pPr>
              <w:spacing w:after="0"/>
              <w:rPr>
                <w:sz w:val="1"/>
                <w:szCs w:val="1"/>
                <w:color w:val="auto"/>
              </w:rPr>
            </w:pPr>
          </w:p>
        </w:tc>
      </w:tr>
      <w:tr>
        <w:trPr>
          <w:trHeight w:val="155"/>
        </w:trPr>
        <w:tc>
          <w:tcPr>
            <w:tcW w:w="89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w w:val="95"/>
              </w:rPr>
              <w:t>Short-term investments, at December 31, 2021 and December 31, 2020 includes pledged short-term investments of $1 and $1, respectively, related to secured trust deposits</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491</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769</w:t>
            </w:r>
          </w:p>
        </w:tc>
        <w:tc>
          <w:tcPr>
            <w:tcW w:w="0" w:type="dxa"/>
            <w:vAlign w:val="bottom"/>
          </w:tcPr>
          <w:p>
            <w:pPr>
              <w:spacing w:after="0"/>
              <w:rPr>
                <w:sz w:val="1"/>
                <w:szCs w:val="1"/>
                <w:color w:val="auto"/>
              </w:rPr>
            </w:pPr>
          </w:p>
        </w:tc>
      </w:tr>
      <w:tr>
        <w:trPr>
          <w:trHeight w:val="151"/>
        </w:trPr>
        <w:tc>
          <w:tcPr>
            <w:tcW w:w="89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investments</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42,775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35,047</w:t>
            </w: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Cash and cash equivalents, at December 31, 2021 and 2020 includes $480 and $270, respectively, of pledged cash related to secured trust deposits</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4,360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2,719</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Trade and notes receivables, net of allowance of $32 and $28 at December 31, 2021 and 2020, respectively</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w:t>
            </w: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Reinsurance recoverable, net of allowance for credit losses of $20 and $21 at December 31, 2021 and 2020, respectively</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3,738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3,211</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4,495</w:t>
            </w: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Prepaid expenses and other assets</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1,203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997</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Lease assets</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w:t>
            </w: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Other intangible assets, net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2,264</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Title plants</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58"/>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Assets of discontinued operations</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w:t>
            </w:r>
          </w:p>
        </w:tc>
        <w:tc>
          <w:tcPr>
            <w:tcW w:w="0" w:type="dxa"/>
            <w:vAlign w:val="bottom"/>
          </w:tcPr>
          <w:p>
            <w:pPr>
              <w:spacing w:after="0"/>
              <w:rPr>
                <w:sz w:val="1"/>
                <w:szCs w:val="1"/>
                <w:color w:val="auto"/>
              </w:rPr>
            </w:pPr>
          </w:p>
        </w:tc>
      </w:tr>
      <w:tr>
        <w:trPr>
          <w:trHeight w:val="151"/>
        </w:trPr>
        <w:tc>
          <w:tcPr>
            <w:tcW w:w="8920" w:type="dxa"/>
            <w:vAlign w:val="bottom"/>
          </w:tcPr>
          <w:p>
            <w:pPr>
              <w:ind w:left="420"/>
              <w:spacing w:after="0"/>
              <w:rPr>
                <w:sz w:val="20"/>
                <w:szCs w:val="20"/>
                <w:color w:val="auto"/>
              </w:rPr>
            </w:pPr>
            <w:r>
              <w:rPr>
                <w:rFonts w:ascii="Arial" w:cs="Arial" w:eastAsia="Arial" w:hAnsi="Arial"/>
                <w:sz w:val="12"/>
                <w:szCs w:val="12"/>
                <w:color w:val="auto"/>
              </w:rPr>
              <w:t>Total assets</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60,690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50,455</w:t>
            </w:r>
          </w:p>
        </w:tc>
        <w:tc>
          <w:tcPr>
            <w:tcW w:w="0" w:type="dxa"/>
            <w:vAlign w:val="bottom"/>
          </w:tcPr>
          <w:p>
            <w:pPr>
              <w:spacing w:after="0"/>
              <w:rPr>
                <w:sz w:val="1"/>
                <w:szCs w:val="1"/>
                <w:color w:val="auto"/>
              </w:rPr>
            </w:pP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920" w:type="dxa"/>
            <w:vAlign w:val="bottom"/>
            <w:shd w:val="clear" w:color="auto" w:fill="CCEEFF"/>
          </w:tcPr>
          <w:p>
            <w:pPr>
              <w:ind w:left="4860"/>
              <w:spacing w:after="0" w:line="121" w:lineRule="exact"/>
              <w:rPr>
                <w:sz w:val="20"/>
                <w:szCs w:val="20"/>
                <w:color w:val="auto"/>
              </w:rPr>
            </w:pPr>
            <w:r>
              <w:rPr>
                <w:rFonts w:ascii="Arial" w:cs="Arial" w:eastAsia="Arial" w:hAnsi="Arial"/>
                <w:sz w:val="12"/>
                <w:szCs w:val="12"/>
                <w:b w:val="1"/>
                <w:bCs w:val="1"/>
                <w:color w:val="auto"/>
              </w:rPr>
              <w:t>LIABILITIES AND EQUITY</w:t>
            </w: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Liabilities: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Contractholder funds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35,525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28,718</w:t>
            </w: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Future policy benefits</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4,732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4,010</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 and accrued liabilities</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2,402</w:t>
            </w: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Notes payable</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3,096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2,662</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Reserve for title claim losses</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1,623</w:t>
            </w: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Funds withheld for reinsurance liabilities</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1,676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806</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Secured trust deposits</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w:t>
            </w: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Lease liabilities</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414</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Income taxes payable</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55"/>
        </w:trPr>
        <w:tc>
          <w:tcPr>
            <w:tcW w:w="8920" w:type="dxa"/>
            <w:vAlign w:val="bottom"/>
          </w:tcPr>
          <w:p>
            <w:pPr>
              <w:spacing w:after="0"/>
              <w:rPr>
                <w:sz w:val="20"/>
                <w:szCs w:val="20"/>
                <w:color w:val="auto"/>
              </w:rPr>
            </w:pPr>
            <w:r>
              <w:rPr>
                <w:rFonts w:ascii="Arial" w:cs="Arial" w:eastAsia="Arial" w:hAnsi="Arial"/>
                <w:sz w:val="12"/>
                <w:szCs w:val="12"/>
                <w:color w:val="auto"/>
              </w:rPr>
              <w:t>Deferred tax liability</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Liabilities of discontinued operations</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w:t>
            </w:r>
          </w:p>
        </w:tc>
        <w:tc>
          <w:tcPr>
            <w:tcW w:w="0" w:type="dxa"/>
            <w:vAlign w:val="bottom"/>
          </w:tcPr>
          <w:p>
            <w:pPr>
              <w:spacing w:after="0"/>
              <w:rPr>
                <w:sz w:val="1"/>
                <w:szCs w:val="1"/>
                <w:color w:val="auto"/>
              </w:rPr>
            </w:pPr>
          </w:p>
        </w:tc>
      </w:tr>
      <w:tr>
        <w:trPr>
          <w:trHeight w:val="147"/>
        </w:trPr>
        <w:tc>
          <w:tcPr>
            <w:tcW w:w="8920" w:type="dxa"/>
            <w:vAlign w:val="bottom"/>
          </w:tcPr>
          <w:p>
            <w:pPr>
              <w:ind w:left="420"/>
              <w:spacing w:after="0"/>
              <w:rPr>
                <w:sz w:val="20"/>
                <w:szCs w:val="20"/>
                <w:color w:val="auto"/>
              </w:rPr>
            </w:pPr>
            <w:r>
              <w:rPr>
                <w:rFonts w:ascii="Arial" w:cs="Arial" w:eastAsia="Arial" w:hAnsi="Arial"/>
                <w:sz w:val="12"/>
                <w:szCs w:val="12"/>
                <w:color w:val="auto"/>
              </w:rPr>
              <w:t>Total liabilities</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51,233</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42,063</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spacing w:after="0"/>
              <w:rPr>
                <w:sz w:val="20"/>
                <w:szCs w:val="20"/>
                <w:color w:val="auto"/>
              </w:rPr>
            </w:pPr>
            <w:r>
              <w:rPr>
                <w:rFonts w:ascii="Arial" w:cs="Arial" w:eastAsia="Arial" w:hAnsi="Arial"/>
                <w:sz w:val="12"/>
                <w:szCs w:val="12"/>
                <w:color w:val="auto"/>
              </w:rPr>
              <w:t>Equity:</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8920" w:type="dxa"/>
            <w:vAlign w:val="bottom"/>
          </w:tcPr>
          <w:p>
            <w:pPr>
              <w:ind w:left="180"/>
              <w:spacing w:after="0" w:line="113" w:lineRule="exact"/>
              <w:rPr>
                <w:sz w:val="20"/>
                <w:szCs w:val="20"/>
                <w:color w:val="auto"/>
              </w:rPr>
            </w:pPr>
            <w:r>
              <w:rPr>
                <w:rFonts w:ascii="Arial" w:cs="Arial" w:eastAsia="Arial" w:hAnsi="Arial"/>
                <w:sz w:val="12"/>
                <w:szCs w:val="12"/>
                <w:color w:val="auto"/>
                <w:w w:val="95"/>
              </w:rPr>
              <w:t>FNF common stock, $0.0001 par value; authorized 600,000,000 shares as of December 31, 2021 and 2020, respectively; outstanding of 283,778,574 and 291,448,627 as of</w:t>
            </w:r>
          </w:p>
        </w:tc>
        <w:tc>
          <w:tcPr>
            <w:tcW w:w="140" w:type="dxa"/>
            <w:vAlign w:val="bottom"/>
          </w:tcPr>
          <w:p>
            <w:pPr>
              <w:spacing w:after="0"/>
              <w:rPr>
                <w:sz w:val="9"/>
                <w:szCs w:val="9"/>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8920" w:type="dxa"/>
            <w:vAlign w:val="bottom"/>
          </w:tcPr>
          <w:p>
            <w:pPr>
              <w:ind w:left="180"/>
              <w:spacing w:after="0"/>
              <w:rPr>
                <w:sz w:val="20"/>
                <w:szCs w:val="20"/>
                <w:color w:val="auto"/>
              </w:rPr>
            </w:pPr>
            <w:r>
              <w:rPr>
                <w:rFonts w:ascii="Arial" w:cs="Arial" w:eastAsia="Arial" w:hAnsi="Arial"/>
                <w:sz w:val="12"/>
                <w:szCs w:val="12"/>
                <w:color w:val="auto"/>
              </w:rPr>
              <w:t>December 31, 2021 and 2020, respectively, and issued of 325,486,429 and 322,622,948 as of December 31, 2021 and 2020, respectively</w:t>
            </w: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Preferred stock, $0.0001 par value; authorized 50,000,000 shares; issued and outstanding, none</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8920" w:type="dxa"/>
            <w:vAlign w:val="bottom"/>
          </w:tcPr>
          <w:p>
            <w:pPr>
              <w:ind w:left="180"/>
              <w:spacing w:after="0"/>
              <w:rPr>
                <w:sz w:val="20"/>
                <w:szCs w:val="20"/>
                <w:color w:val="auto"/>
              </w:rPr>
            </w:pPr>
            <w:r>
              <w:rPr>
                <w:rFonts w:ascii="Arial" w:cs="Arial" w:eastAsia="Arial" w:hAnsi="Arial"/>
                <w:sz w:val="12"/>
                <w:szCs w:val="12"/>
                <w:color w:val="auto"/>
              </w:rPr>
              <w:t>Additional paid-in capital</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5,811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5,720</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Retained earnings</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2,394</w:t>
            </w:r>
          </w:p>
        </w:tc>
        <w:tc>
          <w:tcPr>
            <w:tcW w:w="0" w:type="dxa"/>
            <w:vAlign w:val="bottom"/>
          </w:tcPr>
          <w:p>
            <w:pPr>
              <w:spacing w:after="0"/>
              <w:rPr>
                <w:sz w:val="1"/>
                <w:szCs w:val="1"/>
                <w:color w:val="auto"/>
              </w:rPr>
            </w:pPr>
          </w:p>
        </w:tc>
      </w:tr>
      <w:tr>
        <w:trPr>
          <w:trHeight w:val="155"/>
        </w:trPr>
        <w:tc>
          <w:tcPr>
            <w:tcW w:w="8920" w:type="dxa"/>
            <w:vAlign w:val="bottom"/>
          </w:tcPr>
          <w:p>
            <w:pPr>
              <w:ind w:left="180"/>
              <w:spacing w:after="0"/>
              <w:rPr>
                <w:sz w:val="20"/>
                <w:szCs w:val="20"/>
                <w:color w:val="auto"/>
              </w:rPr>
            </w:pPr>
            <w:r>
              <w:rPr>
                <w:rFonts w:ascii="Arial" w:cs="Arial" w:eastAsia="Arial" w:hAnsi="Arial"/>
                <w:sz w:val="12"/>
                <w:szCs w:val="12"/>
                <w:color w:val="auto"/>
              </w:rPr>
              <w:t>Accumulated other comprehensive earnings</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779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1,304</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Less: Treasury stock, 41,707,855 shares and 31,174,321 shares as of December 31, 2021 and 2020, respectively, at cost</w:t>
            </w: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(1,545)</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(1,067)</w:t>
            </w:r>
          </w:p>
        </w:tc>
        <w:tc>
          <w:tcPr>
            <w:tcW w:w="0" w:type="dxa"/>
            <w:vAlign w:val="bottom"/>
          </w:tcPr>
          <w:p>
            <w:pPr>
              <w:spacing w:after="0"/>
              <w:rPr>
                <w:sz w:val="1"/>
                <w:szCs w:val="1"/>
                <w:color w:val="auto"/>
              </w:rPr>
            </w:pPr>
          </w:p>
        </w:tc>
      </w:tr>
      <w:tr>
        <w:trPr>
          <w:trHeight w:val="147"/>
        </w:trPr>
        <w:tc>
          <w:tcPr>
            <w:tcW w:w="8920" w:type="dxa"/>
            <w:vAlign w:val="bottom"/>
          </w:tcPr>
          <w:p>
            <w:pPr>
              <w:ind w:left="420"/>
              <w:spacing w:after="0"/>
              <w:rPr>
                <w:sz w:val="20"/>
                <w:szCs w:val="20"/>
                <w:color w:val="auto"/>
              </w:rPr>
            </w:pPr>
            <w:r>
              <w:rPr>
                <w:rFonts w:ascii="Arial" w:cs="Arial" w:eastAsia="Arial" w:hAnsi="Arial"/>
                <w:sz w:val="12"/>
                <w:szCs w:val="12"/>
                <w:color w:val="auto"/>
              </w:rPr>
              <w:t>Total Fidelity National Financial, Inc. shareholders’ equity</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9,414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8,351</w:t>
            </w: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Non-controlling interests</w:t>
            </w: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7"/>
        </w:trPr>
        <w:tc>
          <w:tcPr>
            <w:tcW w:w="892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Total equity</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9,457</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8,392</w:t>
            </w:r>
          </w:p>
        </w:tc>
        <w:tc>
          <w:tcPr>
            <w:tcW w:w="0" w:type="dxa"/>
            <w:vAlign w:val="bottom"/>
          </w:tcPr>
          <w:p>
            <w:pPr>
              <w:spacing w:after="0"/>
              <w:rPr>
                <w:sz w:val="1"/>
                <w:szCs w:val="1"/>
                <w:color w:val="auto"/>
              </w:rPr>
            </w:pPr>
          </w:p>
        </w:tc>
      </w:tr>
      <w:tr>
        <w:trPr>
          <w:trHeight w:val="176"/>
        </w:trPr>
        <w:tc>
          <w:tcPr>
            <w:tcW w:w="8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Total liabilities and equity</w:t>
            </w: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60,690</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50,455</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-635</wp:posOffset>
            </wp:positionV>
            <wp:extent cx="718058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8" w:name="page99"/>
    <w:bookmarkEnd w:id="9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STATEMENTS OF EARNINGS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(Dollars in millions, except per share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2"/>
                <w:szCs w:val="12"/>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2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49"/>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Revenues:</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340" w:type="dxa"/>
            <w:vAlign w:val="bottom"/>
            <w:gridSpan w:val="2"/>
          </w:tcPr>
          <w:p>
            <w:pPr>
              <w:ind w:left="180"/>
              <w:spacing w:after="0"/>
              <w:rPr>
                <w:sz w:val="20"/>
                <w:szCs w:val="20"/>
                <w:color w:val="auto"/>
              </w:rPr>
            </w:pPr>
            <w:r>
              <w:rPr>
                <w:rFonts w:ascii="Arial" w:cs="Arial" w:eastAsia="Arial" w:hAnsi="Arial"/>
                <w:sz w:val="12"/>
                <w:szCs w:val="12"/>
                <w:color w:val="auto"/>
              </w:rPr>
              <w:t>Direct title insurance premiums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3,571</w:t>
            </w:r>
          </w:p>
        </w:tc>
        <w:tc>
          <w:tcPr>
            <w:tcW w:w="12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2,699</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2,381</w:t>
            </w:r>
          </w:p>
        </w:tc>
        <w:tc>
          <w:tcPr>
            <w:tcW w:w="0" w:type="dxa"/>
            <w:vAlign w:val="bottom"/>
          </w:tcPr>
          <w:p>
            <w:pPr>
              <w:spacing w:after="0"/>
              <w:rPr>
                <w:sz w:val="1"/>
                <w:szCs w:val="1"/>
                <w:color w:val="auto"/>
              </w:rPr>
            </w:pPr>
          </w:p>
        </w:tc>
      </w:tr>
      <w:tr>
        <w:trPr>
          <w:trHeight w:val="160"/>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Agency title insurance premiums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2,961</w:t>
            </w:r>
          </w:p>
        </w:tc>
        <w:tc>
          <w:tcPr>
            <w:tcW w:w="0" w:type="dxa"/>
            <w:vAlign w:val="bottom"/>
          </w:tcPr>
          <w:p>
            <w:pPr>
              <w:spacing w:after="0"/>
              <w:rPr>
                <w:sz w:val="1"/>
                <w:szCs w:val="1"/>
                <w:color w:val="auto"/>
              </w:rPr>
            </w:pPr>
          </w:p>
        </w:tc>
      </w:tr>
      <w:tr>
        <w:trPr>
          <w:trHeight w:val="155"/>
        </w:trPr>
        <w:tc>
          <w:tcPr>
            <w:tcW w:w="8340" w:type="dxa"/>
            <w:vAlign w:val="bottom"/>
            <w:gridSpan w:val="2"/>
          </w:tcPr>
          <w:p>
            <w:pPr>
              <w:ind w:left="180"/>
              <w:spacing w:after="0"/>
              <w:rPr>
                <w:sz w:val="20"/>
                <w:szCs w:val="20"/>
                <w:color w:val="auto"/>
              </w:rPr>
            </w:pPr>
            <w:r>
              <w:rPr>
                <w:rFonts w:ascii="Arial" w:cs="Arial" w:eastAsia="Arial" w:hAnsi="Arial"/>
                <w:sz w:val="12"/>
                <w:szCs w:val="12"/>
                <w:color w:val="auto"/>
              </w:rPr>
              <w:t>Escrow, title-related and other fees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4,795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3,092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2,584</w:t>
            </w:r>
          </w:p>
        </w:tc>
        <w:tc>
          <w:tcPr>
            <w:tcW w:w="0" w:type="dxa"/>
            <w:vAlign w:val="bottom"/>
          </w:tcPr>
          <w:p>
            <w:pPr>
              <w:spacing w:after="0"/>
              <w:rPr>
                <w:sz w:val="1"/>
                <w:szCs w:val="1"/>
                <w:color w:val="auto"/>
              </w:rPr>
            </w:pPr>
          </w:p>
        </w:tc>
      </w:tr>
      <w:tr>
        <w:trPr>
          <w:trHeight w:val="160"/>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Interest and investment income</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0" w:type="dxa"/>
            <w:vAlign w:val="bottom"/>
          </w:tcPr>
          <w:p>
            <w:pPr>
              <w:spacing w:after="0"/>
              <w:rPr>
                <w:sz w:val="1"/>
                <w:szCs w:val="1"/>
                <w:color w:val="auto"/>
              </w:rPr>
            </w:pPr>
          </w:p>
        </w:tc>
      </w:tr>
      <w:tr>
        <w:trPr>
          <w:trHeight w:val="155"/>
        </w:trPr>
        <w:tc>
          <w:tcPr>
            <w:tcW w:w="8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Recognized gains and losses, net</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w:t>
            </w:r>
          </w:p>
        </w:tc>
        <w:tc>
          <w:tcPr>
            <w:tcW w:w="0" w:type="dxa"/>
            <w:vAlign w:val="bottom"/>
          </w:tcPr>
          <w:p>
            <w:pPr>
              <w:spacing w:after="0"/>
              <w:rPr>
                <w:sz w:val="1"/>
                <w:szCs w:val="1"/>
                <w:color w:val="auto"/>
              </w:rPr>
            </w:pPr>
          </w:p>
        </w:tc>
      </w:tr>
      <w:tr>
        <w:trPr>
          <w:trHeight w:val="151"/>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Total revenues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15,643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10,778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8,469</w:t>
            </w:r>
          </w:p>
        </w:tc>
        <w:tc>
          <w:tcPr>
            <w:tcW w:w="0" w:type="dxa"/>
            <w:vAlign w:val="bottom"/>
          </w:tcPr>
          <w:p>
            <w:pPr>
              <w:spacing w:after="0"/>
              <w:rPr>
                <w:sz w:val="1"/>
                <w:szCs w:val="1"/>
                <w:color w:val="auto"/>
              </w:rPr>
            </w:pPr>
          </w:p>
        </w:tc>
      </w:tr>
      <w:tr>
        <w:trPr>
          <w:trHeight w:val="157"/>
        </w:trPr>
        <w:tc>
          <w:tcPr>
            <w:tcW w:w="8340" w:type="dxa"/>
            <w:vAlign w:val="bottom"/>
            <w:gridSpan w:val="2"/>
          </w:tcPr>
          <w:p>
            <w:pPr>
              <w:ind w:left="20"/>
              <w:spacing w:after="0"/>
              <w:rPr>
                <w:sz w:val="20"/>
                <w:szCs w:val="20"/>
                <w:color w:val="auto"/>
              </w:rPr>
            </w:pPr>
            <w:r>
              <w:rPr>
                <w:rFonts w:ascii="Arial" w:cs="Arial" w:eastAsia="Arial" w:hAnsi="Arial"/>
                <w:sz w:val="12"/>
                <w:szCs w:val="12"/>
                <w:b w:val="1"/>
                <w:bCs w:val="1"/>
                <w:color w:val="auto"/>
              </w:rPr>
              <w:t>Expenses: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Personnel costs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2,696</w:t>
            </w:r>
          </w:p>
        </w:tc>
        <w:tc>
          <w:tcPr>
            <w:tcW w:w="0" w:type="dxa"/>
            <w:vAlign w:val="bottom"/>
          </w:tcPr>
          <w:p>
            <w:pPr>
              <w:spacing w:after="0"/>
              <w:rPr>
                <w:sz w:val="1"/>
                <w:szCs w:val="1"/>
                <w:color w:val="auto"/>
              </w:rPr>
            </w:pPr>
          </w:p>
        </w:tc>
      </w:tr>
      <w:tr>
        <w:trPr>
          <w:trHeight w:val="155"/>
        </w:trPr>
        <w:tc>
          <w:tcPr>
            <w:tcW w:w="8340" w:type="dxa"/>
            <w:vAlign w:val="bottom"/>
            <w:gridSpan w:val="2"/>
          </w:tcPr>
          <w:p>
            <w:pPr>
              <w:ind w:left="180"/>
              <w:spacing w:after="0"/>
              <w:rPr>
                <w:sz w:val="20"/>
                <w:szCs w:val="20"/>
                <w:color w:val="auto"/>
              </w:rPr>
            </w:pPr>
            <w:r>
              <w:rPr>
                <w:rFonts w:ascii="Arial" w:cs="Arial" w:eastAsia="Arial" w:hAnsi="Arial"/>
                <w:sz w:val="12"/>
                <w:szCs w:val="12"/>
                <w:color w:val="auto"/>
              </w:rPr>
              <w:t>Agent commissions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3,821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2,749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2,258</w:t>
            </w:r>
          </w:p>
        </w:tc>
        <w:tc>
          <w:tcPr>
            <w:tcW w:w="0" w:type="dxa"/>
            <w:vAlign w:val="bottom"/>
          </w:tcPr>
          <w:p>
            <w:pPr>
              <w:spacing w:after="0"/>
              <w:rPr>
                <w:sz w:val="1"/>
                <w:szCs w:val="1"/>
                <w:color w:val="auto"/>
              </w:rPr>
            </w:pPr>
          </w:p>
        </w:tc>
      </w:tr>
      <w:tr>
        <w:trPr>
          <w:trHeight w:val="160"/>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operating expenses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1,681</w:t>
            </w:r>
          </w:p>
        </w:tc>
        <w:tc>
          <w:tcPr>
            <w:tcW w:w="0" w:type="dxa"/>
            <w:vAlign w:val="bottom"/>
          </w:tcPr>
          <w:p>
            <w:pPr>
              <w:spacing w:after="0"/>
              <w:rPr>
                <w:sz w:val="1"/>
                <w:szCs w:val="1"/>
                <w:color w:val="auto"/>
              </w:rPr>
            </w:pPr>
          </w:p>
        </w:tc>
      </w:tr>
      <w:tr>
        <w:trPr>
          <w:trHeight w:val="155"/>
        </w:trPr>
        <w:tc>
          <w:tcPr>
            <w:tcW w:w="8340" w:type="dxa"/>
            <w:vAlign w:val="bottom"/>
            <w:gridSpan w:val="2"/>
          </w:tcPr>
          <w:p>
            <w:pPr>
              <w:ind w:left="180"/>
              <w:spacing w:after="0"/>
              <w:rPr>
                <w:sz w:val="20"/>
                <w:szCs w:val="20"/>
                <w:color w:val="auto"/>
              </w:rPr>
            </w:pPr>
            <w:r>
              <w:rPr>
                <w:rFonts w:ascii="Arial" w:cs="Arial" w:eastAsia="Arial" w:hAnsi="Arial"/>
                <w:sz w:val="12"/>
                <w:szCs w:val="12"/>
                <w:color w:val="auto"/>
              </w:rPr>
              <w:t>Benefits and other changes in policy reserves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2,138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866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155"/>
        </w:trPr>
        <w:tc>
          <w:tcPr>
            <w:tcW w:w="8340" w:type="dxa"/>
            <w:vAlign w:val="bottom"/>
            <w:gridSpan w:val="2"/>
          </w:tcPr>
          <w:p>
            <w:pPr>
              <w:ind w:left="180"/>
              <w:spacing w:after="0"/>
              <w:rPr>
                <w:sz w:val="20"/>
                <w:szCs w:val="20"/>
                <w:color w:val="auto"/>
              </w:rPr>
            </w:pPr>
            <w:r>
              <w:rPr>
                <w:rFonts w:ascii="Arial" w:cs="Arial" w:eastAsia="Arial" w:hAnsi="Arial"/>
                <w:sz w:val="12"/>
                <w:szCs w:val="12"/>
                <w:color w:val="auto"/>
              </w:rPr>
              <w:t>Provision for title claim losses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385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60"/>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Interest expense</w:t>
            </w: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47"/>
        </w:trPr>
        <w:tc>
          <w:tcPr>
            <w:tcW w:w="8340" w:type="dxa"/>
            <w:vAlign w:val="bottom"/>
            <w:gridSpan w:val="2"/>
          </w:tcPr>
          <w:p>
            <w:pPr>
              <w:ind w:left="380"/>
              <w:spacing w:after="0"/>
              <w:rPr>
                <w:sz w:val="20"/>
                <w:szCs w:val="20"/>
                <w:color w:val="auto"/>
              </w:rPr>
            </w:pPr>
            <w:r>
              <w:rPr>
                <w:rFonts w:ascii="Arial" w:cs="Arial" w:eastAsia="Arial" w:hAnsi="Arial"/>
                <w:sz w:val="12"/>
                <w:szCs w:val="12"/>
                <w:color w:val="auto"/>
              </w:rPr>
              <w:t>Total expenses</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12,560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8,994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7,100</w:t>
            </w:r>
          </w:p>
        </w:tc>
        <w:tc>
          <w:tcPr>
            <w:tcW w:w="0" w:type="dxa"/>
            <w:vAlign w:val="bottom"/>
          </w:tcPr>
          <w:p>
            <w:pPr>
              <w:spacing w:after="0"/>
              <w:rPr>
                <w:sz w:val="1"/>
                <w:szCs w:val="1"/>
                <w:color w:val="auto"/>
              </w:rPr>
            </w:pPr>
          </w:p>
        </w:tc>
      </w:tr>
      <w:tr>
        <w:trPr>
          <w:trHeight w:val="151"/>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Earnings from continuing operations before income taxes and equity in earnings of unconsolidated affiliates</w:t>
            </w: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3,083</w:t>
            </w:r>
          </w:p>
        </w:tc>
        <w:tc>
          <w:tcPr>
            <w:tcW w:w="1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1,784</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1,369</w:t>
            </w:r>
          </w:p>
        </w:tc>
        <w:tc>
          <w:tcPr>
            <w:tcW w:w="0" w:type="dxa"/>
            <w:vAlign w:val="bottom"/>
          </w:tcPr>
          <w:p>
            <w:pPr>
              <w:spacing w:after="0"/>
              <w:rPr>
                <w:sz w:val="1"/>
                <w:szCs w:val="1"/>
                <w:color w:val="auto"/>
              </w:rPr>
            </w:pPr>
          </w:p>
        </w:tc>
      </w:tr>
      <w:tr>
        <w:trPr>
          <w:trHeight w:val="155"/>
        </w:trPr>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Income tax expense</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713</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308</w:t>
            </w:r>
          </w:p>
        </w:tc>
        <w:tc>
          <w:tcPr>
            <w:tcW w:w="0" w:type="dxa"/>
            <w:vAlign w:val="bottom"/>
          </w:tcPr>
          <w:p>
            <w:pPr>
              <w:spacing w:after="0"/>
              <w:rPr>
                <w:sz w:val="1"/>
                <w:szCs w:val="1"/>
                <w:color w:val="auto"/>
              </w:rPr>
            </w:pPr>
          </w:p>
        </w:tc>
      </w:tr>
      <w:tr>
        <w:trPr>
          <w:trHeight w:val="151"/>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Earnings before equity in earnings of unconsolidated affiliates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1,061</w:t>
            </w:r>
          </w:p>
        </w:tc>
        <w:tc>
          <w:tcPr>
            <w:tcW w:w="0" w:type="dxa"/>
            <w:vAlign w:val="bottom"/>
          </w:tcPr>
          <w:p>
            <w:pPr>
              <w:spacing w:after="0"/>
              <w:rPr>
                <w:sz w:val="1"/>
                <w:szCs w:val="1"/>
                <w:color w:val="auto"/>
              </w:rPr>
            </w:pPr>
          </w:p>
        </w:tc>
      </w:tr>
      <w:tr>
        <w:trPr>
          <w:trHeight w:val="155"/>
        </w:trPr>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1"/>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earnings from continuing operations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w:t>
            </w:r>
          </w:p>
        </w:tc>
        <w:tc>
          <w:tcPr>
            <w:tcW w:w="0" w:type="dxa"/>
            <w:vAlign w:val="bottom"/>
          </w:tcPr>
          <w:p>
            <w:pPr>
              <w:spacing w:after="0"/>
              <w:rPr>
                <w:sz w:val="1"/>
                <w:szCs w:val="1"/>
                <w:color w:val="auto"/>
              </w:rPr>
            </w:pPr>
          </w:p>
        </w:tc>
      </w:tr>
      <w:tr>
        <w:trPr>
          <w:trHeight w:val="155"/>
        </w:trPr>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Net earnings (loss) from discontinued operations, net of tax</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earnings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w:t>
            </w:r>
          </w:p>
        </w:tc>
        <w:tc>
          <w:tcPr>
            <w:tcW w:w="0" w:type="dxa"/>
            <w:vAlign w:val="bottom"/>
          </w:tcPr>
          <w:p>
            <w:pPr>
              <w:spacing w:after="0"/>
              <w:rPr>
                <w:sz w:val="1"/>
                <w:szCs w:val="1"/>
                <w:color w:val="auto"/>
              </w:rPr>
            </w:pPr>
          </w:p>
        </w:tc>
      </w:tr>
      <w:tr>
        <w:trPr>
          <w:trHeight w:val="155"/>
        </w:trPr>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Less: Net earnings attributable to non-controlling interests</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4"/>
        </w:trPr>
        <w:tc>
          <w:tcPr>
            <w:tcW w:w="834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2"/>
                <w:szCs w:val="12"/>
                <w:color w:val="auto"/>
              </w:rPr>
              <w:t>Net earnings attributable to Fidelity National Financial, Inc. common shareholders</w:t>
            </w:r>
          </w:p>
        </w:tc>
        <w:tc>
          <w:tcPr>
            <w:tcW w:w="200" w:type="dxa"/>
            <w:vAlign w:val="bottom"/>
            <w:tcBorders>
              <w:bottom w:val="single" w:sz="8" w:color="auto"/>
            </w:tcBorders>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2,422</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1,427</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1,062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2"/>
                <w:szCs w:val="12"/>
                <w:b w:val="1"/>
                <w:bCs w:val="1"/>
                <w:color w:val="auto"/>
              </w:rPr>
              <w:t>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3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Basic</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340" w:type="dxa"/>
            <w:vAlign w:val="bottom"/>
            <w:gridSpan w:val="2"/>
          </w:tcPr>
          <w:p>
            <w:pPr>
              <w:ind w:left="20"/>
              <w:spacing w:after="0"/>
              <w:rPr>
                <w:sz w:val="20"/>
                <w:szCs w:val="20"/>
                <w:color w:val="auto"/>
              </w:rPr>
            </w:pPr>
            <w:r>
              <w:rPr>
                <w:rFonts w:ascii="Arial" w:cs="Arial" w:eastAsia="Arial" w:hAnsi="Arial"/>
                <w:sz w:val="12"/>
                <w:szCs w:val="12"/>
                <w:color w:val="auto"/>
              </w:rPr>
              <w:t>Net earnings from continuing operations attributable to FNF common shareholders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8.47</w:t>
            </w:r>
          </w:p>
        </w:tc>
        <w:tc>
          <w:tcPr>
            <w:tcW w:w="12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5.11</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3.89</w:t>
            </w:r>
          </w:p>
        </w:tc>
        <w:tc>
          <w:tcPr>
            <w:tcW w:w="0" w:type="dxa"/>
            <w:vAlign w:val="bottom"/>
          </w:tcPr>
          <w:p>
            <w:pPr>
              <w:spacing w:after="0"/>
              <w:rPr>
                <w:sz w:val="1"/>
                <w:szCs w:val="1"/>
                <w:color w:val="auto"/>
              </w:rPr>
            </w:pPr>
          </w:p>
        </w:tc>
      </w:tr>
      <w:tr>
        <w:trPr>
          <w:trHeight w:val="158"/>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earnings (loss) from discontinued operations attributable to FNF common shareholders</w:t>
            </w: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(0.09)</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8340" w:type="dxa"/>
            <w:vAlign w:val="bottom"/>
            <w:gridSpan w:val="2"/>
          </w:tcPr>
          <w:p>
            <w:pPr>
              <w:ind w:left="20"/>
              <w:spacing w:after="0"/>
              <w:rPr>
                <w:sz w:val="20"/>
                <w:szCs w:val="20"/>
                <w:color w:val="auto"/>
              </w:rPr>
            </w:pPr>
            <w:r>
              <w:rPr>
                <w:rFonts w:ascii="Arial" w:cs="Arial" w:eastAsia="Arial" w:hAnsi="Arial"/>
                <w:sz w:val="12"/>
                <w:szCs w:val="12"/>
                <w:color w:val="auto"/>
              </w:rPr>
              <w:t>Net earnings per share attributable to FNF common shareholders, basic</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8.50</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5.02</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3.89</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34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2"/>
                <w:szCs w:val="12"/>
                <w:i w:val="1"/>
                <w:iCs w:val="1"/>
                <w:color w:val="auto"/>
              </w:rPr>
              <w:t>Diluted</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340" w:type="dxa"/>
            <w:vAlign w:val="bottom"/>
            <w:gridSpan w:val="2"/>
          </w:tcPr>
          <w:p>
            <w:pPr>
              <w:ind w:left="20"/>
              <w:spacing w:after="0"/>
              <w:rPr>
                <w:sz w:val="20"/>
                <w:szCs w:val="20"/>
                <w:color w:val="auto"/>
              </w:rPr>
            </w:pPr>
            <w:r>
              <w:rPr>
                <w:rFonts w:ascii="Arial" w:cs="Arial" w:eastAsia="Arial" w:hAnsi="Arial"/>
                <w:sz w:val="12"/>
                <w:szCs w:val="12"/>
                <w:color w:val="auto"/>
              </w:rPr>
              <w:t>Net earnings from continuing operations attributable to FNF common shareholders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8.41</w:t>
            </w:r>
          </w:p>
        </w:tc>
        <w:tc>
          <w:tcPr>
            <w:tcW w:w="12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5.08</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3.83</w:t>
            </w:r>
          </w:p>
        </w:tc>
        <w:tc>
          <w:tcPr>
            <w:tcW w:w="0" w:type="dxa"/>
            <w:vAlign w:val="bottom"/>
          </w:tcPr>
          <w:p>
            <w:pPr>
              <w:spacing w:after="0"/>
              <w:rPr>
                <w:sz w:val="1"/>
                <w:szCs w:val="1"/>
                <w:color w:val="auto"/>
              </w:rPr>
            </w:pPr>
          </w:p>
        </w:tc>
      </w:tr>
      <w:tr>
        <w:trPr>
          <w:trHeight w:val="158"/>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earnings (loss) from discontinued operations attributable to FNF common shareholders</w:t>
            </w: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(0.09)</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8340" w:type="dxa"/>
            <w:vAlign w:val="bottom"/>
            <w:gridSpan w:val="2"/>
          </w:tcPr>
          <w:p>
            <w:pPr>
              <w:ind w:left="20"/>
              <w:spacing w:after="0"/>
              <w:rPr>
                <w:sz w:val="20"/>
                <w:szCs w:val="20"/>
                <w:color w:val="auto"/>
              </w:rPr>
            </w:pPr>
            <w:r>
              <w:rPr>
                <w:rFonts w:ascii="Arial" w:cs="Arial" w:eastAsia="Arial" w:hAnsi="Arial"/>
                <w:sz w:val="12"/>
                <w:szCs w:val="12"/>
                <w:color w:val="auto"/>
              </w:rPr>
              <w:t>Net earnings per share attributable to FNF common shareholders, diluted</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8.44</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4.99</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3.83</w:t>
            </w:r>
          </w:p>
        </w:tc>
        <w:tc>
          <w:tcPr>
            <w:tcW w:w="0" w:type="dxa"/>
            <w:vAlign w:val="bottom"/>
          </w:tcPr>
          <w:p>
            <w:pPr>
              <w:spacing w:after="0"/>
              <w:rPr>
                <w:sz w:val="1"/>
                <w:szCs w:val="1"/>
                <w:color w:val="auto"/>
              </w:rPr>
            </w:pPr>
          </w:p>
        </w:tc>
      </w:tr>
      <w:tr>
        <w:trPr>
          <w:trHeight w:val="78"/>
        </w:trPr>
        <w:tc>
          <w:tcPr>
            <w:tcW w:w="82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340" w:type="dxa"/>
            <w:vAlign w:val="bottom"/>
            <w:tcBorders>
              <w:top w:val="single" w:sz="8" w:color="CCEEFF"/>
            </w:tcBorders>
            <w:gridSpan w:val="2"/>
          </w:tcPr>
          <w:p>
            <w:pPr>
              <w:ind w:left="20"/>
              <w:spacing w:after="0"/>
              <w:rPr>
                <w:sz w:val="20"/>
                <w:szCs w:val="20"/>
                <w:color w:val="auto"/>
              </w:rPr>
            </w:pPr>
            <w:r>
              <w:rPr>
                <w:rFonts w:ascii="Arial" w:cs="Arial" w:eastAsia="Arial" w:hAnsi="Arial"/>
                <w:sz w:val="12"/>
                <w:szCs w:val="12"/>
                <w:color w:val="auto"/>
              </w:rPr>
              <w:t>Weighted average shares outstanding FNF common stock, basic basis</w:t>
            </w:r>
          </w:p>
        </w:tc>
        <w:tc>
          <w:tcPr>
            <w:tcW w:w="200" w:type="dxa"/>
            <w:vAlign w:val="bottom"/>
            <w:tcBorders>
              <w:top w:val="single" w:sz="8" w:color="CCEEFF"/>
              <w:bottom w:val="single" w:sz="8" w:color="auto"/>
            </w:tcBorders>
          </w:tcPr>
          <w:p>
            <w:pPr>
              <w:spacing w:after="0"/>
              <w:rPr>
                <w:sz w:val="13"/>
                <w:szCs w:val="13"/>
                <w:color w:val="auto"/>
              </w:rPr>
            </w:pPr>
          </w:p>
        </w:tc>
        <w:tc>
          <w:tcPr>
            <w:tcW w:w="6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2"/>
                <w:szCs w:val="12"/>
                <w:color w:val="auto"/>
              </w:rPr>
              <w:t>285</w:t>
            </w:r>
          </w:p>
        </w:tc>
        <w:tc>
          <w:tcPr>
            <w:tcW w:w="120" w:type="dxa"/>
            <w:vAlign w:val="bottom"/>
            <w:tcBorders>
              <w:top w:val="single" w:sz="8" w:color="CCEEFF"/>
            </w:tcBorders>
          </w:tcPr>
          <w:p>
            <w:pPr>
              <w:spacing w:after="0"/>
              <w:rPr>
                <w:sz w:val="13"/>
                <w:szCs w:val="13"/>
                <w:color w:val="auto"/>
              </w:rPr>
            </w:pPr>
          </w:p>
        </w:tc>
        <w:tc>
          <w:tcPr>
            <w:tcW w:w="180" w:type="dxa"/>
            <w:vAlign w:val="bottom"/>
            <w:tcBorders>
              <w:top w:val="single" w:sz="8" w:color="CCEEFF"/>
              <w:bottom w:val="single" w:sz="8" w:color="auto"/>
            </w:tcBorders>
          </w:tcPr>
          <w:p>
            <w:pPr>
              <w:spacing w:after="0"/>
              <w:rPr>
                <w:sz w:val="13"/>
                <w:szCs w:val="13"/>
                <w:color w:val="auto"/>
              </w:rPr>
            </w:pPr>
          </w:p>
        </w:tc>
        <w:tc>
          <w:tcPr>
            <w:tcW w:w="6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2"/>
                <w:szCs w:val="12"/>
                <w:color w:val="auto"/>
              </w:rPr>
              <w:t>284</w:t>
            </w: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CCEEFF"/>
              <w:bottom w:val="single" w:sz="8" w:color="auto"/>
            </w:tcBorders>
          </w:tcPr>
          <w:p>
            <w:pPr>
              <w:spacing w:after="0"/>
              <w:rPr>
                <w:sz w:val="13"/>
                <w:szCs w:val="13"/>
                <w:color w:val="auto"/>
              </w:rPr>
            </w:pPr>
          </w:p>
        </w:tc>
        <w:tc>
          <w:tcPr>
            <w:tcW w:w="6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Weighted average shares outstanding FNF common stock, diluted basis</w:t>
            </w: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287</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Consolidated Financial Statements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99" w:name="page100"/>
    <w:bookmarkEnd w:id="99"/>
    <w:p>
      <w:pPr>
        <w:ind w:left="1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21"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CONSOLIDATED STATEMENTS OF COMPREHENSIVE EARNINGS</w:t>
      </w:r>
    </w:p>
    <w:p>
      <w:pPr>
        <w:spacing w:after="0" w:line="8"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(In millions)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2"/>
                <w:szCs w:val="12"/>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49"/>
        </w:trPr>
        <w:tc>
          <w:tcPr>
            <w:tcW w:w="8120" w:type="dxa"/>
            <w:vAlign w:val="bottom"/>
            <w:shd w:val="clear" w:color="auto" w:fill="CCEEFF"/>
          </w:tcPr>
          <w:p>
            <w:pPr>
              <w:spacing w:after="0"/>
              <w:rPr>
                <w:sz w:val="20"/>
                <w:szCs w:val="20"/>
                <w:color w:val="auto"/>
              </w:rPr>
            </w:pPr>
            <w:r>
              <w:rPr>
                <w:rFonts w:ascii="Arial" w:cs="Arial" w:eastAsia="Arial" w:hAnsi="Arial"/>
                <w:sz w:val="12"/>
                <w:szCs w:val="12"/>
                <w:color w:val="auto"/>
              </w:rPr>
              <w:t>Net earnings</w:t>
            </w:r>
          </w:p>
        </w:tc>
        <w:tc>
          <w:tcPr>
            <w:tcW w:w="620" w:type="dxa"/>
            <w:vAlign w:val="bottom"/>
            <w:shd w:val="clear" w:color="auto" w:fill="CCEEFF"/>
          </w:tcPr>
          <w:p>
            <w:pPr>
              <w:jc w:val="right"/>
              <w:ind w:right="50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2,442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w:t>
            </w:r>
          </w:p>
        </w:tc>
        <w:tc>
          <w:tcPr>
            <w:tcW w:w="0" w:type="dxa"/>
            <w:vAlign w:val="bottom"/>
          </w:tcPr>
          <w:p>
            <w:pPr>
              <w:spacing w:after="0"/>
              <w:rPr>
                <w:sz w:val="1"/>
                <w:szCs w:val="1"/>
                <w:color w:val="auto"/>
              </w:rPr>
            </w:pPr>
          </w:p>
        </w:tc>
      </w:tr>
      <w:tr>
        <w:trPr>
          <w:trHeight w:val="155"/>
        </w:trPr>
        <w:tc>
          <w:tcPr>
            <w:tcW w:w="8120" w:type="dxa"/>
            <w:vAlign w:val="bottom"/>
          </w:tcPr>
          <w:p>
            <w:pPr>
              <w:spacing w:after="0"/>
              <w:rPr>
                <w:sz w:val="20"/>
                <w:szCs w:val="20"/>
                <w:color w:val="auto"/>
              </w:rPr>
            </w:pPr>
            <w:r>
              <w:rPr>
                <w:rFonts w:ascii="Arial" w:cs="Arial" w:eastAsia="Arial" w:hAnsi="Arial"/>
                <w:sz w:val="12"/>
                <w:szCs w:val="12"/>
                <w:color w:val="auto"/>
              </w:rPr>
              <w:t>Other comprehensive earnings:</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120" w:type="dxa"/>
            <w:vAlign w:val="bottom"/>
            <w:shd w:val="clear" w:color="auto" w:fill="CCEEFF"/>
          </w:tcPr>
          <w:p>
            <w:pPr>
              <w:ind w:left="180"/>
              <w:spacing w:after="0" w:line="115" w:lineRule="exact"/>
              <w:rPr>
                <w:sz w:val="20"/>
                <w:szCs w:val="20"/>
                <w:color w:val="auto"/>
              </w:rPr>
            </w:pPr>
            <w:r>
              <w:rPr>
                <w:rFonts w:ascii="Arial" w:cs="Arial" w:eastAsia="Arial" w:hAnsi="Arial"/>
                <w:sz w:val="12"/>
                <w:szCs w:val="12"/>
                <w:color w:val="auto"/>
                <w:w w:val="94"/>
              </w:rPr>
              <w:t>Unrealized (loss) gain on investments and other financial instruments, net of adjustments to intangible assets and unearned revenue (excluding investments in</w:t>
            </w:r>
          </w:p>
        </w:tc>
        <w:tc>
          <w:tcPr>
            <w:tcW w:w="62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1,310</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58"/>
        </w:trPr>
        <w:tc>
          <w:tcPr>
            <w:tcW w:w="8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unconsolidated affiliates) (1)</w:t>
            </w:r>
          </w:p>
        </w:tc>
        <w:tc>
          <w:tcPr>
            <w:tcW w:w="62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20" w:type="dxa"/>
            <w:vAlign w:val="bottom"/>
          </w:tcPr>
          <w:p>
            <w:pPr>
              <w:ind w:left="180"/>
              <w:spacing w:after="0"/>
              <w:rPr>
                <w:sz w:val="20"/>
                <w:szCs w:val="20"/>
                <w:color w:val="auto"/>
              </w:rPr>
            </w:pPr>
            <w:r>
              <w:rPr>
                <w:rFonts w:ascii="Arial" w:cs="Arial" w:eastAsia="Arial" w:hAnsi="Arial"/>
                <w:sz w:val="12"/>
                <w:szCs w:val="12"/>
                <w:color w:val="auto"/>
              </w:rPr>
              <w:t>Unrealized gain on investments in unconsolidated affiliates (2)</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0"/>
        </w:trPr>
        <w:tc>
          <w:tcPr>
            <w:tcW w:w="8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Unrealized (loss) gain on foreign currency translation (3)</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5"/>
        </w:trPr>
        <w:tc>
          <w:tcPr>
            <w:tcW w:w="8120" w:type="dxa"/>
            <w:vAlign w:val="bottom"/>
          </w:tcPr>
          <w:p>
            <w:pPr>
              <w:ind w:left="180"/>
              <w:spacing w:after="0"/>
              <w:rPr>
                <w:sz w:val="20"/>
                <w:szCs w:val="20"/>
                <w:color w:val="auto"/>
              </w:rPr>
            </w:pPr>
            <w:r>
              <w:rPr>
                <w:rFonts w:ascii="Arial" w:cs="Arial" w:eastAsia="Arial" w:hAnsi="Arial"/>
                <w:sz w:val="12"/>
                <w:szCs w:val="12"/>
                <w:color w:val="auto"/>
              </w:rPr>
              <w:t>Reclassification adjustments for change in unrealized gains and losses included in net earnings (4)</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0"/>
        </w:trPr>
        <w:tc>
          <w:tcPr>
            <w:tcW w:w="8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 in reinsurance liabilities held at fair value resulting from a change in the instrument-specific credit risk (5)</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Minimum pension liability adjustment (6)</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812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(loss) earnings</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47"/>
        </w:trPr>
        <w:tc>
          <w:tcPr>
            <w:tcW w:w="8120" w:type="dxa"/>
            <w:vAlign w:val="bottom"/>
          </w:tcPr>
          <w:p>
            <w:pPr>
              <w:spacing w:after="0"/>
              <w:rPr>
                <w:sz w:val="20"/>
                <w:szCs w:val="20"/>
                <w:color w:val="auto"/>
              </w:rPr>
            </w:pPr>
            <w:r>
              <w:rPr>
                <w:rFonts w:ascii="Arial" w:cs="Arial" w:eastAsia="Arial" w:hAnsi="Arial"/>
                <w:sz w:val="12"/>
                <w:szCs w:val="12"/>
                <w:color w:val="auto"/>
              </w:rPr>
              <w:t>Comprehensive earnings</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1,917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1,132</w:t>
            </w:r>
          </w:p>
        </w:tc>
        <w:tc>
          <w:tcPr>
            <w:tcW w:w="0" w:type="dxa"/>
            <w:vAlign w:val="bottom"/>
          </w:tcPr>
          <w:p>
            <w:pPr>
              <w:spacing w:after="0"/>
              <w:rPr>
                <w:sz w:val="1"/>
                <w:szCs w:val="1"/>
                <w:color w:val="auto"/>
              </w:rPr>
            </w:pPr>
          </w:p>
        </w:tc>
      </w:tr>
      <w:tr>
        <w:trPr>
          <w:trHeight w:val="158"/>
        </w:trPr>
        <w:tc>
          <w:tcPr>
            <w:tcW w:w="8120" w:type="dxa"/>
            <w:vAlign w:val="bottom"/>
            <w:shd w:val="clear" w:color="auto" w:fill="CCEEFF"/>
          </w:tcPr>
          <w:p>
            <w:pPr>
              <w:spacing w:after="0"/>
              <w:rPr>
                <w:sz w:val="20"/>
                <w:szCs w:val="20"/>
                <w:color w:val="auto"/>
              </w:rPr>
            </w:pPr>
            <w:r>
              <w:rPr>
                <w:rFonts w:ascii="Arial" w:cs="Arial" w:eastAsia="Arial" w:hAnsi="Arial"/>
                <w:sz w:val="12"/>
                <w:szCs w:val="12"/>
                <w:color w:val="auto"/>
              </w:rPr>
              <w:t>Less: Comprehensive earnings attributable to non-controlling interests</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1"/>
        </w:trPr>
        <w:tc>
          <w:tcPr>
            <w:tcW w:w="8120" w:type="dxa"/>
            <w:vAlign w:val="bottom"/>
          </w:tcPr>
          <w:p>
            <w:pPr>
              <w:spacing w:after="0"/>
              <w:rPr>
                <w:sz w:val="20"/>
                <w:szCs w:val="20"/>
                <w:color w:val="auto"/>
              </w:rPr>
            </w:pPr>
            <w:r>
              <w:rPr>
                <w:rFonts w:ascii="Arial" w:cs="Arial" w:eastAsia="Arial" w:hAnsi="Arial"/>
                <w:sz w:val="12"/>
                <w:szCs w:val="12"/>
                <w:color w:val="auto"/>
              </w:rPr>
              <w:t>Comprehensive earnings attributable to Fidelity National Financial, Inc. common shareholders</w:t>
            </w:r>
          </w:p>
        </w:tc>
        <w:tc>
          <w:tcPr>
            <w:tcW w:w="620" w:type="dxa"/>
            <w:vAlign w:val="bottom"/>
            <w:tcBorders>
              <w:bottom w:val="single" w:sz="8" w:color="auto"/>
            </w:tcBorders>
          </w:tcPr>
          <w:p>
            <w:pPr>
              <w:jc w:val="right"/>
              <w:ind w:right="507"/>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1,897</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left="810" w:hanging="810"/>
        <w:spacing w:after="0"/>
        <w:tabs>
          <w:tab w:leader="none" w:pos="8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Net of income tax (benefit) expense of $(113) million, $350 million, and $17 million for the years ended December 31, 2021, 2020, and 2019, respectively.</w:t>
      </w:r>
    </w:p>
    <w:p>
      <w:pPr>
        <w:spacing w:after="0" w:line="143" w:lineRule="exact"/>
        <w:rPr>
          <w:rFonts w:ascii="Arial" w:cs="Arial" w:eastAsia="Arial" w:hAnsi="Arial"/>
          <w:sz w:val="15"/>
          <w:szCs w:val="15"/>
          <w:color w:val="auto"/>
        </w:rPr>
      </w:pPr>
    </w:p>
    <w:p>
      <w:pPr>
        <w:ind w:left="810" w:hanging="810"/>
        <w:spacing w:after="0"/>
        <w:tabs>
          <w:tab w:leader="none" w:pos="8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Net of income tax expense of $7 million, $1 million, and $2 million for the years ended December 31, 2021, 2020, and 2019, respectively.</w:t>
      </w:r>
    </w:p>
    <w:p>
      <w:pPr>
        <w:spacing w:after="0" w:line="143" w:lineRule="exact"/>
        <w:rPr>
          <w:rFonts w:ascii="Arial" w:cs="Arial" w:eastAsia="Arial" w:hAnsi="Arial"/>
          <w:sz w:val="15"/>
          <w:szCs w:val="15"/>
          <w:color w:val="auto"/>
        </w:rPr>
      </w:pPr>
    </w:p>
    <w:p>
      <w:pPr>
        <w:ind w:left="810" w:hanging="810"/>
        <w:spacing w:after="0"/>
        <w:tabs>
          <w:tab w:leader="none" w:pos="8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Net of income tax (benefit) expense of less than $(1) million, $1 million, and $1 million for the years ended December 31, 2021, 2020, and 2019, respectively.</w:t>
      </w:r>
    </w:p>
    <w:p>
      <w:pPr>
        <w:spacing w:after="0" w:line="143" w:lineRule="exact"/>
        <w:rPr>
          <w:rFonts w:ascii="Arial" w:cs="Arial" w:eastAsia="Arial" w:hAnsi="Arial"/>
          <w:sz w:val="15"/>
          <w:szCs w:val="15"/>
          <w:color w:val="auto"/>
        </w:rPr>
      </w:pPr>
    </w:p>
    <w:p>
      <w:pPr>
        <w:ind w:left="810" w:hanging="810"/>
        <w:spacing w:after="0"/>
        <w:tabs>
          <w:tab w:leader="none" w:pos="8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Net of income tax expense of $33 million, $18 million and $3 million for the years ended December 31, 2021, 2020 and 2019, respectively.</w:t>
      </w:r>
    </w:p>
    <w:p>
      <w:pPr>
        <w:spacing w:after="0" w:line="143" w:lineRule="exact"/>
        <w:rPr>
          <w:rFonts w:ascii="Arial" w:cs="Arial" w:eastAsia="Arial" w:hAnsi="Arial"/>
          <w:sz w:val="15"/>
          <w:szCs w:val="15"/>
          <w:color w:val="auto"/>
        </w:rPr>
      </w:pPr>
    </w:p>
    <w:p>
      <w:pPr>
        <w:ind w:left="810" w:hanging="810"/>
        <w:spacing w:after="0"/>
        <w:tabs>
          <w:tab w:leader="none" w:pos="8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Net of income tax expense (benefit) of $1 million and $(1) million for the years ended December 31, 2021 and 2020, respectively.</w:t>
      </w:r>
    </w:p>
    <w:p>
      <w:pPr>
        <w:spacing w:after="0" w:line="143" w:lineRule="exact"/>
        <w:rPr>
          <w:rFonts w:ascii="Arial" w:cs="Arial" w:eastAsia="Arial" w:hAnsi="Arial"/>
          <w:sz w:val="15"/>
          <w:szCs w:val="15"/>
          <w:color w:val="auto"/>
        </w:rPr>
      </w:pPr>
    </w:p>
    <w:p>
      <w:pPr>
        <w:ind w:left="810" w:hanging="810"/>
        <w:spacing w:after="0"/>
        <w:tabs>
          <w:tab w:leader="none" w:pos="8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Net of income tax (benefit) expense of $(2) million and $4 million for the years ended December 31, 2021 and December 31, 2020, respectively.</w:t>
      </w:r>
    </w:p>
    <w:p>
      <w:pPr>
        <w:spacing w:after="0" w:line="143" w:lineRule="exact"/>
        <w:rPr>
          <w:sz w:val="20"/>
          <w:szCs w:val="20"/>
          <w:color w:val="auto"/>
        </w:rPr>
      </w:pPr>
    </w:p>
    <w:p>
      <w:pPr>
        <w:ind w:left="3930"/>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8058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70"/>
          </w:cols>
          <w:pgMar w:left="310" w:top="129" w:right="319" w:bottom="1440" w:gutter="0" w:footer="0" w:header="0"/>
        </w:sectPr>
      </w:pPr>
    </w:p>
    <w:bookmarkStart w:id="100" w:name="page101"/>
    <w:bookmarkEnd w:id="10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8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8"/>
          </w:tcPr>
          <w:p>
            <w:pPr>
              <w:ind w:left="80"/>
              <w:spacing w:after="0"/>
              <w:rPr>
                <w:sz w:val="20"/>
                <w:szCs w:val="20"/>
                <w:color w:val="auto"/>
              </w:rPr>
            </w:pPr>
            <w:r>
              <w:rPr>
                <w:rFonts w:ascii="Arial" w:cs="Arial" w:eastAsia="Arial" w:hAnsi="Arial"/>
                <w:sz w:val="11"/>
                <w:szCs w:val="11"/>
                <w:b w:val="1"/>
                <w:bCs w:val="1"/>
                <w:color w:val="auto"/>
                <w:w w:val="97"/>
              </w:rPr>
              <w:t>Fidelity National Financial, Inc. Common Shareholders</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left="487"/>
              <w:spacing w:after="0"/>
              <w:rPr>
                <w:sz w:val="20"/>
                <w:szCs w:val="20"/>
                <w:color w:val="auto"/>
              </w:rPr>
            </w:pPr>
            <w:r>
              <w:rPr>
                <w:rFonts w:ascii="Arial" w:cs="Arial" w:eastAsia="Arial" w:hAnsi="Arial"/>
                <w:sz w:val="11"/>
                <w:szCs w:val="11"/>
                <w:b w:val="1"/>
                <w:bCs w:val="1"/>
                <w:color w:val="auto"/>
                <w:w w:val="93"/>
              </w:rPr>
              <w:t>FNF</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Other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7"/>
              <w:spacing w:after="0"/>
              <w:rPr>
                <w:sz w:val="20"/>
                <w:szCs w:val="20"/>
                <w:color w:val="auto"/>
              </w:rPr>
            </w:pPr>
            <w:r>
              <w:rPr>
                <w:rFonts w:ascii="Arial" w:cs="Arial" w:eastAsia="Arial" w:hAnsi="Arial"/>
                <w:sz w:val="11"/>
                <w:szCs w:val="11"/>
                <w:b w:val="1"/>
                <w:bCs w:val="1"/>
                <w:color w:val="auto"/>
                <w:w w:val="83"/>
              </w:rPr>
              <w:t>Redeemable</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center"/>
              <w:ind w:left="307"/>
              <w:spacing w:after="0"/>
              <w:rPr>
                <w:sz w:val="20"/>
                <w:szCs w:val="20"/>
                <w:color w:val="auto"/>
              </w:rPr>
            </w:pPr>
            <w:r>
              <w:rPr>
                <w:rFonts w:ascii="Arial" w:cs="Arial" w:eastAsia="Arial" w:hAnsi="Arial"/>
                <w:sz w:val="11"/>
                <w:szCs w:val="11"/>
                <w:b w:val="1"/>
                <w:bCs w:val="1"/>
                <w:color w:val="auto"/>
                <w:w w:val="88"/>
              </w:rPr>
              <w:t>Common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4"/>
              </w:rPr>
              <w:t>Comprehensive</w:t>
            </w:r>
          </w:p>
        </w:tc>
        <w:tc>
          <w:tcPr>
            <w:tcW w:w="900" w:type="dxa"/>
            <w:vAlign w:val="bottom"/>
            <w:gridSpan w:val="3"/>
          </w:tcPr>
          <w:p>
            <w:pPr>
              <w:jc w:val="right"/>
              <w:ind w:right="7"/>
              <w:spacing w:after="0"/>
              <w:rPr>
                <w:sz w:val="20"/>
                <w:szCs w:val="20"/>
                <w:color w:val="auto"/>
              </w:rPr>
            </w:pPr>
            <w:r>
              <w:rPr>
                <w:rFonts w:ascii="Arial" w:cs="Arial" w:eastAsia="Arial" w:hAnsi="Arial"/>
                <w:sz w:val="11"/>
                <w:szCs w:val="11"/>
                <w:b w:val="1"/>
                <w:bCs w:val="1"/>
                <w:color w:val="auto"/>
              </w:rPr>
              <w:t>Treasury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Non-</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7"/>
              <w:spacing w:after="0"/>
              <w:rPr>
                <w:sz w:val="20"/>
                <w:szCs w:val="20"/>
                <w:color w:val="auto"/>
              </w:rPr>
            </w:pPr>
            <w:r>
              <w:rPr>
                <w:rFonts w:ascii="Arial" w:cs="Arial" w:eastAsia="Arial" w:hAnsi="Arial"/>
                <w:sz w:val="11"/>
                <w:szCs w:val="11"/>
                <w:b w:val="1"/>
                <w:bCs w:val="1"/>
                <w:color w:val="auto"/>
                <w:w w:val="87"/>
              </w:rPr>
              <w:t>Non-</w:t>
            </w: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gridSpan w:val="4"/>
          </w:tcPr>
          <w:p>
            <w:pPr>
              <w:jc w:val="center"/>
              <w:ind w:left="327"/>
              <w:spacing w:after="0"/>
              <w:rPr>
                <w:sz w:val="20"/>
                <w:szCs w:val="20"/>
                <w:color w:val="auto"/>
              </w:rPr>
            </w:pPr>
            <w:r>
              <w:rPr>
                <w:rFonts w:ascii="Arial" w:cs="Arial" w:eastAsia="Arial" w:hAnsi="Arial"/>
                <w:sz w:val="11"/>
                <w:szCs w:val="11"/>
                <w:b w:val="1"/>
                <w:bCs w:val="1"/>
                <w:color w:val="auto"/>
                <w:w w:val="79"/>
              </w:rPr>
              <w:t>Stock</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Paid-in</w:t>
            </w: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4"/>
              </w:rPr>
              <w:t>Earnings</w:t>
            </w:r>
          </w:p>
        </w:tc>
        <w:tc>
          <w:tcPr>
            <w:tcW w:w="9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1"/>
                <w:szCs w:val="11"/>
                <w:b w:val="1"/>
                <w:bCs w:val="1"/>
                <w:color w:val="auto"/>
              </w:rPr>
              <w:t>Stock</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controlling</w:t>
            </w:r>
          </w:p>
        </w:tc>
        <w:tc>
          <w:tcPr>
            <w:tcW w:w="120" w:type="dxa"/>
            <w:vAlign w:val="bottom"/>
          </w:tcPr>
          <w:p>
            <w:pPr>
              <w:spacing w:after="0"/>
              <w:rPr>
                <w:sz w:val="13"/>
                <w:szCs w:val="13"/>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Total</w:t>
            </w:r>
          </w:p>
        </w:tc>
        <w:tc>
          <w:tcPr>
            <w:tcW w:w="120" w:type="dxa"/>
            <w:vAlign w:val="bottom"/>
          </w:tcPr>
          <w:p>
            <w:pPr>
              <w:spacing w:after="0"/>
              <w:rPr>
                <w:sz w:val="13"/>
                <w:szCs w:val="13"/>
                <w:color w:val="auto"/>
              </w:rPr>
            </w:pPr>
          </w:p>
        </w:tc>
        <w:tc>
          <w:tcPr>
            <w:tcW w:w="780" w:type="dxa"/>
            <w:vAlign w:val="bottom"/>
          </w:tcPr>
          <w:p>
            <w:pPr>
              <w:jc w:val="center"/>
              <w:ind w:right="67"/>
              <w:spacing w:after="0"/>
              <w:rPr>
                <w:sz w:val="20"/>
                <w:szCs w:val="20"/>
                <w:color w:val="auto"/>
              </w:rPr>
            </w:pPr>
            <w:r>
              <w:rPr>
                <w:rFonts w:ascii="Arial" w:cs="Arial" w:eastAsia="Arial" w:hAnsi="Arial"/>
                <w:sz w:val="11"/>
                <w:szCs w:val="11"/>
                <w:b w:val="1"/>
                <w:bCs w:val="1"/>
                <w:color w:val="auto"/>
                <w:w w:val="87"/>
              </w:rPr>
              <w:t>controlling</w:t>
            </w:r>
          </w:p>
        </w:tc>
        <w:tc>
          <w:tcPr>
            <w:tcW w:w="0" w:type="dxa"/>
            <w:vAlign w:val="bottom"/>
          </w:tcPr>
          <w:p>
            <w:pPr>
              <w:spacing w:after="0"/>
              <w:rPr>
                <w:sz w:val="1"/>
                <w:szCs w:val="1"/>
                <w:color w:val="auto"/>
              </w:rPr>
            </w:pPr>
          </w:p>
        </w:tc>
      </w:tr>
      <w:tr>
        <w:trPr>
          <w:trHeight w:val="138"/>
        </w:trPr>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ind w:left="16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Capital</w:t>
            </w:r>
          </w:p>
        </w:tc>
        <w:tc>
          <w:tcPr>
            <w:tcW w:w="1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40" w:type="dxa"/>
            <w:vAlign w:val="bottom"/>
          </w:tcPr>
          <w:p>
            <w:pPr>
              <w:spacing w:after="0"/>
              <w:rPr>
                <w:sz w:val="11"/>
                <w:szCs w:val="11"/>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4"/>
              </w:rPr>
              <w:t>(Loss)</w:t>
            </w:r>
          </w:p>
        </w:tc>
        <w:tc>
          <w:tcPr>
            <w:tcW w:w="72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1"/>
                <w:szCs w:val="11"/>
                <w:color w:val="auto"/>
              </w:rPr>
            </w:pP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2"/>
              </w:rPr>
              <w:t>Interests</w:t>
            </w:r>
          </w:p>
        </w:tc>
        <w:tc>
          <w:tcPr>
            <w:tcW w:w="120" w:type="dxa"/>
            <w:vAlign w:val="bottom"/>
          </w:tcPr>
          <w:p>
            <w:pPr>
              <w:spacing w:after="0"/>
              <w:rPr>
                <w:sz w:val="11"/>
                <w:szCs w:val="11"/>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Equity</w:t>
            </w:r>
          </w:p>
        </w:tc>
        <w:tc>
          <w:tcPr>
            <w:tcW w:w="120" w:type="dxa"/>
            <w:vAlign w:val="bottom"/>
          </w:tcPr>
          <w:p>
            <w:pPr>
              <w:spacing w:after="0"/>
              <w:rPr>
                <w:sz w:val="11"/>
                <w:szCs w:val="11"/>
                <w:color w:val="auto"/>
              </w:rPr>
            </w:pPr>
          </w:p>
        </w:tc>
        <w:tc>
          <w:tcPr>
            <w:tcW w:w="780" w:type="dxa"/>
            <w:vAlign w:val="bottom"/>
          </w:tcPr>
          <w:p>
            <w:pPr>
              <w:jc w:val="center"/>
              <w:ind w:right="67"/>
              <w:spacing w:after="0"/>
              <w:rPr>
                <w:sz w:val="20"/>
                <w:szCs w:val="20"/>
                <w:color w:val="auto"/>
              </w:rPr>
            </w:pPr>
            <w:r>
              <w:rPr>
                <w:rFonts w:ascii="Arial" w:cs="Arial" w:eastAsia="Arial" w:hAnsi="Arial"/>
                <w:sz w:val="11"/>
                <w:szCs w:val="11"/>
                <w:b w:val="1"/>
                <w:bCs w:val="1"/>
                <w:color w:val="auto"/>
                <w:w w:val="82"/>
              </w:rPr>
              <w:t>Interests</w:t>
            </w: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Balance, January 1, 2019</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290</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4,500</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641</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w w:val="97"/>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(498)</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4,628</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344</w:t>
            </w:r>
          </w:p>
        </w:tc>
        <w:tc>
          <w:tcPr>
            <w:tcW w:w="0" w:type="dxa"/>
            <w:vAlign w:val="bottom"/>
          </w:tcPr>
          <w:p>
            <w:pPr>
              <w:spacing w:after="0"/>
              <w:rPr>
                <w:sz w:val="1"/>
                <w:szCs w:val="1"/>
                <w:color w:val="auto"/>
              </w:rPr>
            </w:pPr>
          </w:p>
        </w:tc>
      </w:tr>
      <w:tr>
        <w:trPr>
          <w:trHeight w:val="154"/>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6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Purchase of additional share in consolidated subsidiaries</w:t>
            </w:r>
          </w:p>
        </w:tc>
        <w:tc>
          <w:tcPr>
            <w:tcW w:w="7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Treasury stock repurchased</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1"/>
        </w:trPr>
        <w:tc>
          <w:tcPr>
            <w:tcW w:w="2960" w:type="dxa"/>
            <w:vAlign w:val="bottom"/>
            <w:gridSpan w:val="2"/>
          </w:tcPr>
          <w:p>
            <w:pPr>
              <w:spacing w:after="0" w:line="102" w:lineRule="exact"/>
              <w:rPr>
                <w:sz w:val="20"/>
                <w:szCs w:val="20"/>
                <w:color w:val="auto"/>
              </w:rPr>
            </w:pPr>
            <w:r>
              <w:rPr>
                <w:rFonts w:ascii="Arial" w:cs="Arial" w:eastAsia="Arial" w:hAnsi="Arial"/>
                <w:sz w:val="11"/>
                <w:szCs w:val="11"/>
                <w:color w:val="auto"/>
                <w:w w:val="88"/>
              </w:rPr>
              <w:t>Other comprehensive earnings - unrealized gain on investments and</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8"/>
                <w:szCs w:val="8"/>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0" w:type="dxa"/>
            <w:vAlign w:val="bottom"/>
            <w:gridSpan w:val="2"/>
            <w:vMerge w:val="restart"/>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other financial instruments</w:t>
            </w:r>
          </w:p>
        </w:tc>
        <w:tc>
          <w:tcPr>
            <w:tcW w:w="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w w:val="90"/>
              </w:rPr>
              <w:t>Other comprehensive earnings - unrealized gain on investments in</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unconsolidated affiliates</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60" w:type="dxa"/>
            <w:vAlign w:val="bottom"/>
            <w:gridSpan w:val="2"/>
          </w:tcPr>
          <w:p>
            <w:pPr>
              <w:spacing w:after="0" w:line="102" w:lineRule="exact"/>
              <w:rPr>
                <w:sz w:val="20"/>
                <w:szCs w:val="20"/>
                <w:color w:val="auto"/>
              </w:rPr>
            </w:pPr>
            <w:r>
              <w:rPr>
                <w:rFonts w:ascii="Arial" w:cs="Arial" w:eastAsia="Arial" w:hAnsi="Arial"/>
                <w:sz w:val="11"/>
                <w:szCs w:val="11"/>
                <w:color w:val="auto"/>
              </w:rPr>
              <w:t>Other comprehensive earnings - unrealized gain on foreign</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8"/>
                <w:szCs w:val="8"/>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0" w:type="dxa"/>
            <w:vAlign w:val="bottom"/>
            <w:gridSpan w:val="2"/>
            <w:vMerge w:val="restart"/>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currency translation</w:t>
            </w:r>
          </w:p>
        </w:tc>
        <w:tc>
          <w:tcPr>
            <w:tcW w:w="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w w:val="94"/>
              </w:rPr>
              <w:t>Reclassification adjustments for change in unrealized gains and</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losses included in net earnings</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Stock-based compensation</w:t>
            </w:r>
          </w:p>
        </w:tc>
        <w:tc>
          <w:tcPr>
            <w:tcW w:w="7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Shares withheld for taxes and in treasury</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Dividends declared</w:t>
            </w:r>
          </w:p>
        </w:tc>
        <w:tc>
          <w:tcPr>
            <w:tcW w:w="7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Subsidiary dividends declared to non-controlling interests</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Net earnings</w:t>
            </w:r>
          </w:p>
        </w:tc>
        <w:tc>
          <w:tcPr>
            <w:tcW w:w="7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1,062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ind w:left="560"/>
              <w:spacing w:after="0"/>
              <w:rPr>
                <w:sz w:val="20"/>
                <w:szCs w:val="20"/>
                <w:color w:val="auto"/>
              </w:rPr>
            </w:pPr>
            <w:r>
              <w:rPr>
                <w:rFonts w:ascii="Arial" w:cs="Arial" w:eastAsia="Arial" w:hAnsi="Arial"/>
                <w:sz w:val="11"/>
                <w:szCs w:val="11"/>
                <w:color w:val="auto"/>
                <w:w w:val="97"/>
              </w:rPr>
              <w:t>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60" w:type="dxa"/>
            <w:vAlign w:val="bottom"/>
            <w:tcBorders>
              <w:top w:val="single" w:sz="8" w:color="CCEEFF"/>
              <w:bottom w:val="single" w:sz="8" w:color="CCEEFF"/>
            </w:tcBorders>
            <w:gridSpan w:val="2"/>
            <w:shd w:val="clear" w:color="auto" w:fill="CCEEFF"/>
          </w:tcPr>
          <w:p>
            <w:pPr>
              <w:spacing w:after="0" w:line="123" w:lineRule="exact"/>
              <w:rPr>
                <w:sz w:val="20"/>
                <w:szCs w:val="20"/>
                <w:color w:val="auto"/>
              </w:rPr>
            </w:pPr>
            <w:r>
              <w:rPr>
                <w:rFonts w:ascii="Arial" w:cs="Arial" w:eastAsia="Arial" w:hAnsi="Arial"/>
                <w:sz w:val="11"/>
                <w:szCs w:val="11"/>
                <w:color w:val="auto"/>
              </w:rPr>
              <w:t>Balance, December 31, 2019</w:t>
            </w:r>
          </w:p>
        </w:tc>
        <w:tc>
          <w:tcPr>
            <w:tcW w:w="640" w:type="dxa"/>
            <w:vAlign w:val="bottom"/>
            <w:tcBorders>
              <w:top w:val="single" w:sz="8" w:color="auto"/>
              <w:bottom w:val="single" w:sz="8" w:color="auto"/>
            </w:tcBorders>
            <w:shd w:val="clear" w:color="auto" w:fill="CCEEFF"/>
          </w:tcPr>
          <w:p>
            <w:pPr>
              <w:jc w:val="right"/>
              <w:ind w:right="7"/>
              <w:spacing w:after="0" w:line="123" w:lineRule="exact"/>
              <w:rPr>
                <w:sz w:val="20"/>
                <w:szCs w:val="20"/>
                <w:color w:val="auto"/>
              </w:rPr>
            </w:pPr>
            <w:r>
              <w:rPr>
                <w:rFonts w:ascii="Arial" w:cs="Arial" w:eastAsia="Arial" w:hAnsi="Arial"/>
                <w:sz w:val="11"/>
                <w:szCs w:val="11"/>
                <w:color w:val="auto"/>
              </w:rPr>
              <w:t>292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shd w:val="clear" w:color="auto" w:fill="CCEEFF"/>
          </w:tcPr>
          <w:p>
            <w:pPr>
              <w:ind w:left="220"/>
              <w:spacing w:after="0" w:line="123"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4,581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ind w:right="7"/>
              <w:spacing w:after="0" w:line="123" w:lineRule="exact"/>
              <w:rPr>
                <w:sz w:val="20"/>
                <w:szCs w:val="20"/>
                <w:color w:val="auto"/>
              </w:rPr>
            </w:pPr>
            <w:r>
              <w:rPr>
                <w:rFonts w:ascii="Arial" w:cs="Arial" w:eastAsia="Arial" w:hAnsi="Arial"/>
                <w:sz w:val="11"/>
                <w:szCs w:val="11"/>
                <w:color w:val="auto"/>
              </w:rPr>
              <w:t>1,356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43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17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47"/>
              <w:spacing w:after="0" w:line="123" w:lineRule="exact"/>
              <w:rPr>
                <w:sz w:val="20"/>
                <w:szCs w:val="20"/>
                <w:color w:val="auto"/>
              </w:rPr>
            </w:pPr>
            <w:r>
              <w:rPr>
                <w:rFonts w:ascii="Arial" w:cs="Arial" w:eastAsia="Arial" w:hAnsi="Arial"/>
                <w:sz w:val="11"/>
                <w:szCs w:val="11"/>
                <w:color w:val="auto"/>
                <w:w w:val="97"/>
              </w:rPr>
              <w:t>$</w:t>
            </w:r>
          </w:p>
        </w:tc>
        <w:tc>
          <w:tcPr>
            <w:tcW w:w="38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(598)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(17)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5,365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ind w:right="7"/>
              <w:spacing w:after="0" w:line="123" w:lineRule="exact"/>
              <w:rPr>
                <w:sz w:val="20"/>
                <w:szCs w:val="20"/>
                <w:color w:val="auto"/>
              </w:rPr>
            </w:pPr>
            <w:r>
              <w:rPr>
                <w:rFonts w:ascii="Arial" w:cs="Arial" w:eastAsia="Arial" w:hAnsi="Arial"/>
                <w:sz w:val="11"/>
                <w:szCs w:val="11"/>
                <w:color w:val="auto"/>
              </w:rPr>
              <w:t>344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1"/>
                <w:szCs w:val="11"/>
                <w:color w:val="auto"/>
              </w:rPr>
              <w:t>Exercise of stock options</w:t>
            </w: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960" w:type="dxa"/>
            <w:vAlign w:val="bottom"/>
            <w:tcBorders>
              <w:top w:val="single" w:sz="8" w:color="CCEEFF"/>
            </w:tcBorders>
            <w:gridSpan w:val="2"/>
            <w:vMerge w:val="continue"/>
          </w:tcPr>
          <w:p>
            <w:pPr>
              <w:spacing w:after="0"/>
              <w:rPr>
                <w:sz w:val="9"/>
                <w:szCs w:val="9"/>
                <w:color w:val="auto"/>
              </w:rPr>
            </w:pPr>
          </w:p>
        </w:tc>
        <w:tc>
          <w:tcPr>
            <w:tcW w:w="640" w:type="dxa"/>
            <w:vAlign w:val="bottom"/>
            <w:tcBorders>
              <w:top w:val="single" w:sz="8" w:color="auto"/>
            </w:tcBorders>
          </w:tcPr>
          <w:p>
            <w:pPr>
              <w:jc w:val="right"/>
              <w:ind w:right="7"/>
              <w:spacing w:after="0" w:line="104" w:lineRule="exact"/>
              <w:rPr>
                <w:sz w:val="20"/>
                <w:szCs w:val="20"/>
                <w:color w:val="auto"/>
              </w:rPr>
            </w:pPr>
            <w:r>
              <w:rPr>
                <w:rFonts w:ascii="Arial" w:cs="Arial" w:eastAsia="Arial" w:hAnsi="Arial"/>
                <w:sz w:val="11"/>
                <w:szCs w:val="11"/>
                <w:color w:val="auto"/>
              </w:rPr>
              <w:t>3</w:t>
            </w: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ind w:left="220"/>
              <w:spacing w:after="0" w:line="10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1"/>
                <w:szCs w:val="11"/>
                <w:color w:val="auto"/>
              </w:rPr>
              <w:t>62</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7"/>
              <w:spacing w:after="0" w:line="10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ind w:left="220"/>
              <w:spacing w:after="0" w:line="10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ind w:left="560"/>
              <w:spacing w:after="0" w:line="10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1"/>
                <w:szCs w:val="11"/>
                <w:color w:val="auto"/>
              </w:rPr>
              <w:t>62</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7"/>
              <w:spacing w:after="0" w:line="10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F&amp;G Acquisition</w:t>
            </w:r>
          </w:p>
        </w:tc>
        <w:tc>
          <w:tcPr>
            <w:tcW w:w="6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Purchase of ServiceLink noncontrolling interest</w:t>
            </w:r>
          </w:p>
        </w:tc>
        <w:tc>
          <w:tcPr>
            <w:tcW w:w="7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ind w:left="560"/>
              <w:spacing w:after="0"/>
              <w:rPr>
                <w:sz w:val="20"/>
                <w:szCs w:val="20"/>
                <w:color w:val="auto"/>
              </w:rPr>
            </w:pPr>
            <w:r>
              <w:rPr>
                <w:rFonts w:ascii="Arial" w:cs="Arial" w:eastAsia="Arial" w:hAnsi="Arial"/>
                <w:sz w:val="11"/>
                <w:szCs w:val="11"/>
                <w:color w:val="auto"/>
                <w:w w:val="97"/>
              </w:rPr>
              <w:t>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(344)</w:t>
            </w:r>
          </w:p>
        </w:tc>
        <w:tc>
          <w:tcPr>
            <w:tcW w:w="0" w:type="dxa"/>
            <w:vAlign w:val="bottom"/>
          </w:tcPr>
          <w:p>
            <w:pPr>
              <w:spacing w:after="0"/>
              <w:rPr>
                <w:sz w:val="1"/>
                <w:szCs w:val="1"/>
                <w:color w:val="auto"/>
              </w:rPr>
            </w:pPr>
          </w:p>
        </w:tc>
      </w:tr>
      <w:tr>
        <w:trPr>
          <w:trHeight w:val="154"/>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Treasury stock repurchased</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Issuance of restricted stock</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9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w w:val="92"/>
              </w:rPr>
              <w:t>Other comprehensive earnings — unrealized gain on investments</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1,310</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1,310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and other financial instruments</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60" w:type="dxa"/>
            <w:vAlign w:val="bottom"/>
            <w:gridSpan w:val="2"/>
          </w:tcPr>
          <w:p>
            <w:pPr>
              <w:spacing w:after="0" w:line="102" w:lineRule="exact"/>
              <w:rPr>
                <w:sz w:val="20"/>
                <w:szCs w:val="20"/>
                <w:color w:val="auto"/>
              </w:rPr>
            </w:pPr>
            <w:r>
              <w:rPr>
                <w:rFonts w:ascii="Arial" w:cs="Arial" w:eastAsia="Arial" w:hAnsi="Arial"/>
                <w:sz w:val="11"/>
                <w:szCs w:val="11"/>
                <w:color w:val="auto"/>
                <w:w w:val="88"/>
              </w:rPr>
              <w:t>Other comprehensive earnings — unrealized gain on investments in</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8"/>
                <w:szCs w:val="8"/>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0" w:type="dxa"/>
            <w:vAlign w:val="bottom"/>
            <w:gridSpan w:val="2"/>
            <w:vMerge w:val="restart"/>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unconsolidated affiliates</w:t>
            </w:r>
          </w:p>
        </w:tc>
        <w:tc>
          <w:tcPr>
            <w:tcW w:w="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w w:val="99"/>
              </w:rPr>
              <w:t>Other comprehensive earnings — unrealized gain on foreign</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currency translation</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60" w:type="dxa"/>
            <w:vAlign w:val="bottom"/>
            <w:gridSpan w:val="2"/>
          </w:tcPr>
          <w:p>
            <w:pPr>
              <w:spacing w:after="0" w:line="102" w:lineRule="exact"/>
              <w:rPr>
                <w:sz w:val="20"/>
                <w:szCs w:val="20"/>
                <w:color w:val="auto"/>
              </w:rPr>
            </w:pPr>
            <w:r>
              <w:rPr>
                <w:rFonts w:ascii="Arial" w:cs="Arial" w:eastAsia="Arial" w:hAnsi="Arial"/>
                <w:sz w:val="11"/>
                <w:szCs w:val="11"/>
                <w:color w:val="auto"/>
              </w:rPr>
              <w:t>Other comprehensive earnings - minimum pension liability</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8"/>
                <w:szCs w:val="8"/>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4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0" w:type="dxa"/>
            <w:vAlign w:val="bottom"/>
            <w:gridSpan w:val="2"/>
            <w:vMerge w:val="restart"/>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adjustment</w:t>
            </w:r>
          </w:p>
        </w:tc>
        <w:tc>
          <w:tcPr>
            <w:tcW w:w="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w w:val="94"/>
              </w:rPr>
              <w:t>Reclassification adjustments for change in unrealized gains and</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losses included in net earnings</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Stock-based compensation</w:t>
            </w:r>
          </w:p>
        </w:tc>
        <w:tc>
          <w:tcPr>
            <w:tcW w:w="7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Dividends declared</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Shares withheld for taxes and in treasury</w:t>
            </w:r>
          </w:p>
        </w:tc>
        <w:tc>
          <w:tcPr>
            <w:tcW w:w="7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9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w w:val="95"/>
              </w:rPr>
              <w:t>Change in reinsurance liabilities held at fair value resulting from</w:t>
            </w: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instrument-specific credit risk</w:t>
            </w:r>
          </w:p>
        </w:tc>
        <w:tc>
          <w:tcPr>
            <w:tcW w:w="74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Subsidiary dividends declared to non-controlling interests</w:t>
            </w:r>
          </w:p>
        </w:tc>
        <w:tc>
          <w:tcPr>
            <w:tcW w:w="7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earnings</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1,427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1"/>
                <w:szCs w:val="11"/>
                <w:color w:val="auto"/>
                <w:w w:val="97"/>
              </w:rPr>
              <w:t>25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960" w:type="dxa"/>
            <w:vAlign w:val="bottom"/>
            <w:gridSpan w:val="2"/>
          </w:tcPr>
          <w:p>
            <w:pPr>
              <w:spacing w:after="0"/>
              <w:rPr>
                <w:sz w:val="20"/>
                <w:szCs w:val="20"/>
                <w:color w:val="auto"/>
              </w:rPr>
            </w:pPr>
            <w:r>
              <w:rPr>
                <w:rFonts w:ascii="Arial" w:cs="Arial" w:eastAsia="Arial" w:hAnsi="Arial"/>
                <w:sz w:val="11"/>
                <w:szCs w:val="11"/>
                <w:color w:val="auto"/>
              </w:rPr>
              <w:t>Balance, December 31, 2020</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322</w:t>
            </w:r>
          </w:p>
        </w:tc>
        <w:tc>
          <w:tcPr>
            <w:tcW w:w="8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5,720</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2,394</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1,304</w:t>
            </w: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w w:val="97"/>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(1,067)</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1"/>
                <w:szCs w:val="11"/>
                <w:color w:val="auto"/>
                <w:w w:val="97"/>
              </w:rPr>
              <w:t>41</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8,392</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1" w:name="page102"/>
    <w:bookmarkEnd w:id="10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EQUITY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gridSpan w:val="8"/>
          </w:tcPr>
          <w:p>
            <w:pPr>
              <w:ind w:left="200"/>
              <w:spacing w:after="0"/>
              <w:rPr>
                <w:sz w:val="20"/>
                <w:szCs w:val="20"/>
                <w:color w:val="auto"/>
              </w:rPr>
            </w:pPr>
            <w:r>
              <w:rPr>
                <w:rFonts w:ascii="Arial" w:cs="Arial" w:eastAsia="Arial" w:hAnsi="Arial"/>
                <w:sz w:val="11"/>
                <w:szCs w:val="11"/>
                <w:b w:val="1"/>
                <w:bCs w:val="1"/>
                <w:color w:val="auto"/>
              </w:rPr>
              <w:t>Fidelity National Financial, Inc. Common Shareholders</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Accumulated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left="547"/>
              <w:spacing w:after="0"/>
              <w:rPr>
                <w:sz w:val="20"/>
                <w:szCs w:val="20"/>
                <w:color w:val="auto"/>
              </w:rPr>
            </w:pPr>
            <w:r>
              <w:rPr>
                <w:rFonts w:ascii="Arial" w:cs="Arial" w:eastAsia="Arial" w:hAnsi="Arial"/>
                <w:sz w:val="11"/>
                <w:szCs w:val="11"/>
                <w:b w:val="1"/>
                <w:bCs w:val="1"/>
                <w:color w:val="auto"/>
                <w:w w:val="93"/>
              </w:rPr>
              <w:t>FNF</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left="347"/>
              <w:spacing w:after="0"/>
              <w:rPr>
                <w:sz w:val="20"/>
                <w:szCs w:val="20"/>
                <w:color w:val="auto"/>
              </w:rPr>
            </w:pPr>
            <w:r>
              <w:rPr>
                <w:rFonts w:ascii="Arial" w:cs="Arial" w:eastAsia="Arial" w:hAnsi="Arial"/>
                <w:sz w:val="11"/>
                <w:szCs w:val="11"/>
                <w:b w:val="1"/>
                <w:bCs w:val="1"/>
                <w:color w:val="auto"/>
                <w:w w:val="88"/>
              </w:rPr>
              <w:t>Common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4"/>
              </w:rPr>
              <w:t>Comprehensive</w:t>
            </w:r>
          </w:p>
        </w:tc>
        <w:tc>
          <w:tcPr>
            <w:tcW w:w="1000" w:type="dxa"/>
            <w:vAlign w:val="bottom"/>
            <w:gridSpan w:val="3"/>
          </w:tcPr>
          <w:p>
            <w:pPr>
              <w:jc w:val="right"/>
              <w:ind w:right="27"/>
              <w:spacing w:after="0"/>
              <w:rPr>
                <w:sz w:val="20"/>
                <w:szCs w:val="20"/>
                <w:color w:val="auto"/>
              </w:rPr>
            </w:pPr>
            <w:r>
              <w:rPr>
                <w:rFonts w:ascii="Arial" w:cs="Arial" w:eastAsia="Arial" w:hAnsi="Arial"/>
                <w:sz w:val="11"/>
                <w:szCs w:val="11"/>
                <w:b w:val="1"/>
                <w:bCs w:val="1"/>
                <w:color w:val="auto"/>
              </w:rPr>
              <w:t>Treasury</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Non-</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gridSpan w:val="3"/>
          </w:tcPr>
          <w:p>
            <w:pPr>
              <w:jc w:val="center"/>
              <w:ind w:left="367"/>
              <w:spacing w:after="0"/>
              <w:rPr>
                <w:sz w:val="20"/>
                <w:szCs w:val="20"/>
                <w:color w:val="auto"/>
              </w:rPr>
            </w:pPr>
            <w:r>
              <w:rPr>
                <w:rFonts w:ascii="Arial" w:cs="Arial" w:eastAsia="Arial" w:hAnsi="Arial"/>
                <w:sz w:val="11"/>
                <w:szCs w:val="11"/>
                <w:b w:val="1"/>
                <w:bCs w:val="1"/>
                <w:color w:val="auto"/>
                <w:w w:val="79"/>
              </w:rPr>
              <w:t>Stock</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Paid-in</w:t>
            </w:r>
          </w:p>
        </w:tc>
        <w:tc>
          <w:tcPr>
            <w:tcW w:w="14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4"/>
              </w:rPr>
              <w:t>Earnings</w:t>
            </w:r>
          </w:p>
        </w:tc>
        <w:tc>
          <w:tcPr>
            <w:tcW w:w="10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1"/>
                <w:szCs w:val="11"/>
                <w:b w:val="1"/>
                <w:bCs w:val="1"/>
                <w:color w:val="auto"/>
              </w:rPr>
              <w:t>Stock</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controlling</w:t>
            </w:r>
          </w:p>
        </w:tc>
        <w:tc>
          <w:tcPr>
            <w:tcW w:w="120" w:type="dxa"/>
            <w:vAlign w:val="bottom"/>
          </w:tcPr>
          <w:p>
            <w:pPr>
              <w:spacing w:after="0"/>
              <w:rPr>
                <w:sz w:val="13"/>
                <w:szCs w:val="13"/>
                <w:color w:val="auto"/>
              </w:rPr>
            </w:pPr>
          </w:p>
        </w:tc>
        <w:tc>
          <w:tcPr>
            <w:tcW w:w="560" w:type="dxa"/>
            <w:vAlign w:val="bottom"/>
          </w:tcPr>
          <w:p>
            <w:pPr>
              <w:jc w:val="right"/>
              <w:ind w:right="18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Capital</w:t>
            </w: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60" w:type="dxa"/>
            <w:vAlign w:val="bottom"/>
          </w:tcPr>
          <w:p>
            <w:pPr>
              <w:spacing w:after="0"/>
              <w:rPr>
                <w:sz w:val="11"/>
                <w:szCs w:val="1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4"/>
              </w:rPr>
              <w:t>(Loss)</w:t>
            </w: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2"/>
              </w:rPr>
              <w:t>Interests</w:t>
            </w:r>
          </w:p>
        </w:tc>
        <w:tc>
          <w:tcPr>
            <w:tcW w:w="120" w:type="dxa"/>
            <w:vAlign w:val="bottom"/>
          </w:tcPr>
          <w:p>
            <w:pPr>
              <w:spacing w:after="0"/>
              <w:rPr>
                <w:sz w:val="11"/>
                <w:szCs w:val="11"/>
                <w:color w:val="auto"/>
              </w:rPr>
            </w:pPr>
          </w:p>
        </w:tc>
        <w:tc>
          <w:tcPr>
            <w:tcW w:w="560" w:type="dxa"/>
            <w:vAlign w:val="bottom"/>
          </w:tcPr>
          <w:p>
            <w:pPr>
              <w:jc w:val="right"/>
              <w:ind w:right="14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39"/>
        </w:trPr>
        <w:tc>
          <w:tcPr>
            <w:tcW w:w="3260" w:type="dxa"/>
            <w:vAlign w:val="bottom"/>
            <w:gridSpan w:val="2"/>
          </w:tcPr>
          <w:p>
            <w:pPr>
              <w:spacing w:after="0"/>
              <w:rPr>
                <w:sz w:val="20"/>
                <w:szCs w:val="20"/>
                <w:color w:val="auto"/>
              </w:rPr>
            </w:pPr>
            <w:r>
              <w:rPr>
                <w:rFonts w:ascii="Arial" w:cs="Arial" w:eastAsia="Arial" w:hAnsi="Arial"/>
                <w:sz w:val="11"/>
                <w:szCs w:val="11"/>
                <w:color w:val="auto"/>
              </w:rPr>
              <w:t>Balance, January 1, 2021</w:t>
            </w: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322</w:t>
            </w: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5,720</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2,394</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1,304</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(1,067)</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8,392</w:t>
            </w:r>
          </w:p>
        </w:tc>
        <w:tc>
          <w:tcPr>
            <w:tcW w:w="0" w:type="dxa"/>
            <w:vAlign w:val="bottom"/>
          </w:tcPr>
          <w:p>
            <w:pPr>
              <w:spacing w:after="0"/>
              <w:rPr>
                <w:sz w:val="1"/>
                <w:szCs w:val="1"/>
                <w:color w:val="auto"/>
              </w:rPr>
            </w:pPr>
          </w:p>
        </w:tc>
      </w:tr>
      <w:tr>
        <w:trPr>
          <w:trHeight w:val="154"/>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39"/>
        </w:trPr>
        <w:tc>
          <w:tcPr>
            <w:tcW w:w="3260" w:type="dxa"/>
            <w:vAlign w:val="bottom"/>
            <w:gridSpan w:val="2"/>
          </w:tcPr>
          <w:p>
            <w:pPr>
              <w:spacing w:after="0"/>
              <w:rPr>
                <w:sz w:val="20"/>
                <w:szCs w:val="20"/>
                <w:color w:val="auto"/>
              </w:rPr>
            </w:pPr>
            <w:r>
              <w:rPr>
                <w:rFonts w:ascii="Arial" w:cs="Arial" w:eastAsia="Arial" w:hAnsi="Arial"/>
                <w:sz w:val="11"/>
                <w:szCs w:val="11"/>
                <w:color w:val="auto"/>
              </w:rPr>
              <w:t>Treasury stock repurchased</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(461)</w:t>
            </w:r>
          </w:p>
        </w:tc>
        <w:tc>
          <w:tcPr>
            <w:tcW w:w="0" w:type="dxa"/>
            <w:vAlign w:val="bottom"/>
          </w:tcPr>
          <w:p>
            <w:pPr>
              <w:spacing w:after="0"/>
              <w:rPr>
                <w:sz w:val="1"/>
                <w:szCs w:val="1"/>
                <w:color w:val="auto"/>
              </w:rPr>
            </w:pPr>
          </w:p>
        </w:tc>
      </w:tr>
      <w:tr>
        <w:trPr>
          <w:trHeight w:val="154"/>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Issuance of restricted stock</w:t>
            </w: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260" w:type="dxa"/>
            <w:vAlign w:val="bottom"/>
            <w:gridSpan w:val="2"/>
          </w:tcPr>
          <w:p>
            <w:pPr>
              <w:spacing w:after="0"/>
              <w:rPr>
                <w:sz w:val="20"/>
                <w:szCs w:val="20"/>
                <w:color w:val="auto"/>
              </w:rPr>
            </w:pPr>
            <w:r>
              <w:rPr>
                <w:rFonts w:ascii="Arial" w:cs="Arial" w:eastAsia="Arial" w:hAnsi="Arial"/>
                <w:sz w:val="11"/>
                <w:szCs w:val="11"/>
                <w:color w:val="auto"/>
              </w:rPr>
              <w:t>Purchase of incremental share in consolidated subsidiaries</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9"/>
        </w:trPr>
        <w:tc>
          <w:tcPr>
            <w:tcW w:w="32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w w:val="89"/>
              </w:rPr>
              <w:t>Other comprehensive earnings - unrealized loss on investments and other</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(413)</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(413)</w:t>
            </w:r>
          </w:p>
        </w:tc>
        <w:tc>
          <w:tcPr>
            <w:tcW w:w="0" w:type="dxa"/>
            <w:vAlign w:val="bottom"/>
          </w:tcPr>
          <w:p>
            <w:pPr>
              <w:spacing w:after="0"/>
              <w:rPr>
                <w:sz w:val="1"/>
                <w:szCs w:val="1"/>
                <w:color w:val="auto"/>
              </w:rPr>
            </w:pPr>
          </w:p>
        </w:tc>
      </w:tr>
      <w:tr>
        <w:trPr>
          <w:trHeight w:val="146"/>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financial instruments</w:t>
            </w:r>
          </w:p>
        </w:tc>
        <w:tc>
          <w:tcPr>
            <w:tcW w:w="8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60" w:type="dxa"/>
            <w:vAlign w:val="bottom"/>
            <w:gridSpan w:val="2"/>
          </w:tcPr>
          <w:p>
            <w:pPr>
              <w:spacing w:after="0" w:line="102" w:lineRule="exact"/>
              <w:rPr>
                <w:sz w:val="20"/>
                <w:szCs w:val="20"/>
                <w:color w:val="auto"/>
              </w:rPr>
            </w:pPr>
            <w:r>
              <w:rPr>
                <w:rFonts w:ascii="Arial" w:cs="Arial" w:eastAsia="Arial" w:hAnsi="Arial"/>
                <w:sz w:val="11"/>
                <w:szCs w:val="11"/>
                <w:color w:val="auto"/>
              </w:rPr>
              <w:t>Other comprehensive earnings - unrealized gain on investments in</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520" w:type="dxa"/>
            <w:vAlign w:val="bottom"/>
            <w:gridSpan w:val="2"/>
            <w:vMerge w:val="restart"/>
          </w:tcPr>
          <w:p>
            <w:pPr>
              <w:ind w:lef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520" w:type="dxa"/>
            <w:vAlign w:val="bottom"/>
            <w:gridSpan w:val="2"/>
            <w:vMerge w:val="restart"/>
          </w:tcPr>
          <w:p>
            <w:pPr>
              <w:ind w:lef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39"/>
        </w:trPr>
        <w:tc>
          <w:tcPr>
            <w:tcW w:w="3260" w:type="dxa"/>
            <w:vAlign w:val="bottom"/>
            <w:gridSpan w:val="2"/>
          </w:tcPr>
          <w:p>
            <w:pPr>
              <w:spacing w:after="0"/>
              <w:rPr>
                <w:sz w:val="20"/>
                <w:szCs w:val="20"/>
                <w:color w:val="auto"/>
              </w:rPr>
            </w:pPr>
            <w:r>
              <w:rPr>
                <w:rFonts w:ascii="Arial" w:cs="Arial" w:eastAsia="Arial" w:hAnsi="Arial"/>
                <w:sz w:val="11"/>
                <w:szCs w:val="11"/>
                <w:color w:val="auto"/>
              </w:rPr>
              <w:t>unconsolidated affiliates</w:t>
            </w: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2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w w:val="97"/>
              </w:rPr>
              <w:t>Other comprehensive earnings - unrealized loss on foreign currency</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6"/>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translation</w:t>
            </w:r>
          </w:p>
        </w:tc>
        <w:tc>
          <w:tcPr>
            <w:tcW w:w="8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60" w:type="dxa"/>
            <w:vAlign w:val="bottom"/>
            <w:gridSpan w:val="2"/>
          </w:tcPr>
          <w:p>
            <w:pPr>
              <w:spacing w:after="0"/>
              <w:rPr>
                <w:sz w:val="20"/>
                <w:szCs w:val="20"/>
                <w:color w:val="auto"/>
              </w:rPr>
            </w:pPr>
            <w:r>
              <w:rPr>
                <w:rFonts w:ascii="Arial" w:cs="Arial" w:eastAsia="Arial" w:hAnsi="Arial"/>
                <w:sz w:val="11"/>
                <w:szCs w:val="11"/>
                <w:color w:val="auto"/>
                <w:w w:val="95"/>
              </w:rPr>
              <w:t>Other comprehensive earnings - minimum pension liability adjustment</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09"/>
        </w:trPr>
        <w:tc>
          <w:tcPr>
            <w:tcW w:w="32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w w:val="94"/>
              </w:rPr>
              <w:t>Reclassification adjustments for change in unrealized gains and losses</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46"/>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included in net earnings</w:t>
            </w:r>
          </w:p>
        </w:tc>
        <w:tc>
          <w:tcPr>
            <w:tcW w:w="8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60" w:type="dxa"/>
            <w:vAlign w:val="bottom"/>
            <w:gridSpan w:val="2"/>
          </w:tcPr>
          <w:p>
            <w:pPr>
              <w:spacing w:after="0"/>
              <w:rPr>
                <w:sz w:val="20"/>
                <w:szCs w:val="20"/>
                <w:color w:val="auto"/>
              </w:rPr>
            </w:pPr>
            <w:r>
              <w:rPr>
                <w:rFonts w:ascii="Arial" w:cs="Arial" w:eastAsia="Arial" w:hAnsi="Arial"/>
                <w:sz w:val="11"/>
                <w:szCs w:val="11"/>
                <w:color w:val="auto"/>
              </w:rPr>
              <w:t>Stock-based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54"/>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Dividends declared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w:t>
            </w:r>
          </w:p>
        </w:tc>
        <w:tc>
          <w:tcPr>
            <w:tcW w:w="0" w:type="dxa"/>
            <w:vAlign w:val="bottom"/>
          </w:tcPr>
          <w:p>
            <w:pPr>
              <w:spacing w:after="0"/>
              <w:rPr>
                <w:sz w:val="1"/>
                <w:szCs w:val="1"/>
                <w:color w:val="auto"/>
              </w:rPr>
            </w:pPr>
          </w:p>
        </w:tc>
      </w:tr>
      <w:tr>
        <w:trPr>
          <w:trHeight w:val="139"/>
        </w:trPr>
        <w:tc>
          <w:tcPr>
            <w:tcW w:w="3260" w:type="dxa"/>
            <w:vAlign w:val="bottom"/>
            <w:gridSpan w:val="2"/>
          </w:tcPr>
          <w:p>
            <w:pPr>
              <w:spacing w:after="0"/>
              <w:rPr>
                <w:sz w:val="20"/>
                <w:szCs w:val="20"/>
                <w:color w:val="auto"/>
              </w:rPr>
            </w:pPr>
            <w:r>
              <w:rPr>
                <w:rFonts w:ascii="Arial" w:cs="Arial" w:eastAsia="Arial" w:hAnsi="Arial"/>
                <w:sz w:val="11"/>
                <w:szCs w:val="11"/>
                <w:color w:val="auto"/>
              </w:rPr>
              <w:t>Shares withheld for taxes and in treasury</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09"/>
        </w:trPr>
        <w:tc>
          <w:tcPr>
            <w:tcW w:w="32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w w:val="93"/>
              </w:rPr>
              <w:t>Change in reinsurance liabilities held at fair value resulting from change</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6"/>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 instrument-specific credit risk</w:t>
            </w:r>
          </w:p>
        </w:tc>
        <w:tc>
          <w:tcPr>
            <w:tcW w:w="8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60" w:type="dxa"/>
            <w:vAlign w:val="bottom"/>
            <w:gridSpan w:val="2"/>
          </w:tcPr>
          <w:p>
            <w:pPr>
              <w:spacing w:after="0"/>
              <w:rPr>
                <w:sz w:val="20"/>
                <w:szCs w:val="20"/>
                <w:color w:val="auto"/>
              </w:rPr>
            </w:pPr>
            <w:r>
              <w:rPr>
                <w:rFonts w:ascii="Arial" w:cs="Arial" w:eastAsia="Arial" w:hAnsi="Arial"/>
                <w:sz w:val="11"/>
                <w:szCs w:val="11"/>
                <w:color w:val="auto"/>
              </w:rPr>
              <w:t>Subsidiary dividends declared to non-controlling interests</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4"/>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earnings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2,422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2,442</w:t>
            </w:r>
          </w:p>
        </w:tc>
        <w:tc>
          <w:tcPr>
            <w:tcW w:w="0" w:type="dxa"/>
            <w:vAlign w:val="bottom"/>
          </w:tcPr>
          <w:p>
            <w:pPr>
              <w:spacing w:after="0"/>
              <w:rPr>
                <w:sz w:val="1"/>
                <w:szCs w:val="1"/>
                <w:color w:val="auto"/>
              </w:rPr>
            </w:pPr>
          </w:p>
        </w:tc>
      </w:tr>
      <w:tr>
        <w:trPr>
          <w:trHeight w:val="138"/>
        </w:trPr>
        <w:tc>
          <w:tcPr>
            <w:tcW w:w="3260" w:type="dxa"/>
            <w:vAlign w:val="bottom"/>
            <w:gridSpan w:val="2"/>
          </w:tcPr>
          <w:p>
            <w:pPr>
              <w:spacing w:after="0"/>
              <w:rPr>
                <w:sz w:val="20"/>
                <w:szCs w:val="20"/>
                <w:color w:val="auto"/>
              </w:rPr>
            </w:pPr>
            <w:r>
              <w:rPr>
                <w:rFonts w:ascii="Arial" w:cs="Arial" w:eastAsia="Arial" w:hAnsi="Arial"/>
                <w:sz w:val="11"/>
                <w:szCs w:val="11"/>
                <w:color w:val="auto"/>
              </w:rPr>
              <w:t>Balance, December 31, 2021</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325</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5,811</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4,369</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779</w:t>
            </w: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(1,545)</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9,457</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3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2" w:name="page103"/>
    <w:bookmarkEnd w:id="10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2"/>
                <w:szCs w:val="12"/>
                <w:b w:val="1"/>
                <w:bCs w:val="1"/>
                <w:color w:val="auto"/>
              </w:rPr>
              <w:t>For the Year Ended December 31,</w:t>
            </w:r>
          </w:p>
        </w:tc>
      </w:tr>
      <w:tr>
        <w:trPr>
          <w:trHeight w:val="153"/>
        </w:trPr>
        <w:tc>
          <w:tcPr>
            <w:tcW w:w="8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2019</w:t>
            </w:r>
          </w:p>
        </w:tc>
      </w:tr>
      <w:tr>
        <w:trPr>
          <w:trHeight w:val="145"/>
        </w:trPr>
        <w:tc>
          <w:tcPr>
            <w:tcW w:w="8560" w:type="dxa"/>
            <w:vAlign w:val="bottom"/>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2"/>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earnings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Adjustments to reconcile net earnings to net cash provided by operating activities: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0"/>
        </w:trPr>
        <w:tc>
          <w:tcPr>
            <w:tcW w:w="85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Depreciation and amortization</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r>
      <w:tr>
        <w:trPr>
          <w:trHeight w:val="155"/>
        </w:trPr>
        <w:tc>
          <w:tcPr>
            <w:tcW w:w="8560" w:type="dxa"/>
            <w:vAlign w:val="bottom"/>
          </w:tcPr>
          <w:p>
            <w:pPr>
              <w:ind w:left="360"/>
              <w:spacing w:after="0"/>
              <w:rPr>
                <w:sz w:val="20"/>
                <w:szCs w:val="20"/>
                <w:color w:val="auto"/>
              </w:rPr>
            </w:pPr>
            <w:r>
              <w:rPr>
                <w:rFonts w:ascii="Arial" w:cs="Arial" w:eastAsia="Arial" w:hAnsi="Arial"/>
                <w:sz w:val="12"/>
                <w:szCs w:val="12"/>
                <w:color w:val="auto"/>
              </w:rPr>
              <w:t>Equity in earnings of unconsolidated affiliates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60"/>
        </w:trPr>
        <w:tc>
          <w:tcPr>
            <w:tcW w:w="85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(Gain) loss on sales of investments and other assets and asset impairments, net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r>
      <w:tr>
        <w:trPr>
          <w:trHeight w:val="155"/>
        </w:trPr>
        <w:tc>
          <w:tcPr>
            <w:tcW w:w="8560" w:type="dxa"/>
            <w:vAlign w:val="bottom"/>
          </w:tcPr>
          <w:p>
            <w:pPr>
              <w:ind w:left="360"/>
              <w:spacing w:after="0"/>
              <w:rPr>
                <w:sz w:val="20"/>
                <w:szCs w:val="20"/>
                <w:color w:val="auto"/>
              </w:rPr>
            </w:pPr>
            <w:r>
              <w:rPr>
                <w:rFonts w:ascii="Arial" w:cs="Arial" w:eastAsia="Arial" w:hAnsi="Arial"/>
                <w:sz w:val="12"/>
                <w:szCs w:val="12"/>
                <w:color w:val="auto"/>
              </w:rPr>
              <w:t>Loss on sale of businesses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Interest credited/index credits to contractholder account balances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560" w:type="dxa"/>
            <w:vAlign w:val="bottom"/>
          </w:tcPr>
          <w:p>
            <w:pPr>
              <w:ind w:left="360"/>
              <w:spacing w:after="0"/>
              <w:rPr>
                <w:sz w:val="20"/>
                <w:szCs w:val="20"/>
                <w:color w:val="auto"/>
              </w:rPr>
            </w:pPr>
            <w:r>
              <w:rPr>
                <w:rFonts w:ascii="Arial" w:cs="Arial" w:eastAsia="Arial" w:hAnsi="Arial"/>
                <w:sz w:val="12"/>
                <w:szCs w:val="12"/>
                <w:color w:val="auto"/>
              </w:rPr>
              <w:t>Deferred policy acquisition costs and deferred sales inducements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(675)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Charges assessed to contractholders for mortality and administration</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560" w:type="dxa"/>
            <w:vAlign w:val="bottom"/>
          </w:tcPr>
          <w:p>
            <w:pPr>
              <w:ind w:left="360"/>
              <w:spacing w:after="0"/>
              <w:rPr>
                <w:sz w:val="20"/>
                <w:szCs w:val="20"/>
                <w:color w:val="auto"/>
              </w:rPr>
            </w:pPr>
            <w:r>
              <w:rPr>
                <w:rFonts w:ascii="Arial" w:cs="Arial" w:eastAsia="Arial" w:hAnsi="Arial"/>
                <w:sz w:val="12"/>
                <w:szCs w:val="12"/>
                <w:color w:val="auto"/>
              </w:rPr>
              <w:t>Non-cash lease costs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147</w:t>
            </w:r>
          </w:p>
        </w:tc>
      </w:tr>
      <w:tr>
        <w:trPr>
          <w:trHeight w:val="160"/>
        </w:trPr>
        <w:tc>
          <w:tcPr>
            <w:tcW w:w="85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Operating lease payments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w:t>
            </w:r>
          </w:p>
        </w:tc>
      </w:tr>
      <w:tr>
        <w:trPr>
          <w:trHeight w:val="155"/>
        </w:trPr>
        <w:tc>
          <w:tcPr>
            <w:tcW w:w="8560" w:type="dxa"/>
            <w:vAlign w:val="bottom"/>
          </w:tcPr>
          <w:p>
            <w:pPr>
              <w:ind w:left="360"/>
              <w:spacing w:after="0"/>
              <w:rPr>
                <w:sz w:val="20"/>
                <w:szCs w:val="20"/>
                <w:color w:val="auto"/>
              </w:rPr>
            </w:pPr>
            <w:r>
              <w:rPr>
                <w:rFonts w:ascii="Arial" w:cs="Arial" w:eastAsia="Arial" w:hAnsi="Arial"/>
                <w:sz w:val="12"/>
                <w:szCs w:val="12"/>
                <w:color w:val="auto"/>
              </w:rPr>
              <w:t>Distributions from unconsolidated affiliates, return on investment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60"/>
        </w:trPr>
        <w:tc>
          <w:tcPr>
            <w:tcW w:w="85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Stock-based compensation cost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r>
      <w:tr>
        <w:trPr>
          <w:trHeight w:val="155"/>
        </w:trPr>
        <w:tc>
          <w:tcPr>
            <w:tcW w:w="8560" w:type="dxa"/>
            <w:vAlign w:val="bottom"/>
          </w:tcPr>
          <w:p>
            <w:pPr>
              <w:ind w:left="360"/>
              <w:spacing w:after="0"/>
              <w:rPr>
                <w:sz w:val="20"/>
                <w:szCs w:val="20"/>
                <w:color w:val="auto"/>
              </w:rPr>
            </w:pPr>
            <w:r>
              <w:rPr>
                <w:rFonts w:ascii="Arial" w:cs="Arial" w:eastAsia="Arial" w:hAnsi="Arial"/>
                <w:sz w:val="12"/>
                <w:szCs w:val="12"/>
                <w:color w:val="auto"/>
              </w:rPr>
              <w:t>Change in NAV of limited partnerships, net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(589)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Change in valuation of derivatives, equity and preferred securities, net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Changes in assets and liabilities, net of effects from acquisitions: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0"/>
        </w:trPr>
        <w:tc>
          <w:tcPr>
            <w:tcW w:w="85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Change in reinsurance recoverable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560" w:type="dxa"/>
            <w:vAlign w:val="bottom"/>
          </w:tcPr>
          <w:p>
            <w:pPr>
              <w:ind w:left="420"/>
              <w:spacing w:after="0"/>
              <w:rPr>
                <w:sz w:val="20"/>
                <w:szCs w:val="20"/>
                <w:color w:val="auto"/>
              </w:rPr>
            </w:pPr>
            <w:r>
              <w:rPr>
                <w:rFonts w:ascii="Arial" w:cs="Arial" w:eastAsia="Arial" w:hAnsi="Arial"/>
                <w:sz w:val="12"/>
                <w:szCs w:val="12"/>
                <w:color w:val="auto"/>
              </w:rPr>
              <w:t>Change in future policy benefits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Change in funds withheld from reinsurers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560" w:type="dxa"/>
            <w:vAlign w:val="bottom"/>
          </w:tcPr>
          <w:p>
            <w:pPr>
              <w:ind w:left="420"/>
              <w:spacing w:after="0"/>
              <w:rPr>
                <w:sz w:val="20"/>
                <w:szCs w:val="20"/>
                <w:color w:val="auto"/>
              </w:rPr>
            </w:pPr>
            <w:r>
              <w:rPr>
                <w:rFonts w:ascii="Arial" w:cs="Arial" w:eastAsia="Arial" w:hAnsi="Arial"/>
                <w:sz w:val="12"/>
                <w:szCs w:val="12"/>
                <w:color w:val="auto"/>
              </w:rPr>
              <w:t>Net increase in trade receivables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60"/>
        </w:trPr>
        <w:tc>
          <w:tcPr>
            <w:tcW w:w="85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Net increase in reserve for title claim losses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55"/>
        </w:trPr>
        <w:tc>
          <w:tcPr>
            <w:tcW w:w="8560" w:type="dxa"/>
            <w:vAlign w:val="bottom"/>
          </w:tcPr>
          <w:p>
            <w:pPr>
              <w:ind w:left="420"/>
              <w:spacing w:after="0"/>
              <w:rPr>
                <w:sz w:val="20"/>
                <w:szCs w:val="20"/>
                <w:color w:val="auto"/>
              </w:rPr>
            </w:pPr>
            <w:r>
              <w:rPr>
                <w:rFonts w:ascii="Arial" w:cs="Arial" w:eastAsia="Arial" w:hAnsi="Arial"/>
                <w:sz w:val="12"/>
                <w:szCs w:val="12"/>
                <w:color w:val="auto"/>
              </w:rPr>
              <w:t>Net change in income taxes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60"/>
        </w:trPr>
        <w:tc>
          <w:tcPr>
            <w:tcW w:w="85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Net change in other assets and other liabilities</w:t>
            </w: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279</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w:t>
            </w:r>
          </w:p>
        </w:tc>
      </w:tr>
      <w:tr>
        <w:trPr>
          <w:trHeight w:val="147"/>
        </w:trPr>
        <w:tc>
          <w:tcPr>
            <w:tcW w:w="8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cash provided by operating activities</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4,090</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1,578</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1,121</w:t>
            </w:r>
          </w:p>
        </w:tc>
      </w:tr>
      <w:tr>
        <w:trPr>
          <w:trHeight w:val="151"/>
        </w:trPr>
        <w:tc>
          <w:tcPr>
            <w:tcW w:w="8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Proceeds from sales, calls and maturities of investment securities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9,796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3,592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831</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sales of property and equipment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Fundings of Cannae Holdings Inc. note receivable</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(200)</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repayments of Cannae Holdings Inc. note receivable</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Additions to property and equipment and capitalized software</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Purchases of investment securities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Net proceeds from (purchases of) sales and maturities of short-term investment securities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(395)</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F&amp;G acquisition</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Other acquisitions/disposals, net of cash acquired</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Additional investments in unconsolidated affiliates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Distributions from unconsolidated affiliates, return of investment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other investing activities</w:t>
            </w: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47"/>
        </w:trPr>
        <w:tc>
          <w:tcPr>
            <w:tcW w:w="856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(7,449)</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(2,331)</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3" w:name="page104"/>
    <w:bookmarkEnd w:id="10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0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20" w:lineRule="exact"/>
        <w:rPr>
          <w:sz w:val="20"/>
          <w:szCs w:val="20"/>
          <w:color w:val="auto"/>
        </w:rPr>
      </w:pPr>
    </w:p>
    <w:p>
      <w:pPr>
        <w:jc w:val="center"/>
        <w:ind w:right="900"/>
        <w:spacing w:after="0"/>
        <w:rPr>
          <w:sz w:val="20"/>
          <w:szCs w:val="20"/>
          <w:color w:val="auto"/>
        </w:rPr>
      </w:pPr>
      <w:r>
        <w:rPr>
          <w:rFonts w:ascii="Arial" w:cs="Arial" w:eastAsia="Arial" w:hAnsi="Arial"/>
          <w:sz w:val="12"/>
          <w:szCs w:val="12"/>
          <w:b w:val="1"/>
          <w:bCs w:val="1"/>
          <w:color w:val="auto"/>
        </w:rPr>
        <w:t>CONSOLIDATED STATEMENTS OF CASH FLOWS (CONTINUED)</w:t>
      </w:r>
    </w:p>
    <w:p>
      <w:pPr>
        <w:spacing w:after="0" w:line="24" w:lineRule="exact"/>
        <w:rPr>
          <w:sz w:val="20"/>
          <w:szCs w:val="20"/>
          <w:color w:val="auto"/>
        </w:rPr>
      </w:pPr>
    </w:p>
    <w:p>
      <w:pPr>
        <w:jc w:val="center"/>
        <w:ind w:right="900"/>
        <w:spacing w:after="0"/>
        <w:rPr>
          <w:sz w:val="20"/>
          <w:szCs w:val="20"/>
          <w:color w:val="auto"/>
        </w:rPr>
      </w:pPr>
      <w:r>
        <w:rPr>
          <w:rFonts w:ascii="Arial" w:cs="Arial" w:eastAsia="Arial" w:hAnsi="Arial"/>
          <w:sz w:val="12"/>
          <w:szCs w:val="12"/>
          <w:color w:val="auto"/>
        </w:rPr>
        <w:t>(In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2"/>
                <w:szCs w:val="12"/>
                <w:b w:val="1"/>
                <w:bCs w:val="1"/>
                <w:color w:val="auto"/>
              </w:rPr>
              <w:t>For the Year Ended December 31,</w:t>
            </w:r>
          </w:p>
        </w:tc>
      </w:tr>
      <w:tr>
        <w:trPr>
          <w:trHeight w:val="157"/>
        </w:trPr>
        <w:tc>
          <w:tcPr>
            <w:tcW w:w="85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2019</w:t>
            </w:r>
          </w:p>
        </w:tc>
      </w:tr>
      <w:tr>
        <w:trPr>
          <w:trHeight w:val="149"/>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Borrowings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Debt offering</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1,246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Debt costs/equity issuance additions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Debt service payments</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Dividends paid</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Subsidiary dividends paid to non-controlling interest shareholders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Exercise of stock options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Net change in secured trust deposits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Purchase of additional share in consolidated subsidiaries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Payment of contingent consideration for prior period acquisitions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Payment for shares withheld for taxes and in treasury</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Contractholder account deposits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8,166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2,967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Contractholder account withdrawals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560" w:type="dxa"/>
            <w:vAlign w:val="bottom"/>
          </w:tcPr>
          <w:p>
            <w:pPr>
              <w:ind w:left="180"/>
              <w:spacing w:after="0"/>
              <w:rPr>
                <w:sz w:val="20"/>
                <w:szCs w:val="20"/>
                <w:color w:val="auto"/>
              </w:rPr>
            </w:pPr>
            <w:r>
              <w:rPr>
                <w:rFonts w:ascii="Arial" w:cs="Arial" w:eastAsia="Arial" w:hAnsi="Arial"/>
                <w:sz w:val="12"/>
                <w:szCs w:val="12"/>
                <w:color w:val="auto"/>
              </w:rPr>
              <w:t>Purchases of treasury stock</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(463)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160"/>
        </w:trPr>
        <w:tc>
          <w:tcPr>
            <w:tcW w:w="8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financing activity</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r>
      <w:tr>
        <w:trPr>
          <w:trHeight w:val="147"/>
        </w:trPr>
        <w:tc>
          <w:tcPr>
            <w:tcW w:w="8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cash provided by (used in) financing activities</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5,000</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2,096</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(482)</w:t>
            </w:r>
          </w:p>
        </w:tc>
      </w:tr>
      <w:tr>
        <w:trPr>
          <w:trHeight w:val="151"/>
        </w:trPr>
        <w:tc>
          <w:tcPr>
            <w:tcW w:w="856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cash and cash equivalents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r>
      <w:tr>
        <w:trPr>
          <w:trHeight w:val="155"/>
        </w:trPr>
        <w:tc>
          <w:tcPr>
            <w:tcW w:w="8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and cash equivalents at beginning of period</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2,719</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1,376</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1,257</w:t>
            </w:r>
          </w:p>
        </w:tc>
      </w:tr>
      <w:tr>
        <w:trPr>
          <w:trHeight w:val="176"/>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4,360</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2,719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4" w:name="page105"/>
    <w:bookmarkEnd w:id="10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FIDELITY NATIONAL FINANCIAL, INC. AND SUBSIDIARIES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89"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Note A.</w:t>
      </w:r>
      <w:r>
        <w:rPr>
          <w:sz w:val="20"/>
          <w:szCs w:val="20"/>
          <w:color w:val="auto"/>
        </w:rPr>
        <w:tab/>
      </w:r>
      <w:r>
        <w:rPr>
          <w:rFonts w:ascii="Arial" w:cs="Arial" w:eastAsia="Arial" w:hAnsi="Arial"/>
          <w:sz w:val="13"/>
          <w:szCs w:val="13"/>
          <w:b w:val="1"/>
          <w:bCs w:val="1"/>
          <w:color w:val="auto"/>
        </w:rPr>
        <w:t>Business and Summary of Significant Accounting Policies</w:t>
      </w:r>
    </w:p>
    <w:p>
      <w:pPr>
        <w:spacing w:after="0" w:line="21" w:lineRule="exact"/>
        <w:rPr>
          <w:sz w:val="20"/>
          <w:szCs w:val="20"/>
          <w:color w:val="auto"/>
        </w:rPr>
      </w:pPr>
    </w:p>
    <w:p>
      <w:pPr>
        <w:jc w:val="both"/>
        <w:ind w:firstLine="270"/>
        <w:spacing w:after="0" w:line="261" w:lineRule="auto"/>
        <w:rPr>
          <w:sz w:val="20"/>
          <w:szCs w:val="20"/>
          <w:color w:val="auto"/>
        </w:rPr>
      </w:pPr>
      <w:r>
        <w:rPr>
          <w:rFonts w:ascii="Arial" w:cs="Arial" w:eastAsia="Arial" w:hAnsi="Arial"/>
          <w:sz w:val="15"/>
          <w:szCs w:val="15"/>
          <w:color w:val="auto"/>
        </w:rPr>
        <w:t>The following describes the business and significant accounting policies of Fidelity National Financial, Inc. and its subsidiaries (collectively, “we,” “us,” “our,” the "Company" or “FNF”), which have been followed in preparing the accompanying Consolidated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Description of the Business</w:t>
      </w:r>
    </w:p>
    <w:p>
      <w:pPr>
        <w:spacing w:after="0" w:line="98" w:lineRule="exact"/>
        <w:rPr>
          <w:sz w:val="20"/>
          <w:szCs w:val="20"/>
          <w:color w:val="auto"/>
        </w:rPr>
      </w:pPr>
    </w:p>
    <w:p>
      <w:pPr>
        <w:jc w:val="both"/>
        <w:ind w:firstLine="270"/>
        <w:spacing w:after="0" w:line="275" w:lineRule="auto"/>
        <w:rPr>
          <w:sz w:val="20"/>
          <w:szCs w:val="20"/>
          <w:color w:val="auto"/>
        </w:rPr>
      </w:pPr>
      <w:r>
        <w:rPr>
          <w:rFonts w:ascii="Arial" w:cs="Arial" w:eastAsia="Arial" w:hAnsi="Arial"/>
          <w:sz w:val="14"/>
          <w:szCs w:val="14"/>
          <w:color w:val="auto"/>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wholly-owned subsidiary, F&amp;G Annuities &amp; Life ("F&amp;G").</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For information about our reportable segments refer to Note J </w:t>
      </w:r>
      <w:r>
        <w:rPr>
          <w:rFonts w:ascii="Arial" w:cs="Arial" w:eastAsia="Arial" w:hAnsi="Arial"/>
          <w:sz w:val="15"/>
          <w:szCs w:val="15"/>
          <w:i w:val="1"/>
          <w:iCs w:val="1"/>
          <w:color w:val="auto"/>
        </w:rPr>
        <w:t>Segment Information</w:t>
      </w:r>
      <w:r>
        <w:rPr>
          <w:rFonts w:ascii="Arial" w:cs="Arial" w:eastAsia="Arial" w:hAnsi="Arial"/>
          <w:sz w:val="15"/>
          <w:szCs w:val="15"/>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Developments</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3.20% Senior Notes</w:t>
      </w:r>
    </w:p>
    <w:p>
      <w:pPr>
        <w:spacing w:after="0" w:line="98"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 xml:space="preserve">On September 17, 2021, we completed our underwritten public offering of $450 million aggregate principal amount of our 3.20% Notes due 2051 (the "3.20% Notes"), pursuant to our registration statement on Form S-3 (File No. 333-239002) and the related prospectus supplement. The net proceeds from the registered offering of the 3.20% Notes were approximately $443 million, after deducting underwriting discounts, commissions and offering expenses. We plan to use the net proceeds from the offering for general corporate purposes. For further information related to the 3.20% Notes, refer to Note G </w:t>
      </w:r>
      <w:r>
        <w:rPr>
          <w:rFonts w:ascii="Arial" w:cs="Arial" w:eastAsia="Arial" w:hAnsi="Arial"/>
          <w:sz w:val="15"/>
          <w:szCs w:val="15"/>
          <w:i w:val="1"/>
          <w:iCs w:val="1"/>
          <w:color w:val="auto"/>
        </w:rPr>
        <w:t>Notes Payable</w:t>
      </w:r>
      <w:r>
        <w:rPr>
          <w:rFonts w:ascii="Arial" w:cs="Arial" w:eastAsia="Arial" w:hAnsi="Arial"/>
          <w:sz w:val="15"/>
          <w:szCs w:val="15"/>
          <w:color w:val="auto"/>
        </w:rPr>
        <w:t>.</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Approval of the 2021 Repurchase Program</w:t>
      </w:r>
    </w:p>
    <w:p>
      <w:pPr>
        <w:spacing w:after="0" w:line="98"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On August 3, 2021, our Board of Directors approved a new three-year stock repurchase program effective August 3, 2021 (the "2021 Repurchase Program") under which we may purchase up to 25 million shares of our FNF common stock through July 31, 2024. We may make repurchases from time to time in the open market, in block purchases or in privately negotiated transactions, depending on market conditions and other factors.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Merger of Alight, Inc. ("Alight") and Foley Trasimene Acquisition Corp. ("FTAC")</w:t>
      </w:r>
    </w:p>
    <w:p>
      <w:pPr>
        <w:spacing w:after="0" w:line="98"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On January 25, 2021, each of our wholly-owned subsidiaries, FNTIC, Commonwealth Title and Chicago Title (collectively, the "FTAC Subscribers") entered into common stock subscription agreements (the "FTAC Subscription Agreements") with Alight (f/k/a Acrobat Holdings, Inc.) and FTAC to purchase in the aggregate $150 million (the "Alight Purchase Price") of Class A Common Stock, par value $.001 per share, of Alight at a purchase price of $10.00 per share.</w:t>
      </w:r>
    </w:p>
    <w:p>
      <w:pPr>
        <w:spacing w:after="0" w:line="55" w:lineRule="exact"/>
        <w:rPr>
          <w:sz w:val="20"/>
          <w:szCs w:val="20"/>
          <w:color w:val="auto"/>
        </w:rPr>
      </w:pPr>
    </w:p>
    <w:p>
      <w:pPr>
        <w:jc w:val="both"/>
        <w:ind w:firstLine="270"/>
        <w:spacing w:after="0" w:line="318" w:lineRule="auto"/>
        <w:rPr>
          <w:sz w:val="20"/>
          <w:szCs w:val="20"/>
          <w:color w:val="auto"/>
        </w:rPr>
      </w:pPr>
      <w:r>
        <w:rPr>
          <w:rFonts w:ascii="Arial" w:cs="Arial" w:eastAsia="Arial" w:hAnsi="Arial"/>
          <w:sz w:val="13"/>
          <w:szCs w:val="13"/>
          <w:color w:val="auto"/>
        </w:rPr>
        <w:t>On June 29, 2021, we funded the Alight Purchase Price. Additionally, Alight paid the FTAC Subscribers a fee of 2.5% of the Alight Purchase Price upon closing of the transactions in accordance with the Business Combination Agreement dated January 25, 2021, as amended and restated April 29, 2021, by and among FTAC, Alight and other parties thereto.</w:t>
      </w:r>
    </w:p>
    <w:p>
      <w:pPr>
        <w:spacing w:after="0" w:line="9"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4"/>
          <w:szCs w:val="14"/>
          <w:color w:val="auto"/>
        </w:rPr>
        <w:t>On July 2, 2021, FTAC merged with Alight. The combined company operates as Alight, Inc. and is traded on the New York Stock Exchange ("NYSE") under the symbol "ALIT." As of December 31, 2021 our shares of Alight are fully registered and are included in equity securities within the accompanying Consolidated Balance Sheets.</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F&amp;G Enters Funding Agreement Backed Note ("FABN") Market</w:t>
      </w:r>
    </w:p>
    <w:p>
      <w:pPr>
        <w:spacing w:after="0" w:line="98"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In June 2021, we established a funding agreement-backed notes program (the “FABN Program”), pursuant to which Fidelity &amp; Guaranty Life Insurance Company (“FGL Insurance”) may issue funding agreements to a special purpose statutory trust (the “Trust”) for spread lending purposes. The maximum aggregate principal amount permitted to be outstanding at any one time under the FABN Program is currently $5.0 billion. As of December 31, 2021, we had approximately $1.9 billion outstanding under the FABN program. In January 2022, we issued an additional $400 million funding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5" w:name="page106"/>
    <w:bookmarkEnd w:id="10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F&amp;G Enters Pension Risk Transfer ("PRT") Market</w:t>
      </w:r>
    </w:p>
    <w:p>
      <w:pPr>
        <w:spacing w:after="0" w:line="98"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In July 2021, we entered the PRT market, pursuant to which FGL Insurance and Fidelity &amp; Guaranty Life Insurance Company of New York ("FGL NY Insurance") may issue group annuity contracts to discharge pension plan liabilities from a pension plan sponsor. As of December 31, 2021, we closed PRT transactions which represent pension obligations of $1.1 billion.</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Merger of Paysafe Limited ("Paysafe") and Foley Trasimene Acquisition Corp. II ("FTAC II")</w:t>
      </w:r>
    </w:p>
    <w:p>
      <w:pPr>
        <w:spacing w:after="0" w:line="9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4"/>
          <w:szCs w:val="14"/>
          <w:color w:val="auto"/>
        </w:rPr>
        <w:t>On December 7, 2020, each of our wholly-owned subsidiaries, FNTIC, Commonwealth Title, Chicago Title and F&amp;G (collectively, the "FTAC II Subscribers"), entered into common stock subscription agreements with Paysafe and FTAC II to purchase in the aggregate $500 million (the "Paysafe Purchase Price") of common shares, par value $0.001 per share, of Paysafe at a purchase price of $10.00 per share ("the PIPE Investment"). On March 30, 2021, FTAC II merged with Paysafe, an exempted limited company incorporated under the laws of Bermuda and a leading integrated payments platform (the "FTAC II Paysafe Merger"), in accordance with the agreement and plan of merger dated December 7, 2020. The newly combined company operates as Paysafe and is traded on the NYSE under the symbol PSFE. The FTAC II Paysafe Merger was funded with the cash held in trust at FTAC II, forward purchase commitments, private investment in public equity ("PIPE") commitments and equity of Paysafe.</w:t>
      </w:r>
    </w:p>
    <w:p>
      <w:pPr>
        <w:spacing w:after="0" w:line="57"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color w:val="auto"/>
        </w:rPr>
        <w:t>On March 30, 2021, the FTAC II Subscribers funded the Paysafe Purchase Price and received 50 million common shares of Paysafe. As of December 31, 2021, we hold approximately 7% of the outstanding common shares of Paysafe, which are included in equity securities in the accompanying Consolidated Balance Sheets. In connection with the PIPE Investment, we received a fee of 1.6% of the Paysafe Purchase Price as described in the agreement and plan of merger dated December 7, 2020.</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Principles of Consolidation and Basis of Presentation</w:t>
      </w:r>
    </w:p>
    <w:p>
      <w:pPr>
        <w:spacing w:after="0" w:line="75"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In our title segment, our investments in unconsolidated subsidiaries and affiliates are accounted for using the equity method until such time that they become wholly or majority-owned. Earnings attributable to noncontrolling interests are recorded on the Consolidated Statements of Earnings relating to majority-owned subsidiaries with the appropriate noncontrolling interest that represents the portion of equity not related to our ownership interest recorded on the Consolidated Balance Sheets in each period.</w:t>
      </w:r>
    </w:p>
    <w:p>
      <w:pPr>
        <w:spacing w:after="0" w:line="60" w:lineRule="exact"/>
        <w:rPr>
          <w:sz w:val="20"/>
          <w:szCs w:val="20"/>
          <w:color w:val="auto"/>
        </w:rPr>
      </w:pPr>
    </w:p>
    <w:p>
      <w:pPr>
        <w:jc w:val="both"/>
        <w:ind w:firstLine="270"/>
        <w:spacing w:after="0" w:line="305" w:lineRule="auto"/>
        <w:rPr>
          <w:sz w:val="20"/>
          <w:szCs w:val="20"/>
          <w:color w:val="auto"/>
        </w:rPr>
      </w:pPr>
      <w:r>
        <w:rPr>
          <w:rFonts w:ascii="Arial" w:cs="Arial" w:eastAsia="Arial" w:hAnsi="Arial"/>
          <w:sz w:val="13"/>
          <w:szCs w:val="13"/>
          <w:color w:val="auto"/>
        </w:rPr>
        <w:t xml:space="preserve">We are also involved in certain entities that are considered variable interest entities ("VIEs") as defined under GAAP. Our involvement with VIEs is primarily to invest in assets that allow us to gain exposure to a broadly diversified portfolio of asset classes. A VIE is an entity that does not have sufficient equity to finance its own activities without additional financial support, where investors lack certain characteristics of a controlling financial interest, or where the entity is structured with non-substantive voting rights. We assess our relationships to determine if we have the ability to direct the activities, or otherwise exert control, to evaluate if we are the primary beneficiary of the VIE. If we determine we are the primary beneficiary of a VIE, we consolidate the assets and liabilities of the VIE in our Consolidated Financial Statements. See Note E </w:t>
      </w:r>
      <w:r>
        <w:rPr>
          <w:rFonts w:ascii="Arial" w:cs="Arial" w:eastAsia="Arial" w:hAnsi="Arial"/>
          <w:sz w:val="13"/>
          <w:szCs w:val="13"/>
          <w:i w:val="1"/>
          <w:iCs w:val="1"/>
          <w:color w:val="auto"/>
        </w:rPr>
        <w:t>Investments</w:t>
      </w:r>
      <w:r>
        <w:rPr>
          <w:rFonts w:ascii="Arial" w:cs="Arial" w:eastAsia="Arial" w:hAnsi="Arial"/>
          <w:sz w:val="13"/>
          <w:szCs w:val="13"/>
          <w:color w:val="auto"/>
        </w:rPr>
        <w:t xml:space="preserve"> for additional information on our investments in VIEs.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Investments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Fixed Maturity Securities Available-for-Sale</w:t>
      </w:r>
    </w:p>
    <w:p>
      <w:pPr>
        <w:spacing w:after="0" w:line="87" w:lineRule="exact"/>
        <w:rPr>
          <w:sz w:val="20"/>
          <w:szCs w:val="20"/>
          <w:color w:val="auto"/>
        </w:rPr>
      </w:pPr>
    </w:p>
    <w:p>
      <w:pPr>
        <w:jc w:val="both"/>
        <w:ind w:firstLine="270"/>
        <w:spacing w:after="0" w:line="295" w:lineRule="auto"/>
        <w:rPr>
          <w:sz w:val="20"/>
          <w:szCs w:val="20"/>
          <w:color w:val="auto"/>
        </w:rPr>
      </w:pPr>
      <w:r>
        <w:rPr>
          <w:rFonts w:ascii="Arial" w:cs="Arial" w:eastAsia="Arial" w:hAnsi="Arial"/>
          <w:sz w:val="13"/>
          <w:szCs w:val="13"/>
          <w:color w:val="auto"/>
        </w:rPr>
        <w:t>Fixed maturity securities are purchased to support our investment strategies, which are developed based on factors including rate of return, maturity, credit risk, duration, tax considerations and regulatory requirements. Our investments in fixed maturity securities have been designated as available-for-sale ("AFS") and are carried at fair value, net of allowance for expected credit losses, with unrealized gains and losses included within accumulated other comprehensive income (loss) ("AOCI"), net of associated adjustments for deferred acquisition costs ("DAC"), value of business acquired ("VOBA"), deferred sales inducements ("DSI"), unearned revenue ("UREV"), Statement of Position 03-1, “</w:t>
      </w:r>
      <w:r>
        <w:rPr>
          <w:rFonts w:ascii="Arial" w:cs="Arial" w:eastAsia="Arial" w:hAnsi="Arial"/>
          <w:sz w:val="13"/>
          <w:szCs w:val="13"/>
          <w:i w:val="1"/>
          <w:iCs w:val="1"/>
          <w:color w:val="auto"/>
        </w:rPr>
        <w:t>Accounting and</w:t>
      </w:r>
      <w:r>
        <w:rPr>
          <w:rFonts w:ascii="Arial" w:cs="Arial" w:eastAsia="Arial" w:hAnsi="Arial"/>
          <w:sz w:val="13"/>
          <w:szCs w:val="13"/>
          <w:color w:val="auto"/>
        </w:rPr>
        <w:t xml:space="preserve"> </w:t>
      </w:r>
      <w:r>
        <w:rPr>
          <w:rFonts w:ascii="Arial" w:cs="Arial" w:eastAsia="Arial" w:hAnsi="Arial"/>
          <w:sz w:val="13"/>
          <w:szCs w:val="13"/>
          <w:i w:val="1"/>
          <w:iCs w:val="1"/>
          <w:color w:val="auto"/>
        </w:rPr>
        <w:t>Reporting by Insurance Enterprises for Certain Nontraditional Long-Duration Contracts and for Separate Accounts</w:t>
      </w:r>
      <w:r>
        <w:rPr>
          <w:rFonts w:ascii="Arial" w:cs="Arial" w:eastAsia="Arial" w:hAnsi="Arial"/>
          <w:sz w:val="13"/>
          <w:szCs w:val="13"/>
          <w:color w:val="auto"/>
        </w:rPr>
        <w:t>,” ("SOP 03-1") reserves, and deferred income taxes. Fair values for</w:t>
      </w:r>
      <w:r>
        <w:rPr>
          <w:rFonts w:ascii="Arial" w:cs="Arial" w:eastAsia="Arial" w:hAnsi="Arial"/>
          <w:sz w:val="13"/>
          <w:szCs w:val="13"/>
          <w:i w:val="1"/>
          <w:iCs w:val="1"/>
          <w:color w:val="auto"/>
        </w:rPr>
        <w:t xml:space="preserve"> </w:t>
      </w:r>
      <w:r>
        <w:rPr>
          <w:rFonts w:ascii="Arial" w:cs="Arial" w:eastAsia="Arial" w:hAnsi="Arial"/>
          <w:sz w:val="13"/>
          <w:szCs w:val="13"/>
          <w:color w:val="auto"/>
        </w:rPr>
        <w:t>fixed maturity securities are principally a function of current market conditions and are valued based on quoted prices in markets that are not active or model inputs that are observable or unobservable. We recognize investment income on fixed maturities based on the interest method, which results in the recognition of a constant rate of return on the investment equal to the prevailing rate at the time of purchase or at the time of subsequent adjustments of book value. Changes in prepayment assumptions are accounted for prospectively. In our title segment, realized gains and losses on sales of our fixed maturity securities are determined on the basis of the cost of the specific investments sold and are credited or charged to income on a trade date basis. Our F&amp;G segment uses FIFO cost basis and generally records security transactions on a trade date basis except for private placements, which are recorded on a settlement date basis. Realized gains and losses on sales of fixed maturity securities are reported within Recognized gains and losses, net in the accompanying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6" w:name="page107"/>
    <w:bookmarkEnd w:id="10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Earnings. For details on our policy around allowance for expected credit losses on available-for-sale securities, refer to Note E </w:t>
      </w:r>
      <w:r>
        <w:rPr>
          <w:rFonts w:ascii="Arial" w:cs="Arial" w:eastAsia="Arial" w:hAnsi="Arial"/>
          <w:sz w:val="15"/>
          <w:szCs w:val="15"/>
          <w:i w:val="1"/>
          <w:iCs w:val="1"/>
          <w:color w:val="auto"/>
        </w:rPr>
        <w:t>Investments.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Preferred and Equity Securities</w:t>
      </w:r>
    </w:p>
    <w:p>
      <w:pPr>
        <w:spacing w:after="0" w:line="75"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3"/>
          <w:szCs w:val="13"/>
          <w:color w:val="auto"/>
        </w:rPr>
        <w:t>Equity and preferred securities held are carried at fair value as of the balance sheet dates. The fair values of our equity and preferred securities are based on quoted prices in active markets, or are valued based on quoted prices in markets that are not active or model inputs that are observable or unobservable. Changes in fair value and realized gains and losses on sales of our preferred and equity securities are reported within Recognized gains and losses, net in the accompanying Consolidated Statements of Earnings. Recognized gains and losses on sales of our preferred and equity securities are credited or charged to income on a trade date basis, unless the security is a private placement in which case settlement date basis is used.</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Derivative Financial Instruments</w:t>
      </w:r>
    </w:p>
    <w:p>
      <w:pPr>
        <w:spacing w:after="0" w:line="87"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In our F&amp;G segment, we hedge certain portions of our exposure to product related equity market risk by entering into derivative transactions (primarily call options). All such derivative instruments are recognized as either assets or liabilities in the accompanying Consolidated Balance Sheets at fair value. The changes in fair value are reported within Recognized gains and losses, net in the accompanying Consolidated Statements of Earnings.</w:t>
      </w:r>
    </w:p>
    <w:p>
      <w:pPr>
        <w:spacing w:after="0" w:line="4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4"/>
          <w:szCs w:val="14"/>
          <w:color w:val="auto"/>
        </w:rPr>
        <w:t xml:space="preserve">We purchase financial instruments and issue products that may contain embedded derivative instruments. If it is determined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contract for measurement purposes. The embedded derivative is carried at fair value, which is determined through a combination of market observable inputs such as market value of option and interest swap rates and unobservable inputs such as the mortality multiplier, surrender and withdrawal rates and non-performance spread. The changes in fair value are reported within Benefits and other changes in policy reserves in the accompanying Consolidated Statements of Earnings. See a description of the fair value methodology used in Note D </w:t>
      </w:r>
      <w:r>
        <w:rPr>
          <w:rFonts w:ascii="Arial" w:cs="Arial" w:eastAsia="Arial" w:hAnsi="Arial"/>
          <w:sz w:val="14"/>
          <w:szCs w:val="14"/>
          <w:i w:val="1"/>
          <w:iCs w:val="1"/>
          <w:color w:val="auto"/>
        </w:rPr>
        <w:t>Fair Value of Financial Instruments</w:t>
      </w:r>
      <w:r>
        <w:rPr>
          <w:rFonts w:ascii="Arial" w:cs="Arial" w:eastAsia="Arial" w:hAnsi="Arial"/>
          <w:sz w:val="14"/>
          <w:szCs w:val="14"/>
          <w:color w:val="auto"/>
        </w:rPr>
        <w:t>.</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Reinsurance Related Embedded Derivatives</w:t>
      </w:r>
    </w:p>
    <w:p>
      <w:pPr>
        <w:spacing w:after="0" w:line="75"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4"/>
          <w:szCs w:val="14"/>
          <w:color w:val="auto"/>
        </w:rPr>
        <w:t xml:space="preserve">As discussed in Note O </w:t>
      </w:r>
      <w:r>
        <w:rPr>
          <w:rFonts w:ascii="Arial" w:cs="Arial" w:eastAsia="Arial" w:hAnsi="Arial"/>
          <w:sz w:val="14"/>
          <w:szCs w:val="14"/>
          <w:i w:val="1"/>
          <w:iCs w:val="1"/>
          <w:color w:val="auto"/>
        </w:rPr>
        <w:t>Reinsurance</w:t>
      </w:r>
      <w:r>
        <w:rPr>
          <w:rFonts w:ascii="Arial" w:cs="Arial" w:eastAsia="Arial" w:hAnsi="Arial"/>
          <w:sz w:val="14"/>
          <w:szCs w:val="14"/>
          <w:color w:val="auto"/>
        </w:rPr>
        <w:t>, F&amp;G entered into reinsurance agreements with Kubera Insurance (SAC) Ltd. ("Kubera"), effective December 31, 2018, and ASPIDA Life Re Ltd ("Aspida Re"), effective January 1, 2021, to cede certain multi-year guaranteed annuities ("MYGA") and deferred annuity GAAP and statutory reserves on a coinsurance funds withheld basis, net of applicable existing reinsurance. Effective October 31, 2021, the Kubera agreement was novated from Kubera to Somerset Reinsurance Ltd. ("Somerset"), a certified third-party reinsurer. Funds withheld arrangements allow the Company to retain legal ownership of assets backing reinsurance arrangements until they are earned by the reinsurer while passing credit risk associated with the assets in the funds withheld account to the reinsurer. These arrangements create embedded derivatives considered to be total return swaps with contractual returns that are attributable to the assets and liabilities associated with the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are passed directly to the reinsurer pursuant to contractual terms of the reinsurance arrangement. These total return swaps are not clearly and closely related to the underlying reinsurance contract and thus require bifurcation. The reinsurance related embedded derivative is reported in Prepaid expenses and other assets if in a net gain position, or Accounts payable and accrued liabilities, if in a net loss position on the Consolidated Balance Sheets and the related gains or losses are reported in Recognized gains (losses) on the Consolidated Statements of Earnings.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Mortgage Loans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investment in mortgage loans consists of commercial and residential mortgage loans on real estate, which are reported at amortized cost, less allowance for expected credit losses.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 details on our policy around allowance for expected credit losses on mortgage loans, refer to Note E </w:t>
      </w:r>
      <w:r>
        <w:rPr>
          <w:rFonts w:ascii="Arial" w:cs="Arial" w:eastAsia="Arial" w:hAnsi="Arial"/>
          <w:sz w:val="15"/>
          <w:szCs w:val="15"/>
          <w:i w:val="1"/>
          <w:iCs w:val="1"/>
          <w:color w:val="auto"/>
        </w:rPr>
        <w:t>Investments</w:t>
      </w:r>
      <w:r>
        <w:rPr>
          <w:rFonts w:ascii="Arial" w:cs="Arial" w:eastAsia="Arial" w:hAnsi="Arial"/>
          <w:sz w:val="15"/>
          <w:szCs w:val="15"/>
          <w:color w:val="auto"/>
        </w:rPr>
        <w:t>.</w:t>
      </w:r>
    </w:p>
    <w:p>
      <w:pPr>
        <w:spacing w:after="0" w:line="66"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Commercial mortgage loans are continuously monitored by reviewing appraisals, operating statements, rent revenues, annual inspection reports, loan specific credit quality, property characteristics, market trends and other factors.</w:t>
      </w:r>
    </w:p>
    <w:p>
      <w:pPr>
        <w:spacing w:after="0" w:line="3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Commercial mortgage loans are rated for the purpose of quantifying the level of risk. Loans are placed on a watch list when the debt service coverage ("DSC") ratio falls below and the loan-to-value ("LTV") ratios exceeds certain thresholds. Loans on the watchlist are closely monitored for collateral deficiency or other credit events that may lead to a potential loss of principal or interest. We define delinquent mortgage loans as 30 days past due, consistent with industry practice.</w:t>
      </w:r>
    </w:p>
    <w:p>
      <w:pPr>
        <w:spacing w:after="0" w:line="44" w:lineRule="exact"/>
        <w:rPr>
          <w:sz w:val="20"/>
          <w:szCs w:val="20"/>
          <w:color w:val="auto"/>
        </w:rPr>
      </w:pPr>
    </w:p>
    <w:p>
      <w:pPr>
        <w:jc w:val="both"/>
        <w:ind w:right="20"/>
        <w:spacing w:after="0" w:line="354" w:lineRule="auto"/>
        <w:rPr>
          <w:sz w:val="20"/>
          <w:szCs w:val="20"/>
          <w:color w:val="auto"/>
        </w:rPr>
      </w:pPr>
      <w:r>
        <w:rPr>
          <w:rFonts w:ascii="Arial" w:cs="Arial" w:eastAsia="Arial" w:hAnsi="Arial"/>
          <w:sz w:val="13"/>
          <w:szCs w:val="13"/>
          <w:color w:val="auto"/>
        </w:rPr>
        <w:t>Residential mortgage loans have a primary credit quality indicator of either a performing or nonperforming loan. We define nonperforming residential mortgage loans as those that are 90 or more days past due and/or in nonaccrual status, which is assessed monthly. Generally, nonperforming residential mortgage loans have a higher risk of experiencing a credit loss. We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7" w:name="page108"/>
    <w:bookmarkEnd w:id="10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consider residential mortgage loans that are 90 or more days past due and have an LTV greater than 90% to be foreclosure probable.</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Interest on loans is recognized on an accrual basis at the applicable interest rate on the principal amount outstanding. Loan origination fees and direct costs, as well as premiums and discounts, are amortized as level yield adjustments over the respective loan terms. Unamortized net fees or costs are recognized upon early repayment of the loans. Loan commitment fees are deferred and amortized on an effective yield basis over the term of the loan.</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Short-term investments</w:t>
      </w:r>
    </w:p>
    <w:p>
      <w:pPr>
        <w:spacing w:after="0" w:line="75"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Short-term investments consist primarily of money market instruments, which are carried at fair value, and commercial paper and loans, which have an original maturity of one year or less and are carried at amortized cost, which approximates fair value.</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Investments in Unconsolidated Affiliates</w:t>
      </w:r>
    </w:p>
    <w:p>
      <w:pPr>
        <w:spacing w:after="0" w:line="87"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5"/>
          <w:szCs w:val="15"/>
          <w:color w:val="auto"/>
        </w:rPr>
        <w:t>In our F&amp;G segment, we account for our investments in unconsolidated affiliates (primarily limited partnerships) using the equity method and use net asset value ("NAV") as a practical expedient to determine the carrying value. Income from investments in unconsolidated affiliates is included within Interest and investment income in the accompanying Consolidated Statements of Earnings. Recognition of income is delayed due to the availability of the related financial statements, which are obtained from the general partner generally on a one to three-month delay. Management meets quarterly with the general partner to determine whether any credit or other market events have occurred since prior quarter financial statements to ensure any material events are properly included in current quarter valuation and investment income. In our title business we account for our Investments in unconsolidated affiliates using the equity method of accounting and earnings on our investments in unconsolidated affiliates are recorded within Equity in earnings of unconsolidated affiliates within the Consolidated Statements of Earnings.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Interest and investment income</w:t>
      </w:r>
    </w:p>
    <w:p>
      <w:pPr>
        <w:spacing w:after="0" w:line="75"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Dividends and interest income are recorded in Interest and investment income and recognized when earned. Income or losses upon call or prepayment of fixed maturity securities are recognized in Interest and investment income. Amortization of premiums and accretion of discounts on investments in fixed maturity securities are reflected in Interest and investment income over the contractual terms of the investments, and for callable investments at a premium, based on the earliest call date of the investments, in a manner that produces a constant effective yield.</w:t>
      </w:r>
    </w:p>
    <w:p>
      <w:pPr>
        <w:spacing w:after="0" w:line="47"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For mortgage-backed and asset-backed securities, included in the fixed maturity securities portfolios, we recognize income using a constant effective yield based on anticipated cash flows and the estimated economic life of the securities. When actual prepayments differ significantly from originally anticipated prepayments, the effective yield is recalculated prospectively to reflect actual payments to date plus anticipated future payments. Any adjustments resulting from changes in effective yield are reflected in Interest and investment income.</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Interest and investment income is presented net of earned investment management fees.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87" w:lineRule="exact"/>
        <w:rPr>
          <w:sz w:val="20"/>
          <w:szCs w:val="20"/>
          <w:color w:val="auto"/>
        </w:rPr>
      </w:pPr>
    </w:p>
    <w:p>
      <w:pPr>
        <w:jc w:val="both"/>
        <w:ind w:firstLine="372"/>
        <w:spacing w:after="0" w:line="274" w:lineRule="auto"/>
        <w:rPr>
          <w:sz w:val="20"/>
          <w:szCs w:val="20"/>
          <w:color w:val="auto"/>
        </w:rPr>
      </w:pPr>
      <w:r>
        <w:rPr>
          <w:rFonts w:ascii="Arial" w:cs="Arial" w:eastAsia="Arial" w:hAnsi="Arial"/>
          <w:sz w:val="15"/>
          <w:szCs w:val="15"/>
          <w:color w:val="auto"/>
        </w:rPr>
        <w:t>Highly liquid instruments purchased as part of cash management with original maturities of three months or less are considered cash equivalents. The carrying amounts reported in the Consolidated Balance Sheets for these instruments approximate fair value.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Trade and Notes Receivables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carrying values reported in the Consolidated Balance Sheets for trade and notes receivables approximate their fair value.</w:t>
      </w:r>
    </w:p>
    <w:p>
      <w:pPr>
        <w:spacing w:after="0" w:line="87"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3"/>
          <w:szCs w:val="13"/>
          <w:color w:val="auto"/>
        </w:rPr>
        <w:t>Premium revenues from agency title operations are recognized when the underlying title order and transaction closing, if applicable, are complete and reported to us. Premium revenues from agency operations and related commissions include an accrual based on estimated historical transaction volume data for policies that have closed in a particular period in which premiums have not yet been reported to us. Historically, the time lag between the closing of these transactions by our agents and the reporting of these policies, or premiums, to us has been up to 15 months, with 69% - 84% reported within three months following closing, an additional 14% - 26% reported within the next three months and the remainder within seven to fifteen months. In addition to accruing these earned but unreported agency premiums, we also accrue agent commission expense, which was 76.7% of agent premiums earned in 2021, 76.4% of agent premiums earned in 2020, and 76.3% of agent premiums earned in 2019. The amount due from our agents relating to this accrual, i.e., the agent premium less their contractual retained commission, was approximately $113 million and $65 million at December 31, 2021 and 2020, respectively. Due to the offsetting effects of reversing prior period accruals, the impact of this accrual to our recorded Agency title insurance premiums, Agent commissions and net earnings in any given period is not considered material.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8" w:name="page109"/>
    <w:bookmarkEnd w:id="10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7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 xml:space="preserve">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See a description of the fair value methodology used in Note D </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of Assets Acquired and Liabilities Assumed in Business Combinations</w:t>
      </w:r>
    </w:p>
    <w:p>
      <w:pPr>
        <w:spacing w:after="0" w:line="87" w:lineRule="exact"/>
        <w:rPr>
          <w:sz w:val="20"/>
          <w:szCs w:val="20"/>
          <w:color w:val="auto"/>
        </w:rPr>
      </w:pPr>
    </w:p>
    <w:p>
      <w:pPr>
        <w:jc w:val="both"/>
        <w:ind w:firstLine="270"/>
        <w:spacing w:after="0" w:line="296" w:lineRule="auto"/>
        <w:rPr>
          <w:sz w:val="20"/>
          <w:szCs w:val="20"/>
          <w:color w:val="auto"/>
        </w:rPr>
      </w:pPr>
      <w:r>
        <w:rPr>
          <w:rFonts w:ascii="Arial" w:cs="Arial" w:eastAsia="Arial" w:hAnsi="Arial"/>
          <w:sz w:val="13"/>
          <w:szCs w:val="13"/>
          <w:color w:val="auto"/>
        </w:rPr>
        <w:t>FASB Accounting Standards Codification ("ASC") Topic 805, Business Combinations, requires an acquirer to recognize, separately from goodwill, the identifiable assets acquired, liabilities assumed, and any noncontrolling interest in the acquiree, and to measure these items generally at their acquisition date fair values. Goodwill is recorded as the residual amount by which the purchase price exceeds the fair value of the net assets acquired. If the initial accounting for a business combination is incomplete by the end of the reporting period in which the combination occurs, we are required to report provisional amounts in the financial statements for the items for which the accounting is incomplete. Adjustments to provisional amounts initially recorded that are identified during the measurement period are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 During the measurement period, we are also required to recognize additional assets or liabilities if new information is obtained about facts and circumstances that existed as of the acquisition date that, if known, would have resulted in the recognition of those assets and liabilities as of that date. The measurement period ends the sooner of one year from the acquisition date or when we receive the information we were seeking about facts and circumstances that existed as of the acquisition date or learn that more information is not obtainable. Contingent consideration liabilities or receivables recorded in connection with business acquisitions must also be adjusted for changes in fair value until settled.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w:t>
      </w:r>
    </w:p>
    <w:p>
      <w:pPr>
        <w:spacing w:after="0" w:line="87"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3"/>
          <w:szCs w:val="13"/>
          <w:color w:val="auto"/>
        </w:rPr>
        <w:t>Goodwill represents the excess of cost over fair value of identifiable net assets acquired and assumed in a business combination. Goodwill and other intangible assets with indefinite useful lives are reviewed for impairment at the reporting unit level on an annual basis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25"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4"/>
          <w:szCs w:val="14"/>
          <w:color w:val="auto"/>
        </w:rPr>
        <w:t>We completed annual goodwill impairment analyses in the fourth quarter of each period presented using a September 30 measurement date. For the years ended December 31, 2021, 2020 and 2019, we determined there were no events or circumstances which indicated that the carrying value of a reporting unit exceeded the fair value.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VOBA, DAC and DSI</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intangible assets include an intangible asset reflecting the value of insurance and reinsurance contracts acquired (hereafter referred to as VOBA, DAC, and DSI).</w:t>
      </w:r>
    </w:p>
    <w:p>
      <w:pPr>
        <w:spacing w:after="0" w:line="87" w:lineRule="exact"/>
        <w:rPr>
          <w:sz w:val="20"/>
          <w:szCs w:val="20"/>
          <w:color w:val="auto"/>
        </w:rPr>
      </w:pPr>
    </w:p>
    <w:p>
      <w:pPr>
        <w:jc w:val="both"/>
        <w:ind w:firstLine="372"/>
        <w:spacing w:after="0" w:line="275" w:lineRule="auto"/>
        <w:rPr>
          <w:sz w:val="20"/>
          <w:szCs w:val="20"/>
          <w:color w:val="auto"/>
        </w:rPr>
      </w:pPr>
      <w:r>
        <w:rPr>
          <w:rFonts w:ascii="Arial" w:cs="Arial" w:eastAsia="Arial" w:hAnsi="Arial"/>
          <w:sz w:val="14"/>
          <w:szCs w:val="14"/>
          <w:color w:val="auto"/>
        </w:rPr>
        <w:t>VOBA is an intangible asset that reflects the amount recorded as insurance contract liabilities less the estimated fair value of in-force contracts (“VIF”) in a life insurance company acquisition. It represents the portion of the purchase price that is allocated to the value of the rights to receive future cash flows from the business in force at the acquisition date. VOBA is a function of the VIF, current GAAP reserves, GAAP assets, and deferred tax liability. The VIF is determined by the present value of statutory distributable earnings less opening required capital, and is sensitive to assumptions including the discount rate, surrender rates, partial withdrawals, utilization rates, projected investment spreads, mortality, and expenses. DAC consists principally of commissions that are related directly to the successful sale of new or renewal insurance contracts, which may be deferred to the extent recoverable. Indirect or unsuccessful acquisition costs, maintenance, product development and overhead expenses are charged to expense as incurred. DSI represents up front bonus credits and vesting and persistency bonuses to policyholder account values, which may be deferred to the extent recoverable.</w:t>
      </w:r>
    </w:p>
    <w:p>
      <w:pPr>
        <w:spacing w:after="0" w:line="3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4"/>
          <w:szCs w:val="14"/>
          <w:color w:val="auto"/>
        </w:rPr>
        <w:t>The methodology for determining the amortization of DAC, DSI and VOBA varies by product type. For all insurance contracts accounted for under long-duration contract deposit accounting, amortization is based on assumptions consistent with those used in the development of the underlying contract liabilities, adjusted for emerging experience and expected trends. For all of the insurance intangibles (DAC, DSI and VOBA), the balances are generally amortized over the lives of the policies in relation to the expected emergence of estimated gross profits (“EGPs”) from investment income, surrender charges and other product fees, less policy benefits, maintenance expenses, mortality, and expense margins. Recognized gains (losses) on investments and changes in fair value of the embedded derivative on our FIA and IUL products are included in actual gross profits in the period realized as described further below. Amortization is reported within Depreciation and amortization in the accompanying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9" w:name="page110"/>
    <w:bookmarkEnd w:id="10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75" w:lineRule="auto"/>
        <w:rPr>
          <w:sz w:val="20"/>
          <w:szCs w:val="20"/>
          <w:color w:val="auto"/>
        </w:rPr>
      </w:pPr>
      <w:r>
        <w:rPr>
          <w:rFonts w:ascii="Arial" w:cs="Arial" w:eastAsia="Arial" w:hAnsi="Arial"/>
          <w:sz w:val="14"/>
          <w:szCs w:val="14"/>
          <w:color w:val="auto"/>
        </w:rPr>
        <w:t>Changes in assumptions, including our earned rate (i.e., long term assumptions of the Company’s expected earnings on related investments), budgeted option costs (i.e., the expected cost to purchase call options in future periods to fund the equity indexed linked feature) and surrender rates can have a significant impact on VOBA, DAC and DSI balances and amortization rates. Due to the relative size and sensitivity to minor changes in underlying assumptions of those intangible balances, we perform quarterly and annual analyses of the VOBA, DAC and DSI balances for recoverability to ensure that the unamortized portion does not exceed the expected recoverable amounts. At each evaluation date, actual historical gross profits are reflected with the impact on the intangibles reported as “unlocking” as a component of amortization expense, and estimated future gross profits and related assumptions are evaluated for continued reasonableness. Any adjustment in estimated future gross profits requires that the amortization rate be revised (“unlocking”) retroactively to the date of the contract issuance or acquisition date with respect to VOBA. The cumulative unlocking adjustment is recognized as a component of current period amortization.</w:t>
      </w:r>
    </w:p>
    <w:p>
      <w:pPr>
        <w:spacing w:after="0" w:line="50"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Amortization expense of VOBA, DAC and DSI reflects an assumption for an expected level of credit-related investment losses. When actual credit-related investment losses are realized, we perform a retrospective unlocking of amortization for those intangibles as actual margins vary from expected margins. This unlocking is reflected within Depreciation and amortization in the accompanying Consolidated Statements of Earnings.</w:t>
      </w:r>
    </w:p>
    <w:p>
      <w:pPr>
        <w:spacing w:after="0" w:line="44"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For investment-type products, the VOBA, DAC and DSI assets are adjusted for the impact of unrealized gains (losses) on available-for-sale ("AFS") investments as if these gains (losses) had been realized, with corresponding credits or charges included in AOCI ("shadow adjustments").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Intangible Assets</w:t>
      </w:r>
    </w:p>
    <w:p>
      <w:pPr>
        <w:spacing w:after="0" w:line="87" w:lineRule="exact"/>
        <w:rPr>
          <w:sz w:val="20"/>
          <w:szCs w:val="20"/>
          <w:color w:val="auto"/>
        </w:rPr>
      </w:pPr>
    </w:p>
    <w:p>
      <w:pPr>
        <w:jc w:val="both"/>
        <w:ind w:firstLine="270"/>
        <w:spacing w:after="0" w:line="295" w:lineRule="auto"/>
        <w:rPr>
          <w:sz w:val="20"/>
          <w:szCs w:val="20"/>
          <w:color w:val="auto"/>
        </w:rPr>
      </w:pPr>
      <w:r>
        <w:rPr>
          <w:rFonts w:ascii="Arial" w:cs="Arial" w:eastAsia="Arial" w:hAnsi="Arial"/>
          <w:sz w:val="13"/>
          <w:szCs w:val="13"/>
          <w:color w:val="auto"/>
        </w:rPr>
        <w:t>We have other intangible assets, not including goodwill, VOBA, DAC or DSI, which consist primarily of customer relationships and contracts, the value of distribution network acquired ("VODA"), trademarks and tradenames and state licenses, and computer software,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generally ten years, using an accelerated method, which takes into consideration expected customer attrition rates. VODA is an intangible asset that represents the value of an acquired distribution network and is amortized using the sum of years digits method. Contractual relationships are generally amortized over their contractual life. Trademarks and tradenames are generally amortized over ten years. Capitalized computer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five to ten years.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recorded no impairment expense to other intangible assets during the years ended December 31, 2021, 2020, or 2019.</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Title Plants</w:t>
      </w:r>
    </w:p>
    <w:p>
      <w:pPr>
        <w:spacing w:after="0" w:line="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4"/>
          <w:szCs w:val="14"/>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recorded $1 million in impairment expense to title plants during the year ended December 31, 2019, for two title plants, which are no longer in use. We reviewed title plants for impairment but recorded no impairment expense related to title plants in the years ended December 31, 2021 or 2020.</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87"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0" w:name="page111"/>
    <w:bookmarkEnd w:id="11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Contractholder Funds</w:t>
      </w:r>
    </w:p>
    <w:p>
      <w:pPr>
        <w:spacing w:after="0" w:line="109"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5"/>
          <w:szCs w:val="15"/>
          <w:color w:val="auto"/>
        </w:rPr>
        <w:t xml:space="preserve">Contractholder Funds include FIAs, fixed rate annuities, IULs, funding agreements and PRT and immediate annuities contracts without life contingencies. The liabilities for contractholder funds for fixed rate annuities, funding agreements and PRT and immediate annuities contracts without life contingencies consist of contract account balances that accrue to the benefit of the contractholders. The liabilities for FIA and IUL policies consist of the value of the host contract plus the fair value of the indexed crediting feature of the policy, which is accounted for as an embedded derivative. The embedded derivative is carried at fair value in Contractholder funds in the accompanying Consolidated Balance Sheets with changes in fair value reported in Benefits and other changes in policy reserves in the accompanying Consolidated Statements of Earnings. See a description of the fair value methodology used in Note D </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w:t>
      </w:r>
    </w:p>
    <w:p>
      <w:pPr>
        <w:spacing w:after="0" w:line="50" w:lineRule="exact"/>
        <w:rPr>
          <w:sz w:val="20"/>
          <w:szCs w:val="20"/>
          <w:color w:val="auto"/>
        </w:rPr>
      </w:pPr>
    </w:p>
    <w:p>
      <w:pPr>
        <w:jc w:val="both"/>
        <w:ind w:firstLine="361"/>
        <w:spacing w:after="0" w:line="300" w:lineRule="auto"/>
        <w:rPr>
          <w:sz w:val="20"/>
          <w:szCs w:val="20"/>
          <w:color w:val="auto"/>
        </w:rPr>
      </w:pPr>
      <w:r>
        <w:rPr>
          <w:rFonts w:ascii="Arial" w:cs="Arial" w:eastAsia="Arial" w:hAnsi="Arial"/>
          <w:sz w:val="13"/>
          <w:szCs w:val="13"/>
          <w:color w:val="auto"/>
        </w:rPr>
        <w:t>Liabilities for the Guaranteed Minimum Withdrawal Benefits ("GMWB") and Guaranteed Minimum Death Benefit ("GMDB") riders on FIA and DA products are calculated by multiplying the benefit ratio by the cumulative assessments recorded from contract inception through the balance sheet date less the cumulative guaranteed minimum withdrawal and death benefit payments plus interest. The benefit ratio is the ratio of the present value of future guaranteed minimum withdrawal and death benefit payments to the present value of the assessments used to provide the guaranteed minimum withdrawal and death benefit payments using the same assumptions as we use for our intangible assets. If experience or assumption changes result in a new benefit ratio, the reserves are adjusted to reflect the changes in a manner similar to the unlocking of DAC, DSI and VOBA. The accounting for these GMWB and GMDB benefit liabilities (also referred to as SOP 03-1 liabilities) impact EGPs used to calculate amortization of DAC, DSI and VOBA. The related reserve is adjusted for the impact of unrealized gains (losses) on AFS investments as if these gains (losses) had been realized, with corresponding credits or charges included in AOCI ("shadow adjustments").</w:t>
      </w:r>
    </w:p>
    <w:p>
      <w:pPr>
        <w:spacing w:after="0" w:line="22"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15"/>
          <w:szCs w:val="15"/>
          <w:color w:val="auto"/>
        </w:rPr>
        <w:t>Contractholder funds include funds related to funding agreements that have been issued pursuant to the FABN Program as well as to the Federal Home Loan Bank of Atlanta (" FHLB"), the latter being in the form of advances. Single premiums were received at the initiation of the funding agreements. As of December 31, 2021, we had approximately $1,900 million outstanding under the FABN program, which provides for semi-annual interest payments with principal maturities. Reserves for the FHLB funding agreements totaled $1,543 million and $1,203 million as of December 31, 2021 and 2020, respectively. Additionally, on February 18, 2022, F&amp;G executed a $200 million short term borrowing with the FHLB that matures on March 4, 2022. The FHLB agreements provide a guaranteed stream of payments or provide for a bullet payment at maturity with renewal provisions. In accordance with the FHLB agreements, the investments supporting the funding agreement liabilities are pledged as collateral to secure the FHLB funding agreement liabilities and are not available to settle our general obligations. The collateral investments had a fair value of $2,420 million and $1,471 million as of December 31, 2021 and 2020, respectively. Payments pursuant to FABN and FHLB funding agreements extend through 2028.</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Future Policy Benefits</w:t>
      </w:r>
    </w:p>
    <w:p>
      <w:pPr>
        <w:spacing w:after="0" w:line="75" w:lineRule="exact"/>
        <w:rPr>
          <w:sz w:val="20"/>
          <w:szCs w:val="20"/>
          <w:color w:val="auto"/>
        </w:rPr>
      </w:pPr>
    </w:p>
    <w:p>
      <w:pPr>
        <w:jc w:val="both"/>
        <w:ind w:firstLine="361"/>
        <w:spacing w:after="0" w:line="305" w:lineRule="auto"/>
        <w:rPr>
          <w:sz w:val="20"/>
          <w:szCs w:val="20"/>
          <w:color w:val="auto"/>
        </w:rPr>
      </w:pPr>
      <w:r>
        <w:rPr>
          <w:rFonts w:ascii="Arial" w:cs="Arial" w:eastAsia="Arial" w:hAnsi="Arial"/>
          <w:sz w:val="13"/>
          <w:szCs w:val="13"/>
          <w:color w:val="auto"/>
        </w:rPr>
        <w:t>The liabilities for future policy benefits and claim reserves for traditional life policies, life contingent pay-out annuity policies (which includes PRT annuities with life contingencies) are computed using assumptions for investment yields, mortality and withdrawals, with a provision for adverse deviation, based on generally accepted actuarial methods and assumptions at the time of acquisition or contract issue. The investment yield assumption is 4.3% for traditional direct life reserves for all contracts, 4.1% for life contingent pay-out annuities, and ranges from 3.6% to 3.9% for PRT annuities with life contingencies. Policies are terminated through surrenders and maturities, where surrenders represent the voluntary terminations of policies by policyholders and maturities are determined by policy contract terms. Surrender assumptions are based upon policyholder experience adjusted for expected future conditions.</w:t>
      </w:r>
    </w:p>
    <w:p>
      <w:pPr>
        <w:spacing w:after="0" w:line="19" w:lineRule="exact"/>
        <w:rPr>
          <w:sz w:val="20"/>
          <w:szCs w:val="20"/>
          <w:color w:val="auto"/>
        </w:rPr>
      </w:pPr>
    </w:p>
    <w:p>
      <w:pPr>
        <w:jc w:val="both"/>
        <w:ind w:right="20" w:firstLine="270"/>
        <w:spacing w:after="0" w:line="256" w:lineRule="auto"/>
        <w:rPr>
          <w:sz w:val="20"/>
          <w:szCs w:val="20"/>
          <w:color w:val="auto"/>
        </w:rPr>
      </w:pPr>
      <w:r>
        <w:rPr>
          <w:rFonts w:ascii="Arial" w:cs="Arial" w:eastAsia="Arial" w:hAnsi="Arial"/>
          <w:sz w:val="15"/>
          <w:szCs w:val="15"/>
          <w:color w:val="auto"/>
        </w:rPr>
        <w:t>For long-duration contracts the assumptions are locked in at contract inception and only modified if we deem the reserves to be inadequate. We periodically review actual and anticipated experience compared to the assumptions used to establish policy benefits. If the net GAAP liability (gross reserves less DAC, DSI and VOBA) is less than the gross premium liability, impairment is deemed to have occurred, and the DAC, DSI and VOBA asset balances are reduced until the net GAAP liability is equal to the gross premium liability. If the DAC, DSI and VOBA asset balances are completely written off and the net GAAP liability is still less than the gross premium liability, then an additional liability is recorded to arrive at the gross premium liability.</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Reserve for Title Claim Losses</w:t>
      </w:r>
    </w:p>
    <w:p>
      <w:pPr>
        <w:spacing w:after="0" w:line="75"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1" w:name="page112"/>
    <w:bookmarkEnd w:id="11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reserve for title claim losses also includes reserves for losses arising from closing and disbursement functions due to fraud or operational error.</w:t>
      </w:r>
    </w:p>
    <w:p>
      <w:pPr>
        <w:spacing w:after="0" w:line="75"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Secured Trust Deposits</w:t>
      </w:r>
    </w:p>
    <w:p>
      <w:pPr>
        <w:spacing w:after="0" w:line="7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In the state of Illinois, a trust company is permitted to commingle and invest customers’ assets with its own assets, pending completion of real estate transactions. Accordingly, our Consolidated Balance Sheets reflect a secured trust deposit liability of $934 million and $711 million at December 31, 2021 and 2020, respectively, representing customers’ assets held by us and corresponding assets including cash and investments pledged as security for those trust balances.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75"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47" w:lineRule="exact"/>
        <w:rPr>
          <w:sz w:val="20"/>
          <w:szCs w:val="20"/>
          <w:color w:val="auto"/>
        </w:rPr>
      </w:pPr>
    </w:p>
    <w:p>
      <w:pPr>
        <w:jc w:val="center"/>
        <w:ind w:right="10480"/>
        <w:spacing w:after="0"/>
        <w:rPr>
          <w:sz w:val="20"/>
          <w:szCs w:val="20"/>
          <w:color w:val="auto"/>
        </w:rPr>
      </w:pPr>
      <w:r>
        <w:rPr>
          <w:rFonts w:ascii="Arial" w:cs="Arial" w:eastAsia="Arial" w:hAnsi="Arial"/>
          <w:sz w:val="12"/>
          <w:szCs w:val="12"/>
          <w:b w:val="1"/>
          <w:bCs w:val="1"/>
          <w:i w:val="1"/>
          <w:iCs w:val="1"/>
          <w:color w:val="auto"/>
        </w:rPr>
        <w:t>Reinsurance</w:t>
      </w:r>
    </w:p>
    <w:p>
      <w:pPr>
        <w:spacing w:after="0" w:line="52" w:lineRule="exact"/>
        <w:rPr>
          <w:sz w:val="20"/>
          <w:szCs w:val="20"/>
          <w:color w:val="auto"/>
        </w:rPr>
      </w:pPr>
    </w:p>
    <w:p>
      <w:pPr>
        <w:jc w:val="center"/>
        <w:ind w:right="10460"/>
        <w:spacing w:after="0"/>
        <w:rPr>
          <w:sz w:val="20"/>
          <w:szCs w:val="20"/>
          <w:color w:val="auto"/>
        </w:rPr>
      </w:pPr>
      <w:r>
        <w:rPr>
          <w:rFonts w:ascii="Arial" w:cs="Arial" w:eastAsia="Arial" w:hAnsi="Arial"/>
          <w:sz w:val="15"/>
          <w:szCs w:val="15"/>
          <w:i w:val="1"/>
          <w:iCs w:val="1"/>
          <w:color w:val="auto"/>
        </w:rPr>
        <w:t>Title</w:t>
      </w:r>
    </w:p>
    <w:p>
      <w:pPr>
        <w:spacing w:after="0" w:line="7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In our Title segment, in a limited number of situations, we limit our maximum loss exposure by reinsuring certain risks with other title insurers. We also earn a small amount of additional income, which is reflected in our direct premiums, by assuming reinsurance for certain risks of other title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F&amp;G</w:t>
      </w:r>
    </w:p>
    <w:p>
      <w:pPr>
        <w:spacing w:after="0" w:line="87" w:lineRule="exact"/>
        <w:rPr>
          <w:sz w:val="20"/>
          <w:szCs w:val="20"/>
          <w:color w:val="auto"/>
        </w:rPr>
      </w:pPr>
    </w:p>
    <w:p>
      <w:pPr>
        <w:jc w:val="both"/>
        <w:ind w:firstLine="270"/>
        <w:spacing w:after="0" w:line="275" w:lineRule="auto"/>
        <w:rPr>
          <w:sz w:val="20"/>
          <w:szCs w:val="20"/>
          <w:color w:val="auto"/>
        </w:rPr>
      </w:pPr>
      <w:r>
        <w:rPr>
          <w:rFonts w:ascii="Arial" w:cs="Arial" w:eastAsia="Arial" w:hAnsi="Arial"/>
          <w:sz w:val="14"/>
          <w:szCs w:val="14"/>
          <w:color w:val="auto"/>
        </w:rPr>
        <w:t>In our F&amp;G segment, our insurance subsidiaries enter into reinsurance agreements with other companies in the normal course of business. For arrangements in which F&amp;G follows reinsurance accounting and for most arrangements that are accounted for as separate investment contracts, we present the amounts consistently and on a gross basis in our Consolidated Balance Sheet with the ceded reserves balance presented as a Reinsurance recoverable. Where applicable, deferred gains associated with the reinsurance of insurance and investment contracts will be included within Accounts payable and accrued expenses with the related accretion reflected within Escrow, title-related and other fees on the Consolidated Balance Sheet and Statement of Earnings, respectively. Where applicable, deferred costs associated with the reinsurance of insurance and investment contracts will be included within the Prepaid expense and other assets with the related amortization reflected within Other operating expenses in the Consolidated Balance Sheet and Statement of Earnings, respectively. Premium and expense are recorded net of reinsurance ceded for both insurance and investment contracts.</w:t>
      </w:r>
    </w:p>
    <w:p>
      <w:pPr>
        <w:spacing w:after="0" w:line="38"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 xml:space="preserve">For some arrangements in which deposit accounting is applied or the arrangement is accounted for as a separate investment contract, the assets and liabilities of certain reinsurance contracts are presented on a net basis in the accompanying Consolidated Balance Sheet. F&amp;G intends to apply the offset where there is a right of offset explicit in the reinsurance agreement. See Note O </w:t>
      </w:r>
      <w:r>
        <w:rPr>
          <w:rFonts w:ascii="Arial" w:cs="Arial" w:eastAsia="Arial" w:hAnsi="Arial"/>
          <w:sz w:val="15"/>
          <w:szCs w:val="15"/>
          <w:i w:val="1"/>
          <w:iCs w:val="1"/>
          <w:color w:val="auto"/>
        </w:rPr>
        <w:t>Reinsurance</w:t>
      </w:r>
      <w:r>
        <w:rPr>
          <w:rFonts w:ascii="Arial" w:cs="Arial" w:eastAsia="Arial" w:hAnsi="Arial"/>
          <w:sz w:val="15"/>
          <w:szCs w:val="15"/>
          <w:color w:val="auto"/>
        </w:rPr>
        <w:t xml:space="preserve"> for more details over F&amp;G's reinsurance agreements.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Refer to Note L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for a description of our accounting for our various revenue streams.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Benefits and Other Changes in Policy Reserves</w:t>
      </w:r>
    </w:p>
    <w:p>
      <w:pPr>
        <w:spacing w:after="0" w:line="75"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Benefit expenses for FIAs, fixed rate annuities, IUL policies and funding agreements include interest credited and, for FIA and IUL policies, index credits, to contractholder account balances. Benefit claims in excess of contract account balances, net of reinsurance recoveries, are charged to expense in the period that they are earned by the policyholder based on their selected strategy or strategies. Interest crediting rates associated with funds invested in the general account of our insurance subsidiaries range from 0.5% to 6.0% for fixed rate annuities and FIAs combined, 3.0% to 4.8% for IULs, and 0.9% to 2.0% for funding agreements. Other changes in policy reserves include the change in the fair value of the FIA embedded derivative and the change in the SOP 03-1 reserve for GMWB and GMDB benefits.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2" w:name="page113"/>
    <w:bookmarkEnd w:id="11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Other changes in policy reserves also include the change in reserves for life insurance products. For traditional life and immediate annuities (which includes PRT annuities with life contingencies), policy benefit claims are charged to expense in the period that the claims are incurred, net of reinsurance recoveries.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 Plans</w:t>
      </w:r>
    </w:p>
    <w:p>
      <w:pPr>
        <w:spacing w:after="0" w:line="75"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15"/>
          <w:szCs w:val="15"/>
          <w:color w:val="auto"/>
        </w:rPr>
        <w:t>We account for stock-based compensation plans using the fair value method. Using the fair value method of accounting, compensation cost is measured based on the fair value of the award at the grant date using quoted market prices, and recognized over the service period.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Earnings Per Share</w:t>
      </w:r>
    </w:p>
    <w:p>
      <w:pPr>
        <w:spacing w:after="0" w:line="7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4"/>
          <w:szCs w:val="14"/>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34"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Restricted stock, options or other instruments, which provide the ability to acquire shares of our common stock that are antidilutive are excluded from the computation of diluted earnings per share. There were 1 million antidilutive instruments outstanding for the years ended December 31, 2021 and 2020. There were no antidilutive instruments outstanding for the year ended December 31, 2019.</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Comprehensive Earnings (Loss)</w:t>
      </w:r>
    </w:p>
    <w:p>
      <w:pPr>
        <w:spacing w:after="0" w:line="9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Recognized gains and losses, net on the Consolidated Statements of Earnings.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Changes in the balance of Other comprehensive earnings (loss) by component are as follows:</w:t>
      </w:r>
    </w:p>
    <w:p>
      <w:pPr>
        <w:sectPr>
          <w:pgSz w:w="11900" w:h="16838" w:orient="portrait"/>
          <w:cols w:equalWidth="0" w:num="1">
            <w:col w:w="11260"/>
          </w:cols>
          <w:pgMar w:left="320" w:top="129" w:right="31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200" w:right="340" w:hanging="168"/>
        <w:spacing w:after="0" w:line="337" w:lineRule="auto"/>
        <w:rPr>
          <w:sz w:val="20"/>
          <w:szCs w:val="20"/>
          <w:color w:val="auto"/>
        </w:rPr>
      </w:pPr>
      <w:r>
        <w:rPr>
          <w:rFonts w:ascii="Arial" w:cs="Arial" w:eastAsia="Arial" w:hAnsi="Arial"/>
          <w:sz w:val="10"/>
          <w:szCs w:val="10"/>
          <w:color w:val="auto"/>
        </w:rPr>
        <w:t>Balance January 1, 2020 Reclassification adjustments Other comprehensive earnings</w:t>
      </w:r>
    </w:p>
    <w:p>
      <w:pPr>
        <w:ind w:left="200" w:right="340" w:hanging="168"/>
        <w:spacing w:after="0" w:line="352" w:lineRule="auto"/>
        <w:rPr>
          <w:sz w:val="20"/>
          <w:szCs w:val="20"/>
          <w:color w:val="auto"/>
        </w:rPr>
      </w:pPr>
      <w:r>
        <w:rPr>
          <w:rFonts w:ascii="Arial" w:cs="Arial" w:eastAsia="Arial" w:hAnsi="Arial"/>
          <w:sz w:val="10"/>
          <w:szCs w:val="10"/>
          <w:color w:val="auto"/>
        </w:rPr>
        <w:t>Balance December 31, 2020 Reclassification adjustments Other comprehensive earnings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December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23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Unrealized gain (loss) on investments and</w:t>
            </w:r>
          </w:p>
        </w:tc>
        <w:tc>
          <w:tcPr>
            <w:tcW w:w="100" w:type="dxa"/>
            <w:vAlign w:val="bottom"/>
          </w:tcPr>
          <w:p>
            <w:pPr>
              <w:spacing w:after="0"/>
              <w:rPr>
                <w:sz w:val="12"/>
                <w:szCs w:val="12"/>
                <w:color w:val="auto"/>
              </w:rPr>
            </w:pPr>
          </w:p>
        </w:tc>
        <w:tc>
          <w:tcPr>
            <w:tcW w:w="1420" w:type="dxa"/>
            <w:vAlign w:val="bottom"/>
          </w:tcPr>
          <w:p>
            <w:pPr>
              <w:jc w:val="center"/>
              <w:ind w:right="60"/>
              <w:spacing w:after="0"/>
              <w:rPr>
                <w:sz w:val="20"/>
                <w:szCs w:val="20"/>
                <w:color w:val="auto"/>
              </w:rPr>
            </w:pPr>
            <w:r>
              <w:rPr>
                <w:rFonts w:ascii="Arial" w:cs="Arial" w:eastAsia="Arial" w:hAnsi="Arial"/>
                <w:sz w:val="12"/>
                <w:szCs w:val="12"/>
                <w:b w:val="1"/>
                <w:bCs w:val="1"/>
                <w:color w:val="auto"/>
                <w:w w:val="88"/>
              </w:rPr>
              <w:t>Unrealized gain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Unrealized (loss) gain on</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Minimum pension</w:t>
            </w:r>
          </w:p>
        </w:tc>
        <w:tc>
          <w:tcPr>
            <w:tcW w:w="14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Total Accumulated Other</w:t>
            </w:r>
          </w:p>
        </w:tc>
        <w:tc>
          <w:tcPr>
            <w:tcW w:w="0" w:type="dxa"/>
            <w:vAlign w:val="bottom"/>
          </w:tcPr>
          <w:p>
            <w:pPr>
              <w:spacing w:after="0"/>
              <w:rPr>
                <w:sz w:val="1"/>
                <w:szCs w:val="1"/>
                <w:color w:val="auto"/>
              </w:rPr>
            </w:pPr>
          </w:p>
        </w:tc>
      </w:tr>
      <w:tr>
        <w:trPr>
          <w:trHeight w:val="113"/>
        </w:trPr>
        <w:tc>
          <w:tcPr>
            <w:tcW w:w="2380" w:type="dxa"/>
            <w:vAlign w:val="bottom"/>
            <w:gridSpan w:val="3"/>
          </w:tcPr>
          <w:p>
            <w:pPr>
              <w:jc w:val="center"/>
              <w:ind w:right="100"/>
              <w:spacing w:after="0" w:line="113" w:lineRule="exact"/>
              <w:rPr>
                <w:sz w:val="20"/>
                <w:szCs w:val="20"/>
                <w:color w:val="auto"/>
              </w:rPr>
            </w:pPr>
            <w:r>
              <w:rPr>
                <w:rFonts w:ascii="Arial" w:cs="Arial" w:eastAsia="Arial" w:hAnsi="Arial"/>
                <w:sz w:val="12"/>
                <w:szCs w:val="12"/>
                <w:b w:val="1"/>
                <w:bCs w:val="1"/>
                <w:color w:val="auto"/>
                <w:w w:val="89"/>
              </w:rPr>
              <w:t>other financial instruments, net (excluding</w:t>
            </w:r>
          </w:p>
        </w:tc>
        <w:tc>
          <w:tcPr>
            <w:tcW w:w="100" w:type="dxa"/>
            <w:vAlign w:val="bottom"/>
          </w:tcPr>
          <w:p>
            <w:pPr>
              <w:spacing w:after="0"/>
              <w:rPr>
                <w:sz w:val="9"/>
                <w:szCs w:val="9"/>
                <w:color w:val="auto"/>
              </w:rPr>
            </w:pPr>
          </w:p>
        </w:tc>
        <w:tc>
          <w:tcPr>
            <w:tcW w:w="1420" w:type="dxa"/>
            <w:vAlign w:val="bottom"/>
          </w:tcPr>
          <w:p>
            <w:pPr>
              <w:jc w:val="center"/>
              <w:ind w:right="60"/>
              <w:spacing w:after="0" w:line="113" w:lineRule="exact"/>
              <w:rPr>
                <w:sz w:val="20"/>
                <w:szCs w:val="20"/>
                <w:color w:val="auto"/>
              </w:rPr>
            </w:pPr>
            <w:r>
              <w:rPr>
                <w:rFonts w:ascii="Arial" w:cs="Arial" w:eastAsia="Arial" w:hAnsi="Arial"/>
                <w:sz w:val="12"/>
                <w:szCs w:val="12"/>
                <w:b w:val="1"/>
                <w:bCs w:val="1"/>
                <w:color w:val="auto"/>
                <w:w w:val="89"/>
              </w:rPr>
              <w:t>relating to investments in</w:t>
            </w:r>
          </w:p>
        </w:tc>
        <w:tc>
          <w:tcPr>
            <w:tcW w:w="100" w:type="dxa"/>
            <w:vAlign w:val="bottom"/>
          </w:tcPr>
          <w:p>
            <w:pPr>
              <w:spacing w:after="0"/>
              <w:rPr>
                <w:sz w:val="9"/>
                <w:szCs w:val="9"/>
                <w:color w:val="auto"/>
              </w:rPr>
            </w:pPr>
          </w:p>
        </w:tc>
        <w:tc>
          <w:tcPr>
            <w:tcW w:w="1620" w:type="dxa"/>
            <w:vAlign w:val="bottom"/>
            <w:gridSpan w:val="3"/>
          </w:tcPr>
          <w:p>
            <w:pPr>
              <w:jc w:val="center"/>
              <w:ind w:right="100"/>
              <w:spacing w:after="0" w:line="113" w:lineRule="exact"/>
              <w:rPr>
                <w:sz w:val="20"/>
                <w:szCs w:val="20"/>
                <w:color w:val="auto"/>
              </w:rPr>
            </w:pPr>
            <w:r>
              <w:rPr>
                <w:rFonts w:ascii="Arial" w:cs="Arial" w:eastAsia="Arial" w:hAnsi="Arial"/>
                <w:sz w:val="12"/>
                <w:szCs w:val="12"/>
                <w:b w:val="1"/>
                <w:bCs w:val="1"/>
                <w:color w:val="auto"/>
                <w:w w:val="90"/>
              </w:rPr>
              <w:t>foreign currency translation</w:t>
            </w:r>
          </w:p>
        </w:tc>
        <w:tc>
          <w:tcPr>
            <w:tcW w:w="1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jc w:val="center"/>
              <w:ind w:right="20"/>
              <w:spacing w:after="0" w:line="113" w:lineRule="exact"/>
              <w:rPr>
                <w:sz w:val="20"/>
                <w:szCs w:val="20"/>
                <w:color w:val="auto"/>
              </w:rPr>
            </w:pPr>
            <w:r>
              <w:rPr>
                <w:rFonts w:ascii="Arial" w:cs="Arial" w:eastAsia="Arial" w:hAnsi="Arial"/>
                <w:sz w:val="12"/>
                <w:szCs w:val="12"/>
                <w:b w:val="1"/>
                <w:bCs w:val="1"/>
                <w:color w:val="auto"/>
                <w:w w:val="88"/>
              </w:rPr>
              <w:t>Comprehensive Earnings</w:t>
            </w:r>
          </w:p>
        </w:tc>
        <w:tc>
          <w:tcPr>
            <w:tcW w:w="0" w:type="dxa"/>
            <w:vAlign w:val="bottom"/>
          </w:tcPr>
          <w:p>
            <w:pPr>
              <w:spacing w:after="0"/>
              <w:rPr>
                <w:sz w:val="1"/>
                <w:szCs w:val="1"/>
                <w:color w:val="auto"/>
              </w:rPr>
            </w:pPr>
          </w:p>
        </w:tc>
      </w:tr>
      <w:tr>
        <w:trPr>
          <w:trHeight w:val="157"/>
        </w:trPr>
        <w:tc>
          <w:tcPr>
            <w:tcW w:w="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87"/>
              </w:rPr>
              <w:t>investments in unconsolidated affiliates)</w:t>
            </w: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8"/>
              </w:rPr>
              <w:t>unconsolidated affiliates</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8"/>
              </w:rPr>
              <w:t>and cash flow hedging</w:t>
            </w: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1"/>
              </w:rPr>
              <w:t>liability adjustment</w:t>
            </w: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8"/>
              </w:rPr>
              <w:t>(Loss)</w:t>
            </w:r>
          </w:p>
        </w:tc>
        <w:tc>
          <w:tcPr>
            <w:tcW w:w="0" w:type="dxa"/>
            <w:vAlign w:val="bottom"/>
          </w:tcPr>
          <w:p>
            <w:pPr>
              <w:spacing w:after="0"/>
              <w:rPr>
                <w:sz w:val="1"/>
                <w:szCs w:val="1"/>
                <w:color w:val="auto"/>
              </w:rPr>
            </w:pPr>
          </w:p>
        </w:tc>
      </w:tr>
      <w:tr>
        <w:trPr>
          <w:trHeight w:val="149"/>
        </w:trPr>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20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18</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2200" w:type="dxa"/>
            <w:vAlign w:val="bottom"/>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ind w:left="1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1,307</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1,334</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200" w:type="dxa"/>
            <w:vAlign w:val="bottom"/>
          </w:tcPr>
          <w:p>
            <w:pPr>
              <w:jc w:val="right"/>
              <w:spacing w:after="0"/>
              <w:rPr>
                <w:sz w:val="20"/>
                <w:szCs w:val="20"/>
                <w:color w:val="auto"/>
              </w:rPr>
            </w:pPr>
            <w:r>
              <w:rPr>
                <w:rFonts w:ascii="Arial" w:cs="Arial" w:eastAsia="Arial" w:hAnsi="Arial"/>
                <w:sz w:val="12"/>
                <w:szCs w:val="12"/>
                <w:color w:val="auto"/>
              </w:rPr>
              <w:t>1,280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1,304</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2200" w:type="dxa"/>
            <w:vAlign w:val="bottom"/>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ind w:left="1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51"/>
        </w:trPr>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747</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779</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-643255</wp:posOffset>
            </wp:positionV>
            <wp:extent cx="7133590" cy="1003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3590" cy="100330"/>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-443230</wp:posOffset>
            </wp:positionV>
            <wp:extent cx="7133590" cy="1073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3590" cy="107315"/>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-235585</wp:posOffset>
            </wp:positionV>
            <wp:extent cx="7133590" cy="1003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3590" cy="1003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720"/>
            <w:col w:w="8540"/>
          </w:cols>
          <w:pgMar w:left="320" w:top="129" w:right="31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Redeemable Non-controlling Interest</w:t>
      </w:r>
    </w:p>
    <w:p>
      <w:pPr>
        <w:spacing w:after="0" w:line="98"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Subsequent to our acquisition of Lender Processing Services, Inc. ("LPS") in January 2014, we issued a 35% ownership interest in ServiceLink to funds affiliated with Thomas H. Lee Partners ("THL" or "the minority interest holder"). THL had an option to put its ownership interests of ServiceLink to us if no public offering of the corresponding business was consummated after four years from the date of FNF's purchase of LPS. The Class A units owned by THL (the "redeemable noncontrolling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113" w:name="page114"/>
    <w:bookmarkEnd w:id="11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right="80"/>
        <w:spacing w:after="0" w:line="275" w:lineRule="auto"/>
        <w:rPr>
          <w:sz w:val="20"/>
          <w:szCs w:val="20"/>
          <w:color w:val="auto"/>
        </w:rPr>
      </w:pPr>
      <w:r>
        <w:rPr>
          <w:rFonts w:ascii="Arial" w:cs="Arial" w:eastAsia="Arial" w:hAnsi="Arial"/>
          <w:sz w:val="14"/>
          <w:szCs w:val="14"/>
          <w:color w:val="auto"/>
        </w:rPr>
        <w:t>interests") could have been settled in cash or common stock of FNF or a combination of both at our election. As of January 2018, no public offering was made and the redeemable noncontrolling interests were no longer subject to a holding requirement. The redeemable noncontrolling interests were settled at the current fair value at the time we received notice of THL's put election as determined by the parties or by a third party appraisal under the terms of the Unit Purchase Agreement. As a result of a recapitalization of ServiceLink in 2015, the ownership interest by the minority interest holder was reduced from 35% to 21%. The redeemable noncontrolling interests were recorded at their initial value of $344 million in our Consolidated Balance Sheets and would have been adjusted to fair value were such value to rise above the initial value. As these redeemable noncontrolling interests provided for redemption features not solely within our control, we classified the redeemable noncontrolling interests outside of permanent equity. On July 29, 2020, we purchased for $90 million the outstanding Class A units of ServiceLink held by THL. As of the purchase date, ServiceLink is a wholly-owned subsidiary of FNF.</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 Estimates</w:t>
      </w:r>
    </w:p>
    <w:p>
      <w:pPr>
        <w:spacing w:after="0" w:line="87" w:lineRule="exact"/>
        <w:rPr>
          <w:sz w:val="20"/>
          <w:szCs w:val="20"/>
          <w:color w:val="auto"/>
        </w:rPr>
      </w:pPr>
    </w:p>
    <w:p>
      <w:pPr>
        <w:jc w:val="both"/>
        <w:ind w:right="80" w:firstLine="270"/>
        <w:spacing w:after="0" w:line="262" w:lineRule="auto"/>
        <w:rPr>
          <w:sz w:val="20"/>
          <w:szCs w:val="20"/>
          <w:color w:val="auto"/>
        </w:rPr>
      </w:pPr>
      <w:r>
        <w:rPr>
          <w:rFonts w:ascii="Arial" w:cs="Arial" w:eastAsia="Arial" w:hAnsi="Arial"/>
          <w:sz w:val="15"/>
          <w:szCs w:val="15"/>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32" w:lineRule="exact"/>
        <w:rPr>
          <w:sz w:val="20"/>
          <w:szCs w:val="20"/>
          <w:color w:val="auto"/>
        </w:rPr>
      </w:pPr>
    </w:p>
    <w:p>
      <w:pPr>
        <w:jc w:val="both"/>
        <w:ind w:right="80" w:firstLine="270"/>
        <w:spacing w:after="0" w:line="224" w:lineRule="auto"/>
        <w:rPr>
          <w:sz w:val="20"/>
          <w:szCs w:val="20"/>
          <w:color w:val="auto"/>
        </w:rPr>
      </w:pPr>
      <w:r>
        <w:rPr>
          <w:rFonts w:ascii="Arial" w:cs="Arial" w:eastAsia="Arial" w:hAnsi="Arial"/>
          <w:sz w:val="15"/>
          <w:szCs w:val="15"/>
          <w:color w:val="auto"/>
        </w:rPr>
        <w:t>Periodically, and at least annually, typically in the third quarter, we review the assumptions associated with reserves for policy benefits, product guarantees, and amortization of intangibles. Additionally, during the third quarter of 2021, we implemented a new actuarial valuation system. As a result, our third quarter 2021 assumption updates include model refinements and assumption updates resulting from the implementation. The system implementation and assumption review process that occurred in the third quarter of 2021, included refinements in the calculation of the fair value of the embedded derivative component of our fixed indexed annuities within contractholder funds and updates to the surrender rates, GMWB utilization, IUL premium persistency, maintenance expenses, and earned rate assumptions to reflect our current and expected future experience. These changes, taken together, resulted in a decrease in contractholder funds and future policy reserves of $425 million and a decrease to intangible assets of $136 million. These model refinements and assumptions are also used in the SOP 03-1 liability for GMWB and GMDB benefits and resulted in an increase in the liability of $28 million. There was no material change to underlying policyholder behavior. The majority of the changes represent one-time adjustments in the third quarter of 2021 related to the cumulative impact of the system implementation and are not expected to re-occur in the future.</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B — Acquisitions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F&amp;G</w:t>
      </w:r>
    </w:p>
    <w:p>
      <w:pPr>
        <w:spacing w:after="0" w:line="77" w:lineRule="exact"/>
        <w:rPr>
          <w:sz w:val="20"/>
          <w:szCs w:val="20"/>
          <w:color w:val="auto"/>
        </w:rPr>
      </w:pPr>
    </w:p>
    <w:p>
      <w:pPr>
        <w:jc w:val="both"/>
        <w:ind w:right="80" w:firstLine="270"/>
        <w:spacing w:after="0" w:line="239" w:lineRule="auto"/>
        <w:rPr>
          <w:sz w:val="20"/>
          <w:szCs w:val="20"/>
          <w:color w:val="auto"/>
        </w:rPr>
      </w:pPr>
      <w:r>
        <w:rPr>
          <w:rFonts w:ascii="Arial" w:cs="Arial" w:eastAsia="Arial" w:hAnsi="Arial"/>
          <w:sz w:val="14"/>
          <w:szCs w:val="14"/>
          <w:color w:val="auto"/>
        </w:rPr>
        <w:t xml:space="preserve">On June 1, 2020, we acquired 100% of the outstanding equity of F&amp;G for approximately $2.7 billion pursuant to the Agreement and Plan of Merger, dated February 7, 2020, as amended (the "Merger Agreement"). In connection with the Merger, we issued approximately 24 million shares of FNF common stock and paid approximately $1.8 billion in cash to former holders of F&amp;G ordinary and preferred shares. On August 26, 2020, we issued an additional 1 million shares of FNF common stock and paid approximately $100 million in cash to Kingfishers, LP., Kingstown Partners Master, LTD., Kingstown Partners II, LP., Kingstown 1740 Fund, LP. and Ktown, LP. (collectively the "Kingstown Dissenters"), who are former owners of F&amp;G common stock. For more information related to the Kingstown Dissenters, refer to Note H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At closing, all outstanding shares of F&amp;G common stock, excluding shares associated with the liability to former owners, were converted into the right to receive the Merger Consideration (as defined in the Merger Agreement). Additionally, each outstanding F&amp;G Option and F&amp;G Phantom unit was canceled and converted into options to purchase FNF common stock and phantom units denominated in FNF common stock, and each outstanding warrant to purchase F&amp;G common stock was converted into the right to purchase and receive upon exercise $8.18 in cash and .0833 shares of FNF common stock. At closing, our subsidiaries' ownership of F&amp;G common and preferred shares was converted into approximately 7 million shares of FNF common stock, which are reflected as treasury shares in the accompanying Consolidated Financial Statements.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initial purchase price is as follows (in millions):</w:t>
      </w:r>
    </w:p>
    <w:p>
      <w:pPr>
        <w:spacing w:after="0" w:line="131"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9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Cash paid for outstanding F&amp;G shares</w:t>
            </w:r>
          </w:p>
        </w:tc>
        <w:tc>
          <w:tcPr>
            <w:tcW w:w="7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1,903</w:t>
            </w:r>
          </w:p>
        </w:tc>
      </w:tr>
      <w:tr>
        <w:trPr>
          <w:trHeight w:val="155"/>
        </w:trPr>
        <w:tc>
          <w:tcPr>
            <w:tcW w:w="974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Less: Cash Acquired</w:t>
            </w:r>
          </w:p>
        </w:tc>
        <w:tc>
          <w:tcPr>
            <w:tcW w:w="7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827</w:t>
            </w:r>
          </w:p>
        </w:tc>
      </w:tr>
      <w:tr>
        <w:trPr>
          <w:trHeight w:val="151"/>
        </w:trPr>
        <w:tc>
          <w:tcPr>
            <w:tcW w:w="9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Net cash paid for F&amp;G</w:t>
            </w:r>
          </w:p>
        </w:tc>
        <w:tc>
          <w:tcPr>
            <w:tcW w:w="7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w:t>
            </w:r>
          </w:p>
        </w:tc>
      </w:tr>
      <w:tr>
        <w:trPr>
          <w:trHeight w:val="155"/>
        </w:trPr>
        <w:tc>
          <w:tcPr>
            <w:tcW w:w="9740" w:type="dxa"/>
            <w:vAlign w:val="bottom"/>
          </w:tcPr>
          <w:p>
            <w:pPr>
              <w:ind w:left="280"/>
              <w:spacing w:after="0"/>
              <w:rPr>
                <w:sz w:val="20"/>
                <w:szCs w:val="20"/>
                <w:color w:val="auto"/>
              </w:rPr>
            </w:pPr>
            <w:r>
              <w:rPr>
                <w:rFonts w:ascii="Arial" w:cs="Arial" w:eastAsia="Arial" w:hAnsi="Arial"/>
                <w:sz w:val="12"/>
                <w:szCs w:val="12"/>
                <w:color w:val="auto"/>
              </w:rPr>
              <w:t>Value of FNF share consideration</w:t>
            </w:r>
          </w:p>
        </w:tc>
        <w:tc>
          <w:tcPr>
            <w:tcW w:w="7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806</w:t>
            </w:r>
          </w:p>
        </w:tc>
      </w:tr>
      <w:tr>
        <w:trPr>
          <w:trHeight w:val="158"/>
        </w:trPr>
        <w:tc>
          <w:tcPr>
            <w:tcW w:w="9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Value of outstanding converted equity awards attributed to services already rendered</w:t>
            </w:r>
          </w:p>
        </w:tc>
        <w:tc>
          <w:tcPr>
            <w:tcW w:w="7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151"/>
        </w:trPr>
        <w:tc>
          <w:tcPr>
            <w:tcW w:w="9740" w:type="dxa"/>
            <w:vAlign w:val="bottom"/>
          </w:tcPr>
          <w:p>
            <w:pPr>
              <w:ind w:left="280"/>
              <w:spacing w:after="0"/>
              <w:rPr>
                <w:sz w:val="20"/>
                <w:szCs w:val="20"/>
                <w:color w:val="auto"/>
              </w:rPr>
            </w:pPr>
            <w:r>
              <w:rPr>
                <w:rFonts w:ascii="Arial" w:cs="Arial" w:eastAsia="Arial" w:hAnsi="Arial"/>
                <w:sz w:val="12"/>
                <w:szCs w:val="12"/>
                <w:color w:val="auto"/>
              </w:rPr>
              <w:t>Total net consideration paid</w:t>
            </w: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1,910</w:t>
            </w:r>
          </w:p>
        </w:tc>
      </w:tr>
      <w:tr>
        <w:trPr>
          <w:trHeight w:val="20"/>
        </w:trPr>
        <w:tc>
          <w:tcPr>
            <w:tcW w:w="9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right="80" w:firstLine="270"/>
        <w:spacing w:after="0" w:line="262" w:lineRule="auto"/>
        <w:rPr>
          <w:sz w:val="20"/>
          <w:szCs w:val="20"/>
          <w:color w:val="auto"/>
        </w:rPr>
      </w:pPr>
      <w:r>
        <w:rPr>
          <w:rFonts w:ascii="Arial" w:cs="Arial" w:eastAsia="Arial" w:hAnsi="Arial"/>
          <w:sz w:val="15"/>
          <w:szCs w:val="15"/>
          <w:color w:val="auto"/>
        </w:rPr>
        <w:t>The acquisition was accounted for as a business combination under FASB Accounting Standards Codification Topic 805, Business Combinations ("Topic 805").The purchase price was allocated to F&amp;G's assets acquired and liabilities assumed based on their fair values as of the acquisition date. Goodwill has been recorded based on the amount that the purchase price exceeds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114" w:name="page115"/>
    <w:bookmarkEnd w:id="11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right="80"/>
        <w:spacing w:after="0" w:line="274" w:lineRule="auto"/>
        <w:rPr>
          <w:sz w:val="20"/>
          <w:szCs w:val="20"/>
          <w:color w:val="auto"/>
        </w:rPr>
      </w:pPr>
      <w:r>
        <w:rPr>
          <w:rFonts w:ascii="Arial" w:cs="Arial" w:eastAsia="Arial" w:hAnsi="Arial"/>
          <w:sz w:val="15"/>
          <w:szCs w:val="15"/>
          <w:color w:val="auto"/>
        </w:rPr>
        <w:t>the fair value of the net assets acquired. Goodwill consists primarily of intangible assets that do not qualify for separate recognition. The goodwill recorded is not expected to be deductible for tax purposes, except for $16 million related to a prior F&amp;G transaction.</w:t>
      </w:r>
    </w:p>
    <w:p>
      <w:pPr>
        <w:spacing w:after="0" w:line="57" w:lineRule="exact"/>
        <w:rPr>
          <w:sz w:val="20"/>
          <w:szCs w:val="20"/>
          <w:color w:val="auto"/>
        </w:rPr>
      </w:pPr>
    </w:p>
    <w:p>
      <w:pPr>
        <w:jc w:val="both"/>
        <w:ind w:right="80" w:firstLine="270"/>
        <w:spacing w:after="0" w:line="258" w:lineRule="auto"/>
        <w:rPr>
          <w:sz w:val="20"/>
          <w:szCs w:val="20"/>
          <w:color w:val="auto"/>
        </w:rPr>
      </w:pPr>
      <w:r>
        <w:rPr>
          <w:rFonts w:ascii="Arial" w:cs="Arial" w:eastAsia="Arial" w:hAnsi="Arial"/>
          <w:sz w:val="15"/>
          <w:szCs w:val="15"/>
          <w:color w:val="auto"/>
        </w:rPr>
        <w:t>Pursuant to Topic 805, the financial statements were not retrospectively adjusted for any provisional amount changes that occurred during the measurement period. Rather, we recognized provisional adjustments as we obtained information not available as of the completion of the preliminary fair value calculation. We also recorded, in the same period as the financial statements, the effect on earnings of changes in depreciation, amortization, or other income effects, as a result of any changes to the provisional amounts, calculated as if the accounting had been completed at the acquisition date.</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summarizes the fair value amounts recognized for the assets acquired and liabilities assumed as of the acquisition date (dollars in millions):</w:t>
      </w:r>
    </w:p>
    <w:p>
      <w:pPr>
        <w:spacing w:after="0" w:line="33" w:lineRule="exact"/>
        <w:rPr>
          <w:sz w:val="20"/>
          <w:szCs w:val="20"/>
          <w:color w:val="auto"/>
        </w:rPr>
      </w:pPr>
    </w:p>
    <w:tbl>
      <w:tblPr>
        <w:tblLayout w:type="fixed"/>
        <w:tblInd w:w="260" w:type="dxa"/>
        <w:tblCellMar>
          <w:top w:w="0" w:type="dxa"/>
          <w:left w:w="0" w:type="dxa"/>
          <w:bottom w:w="0" w:type="dxa"/>
          <w:right w:w="0" w:type="dxa"/>
        </w:tblCellMar>
      </w:tblPr>
      <w:tr>
        <w:trPr>
          <w:trHeight w:val="157"/>
        </w:trPr>
        <w:tc>
          <w:tcPr>
            <w:tcW w:w="99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Fair Value</w:t>
            </w:r>
          </w:p>
        </w:tc>
      </w:tr>
      <w:tr>
        <w:trPr>
          <w:trHeight w:val="155"/>
        </w:trPr>
        <w:tc>
          <w:tcPr>
            <w:tcW w:w="9920" w:type="dxa"/>
            <w:vAlign w:val="bottom"/>
          </w:tcPr>
          <w:p>
            <w:pPr>
              <w:ind w:left="280"/>
              <w:spacing w:after="0"/>
              <w:rPr>
                <w:sz w:val="20"/>
                <w:szCs w:val="20"/>
                <w:color w:val="auto"/>
              </w:rPr>
            </w:pPr>
            <w:r>
              <w:rPr>
                <w:rFonts w:ascii="Arial" w:cs="Arial" w:eastAsia="Arial" w:hAnsi="Arial"/>
                <w:sz w:val="12"/>
                <w:szCs w:val="12"/>
                <w:color w:val="auto"/>
              </w:rPr>
              <w:t>Fixed maturity securities</w:t>
            </w:r>
          </w:p>
        </w:tc>
        <w:tc>
          <w:tcPr>
            <w:tcW w:w="4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22,3</w:t>
            </w:r>
          </w:p>
        </w:tc>
      </w:tr>
      <w:tr>
        <w:trPr>
          <w:trHeight w:val="160"/>
        </w:trPr>
        <w:tc>
          <w:tcPr>
            <w:tcW w:w="9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Preferred securities</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55"/>
        </w:trPr>
        <w:tc>
          <w:tcPr>
            <w:tcW w:w="9920" w:type="dxa"/>
            <w:vAlign w:val="bottom"/>
          </w:tcPr>
          <w:p>
            <w:pPr>
              <w:ind w:left="280"/>
              <w:spacing w:after="0"/>
              <w:rPr>
                <w:sz w:val="20"/>
                <w:szCs w:val="20"/>
                <w:color w:val="auto"/>
              </w:rPr>
            </w:pPr>
            <w:r>
              <w:rPr>
                <w:rFonts w:ascii="Arial" w:cs="Arial" w:eastAsia="Arial" w:hAnsi="Arial"/>
                <w:sz w:val="12"/>
                <w:szCs w:val="12"/>
                <w:color w:val="auto"/>
              </w:rPr>
              <w:t>Equity securities</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0"/>
        </w:trPr>
        <w:tc>
          <w:tcPr>
            <w:tcW w:w="9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Derivative instruments</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55"/>
        </w:trPr>
        <w:tc>
          <w:tcPr>
            <w:tcW w:w="9920" w:type="dxa"/>
            <w:vAlign w:val="bottom"/>
          </w:tcPr>
          <w:p>
            <w:pPr>
              <w:ind w:left="280"/>
              <w:spacing w:after="0"/>
              <w:rPr>
                <w:sz w:val="20"/>
                <w:szCs w:val="20"/>
                <w:color w:val="auto"/>
              </w:rPr>
            </w:pPr>
            <w:r>
              <w:rPr>
                <w:rFonts w:ascii="Arial" w:cs="Arial" w:eastAsia="Arial" w:hAnsi="Arial"/>
                <w:sz w:val="12"/>
                <w:szCs w:val="12"/>
                <w:color w:val="auto"/>
              </w:rPr>
              <w:t>Mortgage loans</w:t>
            </w: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60"/>
        </w:trPr>
        <w:tc>
          <w:tcPr>
            <w:tcW w:w="9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Investments in unconsolidated affiliates</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r>
      <w:tr>
        <w:trPr>
          <w:trHeight w:val="155"/>
        </w:trPr>
        <w:tc>
          <w:tcPr>
            <w:tcW w:w="9920" w:type="dxa"/>
            <w:vAlign w:val="bottom"/>
          </w:tcPr>
          <w:p>
            <w:pPr>
              <w:ind w:left="280"/>
              <w:spacing w:after="0"/>
              <w:rPr>
                <w:sz w:val="20"/>
                <w:szCs w:val="20"/>
                <w:color w:val="auto"/>
              </w:rPr>
            </w:pPr>
            <w:r>
              <w:rPr>
                <w:rFonts w:ascii="Arial" w:cs="Arial" w:eastAsia="Arial" w:hAnsi="Arial"/>
                <w:sz w:val="12"/>
                <w:szCs w:val="12"/>
                <w:color w:val="auto"/>
              </w:rPr>
              <w:t>Other long-term investments</w:t>
            </w: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60"/>
        </w:trPr>
        <w:tc>
          <w:tcPr>
            <w:tcW w:w="9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Short-term investments</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5"/>
        </w:trPr>
        <w:tc>
          <w:tcPr>
            <w:tcW w:w="9920" w:type="dxa"/>
            <w:vAlign w:val="bottom"/>
          </w:tcPr>
          <w:p>
            <w:pPr>
              <w:ind w:left="280"/>
              <w:spacing w:after="0"/>
              <w:rPr>
                <w:sz w:val="20"/>
                <w:szCs w:val="20"/>
                <w:color w:val="auto"/>
              </w:rPr>
            </w:pPr>
            <w:r>
              <w:rPr>
                <w:rFonts w:ascii="Arial" w:cs="Arial" w:eastAsia="Arial" w:hAnsi="Arial"/>
                <w:sz w:val="12"/>
                <w:szCs w:val="12"/>
                <w:color w:val="auto"/>
              </w:rPr>
              <w:t>Trade and notes receivable</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0"/>
        </w:trPr>
        <w:tc>
          <w:tcPr>
            <w:tcW w:w="9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Reinsurance recoverable</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r>
      <w:tr>
        <w:trPr>
          <w:trHeight w:val="155"/>
        </w:trPr>
        <w:tc>
          <w:tcPr>
            <w:tcW w:w="9920" w:type="dxa"/>
            <w:vAlign w:val="bottom"/>
          </w:tcPr>
          <w:p>
            <w:pPr>
              <w:ind w:left="280"/>
              <w:spacing w:after="0"/>
              <w:rPr>
                <w:sz w:val="20"/>
                <w:szCs w:val="20"/>
                <w:color w:val="auto"/>
              </w:rPr>
            </w:pPr>
            <w:r>
              <w:rPr>
                <w:rFonts w:ascii="Arial" w:cs="Arial" w:eastAsia="Arial" w:hAnsi="Arial"/>
                <w:sz w:val="12"/>
                <w:szCs w:val="12"/>
                <w:color w:val="auto"/>
              </w:rPr>
              <w:t>Goodwill</w:t>
            </w: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60"/>
        </w:trPr>
        <w:tc>
          <w:tcPr>
            <w:tcW w:w="9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Prepaid expenses and other assets</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55"/>
        </w:trPr>
        <w:tc>
          <w:tcPr>
            <w:tcW w:w="9920" w:type="dxa"/>
            <w:vAlign w:val="bottom"/>
          </w:tcPr>
          <w:p>
            <w:pPr>
              <w:ind w:left="280"/>
              <w:spacing w:after="0"/>
              <w:rPr>
                <w:sz w:val="20"/>
                <w:szCs w:val="20"/>
                <w:color w:val="auto"/>
              </w:rPr>
            </w:pPr>
            <w:r>
              <w:rPr>
                <w:rFonts w:ascii="Arial" w:cs="Arial" w:eastAsia="Arial" w:hAnsi="Arial"/>
                <w:sz w:val="12"/>
                <w:szCs w:val="12"/>
                <w:color w:val="auto"/>
              </w:rPr>
              <w:t>Lease assets</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0"/>
        </w:trPr>
        <w:tc>
          <w:tcPr>
            <w:tcW w:w="9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 intangible assets</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55"/>
        </w:trPr>
        <w:tc>
          <w:tcPr>
            <w:tcW w:w="9920" w:type="dxa"/>
            <w:vAlign w:val="bottom"/>
          </w:tcPr>
          <w:p>
            <w:pPr>
              <w:ind w:left="280"/>
              <w:spacing w:after="0"/>
              <w:rPr>
                <w:sz w:val="20"/>
                <w:szCs w:val="20"/>
                <w:color w:val="auto"/>
              </w:rPr>
            </w:pPr>
            <w:r>
              <w:rPr>
                <w:rFonts w:ascii="Arial" w:cs="Arial" w:eastAsia="Arial" w:hAnsi="Arial"/>
                <w:sz w:val="12"/>
                <w:szCs w:val="12"/>
                <w:color w:val="auto"/>
              </w:rPr>
              <w:t>Deferred tax asset</w:t>
            </w: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60"/>
        </w:trPr>
        <w:tc>
          <w:tcPr>
            <w:tcW w:w="9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Assets of discontinued operations</w:t>
            </w:r>
          </w:p>
        </w:tc>
        <w:tc>
          <w:tcPr>
            <w:tcW w:w="4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w:t>
            </w:r>
          </w:p>
        </w:tc>
      </w:tr>
      <w:tr>
        <w:trPr>
          <w:trHeight w:val="147"/>
        </w:trPr>
        <w:tc>
          <w:tcPr>
            <w:tcW w:w="9920" w:type="dxa"/>
            <w:vAlign w:val="bottom"/>
          </w:tcPr>
          <w:p>
            <w:pPr>
              <w:ind w:left="460"/>
              <w:spacing w:after="0"/>
              <w:rPr>
                <w:sz w:val="20"/>
                <w:szCs w:val="20"/>
                <w:color w:val="auto"/>
              </w:rPr>
            </w:pPr>
            <w:r>
              <w:rPr>
                <w:rFonts w:ascii="Arial" w:cs="Arial" w:eastAsia="Arial" w:hAnsi="Arial"/>
                <w:sz w:val="12"/>
                <w:szCs w:val="12"/>
                <w:color w:val="auto"/>
              </w:rPr>
              <w:t>Total assets acquired</w:t>
            </w:r>
          </w:p>
        </w:tc>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36,8</w:t>
            </w:r>
          </w:p>
        </w:tc>
      </w:tr>
      <w:tr>
        <w:trPr>
          <w:trHeight w:val="160"/>
        </w:trPr>
        <w:tc>
          <w:tcPr>
            <w:tcW w:w="9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5"/>
        </w:trPr>
        <w:tc>
          <w:tcPr>
            <w:tcW w:w="9920" w:type="dxa"/>
            <w:vAlign w:val="bottom"/>
          </w:tcPr>
          <w:p>
            <w:pPr>
              <w:ind w:left="280"/>
              <w:spacing w:after="0"/>
              <w:rPr>
                <w:sz w:val="20"/>
                <w:szCs w:val="20"/>
                <w:color w:val="auto"/>
              </w:rPr>
            </w:pPr>
            <w:r>
              <w:rPr>
                <w:rFonts w:ascii="Arial" w:cs="Arial" w:eastAsia="Arial" w:hAnsi="Arial"/>
                <w:sz w:val="12"/>
                <w:szCs w:val="12"/>
                <w:color w:val="auto"/>
              </w:rPr>
              <w:t>Contractholder funds</w:t>
            </w: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26,4</w:t>
            </w:r>
          </w:p>
        </w:tc>
      </w:tr>
      <w:tr>
        <w:trPr>
          <w:trHeight w:val="160"/>
        </w:trPr>
        <w:tc>
          <w:tcPr>
            <w:tcW w:w="9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Future policy benefits</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r>
      <w:tr>
        <w:trPr>
          <w:trHeight w:val="155"/>
        </w:trPr>
        <w:tc>
          <w:tcPr>
            <w:tcW w:w="9920" w:type="dxa"/>
            <w:vAlign w:val="bottom"/>
          </w:tcPr>
          <w:p>
            <w:pPr>
              <w:ind w:left="280"/>
              <w:spacing w:after="0"/>
              <w:rPr>
                <w:sz w:val="20"/>
                <w:szCs w:val="20"/>
                <w:color w:val="auto"/>
              </w:rPr>
            </w:pPr>
            <w:r>
              <w:rPr>
                <w:rFonts w:ascii="Arial" w:cs="Arial" w:eastAsia="Arial" w:hAnsi="Arial"/>
                <w:sz w:val="12"/>
                <w:szCs w:val="12"/>
                <w:color w:val="auto"/>
              </w:rPr>
              <w:t>Accounts payable and accrued liabilities</w:t>
            </w: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60"/>
        </w:trPr>
        <w:tc>
          <w:tcPr>
            <w:tcW w:w="9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Notes payable</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r>
      <w:tr>
        <w:trPr>
          <w:trHeight w:val="155"/>
        </w:trPr>
        <w:tc>
          <w:tcPr>
            <w:tcW w:w="9920" w:type="dxa"/>
            <w:vAlign w:val="bottom"/>
          </w:tcPr>
          <w:p>
            <w:pPr>
              <w:ind w:left="280"/>
              <w:spacing w:after="0"/>
              <w:rPr>
                <w:sz w:val="20"/>
                <w:szCs w:val="20"/>
                <w:color w:val="auto"/>
              </w:rPr>
            </w:pPr>
            <w:r>
              <w:rPr>
                <w:rFonts w:ascii="Arial" w:cs="Arial" w:eastAsia="Arial" w:hAnsi="Arial"/>
                <w:sz w:val="12"/>
                <w:szCs w:val="12"/>
                <w:color w:val="auto"/>
              </w:rPr>
              <w:t>Funds withheld for reinsurance liabilities</w:t>
            </w: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60"/>
        </w:trPr>
        <w:tc>
          <w:tcPr>
            <w:tcW w:w="9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Lease liabilities</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5"/>
        </w:trPr>
        <w:tc>
          <w:tcPr>
            <w:tcW w:w="992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Liabilities of discontinued operations</w:t>
            </w: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r>
      <w:tr>
        <w:trPr>
          <w:trHeight w:val="151"/>
        </w:trPr>
        <w:tc>
          <w:tcPr>
            <w:tcW w:w="99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liabilities assumed</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w:t>
            </w:r>
          </w:p>
        </w:tc>
      </w:tr>
      <w:tr>
        <w:trPr>
          <w:trHeight w:val="158"/>
        </w:trPr>
        <w:tc>
          <w:tcPr>
            <w:tcW w:w="99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74"/>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Net assets acquired</w:t>
            </w:r>
          </w:p>
        </w:tc>
        <w:tc>
          <w:tcPr>
            <w:tcW w:w="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gross carrying value and weighted average estimated useful lives of Other intangible assets acquired in the F&amp;G acquisition consist of the following (dollars in millions):</w:t>
      </w:r>
    </w:p>
    <w:p>
      <w:pPr>
        <w:spacing w:after="0" w:line="27"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7120" w:type="dxa"/>
            <w:vAlign w:val="bottom"/>
          </w:tcPr>
          <w:p>
            <w:pPr>
              <w:spacing w:after="0"/>
              <w:rPr>
                <w:sz w:val="12"/>
                <w:szCs w:val="12"/>
                <w:color w:val="auto"/>
              </w:rPr>
            </w:pPr>
          </w:p>
        </w:tc>
        <w:tc>
          <w:tcPr>
            <w:tcW w:w="1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Gross Carrying Value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ind w:left="400"/>
              <w:spacing w:after="0"/>
              <w:rPr>
                <w:sz w:val="20"/>
                <w:szCs w:val="20"/>
                <w:color w:val="auto"/>
              </w:rPr>
            </w:pPr>
            <w:r>
              <w:rPr>
                <w:rFonts w:ascii="Arial" w:cs="Arial" w:eastAsia="Arial" w:hAnsi="Arial"/>
                <w:sz w:val="12"/>
                <w:szCs w:val="12"/>
                <w:b w:val="1"/>
                <w:bCs w:val="1"/>
                <w:color w:val="auto"/>
                <w:w w:val="90"/>
              </w:rPr>
              <w:t>Estimated Useful Life</w:t>
            </w:r>
          </w:p>
        </w:tc>
        <w:tc>
          <w:tcPr>
            <w:tcW w:w="0" w:type="dxa"/>
            <w:vAlign w:val="bottom"/>
          </w:tcPr>
          <w:p>
            <w:pPr>
              <w:spacing w:after="0"/>
              <w:rPr>
                <w:sz w:val="1"/>
                <w:szCs w:val="1"/>
                <w:color w:val="auto"/>
              </w:rPr>
            </w:pPr>
          </w:p>
        </w:tc>
      </w:tr>
      <w:tr>
        <w:trPr>
          <w:trHeight w:val="157"/>
        </w:trPr>
        <w:tc>
          <w:tcPr>
            <w:tcW w:w="7120" w:type="dxa"/>
            <w:vAlign w:val="bottom"/>
          </w:tcPr>
          <w:p>
            <w:pPr>
              <w:spacing w:after="0"/>
              <w:rPr>
                <w:sz w:val="13"/>
                <w:szCs w:val="13"/>
                <w:color w:val="auto"/>
              </w:rPr>
            </w:pPr>
          </w:p>
        </w:tc>
        <w:tc>
          <w:tcPr>
            <w:tcW w:w="18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ind w:left="720"/>
              <w:spacing w:after="0"/>
              <w:rPr>
                <w:sz w:val="20"/>
                <w:szCs w:val="20"/>
                <w:color w:val="auto"/>
              </w:rPr>
            </w:pPr>
            <w:r>
              <w:rPr>
                <w:rFonts w:ascii="Arial" w:cs="Arial" w:eastAsia="Arial" w:hAnsi="Arial"/>
                <w:sz w:val="12"/>
                <w:szCs w:val="12"/>
                <w:b w:val="1"/>
                <w:bCs w:val="1"/>
                <w:color w:val="auto"/>
              </w:rPr>
              <w:t>(in years)</w:t>
            </w:r>
          </w:p>
        </w:tc>
        <w:tc>
          <w:tcPr>
            <w:tcW w:w="0" w:type="dxa"/>
            <w:vAlign w:val="bottom"/>
          </w:tcPr>
          <w:p>
            <w:pPr>
              <w:spacing w:after="0"/>
              <w:rPr>
                <w:sz w:val="1"/>
                <w:szCs w:val="1"/>
                <w:color w:val="auto"/>
              </w:rPr>
            </w:pPr>
          </w:p>
        </w:tc>
      </w:tr>
      <w:tr>
        <w:trPr>
          <w:trHeight w:val="136"/>
        </w:trPr>
        <w:tc>
          <w:tcPr>
            <w:tcW w:w="7120" w:type="dxa"/>
            <w:vAlign w:val="bottom"/>
          </w:tcPr>
          <w:p>
            <w:pPr>
              <w:ind w:left="280"/>
              <w:spacing w:after="0" w:line="133" w:lineRule="exact"/>
              <w:rPr>
                <w:sz w:val="20"/>
                <w:szCs w:val="20"/>
                <w:color w:val="auto"/>
              </w:rPr>
            </w:pPr>
            <w:r>
              <w:rPr>
                <w:rFonts w:ascii="Arial" w:cs="Arial" w:eastAsia="Arial" w:hAnsi="Arial"/>
                <w:sz w:val="12"/>
                <w:szCs w:val="12"/>
                <w:color w:val="auto"/>
              </w:rPr>
              <w:t>Other intangible assets:</w:t>
            </w:r>
          </w:p>
        </w:tc>
        <w:tc>
          <w:tcPr>
            <w:tcW w:w="1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120" w:type="dxa"/>
            <w:vAlign w:val="bottom"/>
            <w:shd w:val="clear" w:color="auto" w:fill="CCEEFF"/>
          </w:tcPr>
          <w:p>
            <w:pPr>
              <w:ind w:left="560"/>
              <w:spacing w:after="0"/>
              <w:rPr>
                <w:sz w:val="20"/>
                <w:szCs w:val="20"/>
                <w:color w:val="auto"/>
              </w:rPr>
            </w:pPr>
            <w:r>
              <w:rPr>
                <w:rFonts w:ascii="Arial" w:cs="Arial" w:eastAsia="Arial" w:hAnsi="Arial"/>
                <w:sz w:val="12"/>
                <w:szCs w:val="12"/>
                <w:color w:val="auto"/>
              </w:rPr>
              <w:t>Value of business acquired</w:t>
            </w:r>
          </w:p>
        </w:tc>
        <w:tc>
          <w:tcPr>
            <w:tcW w:w="1800" w:type="dxa"/>
            <w:vAlign w:val="bottom"/>
            <w:shd w:val="clear" w:color="auto" w:fill="CCEEFF"/>
          </w:tcPr>
          <w:p>
            <w:pPr>
              <w:jc w:val="right"/>
              <w:ind w:right="14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1,908</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jc w:val="center"/>
              <w:ind w:left="400"/>
              <w:spacing w:after="0"/>
              <w:rPr>
                <w:sz w:val="20"/>
                <w:szCs w:val="20"/>
                <w:color w:val="auto"/>
              </w:rPr>
            </w:pPr>
            <w:r>
              <w:rPr>
                <w:rFonts w:ascii="Arial" w:cs="Arial" w:eastAsia="Arial" w:hAnsi="Arial"/>
                <w:sz w:val="12"/>
                <w:szCs w:val="12"/>
                <w:color w:val="auto"/>
                <w:w w:val="93"/>
              </w:rPr>
              <w:t>Various</w:t>
            </w:r>
          </w:p>
        </w:tc>
        <w:tc>
          <w:tcPr>
            <w:tcW w:w="0" w:type="dxa"/>
            <w:vAlign w:val="bottom"/>
          </w:tcPr>
          <w:p>
            <w:pPr>
              <w:spacing w:after="0"/>
              <w:rPr>
                <w:sz w:val="1"/>
                <w:szCs w:val="1"/>
                <w:color w:val="auto"/>
              </w:rPr>
            </w:pPr>
          </w:p>
        </w:tc>
      </w:tr>
      <w:tr>
        <w:trPr>
          <w:trHeight w:val="155"/>
        </w:trPr>
        <w:tc>
          <w:tcPr>
            <w:tcW w:w="7120" w:type="dxa"/>
            <w:vAlign w:val="bottom"/>
          </w:tcPr>
          <w:p>
            <w:pPr>
              <w:ind w:left="560"/>
              <w:spacing w:after="0"/>
              <w:rPr>
                <w:sz w:val="20"/>
                <w:szCs w:val="20"/>
                <w:color w:val="auto"/>
              </w:rPr>
            </w:pPr>
            <w:r>
              <w:rPr>
                <w:rFonts w:ascii="Arial" w:cs="Arial" w:eastAsia="Arial" w:hAnsi="Arial"/>
                <w:sz w:val="12"/>
                <w:szCs w:val="12"/>
                <w:color w:val="auto"/>
              </w:rPr>
              <w:t>Value of distribution network acquired</w:t>
            </w:r>
          </w:p>
        </w:tc>
        <w:tc>
          <w:tcPr>
            <w:tcW w:w="18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140</w:t>
            </w:r>
          </w:p>
        </w:tc>
        <w:tc>
          <w:tcPr>
            <w:tcW w:w="1820" w:type="dxa"/>
            <w:vAlign w:val="bottom"/>
            <w:gridSpan w:val="2"/>
          </w:tcPr>
          <w:p>
            <w:pPr>
              <w:jc w:val="center"/>
              <w:ind w:left="520"/>
              <w:spacing w:after="0"/>
              <w:rPr>
                <w:sz w:val="20"/>
                <w:szCs w:val="20"/>
                <w:color w:val="auto"/>
              </w:rPr>
            </w:pPr>
            <w:r>
              <w:rPr>
                <w:rFonts w:ascii="Arial" w:cs="Arial" w:eastAsia="Arial" w:hAnsi="Arial"/>
                <w:sz w:val="12"/>
                <w:szCs w:val="12"/>
                <w:color w:val="auto"/>
                <w:w w:val="89"/>
              </w:rPr>
              <w:t>15</w:t>
            </w:r>
          </w:p>
        </w:tc>
        <w:tc>
          <w:tcPr>
            <w:tcW w:w="0" w:type="dxa"/>
            <w:vAlign w:val="bottom"/>
          </w:tcPr>
          <w:p>
            <w:pPr>
              <w:spacing w:after="0"/>
              <w:rPr>
                <w:sz w:val="1"/>
                <w:szCs w:val="1"/>
                <w:color w:val="auto"/>
              </w:rPr>
            </w:pPr>
          </w:p>
        </w:tc>
      </w:tr>
      <w:tr>
        <w:trPr>
          <w:trHeight w:val="160"/>
        </w:trPr>
        <w:tc>
          <w:tcPr>
            <w:tcW w:w="712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Trademarks and licenses</w:t>
            </w:r>
          </w:p>
        </w:tc>
        <w:tc>
          <w:tcPr>
            <w:tcW w:w="18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820" w:type="dxa"/>
            <w:vAlign w:val="bottom"/>
            <w:gridSpan w:val="2"/>
            <w:shd w:val="clear" w:color="auto" w:fill="CCEEFF"/>
          </w:tcPr>
          <w:p>
            <w:pPr>
              <w:jc w:val="center"/>
              <w:ind w:left="520"/>
              <w:spacing w:after="0"/>
              <w:rPr>
                <w:sz w:val="20"/>
                <w:szCs w:val="20"/>
                <w:color w:val="auto"/>
              </w:rPr>
            </w:pPr>
            <w:r>
              <w:rPr>
                <w:rFonts w:ascii="Arial" w:cs="Arial" w:eastAsia="Arial" w:hAnsi="Arial"/>
                <w:sz w:val="12"/>
                <w:szCs w:val="12"/>
                <w:color w:val="auto"/>
                <w:w w:val="89"/>
              </w:rPr>
              <w:t>10</w:t>
            </w:r>
          </w:p>
        </w:tc>
        <w:tc>
          <w:tcPr>
            <w:tcW w:w="0" w:type="dxa"/>
            <w:vAlign w:val="bottom"/>
          </w:tcPr>
          <w:p>
            <w:pPr>
              <w:spacing w:after="0"/>
              <w:rPr>
                <w:sz w:val="1"/>
                <w:szCs w:val="1"/>
                <w:color w:val="auto"/>
              </w:rPr>
            </w:pPr>
          </w:p>
        </w:tc>
      </w:tr>
      <w:tr>
        <w:trPr>
          <w:trHeight w:val="155"/>
        </w:trPr>
        <w:tc>
          <w:tcPr>
            <w:tcW w:w="7120" w:type="dxa"/>
            <w:vAlign w:val="bottom"/>
            <w:tcBorders>
              <w:bottom w:val="single" w:sz="8" w:color="CCEEFF"/>
            </w:tcBorders>
          </w:tcPr>
          <w:p>
            <w:pPr>
              <w:ind w:left="560"/>
              <w:spacing w:after="0"/>
              <w:rPr>
                <w:sz w:val="20"/>
                <w:szCs w:val="20"/>
                <w:color w:val="auto"/>
              </w:rPr>
            </w:pPr>
            <w:r>
              <w:rPr>
                <w:rFonts w:ascii="Arial" w:cs="Arial" w:eastAsia="Arial" w:hAnsi="Arial"/>
                <w:sz w:val="12"/>
                <w:szCs w:val="12"/>
                <w:color w:val="auto"/>
              </w:rPr>
              <w:t>Software</w:t>
            </w:r>
          </w:p>
        </w:tc>
        <w:tc>
          <w:tcPr>
            <w:tcW w:w="18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1820" w:type="dxa"/>
            <w:vAlign w:val="bottom"/>
            <w:tcBorders>
              <w:bottom w:val="single" w:sz="8" w:color="CCEEFF"/>
            </w:tcBorders>
            <w:gridSpan w:val="2"/>
          </w:tcPr>
          <w:p>
            <w:pPr>
              <w:jc w:val="center"/>
              <w:ind w:left="500"/>
              <w:spacing w:after="0"/>
              <w:rPr>
                <w:sz w:val="20"/>
                <w:szCs w:val="20"/>
                <w:color w:val="auto"/>
              </w:rPr>
            </w:pPr>
            <w:r>
              <w:rPr>
                <w:rFonts w:ascii="Arial" w:cs="Arial" w:eastAsia="Arial" w:hAnsi="Arial"/>
                <w:sz w:val="12"/>
                <w:szCs w:val="12"/>
                <w:color w:val="auto"/>
                <w:w w:val="89"/>
              </w:rPr>
              <w:t>2</w:t>
            </w:r>
          </w:p>
        </w:tc>
        <w:tc>
          <w:tcPr>
            <w:tcW w:w="0" w:type="dxa"/>
            <w:vAlign w:val="bottom"/>
          </w:tcPr>
          <w:p>
            <w:pPr>
              <w:spacing w:after="0"/>
              <w:rPr>
                <w:sz w:val="1"/>
                <w:szCs w:val="1"/>
                <w:color w:val="auto"/>
              </w:rPr>
            </w:pPr>
          </w:p>
        </w:tc>
      </w:tr>
      <w:tr>
        <w:trPr>
          <w:trHeight w:val="176"/>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Total Other intangible assets</w:t>
            </w:r>
          </w:p>
        </w:tc>
        <w:tc>
          <w:tcPr>
            <w:tcW w:w="1800" w:type="dxa"/>
            <w:vAlign w:val="bottom"/>
            <w:tcBorders>
              <w:bottom w:val="single" w:sz="8" w:color="auto"/>
            </w:tcBorders>
            <w:shd w:val="clear" w:color="auto" w:fill="CCEEFF"/>
          </w:tcPr>
          <w:p>
            <w:pPr>
              <w:jc w:val="right"/>
              <w:ind w:right="14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2,107</w:t>
            </w:r>
          </w:p>
        </w:tc>
        <w:tc>
          <w:tcPr>
            <w:tcW w:w="10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115" w:name="page116"/>
    <w:bookmarkEnd w:id="11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color w:val="auto"/>
        </w:rPr>
        <w:t>We completed our assessment of the fair value of assets acquired and liabilities assumed within the one-year period from the date of acquisition. During the year ended December 31, 2021, we recorded measurement period adjustments as of the acquisition date to reflect new information obtained about facts and circumstances that existed as of the acquisition date that, if known, would have affected the measurement of the amounts recognized as of the acquisition date. Such adjustments resulted in a decrease in Reinsurance recoverable of approximately $289 million, an increase in Other intangible assets of approximately $61 million, a decrease in Future policy benefits of $227 million and various other, individually immaterial items. There was no material impact on Consolidated Statements of Earnings as a result of the measurement period adjustments recorded.</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Unaudited Supplemental Pro-forma Financial Results</w:t>
      </w:r>
    </w:p>
    <w:p>
      <w:pPr>
        <w:spacing w:after="0" w:line="1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F&amp;G's financial results since the acquisition date are reflected in our Consolidated Financial Statements. F&amp;G's revenues and net earnings for the period from June 1, 2020 through December 31, 2020 of $1,233 million and $136 million, respectively, are included in the Consolidated Statements of Earnings for the year ended December 31, 2020. For comparative purposes, selected unaudited pro-forma consolidated results of operations of FNF for the years ended December 31, 2020 and 2019 are presented below. Unaudited pro-forma results presented assume the consolidation of F&amp;G occurred as of January 1,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196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2"/>
                <w:szCs w:val="12"/>
                <w:b w:val="1"/>
                <w:bCs w:val="1"/>
                <w:color w:val="auto"/>
                <w:w w:val="89"/>
              </w:rPr>
              <w:t>Year Ended December 31,</w:t>
            </w:r>
          </w:p>
        </w:tc>
        <w:tc>
          <w:tcPr>
            <w:tcW w:w="420" w:type="dxa"/>
            <w:vAlign w:val="bottom"/>
            <w:tcBorders>
              <w:bottom w:val="single" w:sz="8" w:color="auto"/>
            </w:tcBorders>
          </w:tcPr>
          <w:p>
            <w:pPr>
              <w:spacing w:after="0"/>
              <w:rPr>
                <w:sz w:val="14"/>
                <w:szCs w:val="14"/>
                <w:color w:val="auto"/>
              </w:rPr>
            </w:pPr>
          </w:p>
        </w:tc>
      </w:tr>
      <w:tr>
        <w:trPr>
          <w:trHeight w:val="153"/>
        </w:trPr>
        <w:tc>
          <w:tcPr>
            <w:tcW w:w="886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auto"/>
            </w:tcBorders>
          </w:tcPr>
          <w:p>
            <w:pPr>
              <w:spacing w:after="0"/>
              <w:rPr>
                <w:sz w:val="13"/>
                <w:szCs w:val="13"/>
                <w:color w:val="auto"/>
              </w:rPr>
            </w:pPr>
          </w:p>
        </w:tc>
      </w:tr>
      <w:tr>
        <w:trPr>
          <w:trHeight w:val="149"/>
        </w:trPr>
        <w:tc>
          <w:tcPr>
            <w:tcW w:w="8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(In millions)</w:t>
            </w:r>
          </w:p>
        </w:tc>
        <w:tc>
          <w:tcPr>
            <w:tcW w:w="420" w:type="dxa"/>
            <w:vAlign w:val="bottom"/>
          </w:tcPr>
          <w:p>
            <w:pPr>
              <w:spacing w:after="0"/>
              <w:rPr>
                <w:sz w:val="12"/>
                <w:szCs w:val="12"/>
                <w:color w:val="auto"/>
              </w:rPr>
            </w:pPr>
          </w:p>
        </w:tc>
      </w:tr>
      <w:tr>
        <w:trPr>
          <w:trHeight w:val="158"/>
        </w:trPr>
        <w:tc>
          <w:tcPr>
            <w:tcW w:w="88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revenues</w:t>
            </w:r>
          </w:p>
        </w:tc>
        <w:tc>
          <w:tcPr>
            <w:tcW w:w="7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7"/>
              </w:rPr>
              <w:t>10,897</w:t>
            </w:r>
          </w:p>
        </w:tc>
        <w:tc>
          <w:tcPr>
            <w:tcW w:w="82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10,386</w:t>
            </w:r>
          </w:p>
        </w:tc>
      </w:tr>
      <w:tr>
        <w:trPr>
          <w:trHeight w:val="153"/>
        </w:trPr>
        <w:tc>
          <w:tcPr>
            <w:tcW w:w="8860" w:type="dxa"/>
            <w:vAlign w:val="bottom"/>
          </w:tcPr>
          <w:p>
            <w:pPr>
              <w:ind w:left="180"/>
              <w:spacing w:after="0"/>
              <w:rPr>
                <w:sz w:val="20"/>
                <w:szCs w:val="20"/>
                <w:color w:val="auto"/>
              </w:rPr>
            </w:pPr>
            <w:r>
              <w:rPr>
                <w:rFonts w:ascii="Arial" w:cs="Arial" w:eastAsia="Arial" w:hAnsi="Arial"/>
                <w:sz w:val="12"/>
                <w:szCs w:val="12"/>
                <w:color w:val="auto"/>
              </w:rPr>
              <w:t>Net earnings attributable to FNF common shareholders</w:t>
            </w:r>
          </w:p>
        </w:tc>
        <w:tc>
          <w:tcPr>
            <w:tcW w:w="700" w:type="dxa"/>
            <w:vAlign w:val="bottom"/>
          </w:tcPr>
          <w:p>
            <w:pPr>
              <w:spacing w:after="0"/>
              <w:rPr>
                <w:sz w:val="13"/>
                <w:szCs w:val="13"/>
                <w:color w:val="auto"/>
              </w:rPr>
            </w:pPr>
          </w:p>
        </w:tc>
        <w:tc>
          <w:tcPr>
            <w:tcW w:w="440" w:type="dxa"/>
            <w:vAlign w:val="bottom"/>
          </w:tcPr>
          <w:p>
            <w:pPr>
              <w:jc w:val="right"/>
              <w:ind w:right="40"/>
              <w:spacing w:after="0"/>
              <w:rPr>
                <w:sz w:val="20"/>
                <w:szCs w:val="20"/>
                <w:color w:val="auto"/>
              </w:rPr>
            </w:pPr>
            <w:r>
              <w:rPr>
                <w:rFonts w:ascii="Arial" w:cs="Arial" w:eastAsia="Arial" w:hAnsi="Arial"/>
                <w:sz w:val="12"/>
                <w:szCs w:val="12"/>
                <w:color w:val="auto"/>
              </w:rPr>
              <w:t>1,233</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1,419</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Amounts reflect certain pro forma adjustments to revenue and net earnings that were directly attributable to the acquisition, and for the elimination of historical activity between FNF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F&amp;G prior to the acquisition. These adjustments include the following:</w:t>
      </w:r>
    </w:p>
    <w:p>
      <w:pPr>
        <w:spacing w:after="0" w:line="187" w:lineRule="exact"/>
        <w:rPr>
          <w:sz w:val="20"/>
          <w:szCs w:val="20"/>
          <w:color w:val="auto"/>
        </w:rPr>
      </w:pPr>
    </w:p>
    <w:p>
      <w:pPr>
        <w:ind w:left="520" w:hanging="259"/>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elimination of valuation changes on FNF's investment in F&amp;G common and preferred shares prior to the acquisition;</w:t>
      </w:r>
    </w:p>
    <w:p>
      <w:pPr>
        <w:spacing w:after="0" w:line="86" w:lineRule="exact"/>
        <w:rPr>
          <w:rFonts w:ascii="Arial" w:cs="Arial" w:eastAsia="Arial" w:hAnsi="Arial"/>
          <w:sz w:val="15"/>
          <w:szCs w:val="15"/>
          <w:color w:val="auto"/>
        </w:rPr>
      </w:pPr>
    </w:p>
    <w:p>
      <w:pPr>
        <w:ind w:left="520" w:hanging="259"/>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elimination of dividends received by FNF related to its holdings of F&amp;G's common and preferred shares prior to the acquisition;</w:t>
      </w:r>
    </w:p>
    <w:p>
      <w:pPr>
        <w:spacing w:after="0" w:line="86" w:lineRule="exact"/>
        <w:rPr>
          <w:rFonts w:ascii="Arial" w:cs="Arial" w:eastAsia="Arial" w:hAnsi="Arial"/>
          <w:sz w:val="15"/>
          <w:szCs w:val="15"/>
          <w:color w:val="auto"/>
        </w:rPr>
      </w:pPr>
    </w:p>
    <w:p>
      <w:pPr>
        <w:ind w:left="520" w:hanging="259"/>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elimination of advisory fees F&amp;G paid to FNF;</w:t>
      </w:r>
    </w:p>
    <w:p>
      <w:pPr>
        <w:spacing w:after="0" w:line="75" w:lineRule="exact"/>
        <w:rPr>
          <w:rFonts w:ascii="Arial" w:cs="Arial" w:eastAsia="Arial" w:hAnsi="Arial"/>
          <w:sz w:val="15"/>
          <w:szCs w:val="15"/>
          <w:color w:val="auto"/>
        </w:rPr>
      </w:pPr>
    </w:p>
    <w:p>
      <w:pPr>
        <w:ind w:left="520" w:hanging="259"/>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elimination of transaction costs paid by F&amp;G;</w:t>
      </w:r>
    </w:p>
    <w:p>
      <w:pPr>
        <w:spacing w:after="0" w:line="86" w:lineRule="exact"/>
        <w:rPr>
          <w:rFonts w:ascii="Arial" w:cs="Arial" w:eastAsia="Arial" w:hAnsi="Arial"/>
          <w:sz w:val="15"/>
          <w:szCs w:val="15"/>
          <w:color w:val="auto"/>
        </w:rPr>
      </w:pPr>
    </w:p>
    <w:p>
      <w:pPr>
        <w:ind w:left="520" w:hanging="259"/>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adjustment to record interest expense related to financing associated with the acquisition;</w:t>
      </w:r>
    </w:p>
    <w:p>
      <w:pPr>
        <w:spacing w:after="0" w:line="86" w:lineRule="exact"/>
        <w:rPr>
          <w:rFonts w:ascii="Arial" w:cs="Arial" w:eastAsia="Arial" w:hAnsi="Arial"/>
          <w:sz w:val="15"/>
          <w:szCs w:val="15"/>
          <w:color w:val="auto"/>
        </w:rPr>
      </w:pPr>
    </w:p>
    <w:p>
      <w:pPr>
        <w:ind w:left="540" w:right="20" w:hanging="279"/>
        <w:spacing w:after="0" w:line="274" w:lineRule="auto"/>
        <w:tabs>
          <w:tab w:leader="none" w:pos="536" w:val="left"/>
        </w:tabs>
        <w:numPr>
          <w:ilvl w:val="0"/>
          <w:numId w:val="45"/>
        </w:numPr>
        <w:rPr>
          <w:rFonts w:ascii="Arial" w:cs="Arial" w:eastAsia="Arial" w:hAnsi="Arial"/>
          <w:sz w:val="15"/>
          <w:szCs w:val="15"/>
          <w:color w:val="auto"/>
        </w:rPr>
      </w:pPr>
      <w:r>
        <w:rPr>
          <w:rFonts w:ascii="Arial" w:cs="Arial" w:eastAsia="Arial" w:hAnsi="Arial"/>
          <w:sz w:val="15"/>
          <w:szCs w:val="15"/>
          <w:color w:val="auto"/>
        </w:rPr>
        <w:t>adjustment to reflect the elimination of historical amortization of F&amp;G intangibles and the additional amortization of F&amp;G intangibles measured at fair value as of the acquisition date; and</w:t>
      </w:r>
    </w:p>
    <w:p>
      <w:pPr>
        <w:spacing w:after="0" w:line="34" w:lineRule="exact"/>
        <w:rPr>
          <w:rFonts w:ascii="Arial" w:cs="Arial" w:eastAsia="Arial" w:hAnsi="Arial"/>
          <w:sz w:val="15"/>
          <w:szCs w:val="15"/>
          <w:color w:val="auto"/>
        </w:rPr>
      </w:pPr>
    </w:p>
    <w:p>
      <w:pPr>
        <w:ind w:left="540" w:hanging="279"/>
        <w:spacing w:after="0" w:line="274" w:lineRule="auto"/>
        <w:tabs>
          <w:tab w:leader="none" w:pos="536" w:val="left"/>
        </w:tabs>
        <w:numPr>
          <w:ilvl w:val="0"/>
          <w:numId w:val="45"/>
        </w:numPr>
        <w:rPr>
          <w:rFonts w:ascii="Arial" w:cs="Arial" w:eastAsia="Arial" w:hAnsi="Arial"/>
          <w:sz w:val="15"/>
          <w:szCs w:val="15"/>
          <w:color w:val="auto"/>
        </w:rPr>
      </w:pPr>
      <w:r>
        <w:rPr>
          <w:rFonts w:ascii="Arial" w:cs="Arial" w:eastAsia="Arial" w:hAnsi="Arial"/>
          <w:sz w:val="15"/>
          <w:szCs w:val="15"/>
          <w:color w:val="auto"/>
        </w:rPr>
        <w:t>adjustment to reflect the prospective reclassification from accumulated other comprehensive earnings of the unrealized gains on available-for-sale securities to a premium, which will be amortized into income based on the expected life of the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6" w:name="page117"/>
    <w:bookmarkEnd w:id="11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C — Summary of Reserve for Title Claim Losses</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 summary of the reserve for title claim losses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2"/>
                <w:szCs w:val="12"/>
                <w:b w:val="1"/>
                <w:bCs w:val="1"/>
                <w:color w:val="auto"/>
                <w:w w:val="89"/>
              </w:rPr>
              <w:t>Year Ended December 31,</w:t>
            </w:r>
          </w:p>
        </w:tc>
        <w:tc>
          <w:tcPr>
            <w:tcW w:w="1180" w:type="dxa"/>
            <w:vAlign w:val="bottom"/>
            <w:tcBorders>
              <w:bottom w:val="single" w:sz="8" w:color="auto"/>
            </w:tcBorders>
          </w:tcPr>
          <w:p>
            <w:pPr>
              <w:spacing w:after="0"/>
              <w:rPr>
                <w:sz w:val="14"/>
                <w:szCs w:val="14"/>
                <w:color w:val="auto"/>
              </w:rPr>
            </w:pPr>
          </w:p>
        </w:tc>
      </w:tr>
      <w:tr>
        <w:trPr>
          <w:trHeight w:val="153"/>
        </w:trPr>
        <w:tc>
          <w:tcPr>
            <w:tcW w:w="6620" w:type="dxa"/>
            <w:vAlign w:val="bottom"/>
          </w:tcPr>
          <w:p>
            <w:pPr>
              <w:spacing w:after="0"/>
              <w:rPr>
                <w:sz w:val="13"/>
                <w:szCs w:val="13"/>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4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2019</w:t>
            </w:r>
          </w:p>
        </w:tc>
      </w:tr>
      <w:tr>
        <w:trPr>
          <w:trHeight w:val="149"/>
        </w:trPr>
        <w:tc>
          <w:tcPr>
            <w:tcW w:w="6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1"/>
              </w:rPr>
              <w:t>(Dollars in millions)</w:t>
            </w:r>
          </w:p>
        </w:tc>
        <w:tc>
          <w:tcPr>
            <w:tcW w:w="4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8"/>
        </w:trPr>
        <w:tc>
          <w:tcPr>
            <w:tcW w:w="662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1,623</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1,509</w:t>
            </w:r>
          </w:p>
        </w:tc>
        <w:tc>
          <w:tcPr>
            <w:tcW w:w="4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1,488</w:t>
            </w:r>
          </w:p>
        </w:tc>
      </w:tr>
      <w:tr>
        <w:trPr>
          <w:trHeight w:val="155"/>
        </w:trPr>
        <w:tc>
          <w:tcPr>
            <w:tcW w:w="6620" w:type="dxa"/>
            <w:vAlign w:val="bottom"/>
          </w:tcPr>
          <w:p>
            <w:pPr>
              <w:spacing w:after="0"/>
              <w:rPr>
                <w:sz w:val="20"/>
                <w:szCs w:val="20"/>
                <w:color w:val="auto"/>
              </w:rPr>
            </w:pPr>
            <w:r>
              <w:rPr>
                <w:rFonts w:ascii="Arial" w:cs="Arial" w:eastAsia="Arial" w:hAnsi="Arial"/>
                <w:sz w:val="12"/>
                <w:szCs w:val="12"/>
                <w:color w:val="auto"/>
              </w:rPr>
              <w:t>Change in insurance recoverable</w:t>
            </w: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94</w:t>
            </w: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34</w:t>
            </w:r>
          </w:p>
        </w:tc>
        <w:tc>
          <w:tcPr>
            <w:tcW w:w="480" w:type="dxa"/>
            <w:vAlign w:val="bottom"/>
          </w:tcPr>
          <w:p>
            <w:pPr>
              <w:spacing w:after="0"/>
              <w:rPr>
                <w:sz w:val="13"/>
                <w:szCs w:val="13"/>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1</w:t>
            </w:r>
          </w:p>
        </w:tc>
      </w:tr>
      <w:tr>
        <w:trPr>
          <w:trHeight w:val="160"/>
        </w:trPr>
        <w:tc>
          <w:tcPr>
            <w:tcW w:w="6620" w:type="dxa"/>
            <w:vAlign w:val="bottom"/>
            <w:shd w:val="clear" w:color="auto" w:fill="CCEEFF"/>
          </w:tcPr>
          <w:p>
            <w:pPr>
              <w:spacing w:after="0"/>
              <w:rPr>
                <w:sz w:val="20"/>
                <w:szCs w:val="20"/>
                <w:color w:val="auto"/>
              </w:rPr>
            </w:pPr>
            <w:r>
              <w:rPr>
                <w:rFonts w:ascii="Arial" w:cs="Arial" w:eastAsia="Arial" w:hAnsi="Arial"/>
                <w:sz w:val="12"/>
                <w:szCs w:val="12"/>
                <w:color w:val="auto"/>
              </w:rPr>
              <w:t>Claim loss provision related to:</w:t>
            </w: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5"/>
        </w:trPr>
        <w:tc>
          <w:tcPr>
            <w:tcW w:w="6620" w:type="dxa"/>
            <w:vAlign w:val="bottom"/>
          </w:tcPr>
          <w:p>
            <w:pPr>
              <w:ind w:left="180"/>
              <w:spacing w:after="0"/>
              <w:rPr>
                <w:sz w:val="20"/>
                <w:szCs w:val="20"/>
                <w:color w:val="auto"/>
              </w:rPr>
            </w:pPr>
            <w:r>
              <w:rPr>
                <w:rFonts w:ascii="Arial" w:cs="Arial" w:eastAsia="Arial" w:hAnsi="Arial"/>
                <w:sz w:val="12"/>
                <w:szCs w:val="12"/>
                <w:color w:val="auto"/>
              </w:rPr>
              <w:t>Current year</w:t>
            </w: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385</w:t>
            </w: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283</w:t>
            </w:r>
          </w:p>
        </w:tc>
        <w:tc>
          <w:tcPr>
            <w:tcW w:w="480" w:type="dxa"/>
            <w:vAlign w:val="bottom"/>
          </w:tcPr>
          <w:p>
            <w:pPr>
              <w:spacing w:after="0"/>
              <w:rPr>
                <w:sz w:val="13"/>
                <w:szCs w:val="13"/>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240</w:t>
            </w:r>
          </w:p>
        </w:tc>
      </w:tr>
      <w:tr>
        <w:trPr>
          <w:trHeight w:val="160"/>
        </w:trPr>
        <w:tc>
          <w:tcPr>
            <w:tcW w:w="6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Prior years</w:t>
            </w:r>
          </w:p>
        </w:tc>
        <w:tc>
          <w:tcPr>
            <w:tcW w:w="10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7"/>
        </w:trPr>
        <w:tc>
          <w:tcPr>
            <w:tcW w:w="6620" w:type="dxa"/>
            <w:vAlign w:val="bottom"/>
          </w:tcPr>
          <w:p>
            <w:pPr>
              <w:ind w:left="380"/>
              <w:spacing w:after="0"/>
              <w:rPr>
                <w:sz w:val="20"/>
                <w:szCs w:val="20"/>
                <w:color w:val="auto"/>
              </w:rPr>
            </w:pPr>
            <w:r>
              <w:rPr>
                <w:rFonts w:ascii="Arial" w:cs="Arial" w:eastAsia="Arial" w:hAnsi="Arial"/>
                <w:sz w:val="12"/>
                <w:szCs w:val="12"/>
                <w:color w:val="auto"/>
              </w:rPr>
              <w:t>Total title claim loss provision</w:t>
            </w:r>
          </w:p>
        </w:tc>
        <w:tc>
          <w:tcPr>
            <w:tcW w:w="10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385</w:t>
            </w:r>
          </w:p>
        </w:tc>
        <w:tc>
          <w:tcPr>
            <w:tcW w:w="2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283</w:t>
            </w:r>
          </w:p>
        </w:tc>
        <w:tc>
          <w:tcPr>
            <w:tcW w:w="480" w:type="dxa"/>
            <w:vAlign w:val="bottom"/>
          </w:tcPr>
          <w:p>
            <w:pPr>
              <w:spacing w:after="0"/>
              <w:rPr>
                <w:sz w:val="12"/>
                <w:szCs w:val="12"/>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240</w:t>
            </w:r>
          </w:p>
        </w:tc>
      </w:tr>
      <w:tr>
        <w:trPr>
          <w:trHeight w:val="160"/>
        </w:trPr>
        <w:tc>
          <w:tcPr>
            <w:tcW w:w="6620" w:type="dxa"/>
            <w:vAlign w:val="bottom"/>
            <w:shd w:val="clear" w:color="auto" w:fill="CCEEFF"/>
          </w:tcPr>
          <w:p>
            <w:pPr>
              <w:spacing w:after="0"/>
              <w:rPr>
                <w:sz w:val="20"/>
                <w:szCs w:val="20"/>
                <w:color w:val="auto"/>
              </w:rPr>
            </w:pPr>
            <w:r>
              <w:rPr>
                <w:rFonts w:ascii="Arial" w:cs="Arial" w:eastAsia="Arial" w:hAnsi="Arial"/>
                <w:sz w:val="12"/>
                <w:szCs w:val="12"/>
                <w:color w:val="auto"/>
              </w:rPr>
              <w:t>Claims paid, net of recoupments related to:</w:t>
            </w: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5"/>
        </w:trPr>
        <w:tc>
          <w:tcPr>
            <w:tcW w:w="6620" w:type="dxa"/>
            <w:vAlign w:val="bottom"/>
          </w:tcPr>
          <w:p>
            <w:pPr>
              <w:ind w:left="180"/>
              <w:spacing w:after="0"/>
              <w:rPr>
                <w:sz w:val="20"/>
                <w:szCs w:val="20"/>
                <w:color w:val="auto"/>
              </w:rPr>
            </w:pPr>
            <w:r>
              <w:rPr>
                <w:rFonts w:ascii="Arial" w:cs="Arial" w:eastAsia="Arial" w:hAnsi="Arial"/>
                <w:sz w:val="12"/>
                <w:szCs w:val="12"/>
                <w:color w:val="auto"/>
              </w:rPr>
              <w:t>Current year</w:t>
            </w: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w:t>
            </w: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(11)</w:t>
            </w:r>
          </w:p>
        </w:tc>
        <w:tc>
          <w:tcPr>
            <w:tcW w:w="480" w:type="dxa"/>
            <w:vAlign w:val="bottom"/>
          </w:tcPr>
          <w:p>
            <w:pPr>
              <w:spacing w:after="0"/>
              <w:rPr>
                <w:sz w:val="13"/>
                <w:szCs w:val="13"/>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(11)</w:t>
            </w:r>
          </w:p>
        </w:tc>
      </w:tr>
      <w:tr>
        <w:trPr>
          <w:trHeight w:val="160"/>
        </w:trPr>
        <w:tc>
          <w:tcPr>
            <w:tcW w:w="6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Prior years</w:t>
            </w:r>
          </w:p>
        </w:tc>
        <w:tc>
          <w:tcPr>
            <w:tcW w:w="10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2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4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(209)</w:t>
            </w:r>
          </w:p>
        </w:tc>
      </w:tr>
      <w:tr>
        <w:trPr>
          <w:trHeight w:val="147"/>
        </w:trPr>
        <w:tc>
          <w:tcPr>
            <w:tcW w:w="662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Total title claims paid, net of recoupments</w:t>
            </w: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w:t>
            </w: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w:t>
            </w: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(220)</w:t>
            </w:r>
          </w:p>
        </w:tc>
      </w:tr>
      <w:tr>
        <w:trPr>
          <w:trHeight w:val="176"/>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 of claim loss reserve for title insurance</w:t>
            </w:r>
          </w:p>
        </w:tc>
        <w:tc>
          <w:tcPr>
            <w:tcW w:w="1020" w:type="dxa"/>
            <w:vAlign w:val="bottom"/>
            <w:tcBorders>
              <w:bottom w:val="single" w:sz="8" w:color="auto"/>
            </w:tcBorders>
            <w:shd w:val="clear" w:color="auto" w:fill="CCEEFF"/>
          </w:tcPr>
          <w:p>
            <w:pPr>
              <w:jc w:val="right"/>
              <w:ind w:right="88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1,623</w:t>
            </w:r>
          </w:p>
        </w:tc>
        <w:tc>
          <w:tcPr>
            <w:tcW w:w="4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1,509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6620" w:type="dxa"/>
            <w:vAlign w:val="bottom"/>
          </w:tcPr>
          <w:p>
            <w:pPr>
              <w:spacing w:after="0" w:line="123" w:lineRule="exact"/>
              <w:rPr>
                <w:sz w:val="20"/>
                <w:szCs w:val="20"/>
                <w:color w:val="auto"/>
              </w:rPr>
            </w:pPr>
            <w:r>
              <w:rPr>
                <w:rFonts w:ascii="Arial" w:cs="Arial" w:eastAsia="Arial" w:hAnsi="Arial"/>
                <w:sz w:val="12"/>
                <w:szCs w:val="12"/>
                <w:color w:val="auto"/>
              </w:rPr>
              <w:t>Provision for title insurance claim losses as a percentage of title insurance premiums</w:t>
            </w:r>
          </w:p>
        </w:tc>
        <w:tc>
          <w:tcPr>
            <w:tcW w:w="10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color w:val="auto"/>
              </w:rPr>
              <w:t>4.5</w:t>
            </w:r>
          </w:p>
        </w:tc>
        <w:tc>
          <w:tcPr>
            <w:tcW w:w="200" w:type="dxa"/>
            <w:vAlign w:val="bottom"/>
            <w:tcBorders>
              <w:bottom w:val="single" w:sz="8" w:color="auto"/>
            </w:tcBorders>
          </w:tcPr>
          <w:p>
            <w:pPr>
              <w:jc w:val="right"/>
              <w:ind w:right="40"/>
              <w:spacing w:after="0" w:line="123" w:lineRule="exact"/>
              <w:rPr>
                <w:sz w:val="20"/>
                <w:szCs w:val="20"/>
                <w:color w:val="auto"/>
              </w:rPr>
            </w:pPr>
            <w:r>
              <w:rPr>
                <w:rFonts w:ascii="Arial" w:cs="Arial" w:eastAsia="Arial" w:hAnsi="Arial"/>
                <w:sz w:val="12"/>
                <w:szCs w:val="12"/>
                <w:color w:val="auto"/>
                <w:w w:val="74"/>
              </w:rPr>
              <w:t>%</w:t>
            </w:r>
          </w:p>
        </w:tc>
        <w:tc>
          <w:tcPr>
            <w:tcW w:w="13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color w:val="auto"/>
              </w:rPr>
              <w:t>4.5</w:t>
            </w:r>
          </w:p>
        </w:tc>
        <w:tc>
          <w:tcPr>
            <w:tcW w:w="480" w:type="dxa"/>
            <w:vAlign w:val="bottom"/>
            <w:tcBorders>
              <w:bottom w:val="single" w:sz="8" w:color="auto"/>
            </w:tcBorders>
          </w:tcPr>
          <w:p>
            <w:pPr>
              <w:jc w:val="right"/>
              <w:ind w:right="320"/>
              <w:spacing w:after="0" w:line="123" w:lineRule="exact"/>
              <w:rPr>
                <w:sz w:val="20"/>
                <w:szCs w:val="20"/>
                <w:color w:val="auto"/>
              </w:rPr>
            </w:pPr>
            <w:r>
              <w:rPr>
                <w:rFonts w:ascii="Arial" w:cs="Arial" w:eastAsia="Arial" w:hAnsi="Arial"/>
                <w:sz w:val="12"/>
                <w:szCs w:val="12"/>
                <w:color w:val="auto"/>
                <w:w w:val="74"/>
              </w:rPr>
              <w:t>%</w:t>
            </w:r>
          </w:p>
        </w:tc>
        <w:tc>
          <w:tcPr>
            <w:tcW w:w="118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color w:val="auto"/>
              </w:rPr>
              <w:t>4.5 %</w:t>
            </w:r>
          </w:p>
        </w:tc>
      </w:tr>
      <w:tr>
        <w:trPr>
          <w:trHeight w:val="20"/>
        </w:trPr>
        <w:tc>
          <w:tcPr>
            <w:tcW w:w="6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Several lawsuits have been filed by various parties against Chicago Title Company and Chicago Title Insurance Company as its principal (collectively, the “Named Companies”). Generally, plaintiffs claim they are investors who were solicited by Gina Champion-Cain through her former company, ANI, or other affiliates to provide funds that purportedly were to be used for high-interest, short-term loans to parties seeking to acquire California alcoholic beverage licenses. Plaintiffs contend they were told that under California state law, alcoholic beverage license applicants are required to deposit into escrow an amount equal to the license purchase price while their applications remain pending with the State. Plaintiffs further alleged that employees of Chicago Title Company participated with Ms. Champion-Cain and her entities in a fraud scheme involving an escrow account maintained by Chicago Title Company into which the plaintiffs’ funds were deposited.</w:t>
      </w:r>
    </w:p>
    <w:p>
      <w:pPr>
        <w:spacing w:after="0" w:line="61" w:lineRule="exact"/>
        <w:rPr>
          <w:sz w:val="20"/>
          <w:szCs w:val="20"/>
          <w:color w:val="auto"/>
        </w:rPr>
      </w:pPr>
    </w:p>
    <w:p>
      <w:pPr>
        <w:ind w:right="180" w:firstLine="270"/>
        <w:spacing w:after="0" w:line="278" w:lineRule="auto"/>
        <w:rPr>
          <w:sz w:val="20"/>
          <w:szCs w:val="20"/>
          <w:color w:val="auto"/>
        </w:rPr>
      </w:pPr>
      <w:r>
        <w:rPr>
          <w:rFonts w:ascii="Arial" w:cs="Arial" w:eastAsia="Arial" w:hAnsi="Arial"/>
          <w:sz w:val="14"/>
          <w:szCs w:val="14"/>
          <w:color w:val="auto"/>
        </w:rPr>
        <w:t>The following lawsuits are pending in the Superior Court of San Diego County for the State of California and have been set for jury trial on December 2, 2022. While they have not been consolidated into one action, they have been deemed by the court to be related and are assigned to the same judge for purposes of judicial economy.</w:t>
      </w:r>
    </w:p>
    <w:p>
      <w:pPr>
        <w:spacing w:after="0" w:line="157" w:lineRule="exact"/>
        <w:rPr>
          <w:sz w:val="20"/>
          <w:szCs w:val="20"/>
          <w:color w:val="auto"/>
        </w:rPr>
      </w:pPr>
    </w:p>
    <w:p>
      <w:pPr>
        <w:jc w:val="both"/>
        <w:ind w:left="260" w:firstLine="270"/>
        <w:spacing w:after="0" w:line="283" w:lineRule="auto"/>
        <w:rPr>
          <w:sz w:val="20"/>
          <w:szCs w:val="20"/>
          <w:color w:val="auto"/>
        </w:rPr>
      </w:pPr>
      <w:r>
        <w:rPr>
          <w:rFonts w:ascii="Arial" w:cs="Arial" w:eastAsia="Arial" w:hAnsi="Arial"/>
          <w:sz w:val="14"/>
          <w:szCs w:val="14"/>
          <w:color w:val="auto"/>
        </w:rPr>
        <w:t xml:space="preserve">On December 13, 2019, a lawsuit styled, </w:t>
      </w:r>
      <w:r>
        <w:rPr>
          <w:rFonts w:ascii="Arial" w:cs="Arial" w:eastAsia="Arial" w:hAnsi="Arial"/>
          <w:sz w:val="14"/>
          <w:szCs w:val="14"/>
          <w:i w:val="1"/>
          <w:iCs w:val="1"/>
          <w:color w:val="auto"/>
        </w:rPr>
        <w:t>Kim Funding, LLC, Kim H. Peterson, Joseph J. Cohen, and ABC Funding Strategies, LLC v. Chicago Title Co., Chicago Title Ins. Co.,</w:t>
      </w:r>
      <w:r>
        <w:rPr>
          <w:rFonts w:ascii="Arial" w:cs="Arial" w:eastAsia="Arial" w:hAnsi="Arial"/>
          <w:sz w:val="14"/>
          <w:szCs w:val="14"/>
          <w:color w:val="auto"/>
        </w:rPr>
        <w:t xml:space="preserve"> </w:t>
      </w:r>
      <w:r>
        <w:rPr>
          <w:rFonts w:ascii="Arial" w:cs="Arial" w:eastAsia="Arial" w:hAnsi="Arial"/>
          <w:sz w:val="14"/>
          <w:szCs w:val="14"/>
          <w:i w:val="1"/>
          <w:iCs w:val="1"/>
          <w:color w:val="auto"/>
        </w:rPr>
        <w:t>Thomas Schwiebert, Adelle Ducharme, and Betty Elixman</w:t>
      </w:r>
      <w:r>
        <w:rPr>
          <w:rFonts w:ascii="Arial" w:cs="Arial" w:eastAsia="Arial" w:hAnsi="Arial"/>
          <w:sz w:val="14"/>
          <w:szCs w:val="14"/>
          <w:color w:val="auto"/>
        </w:rPr>
        <w:t>, was filed in San Diego County Superior Court. Plaintiffs claim losses of more than $250 million as a result of the alleged</w:t>
      </w:r>
      <w:r>
        <w:rPr>
          <w:rFonts w:ascii="Arial" w:cs="Arial" w:eastAsia="Arial" w:hAnsi="Arial"/>
          <w:sz w:val="14"/>
          <w:szCs w:val="14"/>
          <w:i w:val="1"/>
          <w:iCs w:val="1"/>
          <w:color w:val="auto"/>
        </w:rPr>
        <w:t xml:space="preserve"> </w:t>
      </w:r>
      <w:r>
        <w:rPr>
          <w:rFonts w:ascii="Arial" w:cs="Arial" w:eastAsia="Arial" w:hAnsi="Arial"/>
          <w:sz w:val="14"/>
          <w:szCs w:val="14"/>
          <w:color w:val="auto"/>
        </w:rPr>
        <w:t>fraud scheme, and also seek statutory, treble, and punitive damages. The Named Companies have filed a cross-complaint against Ms. Champion-Cain, and others. The Named Companies have reached a conditional settlement with the members of ABC Funding Strategies, LLC plaintiffs under confidential terms.</w:t>
      </w:r>
    </w:p>
    <w:p>
      <w:pPr>
        <w:spacing w:after="0" w:line="52" w:lineRule="exact"/>
        <w:rPr>
          <w:sz w:val="20"/>
          <w:szCs w:val="20"/>
          <w:color w:val="auto"/>
        </w:rPr>
      </w:pPr>
    </w:p>
    <w:p>
      <w:pPr>
        <w:jc w:val="both"/>
        <w:ind w:left="260" w:firstLine="270"/>
        <w:spacing w:after="0" w:line="262" w:lineRule="auto"/>
        <w:rPr>
          <w:sz w:val="20"/>
          <w:szCs w:val="20"/>
          <w:color w:val="auto"/>
        </w:rPr>
      </w:pPr>
      <w:r>
        <w:rPr>
          <w:rFonts w:ascii="Arial" w:cs="Arial" w:eastAsia="Arial" w:hAnsi="Arial"/>
          <w:sz w:val="15"/>
          <w:szCs w:val="15"/>
          <w:color w:val="auto"/>
        </w:rPr>
        <w:t xml:space="preserve">On March 6, 2020, a lawsuit styled, </w:t>
      </w:r>
      <w:r>
        <w:rPr>
          <w:rFonts w:ascii="Arial" w:cs="Arial" w:eastAsia="Arial" w:hAnsi="Arial"/>
          <w:sz w:val="15"/>
          <w:szCs w:val="15"/>
          <w:i w:val="1"/>
          <w:iCs w:val="1"/>
          <w:color w:val="auto"/>
        </w:rPr>
        <w:t>Wakefield Capital, LLC, Wakefield Investments, LLC, 2Budz Holding, LLC, Doug and Kristine Heidrich, and Jeff and Heidi Orr v. Chicago</w:t>
      </w:r>
      <w:r>
        <w:rPr>
          <w:rFonts w:ascii="Arial" w:cs="Arial" w:eastAsia="Arial" w:hAnsi="Arial"/>
          <w:sz w:val="15"/>
          <w:szCs w:val="15"/>
          <w:color w:val="auto"/>
        </w:rPr>
        <w:t xml:space="preserve"> </w:t>
      </w:r>
      <w:r>
        <w:rPr>
          <w:rFonts w:ascii="Arial" w:cs="Arial" w:eastAsia="Arial" w:hAnsi="Arial"/>
          <w:sz w:val="15"/>
          <w:szCs w:val="15"/>
          <w:i w:val="1"/>
          <w:iCs w:val="1"/>
          <w:color w:val="auto"/>
        </w:rPr>
        <w:t>Title Co. and Chicago Title Ins. Co.</w:t>
      </w:r>
      <w:r>
        <w:rPr>
          <w:rFonts w:ascii="Arial" w:cs="Arial" w:eastAsia="Arial" w:hAnsi="Arial"/>
          <w:sz w:val="15"/>
          <w:szCs w:val="15"/>
          <w:color w:val="auto"/>
        </w:rPr>
        <w:t>, was filed in San Diego County Superior Court. Plaintiffs claim losses in excess of $7 million as a result of the alleged fraud scheme, and also</w:t>
      </w:r>
      <w:r>
        <w:rPr>
          <w:rFonts w:ascii="Arial" w:cs="Arial" w:eastAsia="Arial" w:hAnsi="Arial"/>
          <w:sz w:val="15"/>
          <w:szCs w:val="15"/>
          <w:i w:val="1"/>
          <w:iCs w:val="1"/>
          <w:color w:val="auto"/>
        </w:rPr>
        <w:t xml:space="preserve"> </w:t>
      </w:r>
      <w:r>
        <w:rPr>
          <w:rFonts w:ascii="Arial" w:cs="Arial" w:eastAsia="Arial" w:hAnsi="Arial"/>
          <w:sz w:val="15"/>
          <w:szCs w:val="15"/>
          <w:color w:val="auto"/>
        </w:rPr>
        <w:t>seek punitive damages, recovery of attorneys’ fees, and disgorgement.</w:t>
      </w:r>
    </w:p>
    <w:p>
      <w:pPr>
        <w:spacing w:after="0" w:line="66" w:lineRule="exact"/>
        <w:rPr>
          <w:sz w:val="20"/>
          <w:szCs w:val="20"/>
          <w:color w:val="auto"/>
        </w:rPr>
      </w:pPr>
    </w:p>
    <w:p>
      <w:pPr>
        <w:jc w:val="both"/>
        <w:ind w:left="260" w:firstLine="270"/>
        <w:spacing w:after="0" w:line="258" w:lineRule="auto"/>
        <w:rPr>
          <w:sz w:val="20"/>
          <w:szCs w:val="20"/>
          <w:color w:val="auto"/>
        </w:rPr>
      </w:pPr>
      <w:r>
        <w:rPr>
          <w:rFonts w:ascii="Arial" w:cs="Arial" w:eastAsia="Arial" w:hAnsi="Arial"/>
          <w:sz w:val="15"/>
          <w:szCs w:val="15"/>
          <w:color w:val="auto"/>
        </w:rPr>
        <w:t xml:space="preserve">On June 29, 2020, a lawsuit styled, </w:t>
      </w:r>
      <w:r>
        <w:rPr>
          <w:rFonts w:ascii="Arial" w:cs="Arial" w:eastAsia="Arial" w:hAnsi="Arial"/>
          <w:sz w:val="15"/>
          <w:szCs w:val="15"/>
          <w:i w:val="1"/>
          <w:iCs w:val="1"/>
          <w:color w:val="auto"/>
        </w:rPr>
        <w:t>Susan Heller Fenley Separate Property Trust, DTD 03/04/2010, Susan Heller Fenley Inherited Roth IRA, Shelley Lynn Tarditi Trust and ROJ,</w:t>
      </w:r>
      <w:r>
        <w:rPr>
          <w:rFonts w:ascii="Arial" w:cs="Arial" w:eastAsia="Arial" w:hAnsi="Arial"/>
          <w:sz w:val="15"/>
          <w:szCs w:val="15"/>
          <w:color w:val="auto"/>
        </w:rPr>
        <w:t xml:space="preserve"> </w:t>
      </w:r>
      <w:r>
        <w:rPr>
          <w:rFonts w:ascii="Arial" w:cs="Arial" w:eastAsia="Arial" w:hAnsi="Arial"/>
          <w:sz w:val="15"/>
          <w:szCs w:val="15"/>
          <w:i w:val="1"/>
          <w:iCs w:val="1"/>
          <w:color w:val="auto"/>
        </w:rPr>
        <w:t>LLC v. Chicago Title Co., Chicago Title Ins. Co., Thomas Schwiebert, Adelle Ducharme, and Betty Elixman</w:t>
      </w:r>
      <w:r>
        <w:rPr>
          <w:rFonts w:ascii="Arial" w:cs="Arial" w:eastAsia="Arial" w:hAnsi="Arial"/>
          <w:sz w:val="15"/>
          <w:szCs w:val="15"/>
          <w:color w:val="auto"/>
        </w:rPr>
        <w:t>, was filed in San Diego County Superior Court. Plaintiffs claim losses in</w:t>
      </w:r>
      <w:r>
        <w:rPr>
          <w:rFonts w:ascii="Arial" w:cs="Arial" w:eastAsia="Arial" w:hAnsi="Arial"/>
          <w:sz w:val="15"/>
          <w:szCs w:val="15"/>
          <w:i w:val="1"/>
          <w:iCs w:val="1"/>
          <w:color w:val="auto"/>
        </w:rPr>
        <w:t xml:space="preserve"> </w:t>
      </w:r>
      <w:r>
        <w:rPr>
          <w:rFonts w:ascii="Arial" w:cs="Arial" w:eastAsia="Arial" w:hAnsi="Arial"/>
          <w:sz w:val="15"/>
          <w:szCs w:val="15"/>
          <w:color w:val="auto"/>
        </w:rPr>
        <w:t>excess of $6 million as a result of the alleged fraud scheme, and seek statutory, treble, and punitive damages. The Named Companies have filed a cross-complaint against Ms. Champion-Cain, and others.</w:t>
      </w:r>
    </w:p>
    <w:p>
      <w:pPr>
        <w:spacing w:after="0" w:line="70" w:lineRule="exact"/>
        <w:rPr>
          <w:sz w:val="20"/>
          <w:szCs w:val="20"/>
          <w:color w:val="auto"/>
        </w:rPr>
      </w:pPr>
    </w:p>
    <w:p>
      <w:pPr>
        <w:jc w:val="both"/>
        <w:ind w:left="260" w:firstLine="270"/>
        <w:spacing w:after="0" w:line="258" w:lineRule="auto"/>
        <w:rPr>
          <w:sz w:val="20"/>
          <w:szCs w:val="20"/>
          <w:color w:val="auto"/>
        </w:rPr>
      </w:pPr>
      <w:r>
        <w:rPr>
          <w:rFonts w:ascii="Arial" w:cs="Arial" w:eastAsia="Arial" w:hAnsi="Arial"/>
          <w:sz w:val="15"/>
          <w:szCs w:val="15"/>
          <w:color w:val="auto"/>
        </w:rPr>
        <w:t xml:space="preserve">On July 7, 2020, a cross-claim styled, </w:t>
      </w:r>
      <w:r>
        <w:rPr>
          <w:rFonts w:ascii="Arial" w:cs="Arial" w:eastAsia="Arial" w:hAnsi="Arial"/>
          <w:sz w:val="15"/>
          <w:szCs w:val="15"/>
          <w:i w:val="1"/>
          <w:iCs w:val="1"/>
          <w:color w:val="auto"/>
        </w:rPr>
        <w:t>Laurie Peterson v. Chicago Title Co., Chicago Title Ins. Co., Thomas Schwiebert, Adelle Ducharme, and Betty Elixman</w:t>
      </w:r>
      <w:r>
        <w:rPr>
          <w:rFonts w:ascii="Arial" w:cs="Arial" w:eastAsia="Arial" w:hAnsi="Arial"/>
          <w:sz w:val="15"/>
          <w:szCs w:val="15"/>
          <w:color w:val="auto"/>
        </w:rPr>
        <w:t xml:space="preserve">, was filed in an existing lawsuit styled, </w:t>
      </w:r>
      <w:r>
        <w:rPr>
          <w:rFonts w:ascii="Arial" w:cs="Arial" w:eastAsia="Arial" w:hAnsi="Arial"/>
          <w:sz w:val="15"/>
          <w:szCs w:val="15"/>
          <w:i w:val="1"/>
          <w:iCs w:val="1"/>
          <w:color w:val="auto"/>
        </w:rPr>
        <w:t>Banc of California, National Association v. Laurie Peterson</w:t>
      </w:r>
      <w:r>
        <w:rPr>
          <w:rFonts w:ascii="Arial" w:cs="Arial" w:eastAsia="Arial" w:hAnsi="Arial"/>
          <w:sz w:val="15"/>
          <w:szCs w:val="15"/>
          <w:color w:val="auto"/>
        </w:rPr>
        <w:t>, which is pending in San Diego County Superior Court. Cross-complaint plaintiff was sued by a bank to recover in excess of $35 million that she allegedly guaranteed to repay for certain investments made by the Banc of California in the alcoholic beverage license scheme. Cross-complaint plaintiff has, in turn, sued the Named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7" w:name="page118"/>
    <w:bookmarkEnd w:id="11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left="260"/>
        <w:spacing w:after="0" w:line="274" w:lineRule="auto"/>
        <w:rPr>
          <w:sz w:val="20"/>
          <w:szCs w:val="20"/>
          <w:color w:val="auto"/>
        </w:rPr>
      </w:pPr>
      <w:r>
        <w:rPr>
          <w:rFonts w:ascii="Arial" w:cs="Arial" w:eastAsia="Arial" w:hAnsi="Arial"/>
          <w:sz w:val="15"/>
          <w:szCs w:val="15"/>
          <w:color w:val="auto"/>
        </w:rPr>
        <w:t>Companies in that action seeking in excess of $250 million in monetary losses as well as exemplary damages and attorneys’ fees. The Named Companies have filed a cross-complaint against Ms. Champion-Cain, and others.</w:t>
      </w:r>
    </w:p>
    <w:p>
      <w:pPr>
        <w:spacing w:after="0" w:line="57" w:lineRule="exact"/>
        <w:rPr>
          <w:sz w:val="20"/>
          <w:szCs w:val="20"/>
          <w:color w:val="auto"/>
        </w:rPr>
      </w:pPr>
    </w:p>
    <w:p>
      <w:pPr>
        <w:jc w:val="both"/>
        <w:ind w:left="260" w:firstLine="270"/>
        <w:spacing w:after="0" w:line="275" w:lineRule="auto"/>
        <w:rPr>
          <w:sz w:val="20"/>
          <w:szCs w:val="20"/>
          <w:color w:val="auto"/>
        </w:rPr>
      </w:pPr>
      <w:r>
        <w:rPr>
          <w:rFonts w:ascii="Arial" w:cs="Arial" w:eastAsia="Arial" w:hAnsi="Arial"/>
          <w:sz w:val="14"/>
          <w:szCs w:val="14"/>
          <w:color w:val="auto"/>
        </w:rPr>
        <w:t xml:space="preserve">On September 3, 2020, a cross-claim styled, </w:t>
      </w:r>
      <w:r>
        <w:rPr>
          <w:rFonts w:ascii="Arial" w:cs="Arial" w:eastAsia="Arial" w:hAnsi="Arial"/>
          <w:sz w:val="14"/>
          <w:szCs w:val="14"/>
          <w:i w:val="1"/>
          <w:iCs w:val="1"/>
          <w:color w:val="auto"/>
        </w:rPr>
        <w:t>Kim H. Peterson Trustee of the Peterson Family Trust dated April 14 1992 v. Chicago Title Co., Chicago Title Ins. Co., Thomas</w:t>
      </w:r>
      <w:r>
        <w:rPr>
          <w:rFonts w:ascii="Arial" w:cs="Arial" w:eastAsia="Arial" w:hAnsi="Arial"/>
          <w:sz w:val="14"/>
          <w:szCs w:val="14"/>
          <w:color w:val="auto"/>
        </w:rPr>
        <w:t xml:space="preserve"> </w:t>
      </w:r>
      <w:r>
        <w:rPr>
          <w:rFonts w:ascii="Arial" w:cs="Arial" w:eastAsia="Arial" w:hAnsi="Arial"/>
          <w:sz w:val="14"/>
          <w:szCs w:val="14"/>
          <w:i w:val="1"/>
          <w:iCs w:val="1"/>
          <w:color w:val="auto"/>
        </w:rPr>
        <w:t>Schwiebert, Adelle Ducharme, and Betty Elixman</w:t>
      </w:r>
      <w:r>
        <w:rPr>
          <w:rFonts w:ascii="Arial" w:cs="Arial" w:eastAsia="Arial" w:hAnsi="Arial"/>
          <w:sz w:val="14"/>
          <w:szCs w:val="14"/>
          <w:color w:val="auto"/>
        </w:rPr>
        <w:t>, was filed in an existing lawsuit styled,</w:t>
      </w:r>
      <w:r>
        <w:rPr>
          <w:rFonts w:ascii="Arial" w:cs="Arial" w:eastAsia="Arial" w:hAnsi="Arial"/>
          <w:sz w:val="14"/>
          <w:szCs w:val="14"/>
          <w:i w:val="1"/>
          <w:iCs w:val="1"/>
          <w:color w:val="auto"/>
        </w:rPr>
        <w:t xml:space="preserve"> CalPrivate Bank v. Kim H. Peterson Trustee of the Peterson Family Trust dated April 14</w:t>
      </w:r>
    </w:p>
    <w:p>
      <w:pPr>
        <w:spacing w:after="0" w:line="1" w:lineRule="exact"/>
        <w:rPr>
          <w:sz w:val="20"/>
          <w:szCs w:val="20"/>
          <w:color w:val="auto"/>
        </w:rPr>
      </w:pPr>
    </w:p>
    <w:p>
      <w:pPr>
        <w:jc w:val="both"/>
        <w:ind w:left="260"/>
        <w:spacing w:after="0" w:line="283" w:lineRule="auto"/>
        <w:rPr>
          <w:sz w:val="20"/>
          <w:szCs w:val="20"/>
          <w:color w:val="auto"/>
        </w:rPr>
      </w:pPr>
      <w:r>
        <w:rPr>
          <w:rFonts w:ascii="Arial" w:cs="Arial" w:eastAsia="Arial" w:hAnsi="Arial"/>
          <w:sz w:val="14"/>
          <w:szCs w:val="14"/>
          <w:i w:val="1"/>
          <w:iCs w:val="1"/>
          <w:color w:val="auto"/>
        </w:rPr>
        <w:t>1992</w:t>
      </w:r>
      <w:r>
        <w:rPr>
          <w:rFonts w:ascii="Arial" w:cs="Arial" w:eastAsia="Arial" w:hAnsi="Arial"/>
          <w:sz w:val="14"/>
          <w:szCs w:val="14"/>
          <w:color w:val="auto"/>
        </w:rPr>
        <w:t>, which is pending in Superior Court of San Diego County for the State of California. Cross-complaint plaintiff was sued by a bank to recover in excess of $12 million that the</w:t>
      </w:r>
      <w:r>
        <w:rPr>
          <w:rFonts w:ascii="Arial" w:cs="Arial" w:eastAsia="Arial" w:hAnsi="Arial"/>
          <w:sz w:val="14"/>
          <w:szCs w:val="14"/>
          <w:i w:val="1"/>
          <w:iCs w:val="1"/>
          <w:color w:val="auto"/>
        </w:rPr>
        <w:t xml:space="preserve"> </w:t>
      </w:r>
      <w:r>
        <w:rPr>
          <w:rFonts w:ascii="Arial" w:cs="Arial" w:eastAsia="Arial" w:hAnsi="Arial"/>
          <w:sz w:val="14"/>
          <w:szCs w:val="14"/>
          <w:color w:val="auto"/>
        </w:rPr>
        <w:t>trustee allegedly guaranteed to repay for certain investments made by CalPrivate Bank in the alcoholic beverage license scheme. Cross-complaint plaintiff has, in turn, sued the Named Companies in that action seeking in excess of $250 million in monetary losses as well as exemplary damages and attorneys’ fees.</w:t>
      </w:r>
    </w:p>
    <w:p>
      <w:pPr>
        <w:spacing w:after="0" w:line="52" w:lineRule="exact"/>
        <w:rPr>
          <w:sz w:val="20"/>
          <w:szCs w:val="20"/>
          <w:color w:val="auto"/>
        </w:rPr>
      </w:pPr>
    </w:p>
    <w:p>
      <w:pPr>
        <w:jc w:val="both"/>
        <w:ind w:left="260" w:firstLine="270"/>
        <w:spacing w:after="0" w:line="290" w:lineRule="auto"/>
        <w:rPr>
          <w:sz w:val="20"/>
          <w:szCs w:val="20"/>
          <w:color w:val="auto"/>
        </w:rPr>
      </w:pPr>
      <w:r>
        <w:rPr>
          <w:rFonts w:ascii="Arial" w:cs="Arial" w:eastAsia="Arial" w:hAnsi="Arial"/>
          <w:sz w:val="14"/>
          <w:szCs w:val="14"/>
          <w:color w:val="auto"/>
        </w:rPr>
        <w:t xml:space="preserve">On October 1, 2020, a lawsuit styled, </w:t>
      </w:r>
      <w:r>
        <w:rPr>
          <w:rFonts w:ascii="Arial" w:cs="Arial" w:eastAsia="Arial" w:hAnsi="Arial"/>
          <w:sz w:val="14"/>
          <w:szCs w:val="14"/>
          <w:i w:val="1"/>
          <w:iCs w:val="1"/>
          <w:color w:val="auto"/>
        </w:rPr>
        <w:t>Ovation Fin. Holdings 2 LLC, Ovation Fund Mgmt. II, LLC, Banc of California, N.A. v. Chicago Title Ins. Co.</w:t>
      </w:r>
      <w:r>
        <w:rPr>
          <w:rFonts w:ascii="Arial" w:cs="Arial" w:eastAsia="Arial" w:hAnsi="Arial"/>
          <w:sz w:val="14"/>
          <w:szCs w:val="14"/>
          <w:color w:val="auto"/>
        </w:rPr>
        <w:t>, was filed in San Diego County Superior Court. Plaintiffs claim losses of more than $75 million, as well as consequential and punitive damages. The Named Companies have filed a cross-complaint against Ms. Champion-Cain, and others. The Named Companies have reached a conditional settlement with the Ovation plaintiffs under confidential terms.</w:t>
      </w:r>
    </w:p>
    <w:p>
      <w:pPr>
        <w:spacing w:after="0" w:line="47" w:lineRule="exact"/>
        <w:rPr>
          <w:sz w:val="20"/>
          <w:szCs w:val="20"/>
          <w:color w:val="auto"/>
        </w:rPr>
      </w:pPr>
    </w:p>
    <w:p>
      <w:pPr>
        <w:jc w:val="both"/>
        <w:ind w:left="260" w:firstLine="270"/>
        <w:spacing w:after="0" w:line="262" w:lineRule="auto"/>
        <w:rPr>
          <w:sz w:val="20"/>
          <w:szCs w:val="20"/>
          <w:color w:val="auto"/>
        </w:rPr>
      </w:pPr>
      <w:r>
        <w:rPr>
          <w:rFonts w:ascii="Arial" w:cs="Arial" w:eastAsia="Arial" w:hAnsi="Arial"/>
          <w:sz w:val="15"/>
          <w:szCs w:val="15"/>
          <w:color w:val="auto"/>
        </w:rPr>
        <w:t>On November 2, 2020, a lawsuit styled, C</w:t>
      </w:r>
      <w:r>
        <w:rPr>
          <w:rFonts w:ascii="Arial" w:cs="Arial" w:eastAsia="Arial" w:hAnsi="Arial"/>
          <w:sz w:val="15"/>
          <w:szCs w:val="15"/>
          <w:i w:val="1"/>
          <w:iCs w:val="1"/>
          <w:color w:val="auto"/>
        </w:rPr>
        <w:t>alPrivate Bank v. Chicago Title Co. and Chicago Title Ins. Co.</w:t>
      </w:r>
      <w:r>
        <w:rPr>
          <w:rFonts w:ascii="Arial" w:cs="Arial" w:eastAsia="Arial" w:hAnsi="Arial"/>
          <w:sz w:val="15"/>
          <w:szCs w:val="15"/>
          <w:color w:val="auto"/>
        </w:rPr>
        <w:t>, was also filed in the Superior Court of San Diego County for the State of California. Plaintiff claims losses in excess of $12 million based upon business loan advances made in the alcoholic beverage license scheme, and seeks punitive damages and the recovery of attorneys’ fees. The Named Companies have filed a cross-complaint against Ms. Champion-Cain, and others.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The following matters pending in the Superior Court of San Diego County for the State of California have conditionally settled under confidential terms: </w:t>
      </w:r>
      <w:r>
        <w:rPr>
          <w:rFonts w:ascii="Arial" w:cs="Arial" w:eastAsia="Arial" w:hAnsi="Arial"/>
          <w:sz w:val="14"/>
          <w:szCs w:val="14"/>
          <w:i w:val="1"/>
          <w:iCs w:val="1"/>
          <w:color w:val="auto"/>
        </w:rPr>
        <w:t>Yuan Yu and Polly Yu v.</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Chicago Title Co., et al., and Blake E. Allred and Melissa M. Allred v. Chicago Title Co., et al.</w:t>
      </w:r>
    </w:p>
    <w:p>
      <w:pPr>
        <w:spacing w:after="0" w:line="176" w:lineRule="exact"/>
        <w:rPr>
          <w:sz w:val="20"/>
          <w:szCs w:val="20"/>
          <w:color w:val="auto"/>
        </w:rPr>
      </w:pPr>
    </w:p>
    <w:p>
      <w:pPr>
        <w:jc w:val="both"/>
        <w:ind w:firstLine="270"/>
        <w:spacing w:after="0" w:line="225" w:lineRule="auto"/>
        <w:rPr>
          <w:sz w:val="20"/>
          <w:szCs w:val="20"/>
          <w:color w:val="auto"/>
        </w:rPr>
      </w:pPr>
      <w:r>
        <w:rPr>
          <w:rFonts w:ascii="Arial" w:cs="Arial" w:eastAsia="Arial" w:hAnsi="Arial"/>
          <w:sz w:val="15"/>
          <w:szCs w:val="15"/>
          <w:color w:val="auto"/>
        </w:rPr>
        <w:t xml:space="preserve">Additionally, in connection with the alcoholic beverage license scheme, the Securities and Exchange Commission (“SEC”) filed a lawsuit in the United States District Court for the Southern District of California against Ms. Champion-Cain and certain of her affiliated entities asserting claims for securities fraud. A receiver was appointed by the court to preserve the assets of the defendant affiliated entities (the “receivership entities”), pay their debts, operate the businesses and pursue any claims they may have against third-parties. Pursuant to the authority granted to her by the federal court on the SEC action, on January 7, 2022, a lawsuit styled, </w:t>
      </w:r>
      <w:r>
        <w:rPr>
          <w:rFonts w:ascii="Arial" w:cs="Arial" w:eastAsia="Arial" w:hAnsi="Arial"/>
          <w:sz w:val="15"/>
          <w:szCs w:val="15"/>
          <w:i w:val="1"/>
          <w:iCs w:val="1"/>
          <w:color w:val="auto"/>
        </w:rPr>
        <w:t>Krista Freitag v. Chicago Title Co. and Chicago Title Ins. Co.</w:t>
      </w:r>
      <w:r>
        <w:rPr>
          <w:rFonts w:ascii="Arial" w:cs="Arial" w:eastAsia="Arial" w:hAnsi="Arial"/>
          <w:sz w:val="15"/>
          <w:szCs w:val="15"/>
          <w:color w:val="auto"/>
        </w:rPr>
        <w:t>, was filed in San Diego County Superior Court by the receiver on behalf of the receivership entities against the Named Companies. The receiver seeks compensatory, incidental, consequential, and punitive damages, and seeks the recovery of attorneys’ fees. In turn, the Named Companies have filed a motion in the SEC action seeking permission to sue ANI, via the receiver, to pursue indemnity and other claims against the receivership entities as joint tortfeasors.</w:t>
      </w:r>
    </w:p>
    <w:p>
      <w:pPr>
        <w:spacing w:after="0" w:line="175"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3"/>
          <w:szCs w:val="13"/>
          <w:color w:val="auto"/>
        </w:rPr>
        <w:t>Chicago Title Company has also resolved a number of other pre-suit claims and previously-disclosed lawsuits from both individual and groups of alleged investors under confidential terms. Based on the facts and circumstances of the remaining claims, including applicable insurance coverage and the settlements already reached, the Company has recorded reserves included in its reserve for title claim losses which it believes are adequate to cover losses related to this matter, and believes that its reserves for title claim losses are adequate.</w:t>
      </w:r>
    </w:p>
    <w:p>
      <w:pPr>
        <w:spacing w:after="0" w:line="155"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66"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8" w:name="page119"/>
    <w:bookmarkEnd w:id="11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D — Fair Value of Financial Instruments</w:t>
      </w:r>
    </w:p>
    <w:p>
      <w:pPr>
        <w:spacing w:after="0" w:line="14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The three-level hierarchy for fair value measurement is defined as follows:</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Level 1 </w:t>
      </w:r>
      <w:r>
        <w:rPr>
          <w:rFonts w:ascii="Arial" w:cs="Arial" w:eastAsia="Arial" w:hAnsi="Arial"/>
          <w:sz w:val="15"/>
          <w:szCs w:val="15"/>
          <w:color w:val="auto"/>
        </w:rPr>
        <w:t>- Values are unadjusted quoted prices for identical assets and liabilities in active markets accessible at the measurement date.</w:t>
      </w:r>
    </w:p>
    <w:p>
      <w:pPr>
        <w:spacing w:after="0" w:line="75" w:lineRule="exact"/>
        <w:rPr>
          <w:sz w:val="20"/>
          <w:szCs w:val="20"/>
          <w:color w:val="auto"/>
        </w:rPr>
      </w:pPr>
    </w:p>
    <w:p>
      <w:pPr>
        <w:jc w:val="both"/>
        <w:ind w:left="360"/>
        <w:spacing w:after="0" w:line="311" w:lineRule="auto"/>
        <w:rPr>
          <w:sz w:val="20"/>
          <w:szCs w:val="20"/>
          <w:color w:val="auto"/>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include quoted prices for similar assets or liabilities in active markets, quoted prices from those willing to trade in markets that are not active, or other inputs that are</w:t>
      </w:r>
      <w:r>
        <w:rPr>
          <w:rFonts w:ascii="Arial" w:cs="Arial" w:eastAsia="Arial" w:hAnsi="Arial"/>
          <w:sz w:val="14"/>
          <w:szCs w:val="14"/>
          <w:i w:val="1"/>
          <w:iCs w:val="1"/>
          <w:color w:val="auto"/>
        </w:rPr>
        <w:t xml:space="preserve"> </w:t>
      </w:r>
      <w:r>
        <w:rPr>
          <w:rFonts w:ascii="Arial" w:cs="Arial" w:eastAsia="Arial" w:hAnsi="Arial"/>
          <w:sz w:val="14"/>
          <w:szCs w:val="14"/>
          <w:color w:val="auto"/>
        </w:rPr>
        <w:t>observable or can be corroborated by market data for the term of the instrument. Such inputs include market interest rates and volatilities, spreads, and yield curves.</w:t>
      </w:r>
    </w:p>
    <w:p>
      <w:pPr>
        <w:spacing w:after="0" w:line="11" w:lineRule="exact"/>
        <w:rPr>
          <w:sz w:val="20"/>
          <w:szCs w:val="20"/>
          <w:color w:val="auto"/>
        </w:rPr>
      </w:pPr>
    </w:p>
    <w:p>
      <w:pPr>
        <w:jc w:val="both"/>
        <w:ind w:left="360"/>
        <w:spacing w:after="0" w:line="262" w:lineRule="auto"/>
        <w:rPr>
          <w:sz w:val="20"/>
          <w:szCs w:val="20"/>
          <w:color w:val="auto"/>
        </w:rPr>
      </w:pPr>
      <w:r>
        <w:rPr>
          <w:rFonts w:ascii="Arial" w:cs="Arial" w:eastAsia="Arial" w:hAnsi="Arial"/>
          <w:sz w:val="15"/>
          <w:szCs w:val="15"/>
          <w:i w:val="1"/>
          <w:iCs w:val="1"/>
          <w:color w:val="auto"/>
        </w:rPr>
        <w:t xml:space="preserve">Level 3 </w:t>
      </w:r>
      <w:r>
        <w:rPr>
          <w:rFonts w:ascii="Arial" w:cs="Arial" w:eastAsia="Arial" w:hAnsi="Arial"/>
          <w:sz w:val="15"/>
          <w:szCs w:val="15"/>
          <w:color w:val="auto"/>
        </w:rPr>
        <w:t>- Certain inputs are unobservable (supported by little or no market activity) and significant to the fair value measurement. Unobservable inputs reflect the Company’s best</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 of what hypothetical market participants would use to determine a transaction price for the asset or liability at the reporting date based on the best information available in the circumstances.</w:t>
      </w:r>
    </w:p>
    <w:p>
      <w:pPr>
        <w:spacing w:after="0" w:line="89"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77"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9" w:name="page120"/>
    <w:bookmarkEnd w:id="11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2"/>
                <w:szCs w:val="12"/>
                <w:b w:val="1"/>
                <w:bCs w:val="1"/>
                <w:color w:val="auto"/>
                <w:w w:val="88"/>
              </w:rPr>
              <w:t>December 31, 2021</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Level 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Level 2</w:t>
            </w:r>
          </w:p>
        </w:tc>
        <w:tc>
          <w:tcPr>
            <w:tcW w:w="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Level 3</w:t>
            </w:r>
          </w:p>
        </w:tc>
        <w:tc>
          <w:tcPr>
            <w:tcW w:w="18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b w:val="1"/>
                <w:bCs w:val="1"/>
                <w:color w:val="auto"/>
                <w:w w:val="93"/>
              </w:rPr>
              <w:t>Carrying Amount</w:t>
            </w:r>
          </w:p>
        </w:tc>
        <w:tc>
          <w:tcPr>
            <w:tcW w:w="0" w:type="dxa"/>
            <w:vAlign w:val="bottom"/>
          </w:tcPr>
          <w:p>
            <w:pPr>
              <w:spacing w:after="0"/>
              <w:rPr>
                <w:sz w:val="1"/>
                <w:szCs w:val="1"/>
                <w:color w:val="auto"/>
              </w:rPr>
            </w:pPr>
          </w:p>
        </w:tc>
      </w:tr>
      <w:tr>
        <w:trPr>
          <w:trHeight w:val="138"/>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3"/>
              </w:rPr>
              <w:t>4,360</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4,360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4,360</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Fixed maturity securities, available-for-sale:</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8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7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4,736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3,959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8,695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8,695</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Commercial mortgage-backed securities</w:t>
            </w:r>
          </w:p>
        </w:tc>
        <w:tc>
          <w:tcPr>
            <w:tcW w:w="7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2,979</w:t>
            </w:r>
          </w:p>
        </w:tc>
        <w:tc>
          <w:tcPr>
            <w:tcW w:w="0" w:type="dxa"/>
            <w:vAlign w:val="bottom"/>
          </w:tcPr>
          <w:p>
            <w:pPr>
              <w:spacing w:after="0"/>
              <w:rPr>
                <w:sz w:val="1"/>
                <w:szCs w:val="1"/>
                <w:color w:val="auto"/>
              </w:rPr>
            </w:pPr>
          </w:p>
        </w:tc>
      </w:tr>
      <w:tr>
        <w:trPr>
          <w:trHeight w:val="155"/>
        </w:trPr>
        <w:tc>
          <w:tcPr>
            <w:tcW w:w="518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15,322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16,494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16,494</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w:t>
            </w:r>
          </w:p>
        </w:tc>
        <w:tc>
          <w:tcPr>
            <w:tcW w:w="0" w:type="dxa"/>
            <w:vAlign w:val="bottom"/>
          </w:tcPr>
          <w:p>
            <w:pPr>
              <w:spacing w:after="0"/>
              <w:rPr>
                <w:sz w:val="1"/>
                <w:szCs w:val="1"/>
                <w:color w:val="auto"/>
              </w:rPr>
            </w:pPr>
          </w:p>
        </w:tc>
      </w:tr>
      <w:tr>
        <w:trPr>
          <w:trHeight w:val="155"/>
        </w:trPr>
        <w:tc>
          <w:tcPr>
            <w:tcW w:w="518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7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1,458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1,501</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Residential mortgage-backed securities</w:t>
            </w:r>
          </w:p>
        </w:tc>
        <w:tc>
          <w:tcPr>
            <w:tcW w:w="7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731</w:t>
            </w:r>
          </w:p>
        </w:tc>
        <w:tc>
          <w:tcPr>
            <w:tcW w:w="0" w:type="dxa"/>
            <w:vAlign w:val="bottom"/>
          </w:tcPr>
          <w:p>
            <w:pPr>
              <w:spacing w:after="0"/>
              <w:rPr>
                <w:sz w:val="1"/>
                <w:szCs w:val="1"/>
                <w:color w:val="auto"/>
              </w:rPr>
            </w:pPr>
          </w:p>
        </w:tc>
      </w:tr>
      <w:tr>
        <w:trPr>
          <w:trHeight w:val="155"/>
        </w:trPr>
        <w:tc>
          <w:tcPr>
            <w:tcW w:w="5180" w:type="dxa"/>
            <w:vAlign w:val="bottom"/>
          </w:tcPr>
          <w:p>
            <w:pPr>
              <w:ind w:left="180"/>
              <w:spacing w:after="0"/>
              <w:rPr>
                <w:sz w:val="20"/>
                <w:szCs w:val="20"/>
                <w:color w:val="auto"/>
              </w:rPr>
            </w:pPr>
            <w:r>
              <w:rPr>
                <w:rFonts w:ascii="Arial" w:cs="Arial" w:eastAsia="Arial" w:hAnsi="Arial"/>
                <w:sz w:val="12"/>
                <w:szCs w:val="12"/>
                <w:color w:val="auto"/>
              </w:rPr>
              <w:t>U.S. Government</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394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394</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 Governments</w:t>
            </w:r>
          </w:p>
        </w:tc>
        <w:tc>
          <w:tcPr>
            <w:tcW w:w="7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20"/>
                <w:szCs w:val="20"/>
                <w:color w:val="auto"/>
              </w:rPr>
            </w:pPr>
            <w:r>
              <w:rPr>
                <w:rFonts w:ascii="Arial" w:cs="Arial" w:eastAsia="Arial" w:hAnsi="Arial"/>
                <w:sz w:val="12"/>
                <w:szCs w:val="12"/>
                <w:color w:val="auto"/>
              </w:rPr>
              <w:t>Equity securities</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1,206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1,215</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Preferred securities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1,401</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20"/>
                <w:szCs w:val="20"/>
                <w:color w:val="auto"/>
              </w:rPr>
            </w:pPr>
            <w:r>
              <w:rPr>
                <w:rFonts w:ascii="Arial" w:cs="Arial" w:eastAsia="Arial" w:hAnsi="Arial"/>
                <w:sz w:val="12"/>
                <w:szCs w:val="12"/>
                <w:color w:val="auto"/>
              </w:rPr>
              <w:t>Derivative investments</w:t>
            </w:r>
          </w:p>
        </w:tc>
        <w:tc>
          <w:tcPr>
            <w:tcW w:w="7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816</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Short term investments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20"/>
                <w:szCs w:val="20"/>
                <w:color w:val="auto"/>
              </w:rPr>
            </w:pPr>
            <w:r>
              <w:rPr>
                <w:rFonts w:ascii="Arial" w:cs="Arial" w:eastAsia="Arial" w:hAnsi="Arial"/>
                <w:sz w:val="12"/>
                <w:szCs w:val="12"/>
                <w:color w:val="auto"/>
              </w:rPr>
              <w:t>Other long-term investments</w:t>
            </w:r>
          </w:p>
        </w:tc>
        <w:tc>
          <w:tcPr>
            <w:tcW w:w="7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76"/>
        </w:trPr>
        <w:tc>
          <w:tcPr>
            <w:tcW w:w="51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Total financial assets at fair value</w:t>
            </w:r>
          </w:p>
        </w:tc>
        <w:tc>
          <w:tcPr>
            <w:tcW w:w="76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6,803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27,948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40,351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40,351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b w:val="1"/>
                <w:bCs w:val="1"/>
                <w:color w:val="auto"/>
              </w:rPr>
              <w:t>Liabilities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1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Derivatives: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80" w:type="dxa"/>
            <w:vAlign w:val="bottom"/>
          </w:tcPr>
          <w:p>
            <w:pPr>
              <w:ind w:left="180"/>
              <w:spacing w:after="0"/>
              <w:rPr>
                <w:sz w:val="20"/>
                <w:szCs w:val="20"/>
                <w:color w:val="auto"/>
              </w:rPr>
            </w:pPr>
            <w:r>
              <w:rPr>
                <w:rFonts w:ascii="Arial" w:cs="Arial" w:eastAsia="Arial" w:hAnsi="Arial"/>
                <w:sz w:val="12"/>
                <w:szCs w:val="12"/>
                <w:color w:val="auto"/>
              </w:rPr>
              <w:t>FIA/ IUL embedded derivatives, included in contractholder funds</w:t>
            </w:r>
          </w:p>
        </w:tc>
        <w:tc>
          <w:tcPr>
            <w:tcW w:w="7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3,883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3,883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3,883</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8"/>
              </w:rPr>
              <w:t>Reinsurance related embedded derivatives, included in accounts payable and accrued liabilities</w:t>
            </w:r>
          </w:p>
        </w:tc>
        <w:tc>
          <w:tcPr>
            <w:tcW w:w="7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49"/>
        </w:trPr>
        <w:tc>
          <w:tcPr>
            <w:tcW w:w="5180" w:type="dxa"/>
            <w:vAlign w:val="bottom"/>
          </w:tcPr>
          <w:p>
            <w:pPr>
              <w:ind w:left="380"/>
              <w:spacing w:after="0"/>
              <w:rPr>
                <w:sz w:val="20"/>
                <w:szCs w:val="20"/>
                <w:color w:val="auto"/>
              </w:rPr>
            </w:pPr>
            <w:r>
              <w:rPr>
                <w:rFonts w:ascii="Arial" w:cs="Arial" w:eastAsia="Arial" w:hAnsi="Arial"/>
                <w:sz w:val="12"/>
                <w:szCs w:val="12"/>
                <w:color w:val="auto"/>
              </w:rPr>
              <w:t>Total financial liabilities at fair value</w:t>
            </w:r>
          </w:p>
        </w:tc>
        <w:tc>
          <w:tcPr>
            <w:tcW w:w="76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3,883</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3,956</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3,956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0" w:name="page121"/>
    <w:bookmarkEnd w:id="12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2"/>
                <w:szCs w:val="12"/>
                <w:b w:val="1"/>
                <w:bCs w:val="1"/>
                <w:color w:val="auto"/>
                <w:w w:val="88"/>
              </w:rPr>
              <w:t>December 31, 2020</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53"/>
        </w:trPr>
        <w:tc>
          <w:tcPr>
            <w:tcW w:w="48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Level 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2</w:t>
            </w:r>
          </w:p>
        </w:tc>
        <w:tc>
          <w:tcPr>
            <w:tcW w:w="10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Level 3</w:t>
            </w:r>
          </w:p>
        </w:tc>
        <w:tc>
          <w:tcPr>
            <w:tcW w:w="20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3"/>
                <w:szCs w:val="13"/>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b w:val="1"/>
                <w:bCs w:val="1"/>
                <w:color w:val="auto"/>
                <w:w w:val="95"/>
              </w:rPr>
              <w:t>Carrying Amount</w:t>
            </w:r>
          </w:p>
        </w:tc>
      </w:tr>
      <w:tr>
        <w:trPr>
          <w:trHeight w:val="138"/>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8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r>
      <w:tr>
        <w:trPr>
          <w:trHeight w:val="155"/>
        </w:trPr>
        <w:tc>
          <w:tcPr>
            <w:tcW w:w="486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2,719</w:t>
            </w:r>
          </w:p>
        </w:tc>
        <w:tc>
          <w:tcPr>
            <w:tcW w:w="1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2,719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2,719</w:t>
            </w: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Fixed maturity securities, available-for-sale:</w:t>
            </w: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5"/>
        </w:trPr>
        <w:tc>
          <w:tcPr>
            <w:tcW w:w="486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82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4,916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1,350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6,266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6,266</w:t>
            </w:r>
          </w:p>
        </w:tc>
      </w:tr>
      <w:tr>
        <w:trPr>
          <w:trHeight w:val="160"/>
        </w:trPr>
        <w:tc>
          <w:tcPr>
            <w:tcW w:w="48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Commercial mortgage-backed securities</w:t>
            </w:r>
          </w:p>
        </w:tc>
        <w:tc>
          <w:tcPr>
            <w:tcW w:w="8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w:t>
            </w:r>
          </w:p>
        </w:tc>
      </w:tr>
      <w:tr>
        <w:trPr>
          <w:trHeight w:val="155"/>
        </w:trPr>
        <w:tc>
          <w:tcPr>
            <w:tcW w:w="486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8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13,421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14,735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14,735</w:t>
            </w:r>
          </w:p>
        </w:tc>
      </w:tr>
      <w:tr>
        <w:trPr>
          <w:trHeight w:val="160"/>
        </w:trPr>
        <w:tc>
          <w:tcPr>
            <w:tcW w:w="48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994</w:t>
            </w:r>
          </w:p>
        </w:tc>
      </w:tr>
      <w:tr>
        <w:trPr>
          <w:trHeight w:val="155"/>
        </w:trPr>
        <w:tc>
          <w:tcPr>
            <w:tcW w:w="486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82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1,403</w:t>
            </w:r>
          </w:p>
        </w:tc>
      </w:tr>
      <w:tr>
        <w:trPr>
          <w:trHeight w:val="160"/>
        </w:trPr>
        <w:tc>
          <w:tcPr>
            <w:tcW w:w="48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Residential mortgage-backed securities</w:t>
            </w:r>
          </w:p>
        </w:tc>
        <w:tc>
          <w:tcPr>
            <w:tcW w:w="8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w:t>
            </w:r>
          </w:p>
        </w:tc>
      </w:tr>
      <w:tr>
        <w:trPr>
          <w:trHeight w:val="155"/>
        </w:trPr>
        <w:tc>
          <w:tcPr>
            <w:tcW w:w="4860" w:type="dxa"/>
            <w:vAlign w:val="bottom"/>
          </w:tcPr>
          <w:p>
            <w:pPr>
              <w:ind w:left="180"/>
              <w:spacing w:after="0"/>
              <w:rPr>
                <w:sz w:val="20"/>
                <w:szCs w:val="20"/>
                <w:color w:val="auto"/>
              </w:rPr>
            </w:pPr>
            <w:r>
              <w:rPr>
                <w:rFonts w:ascii="Arial" w:cs="Arial" w:eastAsia="Arial" w:hAnsi="Arial"/>
                <w:sz w:val="12"/>
                <w:szCs w:val="12"/>
                <w:color w:val="auto"/>
              </w:rPr>
              <w:t>U.S. Government</w:t>
            </w:r>
          </w:p>
        </w:tc>
        <w:tc>
          <w:tcPr>
            <w:tcW w:w="8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342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342</w:t>
            </w:r>
          </w:p>
        </w:tc>
      </w:tr>
      <w:tr>
        <w:trPr>
          <w:trHeight w:val="160"/>
        </w:trPr>
        <w:tc>
          <w:tcPr>
            <w:tcW w:w="48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 Governments</w:t>
            </w:r>
          </w:p>
        </w:tc>
        <w:tc>
          <w:tcPr>
            <w:tcW w:w="8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r>
      <w:tr>
        <w:trPr>
          <w:trHeight w:val="155"/>
        </w:trPr>
        <w:tc>
          <w:tcPr>
            <w:tcW w:w="4860" w:type="dxa"/>
            <w:vAlign w:val="bottom"/>
          </w:tcPr>
          <w:p>
            <w:pPr>
              <w:spacing w:after="0"/>
              <w:rPr>
                <w:sz w:val="20"/>
                <w:szCs w:val="20"/>
                <w:color w:val="auto"/>
              </w:rPr>
            </w:pPr>
            <w:r>
              <w:rPr>
                <w:rFonts w:ascii="Arial" w:cs="Arial" w:eastAsia="Arial" w:hAnsi="Arial"/>
                <w:sz w:val="12"/>
                <w:szCs w:val="12"/>
                <w:color w:val="auto"/>
              </w:rPr>
              <w:t>Equity securities</w:t>
            </w:r>
          </w:p>
        </w:tc>
        <w:tc>
          <w:tcPr>
            <w:tcW w:w="8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791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796</w:t>
            </w: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Preferred securities</w:t>
            </w: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1,341</w:t>
            </w:r>
          </w:p>
        </w:tc>
      </w:tr>
      <w:tr>
        <w:trPr>
          <w:trHeight w:val="155"/>
        </w:trPr>
        <w:tc>
          <w:tcPr>
            <w:tcW w:w="4860" w:type="dxa"/>
            <w:vAlign w:val="bottom"/>
          </w:tcPr>
          <w:p>
            <w:pPr>
              <w:spacing w:after="0"/>
              <w:rPr>
                <w:sz w:val="20"/>
                <w:szCs w:val="20"/>
                <w:color w:val="auto"/>
              </w:rPr>
            </w:pPr>
            <w:r>
              <w:rPr>
                <w:rFonts w:ascii="Arial" w:cs="Arial" w:eastAsia="Arial" w:hAnsi="Arial"/>
                <w:sz w:val="12"/>
                <w:szCs w:val="12"/>
                <w:color w:val="auto"/>
              </w:rPr>
              <w:t>Subscription agreements (1)</w:t>
            </w:r>
          </w:p>
        </w:tc>
        <w:tc>
          <w:tcPr>
            <w:tcW w:w="82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199</w:t>
            </w: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Derivative investments</w:t>
            </w:r>
          </w:p>
        </w:tc>
        <w:tc>
          <w:tcPr>
            <w:tcW w:w="8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r>
      <w:tr>
        <w:trPr>
          <w:trHeight w:val="155"/>
        </w:trPr>
        <w:tc>
          <w:tcPr>
            <w:tcW w:w="4860" w:type="dxa"/>
            <w:vAlign w:val="bottom"/>
          </w:tcPr>
          <w:p>
            <w:pPr>
              <w:spacing w:after="0"/>
              <w:rPr>
                <w:sz w:val="20"/>
                <w:szCs w:val="20"/>
                <w:color w:val="auto"/>
              </w:rPr>
            </w:pPr>
            <w:r>
              <w:rPr>
                <w:rFonts w:ascii="Arial" w:cs="Arial" w:eastAsia="Arial" w:hAnsi="Arial"/>
                <w:sz w:val="12"/>
                <w:szCs w:val="12"/>
                <w:color w:val="auto"/>
              </w:rPr>
              <w:t>Short term investments</w:t>
            </w:r>
          </w:p>
        </w:tc>
        <w:tc>
          <w:tcPr>
            <w:tcW w:w="8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769</w:t>
            </w:r>
          </w:p>
        </w:tc>
      </w:tr>
      <w:tr>
        <w:trPr>
          <w:trHeight w:val="158"/>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investments</w:t>
            </w:r>
          </w:p>
        </w:tc>
        <w:tc>
          <w:tcPr>
            <w:tcW w:w="8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r>
      <w:tr>
        <w:trPr>
          <w:trHeight w:val="151"/>
        </w:trPr>
        <w:tc>
          <w:tcPr>
            <w:tcW w:w="4860" w:type="dxa"/>
            <w:vAlign w:val="bottom"/>
          </w:tcPr>
          <w:p>
            <w:pPr>
              <w:ind w:left="380"/>
              <w:spacing w:after="0"/>
              <w:rPr>
                <w:sz w:val="20"/>
                <w:szCs w:val="20"/>
                <w:color w:val="auto"/>
              </w:rPr>
            </w:pPr>
            <w:r>
              <w:rPr>
                <w:rFonts w:ascii="Arial" w:cs="Arial" w:eastAsia="Arial" w:hAnsi="Arial"/>
                <w:sz w:val="12"/>
                <w:szCs w:val="12"/>
                <w:color w:val="auto"/>
              </w:rPr>
              <w:t>Total financial assets at fair value</w:t>
            </w:r>
          </w:p>
        </w:tc>
        <w:tc>
          <w:tcPr>
            <w:tcW w:w="82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5,311</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25,431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3,267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34,009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34,009</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0"/>
        </w:trPr>
        <w:tc>
          <w:tcPr>
            <w:tcW w:w="486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Liabilities</w:t>
            </w:r>
          </w:p>
        </w:tc>
        <w:tc>
          <w:tcPr>
            <w:tcW w:w="8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55"/>
        </w:trPr>
        <w:tc>
          <w:tcPr>
            <w:tcW w:w="4860" w:type="dxa"/>
            <w:vAlign w:val="bottom"/>
          </w:tcPr>
          <w:p>
            <w:pPr>
              <w:spacing w:after="0"/>
              <w:rPr>
                <w:sz w:val="20"/>
                <w:szCs w:val="20"/>
                <w:color w:val="auto"/>
              </w:rPr>
            </w:pPr>
            <w:r>
              <w:rPr>
                <w:rFonts w:ascii="Arial" w:cs="Arial" w:eastAsia="Arial" w:hAnsi="Arial"/>
                <w:sz w:val="12"/>
                <w:szCs w:val="12"/>
                <w:color w:val="auto"/>
              </w:rPr>
              <w:t>Fair value of future policy benefits</w:t>
            </w:r>
          </w:p>
        </w:tc>
        <w:tc>
          <w:tcPr>
            <w:tcW w:w="82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Derivatives:</w:t>
            </w: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5"/>
        </w:trPr>
        <w:tc>
          <w:tcPr>
            <w:tcW w:w="4860" w:type="dxa"/>
            <w:vAlign w:val="bottom"/>
          </w:tcPr>
          <w:p>
            <w:pPr>
              <w:ind w:left="180"/>
              <w:spacing w:after="0"/>
              <w:rPr>
                <w:sz w:val="20"/>
                <w:szCs w:val="20"/>
                <w:color w:val="auto"/>
              </w:rPr>
            </w:pPr>
            <w:r>
              <w:rPr>
                <w:rFonts w:ascii="Arial" w:cs="Arial" w:eastAsia="Arial" w:hAnsi="Arial"/>
                <w:sz w:val="12"/>
                <w:szCs w:val="12"/>
                <w:color w:val="auto"/>
              </w:rPr>
              <w:t>FIA/ IUL embedded derivatives, included in contractholder funds</w:t>
            </w:r>
          </w:p>
        </w:tc>
        <w:tc>
          <w:tcPr>
            <w:tcW w:w="82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3,404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3,404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3,404</w:t>
            </w:r>
          </w:p>
        </w:tc>
      </w:tr>
      <w:tr>
        <w:trPr>
          <w:trHeight w:val="160"/>
        </w:trPr>
        <w:tc>
          <w:tcPr>
            <w:tcW w:w="48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Reinsurance related embedded derivatives, included in other liabilities</w:t>
            </w:r>
          </w:p>
        </w:tc>
        <w:tc>
          <w:tcPr>
            <w:tcW w:w="8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r>
      <w:tr>
        <w:trPr>
          <w:trHeight w:val="149"/>
        </w:trPr>
        <w:tc>
          <w:tcPr>
            <w:tcW w:w="4860" w:type="dxa"/>
            <w:vAlign w:val="bottom"/>
          </w:tcPr>
          <w:p>
            <w:pPr>
              <w:ind w:left="380"/>
              <w:spacing w:after="0"/>
              <w:rPr>
                <w:sz w:val="20"/>
                <w:szCs w:val="20"/>
                <w:color w:val="auto"/>
              </w:rPr>
            </w:pPr>
            <w:r>
              <w:rPr>
                <w:rFonts w:ascii="Arial" w:cs="Arial" w:eastAsia="Arial" w:hAnsi="Arial"/>
                <w:sz w:val="12"/>
                <w:szCs w:val="12"/>
                <w:color w:val="auto"/>
              </w:rPr>
              <w:t>Total financial liabilities at fair value</w:t>
            </w:r>
          </w:p>
        </w:tc>
        <w:tc>
          <w:tcPr>
            <w:tcW w:w="82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3,409</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3,510</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3,510</w:t>
            </w:r>
          </w:p>
        </w:tc>
      </w:tr>
      <w:tr>
        <w:trPr>
          <w:trHeight w:val="20"/>
        </w:trPr>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(1) Included within equity securities in the accompanying Consolidated Balance Sheets as of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Methodologies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Fixed Maturity, Preferred and Equity Securities</w:t>
      </w:r>
    </w:p>
    <w:p>
      <w:pPr>
        <w:spacing w:after="0" w:line="109"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5"/>
          <w:szCs w:val="15"/>
          <w:color w:val="auto"/>
        </w:rPr>
        <w:t>We measure the fair value of our securities based on assumptions used by market participants in pricing the security. The most appropriate valuation methodology is selected based on the specific characteristics of the fixed maturity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97"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4"/>
          <w:szCs w:val="14"/>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63"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We analyze the third-party valuation methodologies and related inputs to perform assessments to determine the appropriate level within the fair value hierarchy. However, we did not adjust prices received from third parties as of December 31, 2021 or December 31, 2020.</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1" w:name="page122"/>
    <w:bookmarkEnd w:id="12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Derivative Financial Instruments</w:t>
      </w:r>
    </w:p>
    <w:p>
      <w:pPr>
        <w:spacing w:after="0" w:line="109"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The fair value of call options is based upon valuation pricing models, which represents what we would expect to receive or pay at the balance sheet date if we canceled the options, entered into offsetting positions, or exercised the options. Fair values for these instruments are determined internally, based on industry accepted valuation pricing models, which use market-observable inputs, including interest rates, yield curve volatilities, and other factors.</w:t>
      </w:r>
    </w:p>
    <w:p>
      <w:pPr>
        <w:spacing w:after="0" w:line="89" w:lineRule="exact"/>
        <w:rPr>
          <w:sz w:val="20"/>
          <w:szCs w:val="20"/>
          <w:color w:val="auto"/>
        </w:rPr>
      </w:pPr>
    </w:p>
    <w:p>
      <w:pPr>
        <w:jc w:val="both"/>
        <w:ind w:firstLine="338"/>
        <w:spacing w:after="0" w:line="354" w:lineRule="auto"/>
        <w:rPr>
          <w:sz w:val="20"/>
          <w:szCs w:val="20"/>
          <w:color w:val="auto"/>
        </w:rPr>
      </w:pPr>
      <w:r>
        <w:rPr>
          <w:rFonts w:ascii="Arial" w:cs="Arial" w:eastAsia="Arial" w:hAnsi="Arial"/>
          <w:sz w:val="13"/>
          <w:szCs w:val="13"/>
          <w:color w:val="auto"/>
        </w:rPr>
        <w:t>The fair value of futures contracts (specifically for FIA contracts) represents the cumulative unsettled variation margin (open trade equity, net of cash settlements), which represents what we would expect to receive or pay at the balance sheet date if we canceled the contracts or entered into offsetting positions. These contracts are classified as Level 1.</w:t>
      </w:r>
    </w:p>
    <w:p>
      <w:pPr>
        <w:spacing w:after="0" w:line="21"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3"/>
          <w:szCs w:val="13"/>
          <w:color w:val="auto"/>
        </w:rPr>
        <w:t>The fair value measurement of the FIA/ IUL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December 31, 2021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 xml:space="preserve">unobservable input. Also refer to Management's Estimates in Note A </w:t>
      </w:r>
      <w:r>
        <w:rPr>
          <w:rFonts w:ascii="Arial" w:cs="Arial" w:eastAsia="Arial" w:hAnsi="Arial"/>
          <w:sz w:val="15"/>
          <w:szCs w:val="15"/>
          <w:i w:val="1"/>
          <w:iCs w:val="1"/>
          <w:color w:val="auto"/>
        </w:rPr>
        <w:t>Business and Summary of Significant Accounting Policies</w:t>
      </w:r>
      <w:r>
        <w:rPr>
          <w:rFonts w:ascii="Arial" w:cs="Arial" w:eastAsia="Arial" w:hAnsi="Arial"/>
          <w:sz w:val="15"/>
          <w:szCs w:val="15"/>
          <w:color w:val="auto"/>
        </w:rPr>
        <w:t xml:space="preserve"> regarding the implementation of a new actuarial valuation system and assumption updates during the three-months ended September 30, 2021. The system implementation and assumption review process included refinements in the calculation of the fair value of the embedded derivative component of our fixed indexed annuities.</w:t>
      </w:r>
    </w:p>
    <w:p>
      <w:pPr>
        <w:spacing w:after="0" w:line="77"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 xml:space="preserve">The fair value of the reinsurance-related embedded derivatives in the funds withheld reinsurance agreements with Kubera (effective October 31, 2021, this agreement was novated from Kubera to Somerset) and Aspida Re are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Please see Note O </w:t>
      </w:r>
      <w:r>
        <w:rPr>
          <w:rFonts w:ascii="Arial" w:cs="Arial" w:eastAsia="Arial" w:hAnsi="Arial"/>
          <w:sz w:val="15"/>
          <w:szCs w:val="15"/>
          <w:i w:val="1"/>
          <w:iCs w:val="1"/>
          <w:color w:val="auto"/>
        </w:rPr>
        <w:t>Reinsurance</w:t>
      </w:r>
      <w:r>
        <w:rPr>
          <w:rFonts w:ascii="Arial" w:cs="Arial" w:eastAsia="Arial" w:hAnsi="Arial"/>
          <w:sz w:val="15"/>
          <w:szCs w:val="15"/>
          <w:color w:val="auto"/>
        </w:rPr>
        <w:t xml:space="preserve"> for further discussion on F&amp;G reinsurance agreements.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Other long-term investments</w:t>
      </w:r>
    </w:p>
    <w:p>
      <w:pPr>
        <w:spacing w:after="0" w:line="120"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5"/>
          <w:szCs w:val="15"/>
          <w:color w:val="auto"/>
        </w:rPr>
        <w:t xml:space="preserve">We hold a fund-linked note which provides for an additional payment at maturity based on the value of an embedded derivative based on the actual return of a dedicated return fund. Fair value of the available-for-sale embedded derivative is based on an unobservable input, the net asset value of the fund at the balance sheet date. The embedded derivative is similar to a call option on the net asset value of the fund with a strike price of zero since FGL Insurance will not be required to make any additional payments at maturity of the fund-linked note in order to receive the net asset value of the fund on the maturity date. A Black-Scholes model determines the net asset value of the fund as the fair value of the call option regardless of the values used for the other inputs to the option pricing model. The net asset value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F </w:t>
      </w:r>
      <w:r>
        <w:rPr>
          <w:rFonts w:ascii="Arial" w:cs="Arial" w:eastAsia="Arial" w:hAnsi="Arial"/>
          <w:sz w:val="15"/>
          <w:szCs w:val="15"/>
          <w:i w:val="1"/>
          <w:iCs w:val="1"/>
          <w:color w:val="auto"/>
        </w:rPr>
        <w:t>Derivative Financial Instruments</w:t>
      </w:r>
      <w:r>
        <w:rPr>
          <w:rFonts w:ascii="Arial" w:cs="Arial" w:eastAsia="Arial" w:hAnsi="Arial"/>
          <w:sz w:val="15"/>
          <w:szCs w:val="15"/>
          <w:color w:val="auto"/>
        </w:rPr>
        <w:t>.</w:t>
      </w:r>
    </w:p>
    <w:p>
      <w:pPr>
        <w:spacing w:after="0" w:line="83"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Quantitative information regarding significant unobservable inputs used for recurring Level 3 fair value measurements of financial instruments carried at fair value as of</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2021 and December 31, 2020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2" w:name="page123"/>
    <w:bookmarkEnd w:id="12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Pr>
          <w:p>
            <w:pPr>
              <w:jc w:val="center"/>
              <w:ind w:left="285"/>
              <w:spacing w:after="0"/>
              <w:rPr>
                <w:sz w:val="20"/>
                <w:szCs w:val="20"/>
                <w:color w:val="auto"/>
              </w:rPr>
            </w:pPr>
            <w:r>
              <w:rPr>
                <w:rFonts w:ascii="Arial" w:cs="Arial" w:eastAsia="Arial" w:hAnsi="Arial"/>
                <w:sz w:val="12"/>
                <w:szCs w:val="12"/>
                <w:b w:val="1"/>
                <w:bCs w:val="1"/>
                <w:color w:val="auto"/>
                <w:w w:val="95"/>
              </w:rPr>
              <w:t>Fair Value at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300" w:type="dxa"/>
            <w:vAlign w:val="bottom"/>
          </w:tcPr>
          <w:p>
            <w:pPr>
              <w:jc w:val="center"/>
              <w:ind w:left="285"/>
              <w:spacing w:after="0"/>
              <w:rPr>
                <w:sz w:val="20"/>
                <w:szCs w:val="20"/>
                <w:color w:val="auto"/>
              </w:rPr>
            </w:pPr>
            <w:r>
              <w:rPr>
                <w:rFonts w:ascii="Arial" w:cs="Arial" w:eastAsia="Arial" w:hAnsi="Arial"/>
                <w:sz w:val="12"/>
                <w:szCs w:val="12"/>
                <w:b w:val="1"/>
                <w:bCs w:val="1"/>
                <w:color w:val="auto"/>
                <w:w w:val="88"/>
              </w:rPr>
              <w:t>December 31, 2021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tcPr>
          <w:p>
            <w:pPr>
              <w:ind w:left="320"/>
              <w:spacing w:after="0"/>
              <w:rPr>
                <w:sz w:val="20"/>
                <w:szCs w:val="20"/>
                <w:color w:val="auto"/>
              </w:rPr>
            </w:pPr>
            <w:r>
              <w:rPr>
                <w:rFonts w:ascii="Arial" w:cs="Arial" w:eastAsia="Arial" w:hAnsi="Arial"/>
                <w:sz w:val="12"/>
                <w:szCs w:val="12"/>
                <w:b w:val="1"/>
                <w:bCs w:val="1"/>
                <w:color w:val="auto"/>
              </w:rPr>
              <w:t>Range (Weighted average)</w:t>
            </w: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300" w:type="dxa"/>
            <w:vAlign w:val="bottom"/>
          </w:tcPr>
          <w:p>
            <w:pPr>
              <w:jc w:val="center"/>
              <w:ind w:left="265"/>
              <w:spacing w:after="0"/>
              <w:rPr>
                <w:sz w:val="20"/>
                <w:szCs w:val="20"/>
                <w:color w:val="auto"/>
              </w:rPr>
            </w:pPr>
            <w:r>
              <w:rPr>
                <w:rFonts w:ascii="Arial" w:cs="Arial" w:eastAsia="Arial" w:hAnsi="Arial"/>
                <w:sz w:val="12"/>
                <w:szCs w:val="12"/>
                <w:b w:val="1"/>
                <w:bCs w:val="1"/>
                <w:color w:val="auto"/>
                <w:w w:val="91"/>
              </w:rPr>
              <w:t>(in millions)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ind w:left="480"/>
              <w:spacing w:after="0"/>
              <w:rPr>
                <w:sz w:val="20"/>
                <w:szCs w:val="20"/>
                <w:color w:val="auto"/>
              </w:rPr>
            </w:pPr>
            <w:r>
              <w:rPr>
                <w:rFonts w:ascii="Arial" w:cs="Arial" w:eastAsia="Arial" w:hAnsi="Arial"/>
                <w:sz w:val="12"/>
                <w:szCs w:val="12"/>
                <w:b w:val="1"/>
                <w:bCs w:val="1"/>
                <w:color w:val="auto"/>
              </w:rPr>
              <w:t>Valuation Technique</w:t>
            </w:r>
          </w:p>
        </w:tc>
        <w:tc>
          <w:tcPr>
            <w:tcW w:w="1760" w:type="dxa"/>
            <w:vAlign w:val="bottom"/>
            <w:gridSpan w:val="2"/>
          </w:tcPr>
          <w:p>
            <w:pPr>
              <w:ind w:left="260"/>
              <w:spacing w:after="0"/>
              <w:rPr>
                <w:sz w:val="20"/>
                <w:szCs w:val="20"/>
                <w:color w:val="auto"/>
              </w:rPr>
            </w:pPr>
            <w:r>
              <w:rPr>
                <w:rFonts w:ascii="Arial" w:cs="Arial" w:eastAsia="Arial" w:hAnsi="Arial"/>
                <w:sz w:val="12"/>
                <w:szCs w:val="12"/>
                <w:b w:val="1"/>
                <w:bCs w:val="1"/>
                <w:color w:val="auto"/>
              </w:rPr>
              <w:t>Unobservable Input(s)</w:t>
            </w:r>
          </w:p>
        </w:tc>
        <w:tc>
          <w:tcPr>
            <w:tcW w:w="36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Arial" w:cs="Arial" w:eastAsia="Arial" w:hAnsi="Arial"/>
                <w:sz w:val="12"/>
                <w:szCs w:val="12"/>
                <w:b w:val="1"/>
                <w:bCs w:val="1"/>
                <w:color w:val="auto"/>
              </w:rPr>
              <w:t>December 31, 2021</w:t>
            </w:r>
          </w:p>
        </w:tc>
        <w:tc>
          <w:tcPr>
            <w:tcW w:w="0" w:type="dxa"/>
            <w:vAlign w:val="bottom"/>
          </w:tcPr>
          <w:p>
            <w:pPr>
              <w:spacing w:after="0"/>
              <w:rPr>
                <w:sz w:val="1"/>
                <w:szCs w:val="1"/>
                <w:color w:val="auto"/>
              </w:rPr>
            </w:pPr>
          </w:p>
        </w:tc>
      </w:tr>
      <w:tr>
        <w:trPr>
          <w:trHeight w:val="108"/>
        </w:trPr>
        <w:tc>
          <w:tcPr>
            <w:tcW w:w="36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Assets</w:t>
            </w:r>
          </w:p>
        </w:tc>
        <w:tc>
          <w:tcPr>
            <w:tcW w:w="13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320" w:type="dxa"/>
            <w:vAlign w:val="bottom"/>
            <w:shd w:val="clear" w:color="auto" w:fill="000000"/>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Asset-backed securities</w:t>
            </w:r>
          </w:p>
        </w:tc>
        <w:tc>
          <w:tcPr>
            <w:tcW w:w="1300" w:type="dxa"/>
            <w:vAlign w:val="bottom"/>
          </w:tcPr>
          <w:p>
            <w:pPr>
              <w:jc w:val="right"/>
              <w:ind w:right="1185"/>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6"/>
              </w:rPr>
              <w:t>3,844</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52.56% - 260.7% (97.06%)</w:t>
            </w: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93.02% - 108.45% (104.95%)</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Commercial mortgage-backed securities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126.70% - 126.70% (126.70%)</w:t>
            </w: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Commercial mortgage-backed securities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Third 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97.91% -97.91% (97.91%)</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Corporates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380</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Offered quotes</w:t>
            </w:r>
          </w:p>
        </w:tc>
        <w:tc>
          <w:tcPr>
            <w:tcW w:w="360" w:type="dxa"/>
            <w:vAlign w:val="bottom"/>
          </w:tcPr>
          <w:p>
            <w:pPr>
              <w:ind w:left="20"/>
              <w:spacing w:after="0"/>
              <w:rPr>
                <w:sz w:val="20"/>
                <w:szCs w:val="20"/>
                <w:color w:val="auto"/>
              </w:rPr>
            </w:pPr>
            <w:r>
              <w:rPr>
                <w:rFonts w:ascii="Arial" w:cs="Arial" w:eastAsia="Arial" w:hAnsi="Arial"/>
                <w:sz w:val="12"/>
                <w:szCs w:val="12"/>
                <w:color w:val="auto"/>
                <w:w w:val="93"/>
              </w:rPr>
              <w:t>0.00%</w:t>
            </w:r>
          </w:p>
        </w:tc>
        <w:tc>
          <w:tcPr>
            <w:tcW w:w="1620" w:type="dxa"/>
            <w:vAlign w:val="bottom"/>
          </w:tcPr>
          <w:p>
            <w:pPr>
              <w:spacing w:after="0"/>
              <w:rPr>
                <w:sz w:val="20"/>
                <w:szCs w:val="20"/>
                <w:color w:val="auto"/>
              </w:rPr>
            </w:pPr>
            <w:r>
              <w:rPr>
                <w:rFonts w:ascii="Arial" w:cs="Arial" w:eastAsia="Arial" w:hAnsi="Arial"/>
                <w:sz w:val="12"/>
                <w:szCs w:val="12"/>
                <w:color w:val="auto"/>
              </w:rPr>
              <w:t>- 109.69% (100.91%)</w:t>
            </w: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Corporates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85.71% - 119.57% (107.72%)</w:t>
            </w:r>
          </w:p>
        </w:tc>
        <w:tc>
          <w:tcPr>
            <w:tcW w:w="0" w:type="dxa"/>
            <w:vAlign w:val="bottom"/>
          </w:tcPr>
          <w:p>
            <w:pPr>
              <w:spacing w:after="0"/>
              <w:rPr>
                <w:sz w:val="1"/>
                <w:szCs w:val="1"/>
                <w:color w:val="auto"/>
              </w:rPr>
            </w:pPr>
          </w:p>
        </w:tc>
      </w:tr>
      <w:tr>
        <w:trPr>
          <w:trHeight w:val="113"/>
        </w:trPr>
        <w:tc>
          <w:tcPr>
            <w:tcW w:w="3680" w:type="dxa"/>
            <w:vAlign w:val="bottom"/>
            <w:gridSpan w:val="2"/>
            <w:vMerge w:val="restart"/>
          </w:tcPr>
          <w:p>
            <w:pPr>
              <w:spacing w:after="0"/>
              <w:rPr>
                <w:sz w:val="20"/>
                <w:szCs w:val="20"/>
                <w:color w:val="auto"/>
              </w:rPr>
            </w:pPr>
            <w:r>
              <w:rPr>
                <w:rFonts w:ascii="Arial" w:cs="Arial" w:eastAsia="Arial" w:hAnsi="Arial"/>
                <w:sz w:val="12"/>
                <w:szCs w:val="12"/>
                <w:color w:val="auto"/>
              </w:rPr>
              <w:t>Corporates</w:t>
            </w:r>
          </w:p>
        </w:tc>
        <w:tc>
          <w:tcPr>
            <w:tcW w:w="130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9"/>
                <w:szCs w:val="9"/>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2"/>
                <w:szCs w:val="12"/>
                <w:color w:val="auto"/>
              </w:rPr>
              <w:t>Discounted Cash Flow</w:t>
            </w:r>
          </w:p>
        </w:tc>
        <w:tc>
          <w:tcPr>
            <w:tcW w:w="1760" w:type="dxa"/>
            <w:vAlign w:val="bottom"/>
            <w:gridSpan w:val="2"/>
            <w:vMerge w:val="restart"/>
          </w:tcPr>
          <w:p>
            <w:pPr>
              <w:ind w:left="20"/>
              <w:spacing w:after="0"/>
              <w:rPr>
                <w:sz w:val="20"/>
                <w:szCs w:val="20"/>
                <w:color w:val="auto"/>
              </w:rPr>
            </w:pPr>
            <w:r>
              <w:rPr>
                <w:rFonts w:ascii="Arial" w:cs="Arial" w:eastAsia="Arial" w:hAnsi="Arial"/>
                <w:sz w:val="12"/>
                <w:szCs w:val="12"/>
                <w:color w:val="auto"/>
              </w:rPr>
              <w:t>Discount Rate</w:t>
            </w:r>
          </w:p>
        </w:tc>
        <w:tc>
          <w:tcPr>
            <w:tcW w:w="1980" w:type="dxa"/>
            <w:vAlign w:val="bottom"/>
            <w:gridSpan w:val="2"/>
          </w:tcPr>
          <w:p>
            <w:pPr>
              <w:ind w:left="20"/>
              <w:spacing w:after="0" w:line="113" w:lineRule="exact"/>
              <w:rPr>
                <w:sz w:val="20"/>
                <w:szCs w:val="20"/>
                <w:color w:val="auto"/>
              </w:rPr>
            </w:pPr>
            <w:r>
              <w:rPr>
                <w:rFonts w:ascii="Arial" w:cs="Arial" w:eastAsia="Arial" w:hAnsi="Arial"/>
                <w:sz w:val="12"/>
                <w:szCs w:val="12"/>
                <w:color w:val="auto"/>
              </w:rPr>
              <w:t>44.00% - 100.00%</w:t>
            </w:r>
          </w:p>
        </w:tc>
        <w:tc>
          <w:tcPr>
            <w:tcW w:w="0" w:type="dxa"/>
            <w:vAlign w:val="bottom"/>
          </w:tcPr>
          <w:p>
            <w:pPr>
              <w:spacing w:after="0"/>
              <w:rPr>
                <w:sz w:val="1"/>
                <w:szCs w:val="1"/>
                <w:color w:val="auto"/>
              </w:rPr>
            </w:pPr>
          </w:p>
        </w:tc>
      </w:tr>
      <w:tr>
        <w:trPr>
          <w:trHeight w:val="155"/>
        </w:trPr>
        <w:tc>
          <w:tcPr>
            <w:tcW w:w="3680" w:type="dxa"/>
            <w:vAlign w:val="bottom"/>
            <w:gridSpan w:val="2"/>
            <w:vMerge w:val="continue"/>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980" w:type="dxa"/>
            <w:vAlign w:val="bottom"/>
            <w:gridSpan w:val="2"/>
          </w:tcPr>
          <w:p>
            <w:pPr>
              <w:ind w:left="60"/>
              <w:spacing w:after="0"/>
              <w:rPr>
                <w:sz w:val="20"/>
                <w:szCs w:val="20"/>
                <w:color w:val="auto"/>
              </w:rPr>
            </w:pPr>
            <w:r>
              <w:rPr>
                <w:rFonts w:ascii="Arial" w:cs="Arial" w:eastAsia="Arial" w:hAnsi="Arial"/>
                <w:sz w:val="12"/>
                <w:szCs w:val="12"/>
                <w:color w:val="auto"/>
              </w:rPr>
              <w:t>(62.00%)</w:t>
            </w: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Municipals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135.09% - 135.09% (135.09%)</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Foreign governments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107.23% - 116.44% (110.11%)</w:t>
            </w: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Short-term</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100.00% - 100.00% (100.00%)</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Preferred securities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Income-Approach</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Yield</w:t>
            </w:r>
          </w:p>
        </w:tc>
        <w:tc>
          <w:tcPr>
            <w:tcW w:w="360" w:type="dxa"/>
            <w:vAlign w:val="bottom"/>
          </w:tcPr>
          <w:p>
            <w:pPr>
              <w:ind w:left="20"/>
              <w:spacing w:after="0"/>
              <w:rPr>
                <w:sz w:val="20"/>
                <w:szCs w:val="20"/>
                <w:color w:val="auto"/>
              </w:rPr>
            </w:pPr>
            <w:r>
              <w:rPr>
                <w:rFonts w:ascii="Arial" w:cs="Arial" w:eastAsia="Arial" w:hAnsi="Arial"/>
                <w:sz w:val="12"/>
                <w:szCs w:val="12"/>
                <w:color w:val="auto"/>
                <w:w w:val="93"/>
              </w:rPr>
              <w:t>2.43%</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68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Equity securities</w:t>
            </w:r>
          </w:p>
        </w:tc>
        <w:tc>
          <w:tcPr>
            <w:tcW w:w="13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0"/>
                <w:szCs w:val="10"/>
                <w:color w:val="auto"/>
              </w:rPr>
            </w:pPr>
          </w:p>
        </w:tc>
        <w:tc>
          <w:tcPr>
            <w:tcW w:w="21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Broker Quoted</w:t>
            </w:r>
          </w:p>
        </w:tc>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2"/>
                <w:szCs w:val="12"/>
                <w:color w:val="auto"/>
              </w:rPr>
              <w:t>$6.23 - $6.23</w:t>
            </w:r>
          </w:p>
        </w:tc>
        <w:tc>
          <w:tcPr>
            <w:tcW w:w="0" w:type="dxa"/>
            <w:vAlign w:val="bottom"/>
          </w:tcPr>
          <w:p>
            <w:pPr>
              <w:spacing w:after="0"/>
              <w:rPr>
                <w:sz w:val="1"/>
                <w:szCs w:val="1"/>
                <w:color w:val="auto"/>
              </w:rPr>
            </w:pPr>
          </w:p>
        </w:tc>
      </w:tr>
      <w:tr>
        <w:trPr>
          <w:trHeight w:val="158"/>
        </w:trPr>
        <w:tc>
          <w:tcPr>
            <w:tcW w:w="3680" w:type="dxa"/>
            <w:vAlign w:val="bottom"/>
            <w:gridSpan w:val="2"/>
            <w:vMerge w:val="continue"/>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gridSpan w:val="2"/>
            <w:vMerge w:val="continue"/>
            <w:shd w:val="clear" w:color="auto" w:fill="CCEEFF"/>
          </w:tcPr>
          <w:p>
            <w:pPr>
              <w:spacing w:after="0"/>
              <w:rPr>
                <w:sz w:val="13"/>
                <w:szCs w:val="13"/>
                <w:color w:val="auto"/>
              </w:rPr>
            </w:pPr>
          </w:p>
        </w:tc>
        <w:tc>
          <w:tcPr>
            <w:tcW w:w="1760" w:type="dxa"/>
            <w:vAlign w:val="bottom"/>
            <w:gridSpan w:val="2"/>
            <w:vMerge w:val="continue"/>
            <w:shd w:val="clear" w:color="auto" w:fill="CCEEFF"/>
          </w:tcPr>
          <w:p>
            <w:pPr>
              <w:spacing w:after="0"/>
              <w:rPr>
                <w:sz w:val="13"/>
                <w:szCs w:val="13"/>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($6.23)</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Equity securities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Black Scholes model</w:t>
            </w:r>
          </w:p>
        </w:tc>
        <w:tc>
          <w:tcPr>
            <w:tcW w:w="1760" w:type="dxa"/>
            <w:vAlign w:val="bottom"/>
            <w:gridSpan w:val="2"/>
          </w:tcPr>
          <w:p>
            <w:pPr>
              <w:ind w:left="60"/>
              <w:spacing w:after="0"/>
              <w:rPr>
                <w:sz w:val="20"/>
                <w:szCs w:val="20"/>
                <w:color w:val="auto"/>
              </w:rPr>
            </w:pPr>
            <w:r>
              <w:rPr>
                <w:rFonts w:ascii="Arial" w:cs="Arial" w:eastAsia="Arial" w:hAnsi="Arial"/>
                <w:sz w:val="12"/>
                <w:szCs w:val="12"/>
                <w:color w:val="auto"/>
              </w:rPr>
              <w:t>Risk Free Rate</w:t>
            </w:r>
          </w:p>
        </w:tc>
        <w:tc>
          <w:tcPr>
            <w:tcW w:w="360" w:type="dxa"/>
            <w:vAlign w:val="bottom"/>
          </w:tcPr>
          <w:p>
            <w:pPr>
              <w:ind w:left="20"/>
              <w:spacing w:after="0"/>
              <w:rPr>
                <w:sz w:val="20"/>
                <w:szCs w:val="20"/>
                <w:color w:val="auto"/>
              </w:rPr>
            </w:pPr>
            <w:r>
              <w:rPr>
                <w:rFonts w:ascii="Arial" w:cs="Arial" w:eastAsia="Arial" w:hAnsi="Arial"/>
                <w:sz w:val="12"/>
                <w:szCs w:val="12"/>
                <w:color w:val="auto"/>
                <w:w w:val="93"/>
              </w:rPr>
              <w:t>1.00%</w:t>
            </w:r>
          </w:p>
        </w:tc>
        <w:tc>
          <w:tcPr>
            <w:tcW w:w="1620" w:type="dxa"/>
            <w:vAlign w:val="bottom"/>
          </w:tcPr>
          <w:p>
            <w:pPr>
              <w:spacing w:after="0"/>
              <w:rPr>
                <w:sz w:val="20"/>
                <w:szCs w:val="20"/>
                <w:color w:val="auto"/>
              </w:rPr>
            </w:pPr>
            <w:r>
              <w:rPr>
                <w:rFonts w:ascii="Arial" w:cs="Arial" w:eastAsia="Arial" w:hAnsi="Arial"/>
                <w:sz w:val="12"/>
                <w:szCs w:val="12"/>
                <w:color w:val="auto"/>
              </w:rPr>
              <w:t>- 1.00% (1.00%)</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Strike Price</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$1.50 - $1.50 ($1.50)</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color w:val="auto"/>
              </w:rPr>
              <w:t>Volatility</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81.00% - 81.00% (81.00%)</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Dividend Yield</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0.00%</w:t>
            </w:r>
          </w:p>
        </w:tc>
        <w:tc>
          <w:tcPr>
            <w:tcW w:w="1620" w:type="dxa"/>
            <w:vAlign w:val="bottom"/>
            <w:shd w:val="clear" w:color="auto" w:fill="CCEEFF"/>
          </w:tcPr>
          <w:p>
            <w:pPr>
              <w:spacing w:after="0"/>
              <w:rPr>
                <w:sz w:val="20"/>
                <w:szCs w:val="20"/>
                <w:color w:val="auto"/>
              </w:rPr>
            </w:pPr>
            <w:r>
              <w:rPr>
                <w:rFonts w:ascii="Arial" w:cs="Arial" w:eastAsia="Arial" w:hAnsi="Arial"/>
                <w:sz w:val="12"/>
                <w:szCs w:val="12"/>
                <w:color w:val="auto"/>
              </w:rPr>
              <w:t>- 0.00% (0.00%)</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Equity securities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Discounted Cash Flow</w:t>
            </w:r>
          </w:p>
        </w:tc>
        <w:tc>
          <w:tcPr>
            <w:tcW w:w="1760" w:type="dxa"/>
            <w:vAlign w:val="bottom"/>
            <w:gridSpan w:val="2"/>
          </w:tcPr>
          <w:p>
            <w:pPr>
              <w:ind w:left="60"/>
              <w:spacing w:after="0"/>
              <w:rPr>
                <w:sz w:val="20"/>
                <w:szCs w:val="20"/>
                <w:color w:val="auto"/>
              </w:rPr>
            </w:pPr>
            <w:r>
              <w:rPr>
                <w:rFonts w:ascii="Arial" w:cs="Arial" w:eastAsia="Arial" w:hAnsi="Arial"/>
                <w:sz w:val="12"/>
                <w:szCs w:val="12"/>
                <w:color w:val="auto"/>
              </w:rPr>
              <w:t>Discount rate</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12.70% - 12.70% (12.70%)</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8"/>
              </w:rPr>
              <w:t>Market Comparable Company Analysis</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EBITDA multiple</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5.9x - 5.9x (5.9x)</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Other long-term investments:</w:t>
            </w: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Available-for-sale embedded derivative</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Black Scholes model</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Market value of fund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55"/>
        </w:trPr>
        <w:tc>
          <w:tcPr>
            <w:tcW w:w="3680" w:type="dxa"/>
            <w:vAlign w:val="bottom"/>
            <w:gridSpan w:val="2"/>
          </w:tcPr>
          <w:p>
            <w:pPr>
              <w:ind w:left="180"/>
              <w:spacing w:after="0"/>
              <w:rPr>
                <w:sz w:val="20"/>
                <w:szCs w:val="20"/>
                <w:color w:val="auto"/>
              </w:rPr>
            </w:pPr>
            <w:r>
              <w:rPr>
                <w:rFonts w:ascii="Arial" w:cs="Arial" w:eastAsia="Arial" w:hAnsi="Arial"/>
                <w:sz w:val="12"/>
                <w:szCs w:val="12"/>
                <w:color w:val="auto"/>
              </w:rPr>
              <w:t>Credit Linked Note</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Investment in affiliate</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8"/>
              </w:rPr>
              <w:t>Market Comparable Company Analysis</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EBITDA multiple</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w w:val="88"/>
              </w:rPr>
              <w:t>8x - 8x</w:t>
            </w: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3360" w:type="dxa"/>
            <w:vAlign w:val="bottom"/>
          </w:tcPr>
          <w:p>
            <w:pPr>
              <w:ind w:left="60"/>
              <w:spacing w:after="0"/>
              <w:rPr>
                <w:sz w:val="20"/>
                <w:szCs w:val="20"/>
                <w:color w:val="auto"/>
              </w:rPr>
            </w:pPr>
            <w:r>
              <w:rPr>
                <w:rFonts w:ascii="Arial" w:cs="Arial" w:eastAsia="Arial" w:hAnsi="Arial"/>
                <w:sz w:val="12"/>
                <w:szCs w:val="12"/>
                <w:color w:val="auto"/>
              </w:rPr>
              <w:t>Total financial assets at fair value</w:t>
            </w:r>
          </w:p>
        </w:tc>
        <w:tc>
          <w:tcPr>
            <w:tcW w:w="1300" w:type="dxa"/>
            <w:vAlign w:val="bottom"/>
            <w:tcBorders>
              <w:bottom w:val="single" w:sz="8" w:color="auto"/>
            </w:tcBorders>
          </w:tcPr>
          <w:p>
            <w:pPr>
              <w:jc w:val="right"/>
              <w:ind w:right="1185"/>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5,600</w:t>
            </w: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8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Liabilities</w:t>
            </w:r>
          </w:p>
        </w:tc>
        <w:tc>
          <w:tcPr>
            <w:tcW w:w="13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Future policy benefits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Discounted cash flow</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Non-performance spread</w:t>
            </w:r>
          </w:p>
        </w:tc>
        <w:tc>
          <w:tcPr>
            <w:tcW w:w="360" w:type="dxa"/>
            <w:vAlign w:val="bottom"/>
          </w:tcPr>
          <w:p>
            <w:pPr>
              <w:ind w:left="20"/>
              <w:spacing w:after="0"/>
              <w:rPr>
                <w:sz w:val="20"/>
                <w:szCs w:val="20"/>
                <w:color w:val="auto"/>
              </w:rPr>
            </w:pPr>
            <w:r>
              <w:rPr>
                <w:rFonts w:ascii="Arial" w:cs="Arial" w:eastAsia="Arial" w:hAnsi="Arial"/>
                <w:sz w:val="12"/>
                <w:szCs w:val="12"/>
                <w:color w:val="auto"/>
                <w:w w:val="93"/>
              </w:rPr>
              <w:t>0.50%</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Derivatives: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80" w:type="dxa"/>
            <w:vAlign w:val="bottom"/>
            <w:gridSpan w:val="2"/>
          </w:tcPr>
          <w:p>
            <w:pPr>
              <w:ind w:left="180"/>
              <w:spacing w:after="0"/>
              <w:rPr>
                <w:sz w:val="20"/>
                <w:szCs w:val="20"/>
                <w:color w:val="auto"/>
              </w:rPr>
            </w:pPr>
            <w:r>
              <w:rPr>
                <w:rFonts w:ascii="Arial" w:cs="Arial" w:eastAsia="Arial" w:hAnsi="Arial"/>
                <w:sz w:val="12"/>
                <w:szCs w:val="12"/>
                <w:color w:val="auto"/>
              </w:rPr>
              <w:t>FIA/ IUL embedded derivatives, included in contractholder funds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6"/>
              </w:rPr>
              <w:t>3,883</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Discounted cash flow</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Market value of option</w:t>
            </w:r>
          </w:p>
        </w:tc>
        <w:tc>
          <w:tcPr>
            <w:tcW w:w="360" w:type="dxa"/>
            <w:vAlign w:val="bottom"/>
          </w:tcPr>
          <w:p>
            <w:pPr>
              <w:ind w:left="20"/>
              <w:spacing w:after="0"/>
              <w:rPr>
                <w:sz w:val="20"/>
                <w:szCs w:val="20"/>
                <w:color w:val="auto"/>
              </w:rPr>
            </w:pPr>
            <w:r>
              <w:rPr>
                <w:rFonts w:ascii="Arial" w:cs="Arial" w:eastAsia="Arial" w:hAnsi="Arial"/>
                <w:sz w:val="12"/>
                <w:szCs w:val="12"/>
                <w:color w:val="auto"/>
                <w:w w:val="93"/>
              </w:rPr>
              <w:t>0.00%</w:t>
            </w:r>
          </w:p>
        </w:tc>
        <w:tc>
          <w:tcPr>
            <w:tcW w:w="1620" w:type="dxa"/>
            <w:vAlign w:val="bottom"/>
          </w:tcPr>
          <w:p>
            <w:pPr>
              <w:spacing w:after="0"/>
              <w:rPr>
                <w:sz w:val="20"/>
                <w:szCs w:val="20"/>
                <w:color w:val="auto"/>
              </w:rPr>
            </w:pPr>
            <w:r>
              <w:rPr>
                <w:rFonts w:ascii="Arial" w:cs="Arial" w:eastAsia="Arial" w:hAnsi="Arial"/>
                <w:sz w:val="12"/>
                <w:szCs w:val="12"/>
                <w:color w:val="auto"/>
              </w:rPr>
              <w:t>- 38.72% (3.16%)</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Swap rates</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0.05%</w:t>
            </w:r>
          </w:p>
        </w:tc>
        <w:tc>
          <w:tcPr>
            <w:tcW w:w="1620" w:type="dxa"/>
            <w:vAlign w:val="bottom"/>
            <w:shd w:val="clear" w:color="auto" w:fill="CCEEFF"/>
          </w:tcPr>
          <w:p>
            <w:pPr>
              <w:spacing w:after="0"/>
              <w:rPr>
                <w:sz w:val="20"/>
                <w:szCs w:val="20"/>
                <w:color w:val="auto"/>
              </w:rPr>
            </w:pPr>
            <w:r>
              <w:rPr>
                <w:rFonts w:ascii="Arial" w:cs="Arial" w:eastAsia="Arial" w:hAnsi="Arial"/>
                <w:sz w:val="12"/>
                <w:szCs w:val="12"/>
                <w:color w:val="auto"/>
              </w:rPr>
              <w:t>- 1.94% (1.00%)</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Mortality multiplier</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100.00% - 100.00% (100.00%)</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Surrender rates</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0.25%</w:t>
            </w:r>
          </w:p>
        </w:tc>
        <w:tc>
          <w:tcPr>
            <w:tcW w:w="1620" w:type="dxa"/>
            <w:vAlign w:val="bottom"/>
            <w:shd w:val="clear" w:color="auto" w:fill="CCEEFF"/>
          </w:tcPr>
          <w:p>
            <w:pPr>
              <w:spacing w:after="0"/>
              <w:rPr>
                <w:sz w:val="20"/>
                <w:szCs w:val="20"/>
                <w:color w:val="auto"/>
              </w:rPr>
            </w:pPr>
            <w:r>
              <w:rPr>
                <w:rFonts w:ascii="Arial" w:cs="Arial" w:eastAsia="Arial" w:hAnsi="Arial"/>
                <w:sz w:val="12"/>
                <w:szCs w:val="12"/>
                <w:color w:val="auto"/>
              </w:rPr>
              <w:t>- 70.00% (6.26%)</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Partial withdrawals</w:t>
            </w:r>
          </w:p>
        </w:tc>
        <w:tc>
          <w:tcPr>
            <w:tcW w:w="360" w:type="dxa"/>
            <w:vAlign w:val="bottom"/>
          </w:tcPr>
          <w:p>
            <w:pPr>
              <w:ind w:left="20"/>
              <w:spacing w:after="0"/>
              <w:rPr>
                <w:sz w:val="20"/>
                <w:szCs w:val="20"/>
                <w:color w:val="auto"/>
              </w:rPr>
            </w:pPr>
            <w:r>
              <w:rPr>
                <w:rFonts w:ascii="Arial" w:cs="Arial" w:eastAsia="Arial" w:hAnsi="Arial"/>
                <w:sz w:val="12"/>
                <w:szCs w:val="12"/>
                <w:color w:val="auto"/>
                <w:w w:val="93"/>
              </w:rPr>
              <w:t>2.00%</w:t>
            </w:r>
          </w:p>
        </w:tc>
        <w:tc>
          <w:tcPr>
            <w:tcW w:w="1620" w:type="dxa"/>
            <w:vAlign w:val="bottom"/>
          </w:tcPr>
          <w:p>
            <w:pPr>
              <w:spacing w:after="0"/>
              <w:rPr>
                <w:sz w:val="20"/>
                <w:szCs w:val="20"/>
                <w:color w:val="auto"/>
              </w:rPr>
            </w:pPr>
            <w:r>
              <w:rPr>
                <w:rFonts w:ascii="Arial" w:cs="Arial" w:eastAsia="Arial" w:hAnsi="Arial"/>
                <w:sz w:val="12"/>
                <w:szCs w:val="12"/>
                <w:color w:val="auto"/>
              </w:rPr>
              <w:t>- 23.26% (2.72%)</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Non-performance spread</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0.43%</w:t>
            </w:r>
          </w:p>
        </w:tc>
        <w:tc>
          <w:tcPr>
            <w:tcW w:w="1620" w:type="dxa"/>
            <w:vAlign w:val="bottom"/>
            <w:shd w:val="clear" w:color="auto" w:fill="CCEEFF"/>
          </w:tcPr>
          <w:p>
            <w:pPr>
              <w:spacing w:after="0"/>
              <w:rPr>
                <w:sz w:val="20"/>
                <w:szCs w:val="20"/>
                <w:color w:val="auto"/>
              </w:rPr>
            </w:pPr>
            <w:r>
              <w:rPr>
                <w:rFonts w:ascii="Arial" w:cs="Arial" w:eastAsia="Arial" w:hAnsi="Arial"/>
                <w:sz w:val="12"/>
                <w:szCs w:val="12"/>
                <w:color w:val="auto"/>
              </w:rPr>
              <w:t>- 1.01% (0.68%)</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Option cost</w:t>
            </w:r>
          </w:p>
        </w:tc>
        <w:tc>
          <w:tcPr>
            <w:tcW w:w="360" w:type="dxa"/>
            <w:vAlign w:val="bottom"/>
          </w:tcPr>
          <w:p>
            <w:pPr>
              <w:ind w:left="20"/>
              <w:spacing w:after="0"/>
              <w:rPr>
                <w:sz w:val="20"/>
                <w:szCs w:val="20"/>
                <w:color w:val="auto"/>
              </w:rPr>
            </w:pPr>
            <w:r>
              <w:rPr>
                <w:rFonts w:ascii="Arial" w:cs="Arial" w:eastAsia="Arial" w:hAnsi="Arial"/>
                <w:sz w:val="12"/>
                <w:szCs w:val="12"/>
                <w:color w:val="auto"/>
                <w:w w:val="93"/>
              </w:rPr>
              <w:t>0.07%</w:t>
            </w:r>
          </w:p>
        </w:tc>
        <w:tc>
          <w:tcPr>
            <w:tcW w:w="1620" w:type="dxa"/>
            <w:vAlign w:val="bottom"/>
          </w:tcPr>
          <w:p>
            <w:pPr>
              <w:spacing w:after="0"/>
              <w:rPr>
                <w:sz w:val="20"/>
                <w:szCs w:val="20"/>
                <w:color w:val="auto"/>
              </w:rPr>
            </w:pPr>
            <w:r>
              <w:rPr>
                <w:rFonts w:ascii="Arial" w:cs="Arial" w:eastAsia="Arial" w:hAnsi="Arial"/>
                <w:sz w:val="12"/>
                <w:szCs w:val="12"/>
                <w:color w:val="auto"/>
              </w:rPr>
              <w:t>- 4.97% (1.83%)</w:t>
            </w:r>
          </w:p>
        </w:tc>
        <w:tc>
          <w:tcPr>
            <w:tcW w:w="0" w:type="dxa"/>
            <w:vAlign w:val="bottom"/>
          </w:tcPr>
          <w:p>
            <w:pPr>
              <w:spacing w:after="0"/>
              <w:rPr>
                <w:sz w:val="1"/>
                <w:szCs w:val="1"/>
                <w:color w:val="auto"/>
              </w:rPr>
            </w:pPr>
          </w:p>
        </w:tc>
      </w:tr>
      <w:tr>
        <w:trPr>
          <w:trHeight w:val="185"/>
        </w:trPr>
        <w:tc>
          <w:tcPr>
            <w:tcW w:w="320" w:type="dxa"/>
            <w:vAlign w:val="bottom"/>
            <w:tcBorders>
              <w:bottom w:val="single" w:sz="8" w:color="CCEEFF"/>
            </w:tcBorders>
            <w:shd w:val="clear" w:color="auto" w:fill="CCEEFF"/>
          </w:tcPr>
          <w:p>
            <w:pPr>
              <w:spacing w:after="0"/>
              <w:rPr>
                <w:sz w:val="15"/>
                <w:szCs w:val="15"/>
                <w:color w:val="auto"/>
              </w:rPr>
            </w:pP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Total financial liabilities at fair value</w:t>
            </w:r>
          </w:p>
        </w:tc>
        <w:tc>
          <w:tcPr>
            <w:tcW w:w="1300" w:type="dxa"/>
            <w:vAlign w:val="bottom"/>
            <w:tcBorders>
              <w:bottom w:val="single" w:sz="8" w:color="auto"/>
            </w:tcBorders>
            <w:shd w:val="clear" w:color="auto" w:fill="CCEEFF"/>
          </w:tcPr>
          <w:p>
            <w:pPr>
              <w:jc w:val="right"/>
              <w:ind w:right="1185"/>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3,883</w:t>
            </w:r>
          </w:p>
        </w:tc>
        <w:tc>
          <w:tcPr>
            <w:tcW w:w="10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3" w:name="page124"/>
    <w:bookmarkEnd w:id="12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Pr>
          <w:p>
            <w:pPr>
              <w:jc w:val="center"/>
              <w:ind w:left="286"/>
              <w:spacing w:after="0"/>
              <w:rPr>
                <w:sz w:val="20"/>
                <w:szCs w:val="20"/>
                <w:color w:val="auto"/>
              </w:rPr>
            </w:pPr>
            <w:r>
              <w:rPr>
                <w:rFonts w:ascii="Arial" w:cs="Arial" w:eastAsia="Arial" w:hAnsi="Arial"/>
                <w:sz w:val="12"/>
                <w:szCs w:val="12"/>
                <w:b w:val="1"/>
                <w:bCs w:val="1"/>
                <w:color w:val="auto"/>
                <w:w w:val="95"/>
              </w:rPr>
              <w:t>Fair Value at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300" w:type="dxa"/>
            <w:vAlign w:val="bottom"/>
          </w:tcPr>
          <w:p>
            <w:pPr>
              <w:jc w:val="center"/>
              <w:ind w:left="286"/>
              <w:spacing w:after="0"/>
              <w:rPr>
                <w:sz w:val="20"/>
                <w:szCs w:val="20"/>
                <w:color w:val="auto"/>
              </w:rPr>
            </w:pPr>
            <w:r>
              <w:rPr>
                <w:rFonts w:ascii="Arial" w:cs="Arial" w:eastAsia="Arial" w:hAnsi="Arial"/>
                <w:sz w:val="12"/>
                <w:szCs w:val="12"/>
                <w:b w:val="1"/>
                <w:bCs w:val="1"/>
                <w:color w:val="auto"/>
                <w:w w:val="88"/>
              </w:rPr>
              <w:t>December 31, 2020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tcPr>
          <w:p>
            <w:pPr>
              <w:ind w:left="320"/>
              <w:spacing w:after="0"/>
              <w:rPr>
                <w:sz w:val="20"/>
                <w:szCs w:val="20"/>
                <w:color w:val="auto"/>
              </w:rPr>
            </w:pPr>
            <w:r>
              <w:rPr>
                <w:rFonts w:ascii="Arial" w:cs="Arial" w:eastAsia="Arial" w:hAnsi="Arial"/>
                <w:sz w:val="12"/>
                <w:szCs w:val="12"/>
                <w:b w:val="1"/>
                <w:bCs w:val="1"/>
                <w:color w:val="auto"/>
              </w:rPr>
              <w:t>Range (Weighted average)</w:t>
            </w: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300" w:type="dxa"/>
            <w:vAlign w:val="bottom"/>
          </w:tcPr>
          <w:p>
            <w:pPr>
              <w:jc w:val="center"/>
              <w:ind w:left="266"/>
              <w:spacing w:after="0"/>
              <w:rPr>
                <w:sz w:val="20"/>
                <w:szCs w:val="20"/>
                <w:color w:val="auto"/>
              </w:rPr>
            </w:pPr>
            <w:r>
              <w:rPr>
                <w:rFonts w:ascii="Arial" w:cs="Arial" w:eastAsia="Arial" w:hAnsi="Arial"/>
                <w:sz w:val="12"/>
                <w:szCs w:val="12"/>
                <w:b w:val="1"/>
                <w:bCs w:val="1"/>
                <w:color w:val="auto"/>
                <w:w w:val="91"/>
              </w:rPr>
              <w:t>(in millions)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ind w:left="480"/>
              <w:spacing w:after="0"/>
              <w:rPr>
                <w:sz w:val="20"/>
                <w:szCs w:val="20"/>
                <w:color w:val="auto"/>
              </w:rPr>
            </w:pPr>
            <w:r>
              <w:rPr>
                <w:rFonts w:ascii="Arial" w:cs="Arial" w:eastAsia="Arial" w:hAnsi="Arial"/>
                <w:sz w:val="12"/>
                <w:szCs w:val="12"/>
                <w:b w:val="1"/>
                <w:bCs w:val="1"/>
                <w:color w:val="auto"/>
              </w:rPr>
              <w:t>Valuation Technique</w:t>
            </w:r>
          </w:p>
        </w:tc>
        <w:tc>
          <w:tcPr>
            <w:tcW w:w="1760" w:type="dxa"/>
            <w:vAlign w:val="bottom"/>
            <w:gridSpan w:val="2"/>
          </w:tcPr>
          <w:p>
            <w:pPr>
              <w:ind w:left="260"/>
              <w:spacing w:after="0"/>
              <w:rPr>
                <w:sz w:val="20"/>
                <w:szCs w:val="20"/>
                <w:color w:val="auto"/>
              </w:rPr>
            </w:pPr>
            <w:r>
              <w:rPr>
                <w:rFonts w:ascii="Arial" w:cs="Arial" w:eastAsia="Arial" w:hAnsi="Arial"/>
                <w:sz w:val="12"/>
                <w:szCs w:val="12"/>
                <w:b w:val="1"/>
                <w:bCs w:val="1"/>
                <w:color w:val="auto"/>
              </w:rPr>
              <w:t>Unobservable Input(s)</w:t>
            </w:r>
          </w:p>
        </w:tc>
        <w:tc>
          <w:tcPr>
            <w:tcW w:w="340" w:type="dxa"/>
            <w:vAlign w:val="bottom"/>
          </w:tcPr>
          <w:p>
            <w:pPr>
              <w:spacing w:after="0"/>
              <w:rPr>
                <w:sz w:val="16"/>
                <w:szCs w:val="16"/>
                <w:color w:val="auto"/>
              </w:rPr>
            </w:pPr>
          </w:p>
        </w:tc>
        <w:tc>
          <w:tcPr>
            <w:tcW w:w="1640" w:type="dxa"/>
            <w:vAlign w:val="bottom"/>
          </w:tcPr>
          <w:p>
            <w:pPr>
              <w:ind w:left="16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08"/>
        </w:trPr>
        <w:tc>
          <w:tcPr>
            <w:tcW w:w="36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Assets</w:t>
            </w:r>
          </w:p>
        </w:tc>
        <w:tc>
          <w:tcPr>
            <w:tcW w:w="13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320" w:type="dxa"/>
            <w:vAlign w:val="bottom"/>
            <w:shd w:val="clear" w:color="auto" w:fill="000000"/>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Asset-backed securities</w:t>
            </w:r>
          </w:p>
        </w:tc>
        <w:tc>
          <w:tcPr>
            <w:tcW w:w="1300" w:type="dxa"/>
            <w:vAlign w:val="bottom"/>
          </w:tcPr>
          <w:p>
            <w:pPr>
              <w:jc w:val="right"/>
              <w:ind w:right="1186"/>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6"/>
              </w:rPr>
              <w:t>1,175</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85% - 126.15% (103.96%)</w:t>
            </w: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Offered quotes</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w w:val="88"/>
              </w:rPr>
              <w:t>0.00%</w:t>
            </w:r>
          </w:p>
        </w:tc>
        <w:tc>
          <w:tcPr>
            <w:tcW w:w="1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- 107.25% (79.87%)</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Commercial mortgage-backed securities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131.59% - 131.59% (131.59%)</w:t>
            </w: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Corporates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75.20% - 114.68% ( 103.36%)</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Corporates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901</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88.42% - 125.83% (109.47%)</w:t>
            </w: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Hybrids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112.06% - 112.06% ( 112.06%)</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Municipals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133.53% - 133.53% (133.53%)</w:t>
            </w: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Residential mortgage-backed securities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112.58% - 112.58% (112.58%)</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Foreign governments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107.87% - 113.80% (109.72%)</w:t>
            </w: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Preferred securities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Income-Approach</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Yield</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w w:val="88"/>
              </w:rPr>
              <w:t>2.61%</w:t>
            </w: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Equity securities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Black Scholes model</w:t>
            </w:r>
          </w:p>
        </w:tc>
        <w:tc>
          <w:tcPr>
            <w:tcW w:w="1760" w:type="dxa"/>
            <w:vAlign w:val="bottom"/>
            <w:gridSpan w:val="2"/>
          </w:tcPr>
          <w:p>
            <w:pPr>
              <w:ind w:left="60"/>
              <w:spacing w:after="0"/>
              <w:rPr>
                <w:sz w:val="20"/>
                <w:szCs w:val="20"/>
                <w:color w:val="auto"/>
              </w:rPr>
            </w:pPr>
            <w:r>
              <w:rPr>
                <w:rFonts w:ascii="Arial" w:cs="Arial" w:eastAsia="Arial" w:hAnsi="Arial"/>
                <w:sz w:val="12"/>
                <w:szCs w:val="12"/>
                <w:color w:val="auto"/>
              </w:rPr>
              <w:t>Risk Free Rate</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0.29%</w:t>
            </w:r>
          </w:p>
        </w:tc>
        <w:tc>
          <w:tcPr>
            <w:tcW w:w="1640" w:type="dxa"/>
            <w:vAlign w:val="bottom"/>
          </w:tcPr>
          <w:p>
            <w:pPr>
              <w:ind w:left="20"/>
              <w:spacing w:after="0"/>
              <w:rPr>
                <w:sz w:val="20"/>
                <w:szCs w:val="20"/>
                <w:color w:val="auto"/>
              </w:rPr>
            </w:pPr>
            <w:r>
              <w:rPr>
                <w:rFonts w:ascii="Arial" w:cs="Arial" w:eastAsia="Arial" w:hAnsi="Arial"/>
                <w:sz w:val="12"/>
                <w:szCs w:val="12"/>
                <w:color w:val="auto"/>
              </w:rPr>
              <w:t>- 0.29% (0.29%)</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Strike Price</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$1.50 - $1.50 ($1.50)</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color w:val="auto"/>
              </w:rPr>
              <w:t>Volatility</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1.00%</w:t>
            </w:r>
          </w:p>
        </w:tc>
        <w:tc>
          <w:tcPr>
            <w:tcW w:w="1640" w:type="dxa"/>
            <w:vAlign w:val="bottom"/>
          </w:tcPr>
          <w:p>
            <w:pPr>
              <w:ind w:left="20"/>
              <w:spacing w:after="0"/>
              <w:rPr>
                <w:sz w:val="20"/>
                <w:szCs w:val="20"/>
                <w:color w:val="auto"/>
              </w:rPr>
            </w:pPr>
            <w:r>
              <w:rPr>
                <w:rFonts w:ascii="Arial" w:cs="Arial" w:eastAsia="Arial" w:hAnsi="Arial"/>
                <w:sz w:val="12"/>
                <w:szCs w:val="12"/>
                <w:color w:val="auto"/>
              </w:rPr>
              <w:t>- 1.00% (1.00%)</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Dividend Yield</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w w:val="88"/>
              </w:rPr>
              <w:t>0.00%</w:t>
            </w:r>
          </w:p>
        </w:tc>
        <w:tc>
          <w:tcPr>
            <w:tcW w:w="1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- 0.00% (0.00%)</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Equity securities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Discounted Cash Flow</w:t>
            </w:r>
          </w:p>
        </w:tc>
        <w:tc>
          <w:tcPr>
            <w:tcW w:w="1760" w:type="dxa"/>
            <w:vAlign w:val="bottom"/>
            <w:gridSpan w:val="2"/>
          </w:tcPr>
          <w:p>
            <w:pPr>
              <w:ind w:left="60"/>
              <w:spacing w:after="0"/>
              <w:rPr>
                <w:sz w:val="20"/>
                <w:szCs w:val="20"/>
                <w:color w:val="auto"/>
              </w:rPr>
            </w:pPr>
            <w:r>
              <w:rPr>
                <w:rFonts w:ascii="Arial" w:cs="Arial" w:eastAsia="Arial" w:hAnsi="Arial"/>
                <w:sz w:val="12"/>
                <w:szCs w:val="12"/>
                <w:color w:val="auto"/>
              </w:rPr>
              <w:t>Discount rate</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10.60% - 10.60% (10.60%)</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8"/>
              </w:rPr>
              <w:t>Market Comparable Company Analysis</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EBITDA multiple</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6.6x - 6.6x (6.6x)</w:t>
            </w: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2"/>
                <w:szCs w:val="12"/>
                <w:color w:val="auto"/>
              </w:rPr>
              <w:t>Other long-term assets:</w:t>
            </w: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Available-for-sale embedded derivative</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Black Scholes model</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Market value of fund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55"/>
        </w:trPr>
        <w:tc>
          <w:tcPr>
            <w:tcW w:w="3680" w:type="dxa"/>
            <w:vAlign w:val="bottom"/>
            <w:gridSpan w:val="2"/>
          </w:tcPr>
          <w:p>
            <w:pPr>
              <w:ind w:left="180"/>
              <w:spacing w:after="0"/>
              <w:rPr>
                <w:sz w:val="20"/>
                <w:szCs w:val="20"/>
                <w:color w:val="auto"/>
              </w:rPr>
            </w:pPr>
            <w:r>
              <w:rPr>
                <w:rFonts w:ascii="Arial" w:cs="Arial" w:eastAsia="Arial" w:hAnsi="Arial"/>
                <w:sz w:val="12"/>
                <w:szCs w:val="12"/>
                <w:color w:val="auto"/>
              </w:rPr>
              <w:t>Credit Linked Note</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Offered quotes</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85"/>
        </w:trPr>
        <w:tc>
          <w:tcPr>
            <w:tcW w:w="320" w:type="dxa"/>
            <w:vAlign w:val="bottom"/>
            <w:tcBorders>
              <w:bottom w:val="single" w:sz="8" w:color="CCEEFF"/>
            </w:tcBorders>
            <w:shd w:val="clear" w:color="auto" w:fill="CCEEFF"/>
          </w:tcPr>
          <w:p>
            <w:pPr>
              <w:spacing w:after="0"/>
              <w:rPr>
                <w:sz w:val="15"/>
                <w:szCs w:val="15"/>
                <w:color w:val="auto"/>
              </w:rPr>
            </w:pP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Total financial assets at fair value</w:t>
            </w:r>
          </w:p>
        </w:tc>
        <w:tc>
          <w:tcPr>
            <w:tcW w:w="1300" w:type="dxa"/>
            <w:vAlign w:val="bottom"/>
            <w:tcBorders>
              <w:bottom w:val="single" w:sz="8" w:color="auto"/>
            </w:tcBorders>
            <w:shd w:val="clear" w:color="auto" w:fill="CCEEFF"/>
          </w:tcPr>
          <w:p>
            <w:pPr>
              <w:jc w:val="right"/>
              <w:ind w:right="1186"/>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3,267</w:t>
            </w:r>
          </w:p>
        </w:tc>
        <w:tc>
          <w:tcPr>
            <w:tcW w:w="10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2"/>
                <w:szCs w:val="12"/>
                <w:b w:val="1"/>
                <w:bCs w:val="1"/>
                <w:color w:val="auto"/>
              </w:rPr>
              <w:t>Liabilities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680" w:type="dxa"/>
            <w:vAlign w:val="bottom"/>
            <w:gridSpan w:val="2"/>
            <w:vMerge w:val="continue"/>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Future policy benefits</w:t>
            </w:r>
          </w:p>
        </w:tc>
        <w:tc>
          <w:tcPr>
            <w:tcW w:w="1300" w:type="dxa"/>
            <w:vAlign w:val="bottom"/>
            <w:shd w:val="clear" w:color="auto" w:fill="CCEEFF"/>
          </w:tcPr>
          <w:p>
            <w:pPr>
              <w:jc w:val="right"/>
              <w:ind w:right="1186"/>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Discounted cash flow</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Non-performance spread</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w w:val="88"/>
              </w:rPr>
              <w:t>0.00%</w:t>
            </w: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w w:val="98"/>
              </w:rPr>
              <w:t>Risk margin to reflect uncertainty</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0.50%</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Derivatives: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80" w:type="dxa"/>
            <w:vAlign w:val="bottom"/>
            <w:gridSpan w:val="2"/>
          </w:tcPr>
          <w:p>
            <w:pPr>
              <w:ind w:left="180"/>
              <w:spacing w:after="0"/>
              <w:rPr>
                <w:sz w:val="20"/>
                <w:szCs w:val="20"/>
                <w:color w:val="auto"/>
              </w:rPr>
            </w:pPr>
            <w:r>
              <w:rPr>
                <w:rFonts w:ascii="Arial" w:cs="Arial" w:eastAsia="Arial" w:hAnsi="Arial"/>
                <w:sz w:val="12"/>
                <w:szCs w:val="12"/>
                <w:color w:val="auto"/>
              </w:rPr>
              <w:t>FIA/ IUL embedded derivatives, included in contractholder funds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6"/>
              </w:rPr>
              <w:t>3,404</w:t>
            </w:r>
          </w:p>
        </w:tc>
        <w:tc>
          <w:tcPr>
            <w:tcW w:w="10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Discounted cash flow</w:t>
            </w: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Market value of option</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0.00%</w:t>
            </w:r>
          </w:p>
        </w:tc>
        <w:tc>
          <w:tcPr>
            <w:tcW w:w="1640" w:type="dxa"/>
            <w:vAlign w:val="bottom"/>
          </w:tcPr>
          <w:p>
            <w:pPr>
              <w:ind w:left="20"/>
              <w:spacing w:after="0"/>
              <w:rPr>
                <w:sz w:val="20"/>
                <w:szCs w:val="20"/>
                <w:color w:val="auto"/>
              </w:rPr>
            </w:pPr>
            <w:r>
              <w:rPr>
                <w:rFonts w:ascii="Arial" w:cs="Arial" w:eastAsia="Arial" w:hAnsi="Arial"/>
                <w:sz w:val="12"/>
                <w:szCs w:val="12"/>
                <w:color w:val="auto"/>
              </w:rPr>
              <w:t>- 67.65% (2.25%)</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Treasury rates</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w w:val="88"/>
              </w:rPr>
              <w:t>0.08%</w:t>
            </w:r>
          </w:p>
        </w:tc>
        <w:tc>
          <w:tcPr>
            <w:tcW w:w="1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- 1.65% (0.87%)</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Mortality multiplier</w:t>
            </w: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100.00% - 100.00% (100.00%)</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Surrender rates</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w w:val="88"/>
              </w:rPr>
              <w:t>0.25%</w:t>
            </w:r>
          </w:p>
        </w:tc>
        <w:tc>
          <w:tcPr>
            <w:tcW w:w="1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- 55.00% (5.24%)</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Partial withdrawals</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2.00%</w:t>
            </w:r>
          </w:p>
        </w:tc>
        <w:tc>
          <w:tcPr>
            <w:tcW w:w="1640" w:type="dxa"/>
            <w:vAlign w:val="bottom"/>
          </w:tcPr>
          <w:p>
            <w:pPr>
              <w:ind w:left="20"/>
              <w:spacing w:after="0"/>
              <w:rPr>
                <w:sz w:val="20"/>
                <w:szCs w:val="20"/>
                <w:color w:val="auto"/>
              </w:rPr>
            </w:pPr>
            <w:r>
              <w:rPr>
                <w:rFonts w:ascii="Arial" w:cs="Arial" w:eastAsia="Arial" w:hAnsi="Arial"/>
                <w:sz w:val="12"/>
                <w:szCs w:val="12"/>
                <w:color w:val="auto"/>
              </w:rPr>
              <w:t>- 3.50% (2.58%)</w:t>
            </w:r>
          </w:p>
        </w:tc>
        <w:tc>
          <w:tcPr>
            <w:tcW w:w="0" w:type="dxa"/>
            <w:vAlign w:val="bottom"/>
          </w:tcPr>
          <w:p>
            <w:pPr>
              <w:spacing w:after="0"/>
              <w:rPr>
                <w:sz w:val="1"/>
                <w:szCs w:val="1"/>
                <w:color w:val="auto"/>
              </w:rPr>
            </w:pPr>
          </w:p>
        </w:tc>
      </w:tr>
      <w:tr>
        <w:trPr>
          <w:trHeight w:val="160"/>
        </w:trPr>
        <w:tc>
          <w:tcPr>
            <w:tcW w:w="32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Non-performance spread</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w w:val="88"/>
              </w:rPr>
              <w:t>0.74%</w:t>
            </w:r>
          </w:p>
        </w:tc>
        <w:tc>
          <w:tcPr>
            <w:tcW w:w="1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- 0.74% (0.74%)</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Option cost</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0.05%</w:t>
            </w:r>
          </w:p>
        </w:tc>
        <w:tc>
          <w:tcPr>
            <w:tcW w:w="1640" w:type="dxa"/>
            <w:vAlign w:val="bottom"/>
          </w:tcPr>
          <w:p>
            <w:pPr>
              <w:ind w:left="20"/>
              <w:spacing w:after="0"/>
              <w:rPr>
                <w:sz w:val="20"/>
                <w:szCs w:val="20"/>
                <w:color w:val="auto"/>
              </w:rPr>
            </w:pPr>
            <w:r>
              <w:rPr>
                <w:rFonts w:ascii="Arial" w:cs="Arial" w:eastAsia="Arial" w:hAnsi="Arial"/>
                <w:sz w:val="12"/>
                <w:szCs w:val="12"/>
                <w:color w:val="auto"/>
              </w:rPr>
              <w:t>- 16.61% (2.25%)</w:t>
            </w:r>
          </w:p>
        </w:tc>
        <w:tc>
          <w:tcPr>
            <w:tcW w:w="0" w:type="dxa"/>
            <w:vAlign w:val="bottom"/>
          </w:tcPr>
          <w:p>
            <w:pPr>
              <w:spacing w:after="0"/>
              <w:rPr>
                <w:sz w:val="1"/>
                <w:szCs w:val="1"/>
                <w:color w:val="auto"/>
              </w:rPr>
            </w:pPr>
          </w:p>
        </w:tc>
      </w:tr>
      <w:tr>
        <w:trPr>
          <w:trHeight w:val="185"/>
        </w:trPr>
        <w:tc>
          <w:tcPr>
            <w:tcW w:w="320" w:type="dxa"/>
            <w:vAlign w:val="bottom"/>
            <w:tcBorders>
              <w:bottom w:val="single" w:sz="8" w:color="CCEEFF"/>
            </w:tcBorders>
            <w:shd w:val="clear" w:color="auto" w:fill="CCEEFF"/>
          </w:tcPr>
          <w:p>
            <w:pPr>
              <w:spacing w:after="0"/>
              <w:rPr>
                <w:sz w:val="15"/>
                <w:szCs w:val="15"/>
                <w:color w:val="auto"/>
              </w:rPr>
            </w:pP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Total financial liabilities at fair value</w:t>
            </w:r>
          </w:p>
        </w:tc>
        <w:tc>
          <w:tcPr>
            <w:tcW w:w="1300" w:type="dxa"/>
            <w:vAlign w:val="bottom"/>
            <w:tcBorders>
              <w:bottom w:val="single" w:sz="8" w:color="auto"/>
            </w:tcBorders>
            <w:shd w:val="clear" w:color="auto" w:fill="CCEEFF"/>
          </w:tcPr>
          <w:p>
            <w:pPr>
              <w:jc w:val="right"/>
              <w:ind w:right="1186"/>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3,409</w:t>
            </w:r>
          </w:p>
        </w:tc>
        <w:tc>
          <w:tcPr>
            <w:tcW w:w="10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4" w:name="page125"/>
    <w:bookmarkEnd w:id="12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5"/>
          <w:szCs w:val="15"/>
          <w:color w:val="auto"/>
        </w:rPr>
        <w:t>The following tables summarize changes to the Company’s financial instruments carried at fair value and classified within Level 3 of the fair value hierarchy for the years ended December 31, 2021 and 2020, respectively. F&amp;G related activity for the year ended December 31, 2020 in the table below is comprised of the period from June 1, 2020 through December 31, 2020 only. This summary excludes any impact of amortization of VOBA, DAC and DSI. The gains and losses below may include changes in fair value due in part to observable inputs that are a component of the valuation methodology.</w:t>
      </w:r>
    </w:p>
    <w:p>
      <w:pPr>
        <w:spacing w:after="0" w:line="49" w:lineRule="exact"/>
        <w:rPr>
          <w:sz w:val="20"/>
          <w:szCs w:val="20"/>
          <w:color w:val="auto"/>
        </w:rPr>
      </w:pPr>
    </w:p>
    <w:p>
      <w:pPr>
        <w:jc w:val="center"/>
        <w:ind w:left="1160"/>
        <w:spacing w:after="0"/>
        <w:rPr>
          <w:sz w:val="20"/>
          <w:szCs w:val="20"/>
          <w:color w:val="auto"/>
        </w:rPr>
      </w:pPr>
      <w:r>
        <w:rPr>
          <w:rFonts w:ascii="Arial" w:cs="Arial" w:eastAsia="Arial" w:hAnsi="Arial"/>
          <w:sz w:val="12"/>
          <w:szCs w:val="12"/>
          <w:b w:val="1"/>
          <w:bCs w:val="1"/>
          <w:color w:val="auto"/>
        </w:rPr>
        <w:t>Year ended December 31, 2021</w:t>
      </w:r>
    </w:p>
    <w:p>
      <w:pPr>
        <w:spacing w:after="0" w:line="20" w:lineRule="exact"/>
        <w:rPr>
          <w:sz w:val="20"/>
          <w:szCs w:val="20"/>
          <w:color w:val="auto"/>
        </w:rPr>
      </w:pPr>
    </w:p>
    <w:p>
      <w:pPr>
        <w:jc w:val="center"/>
        <w:ind w:left="1160"/>
        <w:spacing w:after="0"/>
        <w:rPr>
          <w:sz w:val="20"/>
          <w:szCs w:val="20"/>
          <w:color w:val="auto"/>
        </w:rPr>
      </w:pPr>
      <w:r>
        <w:rPr>
          <w:rFonts w:ascii="Arial" w:cs="Arial" w:eastAsia="Arial" w:hAnsi="Arial"/>
          <w:sz w:val="12"/>
          <w:szCs w:val="12"/>
          <w:b w:val="1"/>
          <w:bCs w:val="1"/>
          <w:color w:val="auto"/>
        </w:rPr>
        <w:t>(in millions)</w:t>
      </w:r>
    </w:p>
    <w:p>
      <w:pPr>
        <w:spacing w:after="0" w:line="19" w:lineRule="exact"/>
        <w:rPr>
          <w:sz w:val="20"/>
          <w:szCs w:val="20"/>
          <w:color w:val="auto"/>
        </w:rPr>
      </w:pPr>
    </w:p>
    <w:tbl>
      <w:tblPr>
        <w:tblLayout w:type="fixed"/>
        <w:tblInd w:w="200" w:type="dxa"/>
        <w:tblCellMar>
          <w:top w:w="0" w:type="dxa"/>
          <w:left w:w="0" w:type="dxa"/>
          <w:bottom w:w="0" w:type="dxa"/>
          <w:right w:w="0" w:type="dxa"/>
        </w:tblCellMar>
      </w:tblPr>
      <w:tr>
        <w:trPr>
          <w:trHeight w:val="160"/>
        </w:trPr>
        <w:tc>
          <w:tcPr>
            <w:tcW w:w="2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Total Gains (Losses)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Balance at</w:t>
            </w:r>
          </w:p>
        </w:tc>
        <w:tc>
          <w:tcPr>
            <w:tcW w:w="10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1"/>
              </w:rPr>
              <w:t>Included in</w:t>
            </w:r>
          </w:p>
        </w:tc>
        <w:tc>
          <w:tcPr>
            <w:tcW w:w="10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1"/>
              </w:rPr>
              <w:t>Included in</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Net transfer In</w:t>
            </w:r>
          </w:p>
        </w:tc>
        <w:tc>
          <w:tcPr>
            <w:tcW w:w="10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Balance at</w:t>
            </w:r>
          </w:p>
        </w:tc>
        <w:tc>
          <w:tcPr>
            <w:tcW w:w="80" w:type="dxa"/>
            <w:vAlign w:val="bottom"/>
          </w:tcPr>
          <w:p>
            <w:pPr>
              <w:spacing w:after="0"/>
              <w:rPr>
                <w:sz w:val="24"/>
                <w:szCs w:val="24"/>
                <w:color w:val="auto"/>
              </w:rPr>
            </w:pPr>
          </w:p>
        </w:tc>
        <w:tc>
          <w:tcPr>
            <w:tcW w:w="86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Change in</w:t>
            </w:r>
          </w:p>
        </w:tc>
        <w:tc>
          <w:tcPr>
            <w:tcW w:w="0" w:type="dxa"/>
            <w:vAlign w:val="bottom"/>
          </w:tcPr>
          <w:p>
            <w:pPr>
              <w:spacing w:after="0"/>
              <w:rPr>
                <w:sz w:val="1"/>
                <w:szCs w:val="1"/>
                <w:color w:val="auto"/>
              </w:rPr>
            </w:pPr>
          </w:p>
        </w:tc>
      </w:tr>
      <w:tr>
        <w:trPr>
          <w:trHeight w:val="113"/>
        </w:trPr>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320"/>
              <w:spacing w:after="0" w:line="113" w:lineRule="exact"/>
              <w:rPr>
                <w:sz w:val="20"/>
                <w:szCs w:val="20"/>
                <w:color w:val="auto"/>
              </w:rPr>
            </w:pPr>
            <w:r>
              <w:rPr>
                <w:rFonts w:ascii="Arial" w:cs="Arial" w:eastAsia="Arial" w:hAnsi="Arial"/>
                <w:sz w:val="12"/>
                <w:szCs w:val="12"/>
                <w:b w:val="1"/>
                <w:bCs w:val="1"/>
                <w:color w:val="auto"/>
                <w:w w:val="88"/>
              </w:rPr>
              <w:t>Beginning</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Purchases</w:t>
            </w:r>
          </w:p>
        </w:tc>
        <w:tc>
          <w:tcPr>
            <w:tcW w:w="180" w:type="dxa"/>
            <w:vAlign w:val="bottom"/>
          </w:tcPr>
          <w:p>
            <w:pPr>
              <w:spacing w:after="0"/>
              <w:rPr>
                <w:sz w:val="9"/>
                <w:szCs w:val="9"/>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Sales</w:t>
            </w:r>
          </w:p>
        </w:tc>
        <w:tc>
          <w:tcPr>
            <w:tcW w:w="140" w:type="dxa"/>
            <w:vAlign w:val="bottom"/>
          </w:tcPr>
          <w:p>
            <w:pPr>
              <w:spacing w:after="0"/>
              <w:rPr>
                <w:sz w:val="9"/>
                <w:szCs w:val="9"/>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Settlements</w:t>
            </w:r>
          </w:p>
        </w:tc>
        <w:tc>
          <w:tcPr>
            <w:tcW w:w="100" w:type="dxa"/>
            <w:vAlign w:val="bottom"/>
          </w:tcPr>
          <w:p>
            <w:pPr>
              <w:spacing w:after="0"/>
              <w:rPr>
                <w:sz w:val="9"/>
                <w:szCs w:val="9"/>
                <w:color w:val="auto"/>
              </w:rPr>
            </w:pPr>
          </w:p>
        </w:tc>
        <w:tc>
          <w:tcPr>
            <w:tcW w:w="820" w:type="dxa"/>
            <w:vAlign w:val="bottom"/>
            <w:gridSpan w:val="2"/>
          </w:tcPr>
          <w:p>
            <w:pPr>
              <w:ind w:left="100"/>
              <w:spacing w:after="0" w:line="113" w:lineRule="exact"/>
              <w:rPr>
                <w:sz w:val="20"/>
                <w:szCs w:val="20"/>
                <w:color w:val="auto"/>
              </w:rPr>
            </w:pPr>
            <w:r>
              <w:rPr>
                <w:rFonts w:ascii="Arial" w:cs="Arial" w:eastAsia="Arial" w:hAnsi="Arial"/>
                <w:sz w:val="12"/>
                <w:szCs w:val="12"/>
                <w:b w:val="1"/>
                <w:bCs w:val="1"/>
                <w:color w:val="auto"/>
              </w:rPr>
              <w:t>(Out) of</w:t>
            </w:r>
          </w:p>
        </w:tc>
        <w:tc>
          <w:tcPr>
            <w:tcW w:w="100" w:type="dxa"/>
            <w:vAlign w:val="bottom"/>
          </w:tcPr>
          <w:p>
            <w:pPr>
              <w:spacing w:after="0"/>
              <w:rPr>
                <w:sz w:val="9"/>
                <w:szCs w:val="9"/>
                <w:color w:val="auto"/>
              </w:rPr>
            </w:pPr>
          </w:p>
        </w:tc>
        <w:tc>
          <w:tcPr>
            <w:tcW w:w="760" w:type="dxa"/>
            <w:vAlign w:val="bottom"/>
            <w:gridSpan w:val="2"/>
          </w:tcPr>
          <w:p>
            <w:pPr>
              <w:jc w:val="center"/>
              <w:ind w:right="180"/>
              <w:spacing w:after="0" w:line="113" w:lineRule="exact"/>
              <w:rPr>
                <w:sz w:val="20"/>
                <w:szCs w:val="20"/>
                <w:color w:val="auto"/>
              </w:rPr>
            </w:pPr>
            <w:r>
              <w:rPr>
                <w:rFonts w:ascii="Arial" w:cs="Arial" w:eastAsia="Arial" w:hAnsi="Arial"/>
                <w:sz w:val="12"/>
                <w:szCs w:val="12"/>
                <w:b w:val="1"/>
                <w:bCs w:val="1"/>
                <w:color w:val="auto"/>
                <w:w w:val="90"/>
              </w:rPr>
              <w:t>End of</w:t>
            </w:r>
          </w:p>
        </w:tc>
        <w:tc>
          <w:tcPr>
            <w:tcW w:w="80" w:type="dxa"/>
            <w:vAlign w:val="bottom"/>
          </w:tcPr>
          <w:p>
            <w:pPr>
              <w:spacing w:after="0"/>
              <w:rPr>
                <w:sz w:val="9"/>
                <w:szCs w:val="9"/>
                <w:color w:val="auto"/>
              </w:rPr>
            </w:pPr>
          </w:p>
        </w:tc>
        <w:tc>
          <w:tcPr>
            <w:tcW w:w="860" w:type="dxa"/>
            <w:vAlign w:val="bottom"/>
          </w:tcPr>
          <w:p>
            <w:pPr>
              <w:jc w:val="center"/>
              <w:ind w:right="20"/>
              <w:spacing w:after="0" w:line="113" w:lineRule="exact"/>
              <w:rPr>
                <w:sz w:val="20"/>
                <w:szCs w:val="20"/>
                <w:color w:val="auto"/>
              </w:rPr>
            </w:pPr>
            <w:r>
              <w:rPr>
                <w:rFonts w:ascii="Arial" w:cs="Arial" w:eastAsia="Arial" w:hAnsi="Arial"/>
                <w:sz w:val="12"/>
                <w:szCs w:val="12"/>
                <w:b w:val="1"/>
                <w:bCs w:val="1"/>
                <w:color w:val="auto"/>
                <w:w w:val="92"/>
              </w:rPr>
              <w:t>Unrealized Incl</w:t>
            </w:r>
          </w:p>
        </w:tc>
        <w:tc>
          <w:tcPr>
            <w:tcW w:w="0" w:type="dxa"/>
            <w:vAlign w:val="bottom"/>
          </w:tcPr>
          <w:p>
            <w:pPr>
              <w:spacing w:after="0"/>
              <w:rPr>
                <w:sz w:val="1"/>
                <w:szCs w:val="1"/>
                <w:color w:val="auto"/>
              </w:rPr>
            </w:pPr>
          </w:p>
        </w:tc>
      </w:tr>
      <w:tr>
        <w:trPr>
          <w:trHeight w:val="157"/>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of Period</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Earnings</w:t>
            </w: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AOCI</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3 (a)</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Period</w:t>
            </w:r>
          </w:p>
        </w:tc>
        <w:tc>
          <w:tcPr>
            <w:tcW w:w="80" w:type="dxa"/>
            <w:vAlign w:val="bottom"/>
          </w:tcPr>
          <w:p>
            <w:pPr>
              <w:spacing w:after="0"/>
              <w:rPr>
                <w:sz w:val="13"/>
                <w:szCs w:val="13"/>
                <w:color w:val="auto"/>
              </w:rPr>
            </w:pPr>
          </w:p>
        </w:tc>
        <w:tc>
          <w:tcPr>
            <w:tcW w:w="860" w:type="dxa"/>
            <w:vAlign w:val="bottom"/>
          </w:tcPr>
          <w:p>
            <w:pPr>
              <w:jc w:val="center"/>
              <w:ind w:right="40"/>
              <w:spacing w:after="0"/>
              <w:rPr>
                <w:sz w:val="20"/>
                <w:szCs w:val="20"/>
                <w:color w:val="auto"/>
              </w:rPr>
            </w:pPr>
            <w:r>
              <w:rPr>
                <w:rFonts w:ascii="Arial" w:cs="Arial" w:eastAsia="Arial" w:hAnsi="Arial"/>
                <w:sz w:val="12"/>
                <w:szCs w:val="12"/>
                <w:b w:val="1"/>
                <w:bCs w:val="1"/>
                <w:color w:val="auto"/>
              </w:rPr>
              <w:t>in OCI</w:t>
            </w:r>
          </w:p>
        </w:tc>
        <w:tc>
          <w:tcPr>
            <w:tcW w:w="0" w:type="dxa"/>
            <w:vAlign w:val="bottom"/>
          </w:tcPr>
          <w:p>
            <w:pPr>
              <w:spacing w:after="0"/>
              <w:rPr>
                <w:sz w:val="1"/>
                <w:szCs w:val="1"/>
                <w:color w:val="auto"/>
              </w:rPr>
            </w:pPr>
          </w:p>
        </w:tc>
      </w:tr>
      <w:tr>
        <w:trPr>
          <w:trHeight w:val="138"/>
        </w:trPr>
        <w:tc>
          <w:tcPr>
            <w:tcW w:w="216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w w:val="94"/>
              </w:rPr>
              <w:t>Fixed maturity securities available-for-sale:</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1,350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3,417</w:t>
            </w:r>
          </w:p>
        </w:tc>
        <w:tc>
          <w:tcPr>
            <w:tcW w:w="10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(595)</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3,959</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1"/>
              </w:rPr>
              <w:t>Commercial mortgage-backed securities</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5"/>
        </w:trPr>
        <w:tc>
          <w:tcPr>
            <w:tcW w:w="216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1,289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16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3"/>
              </w:rPr>
              <w:t>Residential mortgage-backed securities</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5"/>
        </w:trPr>
        <w:tc>
          <w:tcPr>
            <w:tcW w:w="2160" w:type="dxa"/>
            <w:vAlign w:val="bottom"/>
          </w:tcPr>
          <w:p>
            <w:pPr>
              <w:ind w:left="180"/>
              <w:spacing w:after="0"/>
              <w:rPr>
                <w:sz w:val="20"/>
                <w:szCs w:val="20"/>
                <w:color w:val="auto"/>
              </w:rPr>
            </w:pPr>
            <w:r>
              <w:rPr>
                <w:rFonts w:ascii="Arial" w:cs="Arial" w:eastAsia="Arial" w:hAnsi="Arial"/>
                <w:sz w:val="12"/>
                <w:szCs w:val="12"/>
                <w:color w:val="auto"/>
              </w:rPr>
              <w:t>Foreign Governments</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rPr>
              <w:t>Short-term</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160" w:type="dxa"/>
            <w:vAlign w:val="bottom"/>
          </w:tcPr>
          <w:p>
            <w:pPr>
              <w:spacing w:after="0"/>
              <w:rPr>
                <w:sz w:val="20"/>
                <w:szCs w:val="20"/>
                <w:color w:val="auto"/>
              </w:rPr>
            </w:pPr>
            <w:r>
              <w:rPr>
                <w:rFonts w:ascii="Arial" w:cs="Arial" w:eastAsia="Arial" w:hAnsi="Arial"/>
                <w:sz w:val="12"/>
                <w:szCs w:val="12"/>
                <w:color w:val="auto"/>
              </w:rPr>
              <w:t>Preferred securities</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rPr>
              <w:t>Equity securities</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160" w:type="dxa"/>
            <w:vAlign w:val="bottom"/>
          </w:tcPr>
          <w:p>
            <w:pPr>
              <w:spacing w:after="0"/>
              <w:rPr>
                <w:sz w:val="20"/>
                <w:szCs w:val="20"/>
                <w:color w:val="auto"/>
              </w:rPr>
            </w:pPr>
            <w:r>
              <w:rPr>
                <w:rFonts w:ascii="Arial" w:cs="Arial" w:eastAsia="Arial" w:hAnsi="Arial"/>
                <w:sz w:val="12"/>
                <w:szCs w:val="12"/>
                <w:color w:val="auto"/>
              </w:rPr>
              <w:t>Other long-term assets: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4"/>
              </w:rPr>
              <w:t>Available-for-sale embedded derivative</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160" w:type="dxa"/>
            <w:vAlign w:val="bottom"/>
          </w:tcPr>
          <w:p>
            <w:pPr>
              <w:ind w:left="180"/>
              <w:spacing w:after="0"/>
              <w:rPr>
                <w:sz w:val="20"/>
                <w:szCs w:val="20"/>
                <w:color w:val="auto"/>
              </w:rPr>
            </w:pPr>
            <w:r>
              <w:rPr>
                <w:rFonts w:ascii="Arial" w:cs="Arial" w:eastAsia="Arial" w:hAnsi="Arial"/>
                <w:sz w:val="12"/>
                <w:szCs w:val="12"/>
                <w:color w:val="auto"/>
              </w:rPr>
              <w:t>Credit linked note</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Investment in affiliate</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2160" w:type="dxa"/>
            <w:vAlign w:val="bottom"/>
          </w:tcPr>
          <w:p>
            <w:pPr>
              <w:ind w:left="280"/>
              <w:spacing w:after="0"/>
              <w:rPr>
                <w:sz w:val="20"/>
                <w:szCs w:val="20"/>
                <w:color w:val="auto"/>
              </w:rPr>
            </w:pPr>
            <w:r>
              <w:rPr>
                <w:rFonts w:ascii="Arial" w:cs="Arial" w:eastAsia="Arial" w:hAnsi="Arial"/>
                <w:sz w:val="12"/>
                <w:szCs w:val="12"/>
                <w:color w:val="auto"/>
              </w:rPr>
              <w:t>Total assets at Level 3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3,267</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4,449</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(1,449)</w:t>
            </w:r>
          </w:p>
        </w:tc>
        <w:tc>
          <w:tcPr>
            <w:tcW w:w="10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(514)</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5,600</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16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Liabilities</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60" w:type="dxa"/>
            <w:vAlign w:val="bottom"/>
          </w:tcPr>
          <w:p>
            <w:pPr>
              <w:spacing w:after="0"/>
              <w:rPr>
                <w:sz w:val="20"/>
                <w:szCs w:val="20"/>
                <w:color w:val="auto"/>
              </w:rPr>
            </w:pPr>
            <w:r>
              <w:rPr>
                <w:rFonts w:ascii="Arial" w:cs="Arial" w:eastAsia="Arial" w:hAnsi="Arial"/>
                <w:sz w:val="12"/>
                <w:szCs w:val="12"/>
                <w:color w:val="auto"/>
              </w:rPr>
              <w:t>Future policy benefits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2160" w:type="dxa"/>
            <w:vAlign w:val="bottom"/>
            <w:shd w:val="clear" w:color="auto" w:fill="CCEEFF"/>
          </w:tcPr>
          <w:p>
            <w:pPr>
              <w:spacing w:after="0" w:line="115" w:lineRule="exact"/>
              <w:rPr>
                <w:sz w:val="20"/>
                <w:szCs w:val="20"/>
                <w:color w:val="auto"/>
              </w:rPr>
            </w:pPr>
            <w:r>
              <w:rPr>
                <w:rFonts w:ascii="Arial" w:cs="Arial" w:eastAsia="Arial" w:hAnsi="Arial"/>
                <w:sz w:val="12"/>
                <w:szCs w:val="12"/>
                <w:color w:val="auto"/>
                <w:w w:val="93"/>
              </w:rPr>
              <w:t>FIA/ IUL embedded derivatives, included in</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3,404</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479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3,883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rPr>
              <w:t>contractholder funds</w:t>
            </w: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80"/>
              <w:spacing w:after="0"/>
              <w:rPr>
                <w:sz w:val="20"/>
                <w:szCs w:val="20"/>
                <w:color w:val="auto"/>
              </w:rPr>
            </w:pPr>
            <w:r>
              <w:rPr>
                <w:rFonts w:ascii="Arial" w:cs="Arial" w:eastAsia="Arial" w:hAnsi="Arial"/>
                <w:sz w:val="12"/>
                <w:szCs w:val="12"/>
                <w:color w:val="auto"/>
              </w:rPr>
              <w:t>Total liabilities at Level 3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3,409</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479</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3,883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a) The net transfers out of Level 3 during the year ended December 31, 2021 were to Level 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5" w:name="page126"/>
    <w:bookmarkEnd w:id="12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1140"/>
        <w:spacing w:after="0"/>
        <w:rPr>
          <w:sz w:val="20"/>
          <w:szCs w:val="20"/>
          <w:color w:val="auto"/>
        </w:rPr>
      </w:pPr>
      <w:r>
        <w:rPr>
          <w:rFonts w:ascii="Arial" w:cs="Arial" w:eastAsia="Arial" w:hAnsi="Arial"/>
          <w:sz w:val="12"/>
          <w:szCs w:val="12"/>
          <w:b w:val="1"/>
          <w:bCs w:val="1"/>
          <w:color w:val="auto"/>
        </w:rPr>
        <w:t>Year ended December 31, 2020</w:t>
      </w:r>
    </w:p>
    <w:p>
      <w:pPr>
        <w:spacing w:after="0" w:line="20" w:lineRule="exact"/>
        <w:rPr>
          <w:sz w:val="20"/>
          <w:szCs w:val="20"/>
          <w:color w:val="auto"/>
        </w:rPr>
      </w:pPr>
    </w:p>
    <w:p>
      <w:pPr>
        <w:jc w:val="center"/>
        <w:ind w:left="1140"/>
        <w:spacing w:after="0"/>
        <w:rPr>
          <w:sz w:val="20"/>
          <w:szCs w:val="20"/>
          <w:color w:val="auto"/>
        </w:rPr>
      </w:pPr>
      <w:r>
        <w:rPr>
          <w:rFonts w:ascii="Arial" w:cs="Arial" w:eastAsia="Arial" w:hAnsi="Arial"/>
          <w:sz w:val="12"/>
          <w:szCs w:val="12"/>
          <w:b w:val="1"/>
          <w:bCs w:val="1"/>
          <w:color w:val="auto"/>
        </w:rPr>
        <w:t>(in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5"/>
          </w:tcPr>
          <w:p>
            <w:pPr>
              <w:ind w:left="240"/>
              <w:spacing w:after="0"/>
              <w:rPr>
                <w:sz w:val="20"/>
                <w:szCs w:val="20"/>
                <w:color w:val="auto"/>
              </w:rPr>
            </w:pPr>
            <w:r>
              <w:rPr>
                <w:rFonts w:ascii="Arial" w:cs="Arial" w:eastAsia="Arial" w:hAnsi="Arial"/>
                <w:sz w:val="12"/>
                <w:szCs w:val="12"/>
                <w:b w:val="1"/>
                <w:bCs w:val="1"/>
                <w:color w:val="auto"/>
              </w:rPr>
              <w:t>Total Gains (Losses)</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Balance at</w:t>
            </w:r>
          </w:p>
        </w:tc>
        <w:tc>
          <w:tcPr>
            <w:tcW w:w="100" w:type="dxa"/>
            <w:vAlign w:val="bottom"/>
          </w:tcPr>
          <w:p>
            <w:pPr>
              <w:spacing w:after="0"/>
              <w:rPr>
                <w:sz w:val="24"/>
                <w:szCs w:val="24"/>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F&amp;G</w:t>
            </w:r>
          </w:p>
        </w:tc>
        <w:tc>
          <w:tcPr>
            <w:tcW w:w="8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1"/>
              </w:rPr>
              <w:t>Included in</w:t>
            </w:r>
          </w:p>
        </w:tc>
        <w:tc>
          <w:tcPr>
            <w:tcW w:w="8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1"/>
              </w:rPr>
              <w:t>Included in</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Net transfer In</w:t>
            </w:r>
          </w:p>
        </w:tc>
        <w:tc>
          <w:tcPr>
            <w:tcW w:w="12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Balance at</w:t>
            </w:r>
          </w:p>
        </w:tc>
        <w:tc>
          <w:tcPr>
            <w:tcW w:w="100" w:type="dxa"/>
            <w:vAlign w:val="bottom"/>
          </w:tcPr>
          <w:p>
            <w:pPr>
              <w:spacing w:after="0"/>
              <w:rPr>
                <w:sz w:val="24"/>
                <w:szCs w:val="24"/>
                <w:color w:val="auto"/>
              </w:rPr>
            </w:pPr>
          </w:p>
        </w:tc>
        <w:tc>
          <w:tcPr>
            <w:tcW w:w="720" w:type="dxa"/>
            <w:vAlign w:val="bottom"/>
          </w:tcPr>
          <w:p>
            <w:pPr>
              <w:jc w:val="center"/>
              <w:ind w:right="20"/>
              <w:spacing w:after="0"/>
              <w:rPr>
                <w:sz w:val="20"/>
                <w:szCs w:val="20"/>
                <w:color w:val="auto"/>
              </w:rPr>
            </w:pPr>
            <w:r>
              <w:rPr>
                <w:rFonts w:ascii="Arial" w:cs="Arial" w:eastAsia="Arial" w:hAnsi="Arial"/>
                <w:sz w:val="12"/>
                <w:szCs w:val="12"/>
                <w:b w:val="1"/>
                <w:bCs w:val="1"/>
                <w:color w:val="auto"/>
                <w:w w:val="89"/>
              </w:rPr>
              <w:t>Change in</w:t>
            </w:r>
          </w:p>
        </w:tc>
        <w:tc>
          <w:tcPr>
            <w:tcW w:w="0" w:type="dxa"/>
            <w:vAlign w:val="bottom"/>
          </w:tcPr>
          <w:p>
            <w:pPr>
              <w:spacing w:after="0"/>
              <w:rPr>
                <w:sz w:val="1"/>
                <w:szCs w:val="1"/>
                <w:color w:val="auto"/>
              </w:rPr>
            </w:pPr>
          </w:p>
        </w:tc>
      </w:tr>
      <w:tr>
        <w:trPr>
          <w:trHeight w:val="113"/>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13" w:lineRule="exact"/>
              <w:rPr>
                <w:sz w:val="20"/>
                <w:szCs w:val="20"/>
                <w:color w:val="auto"/>
              </w:rPr>
            </w:pPr>
            <w:r>
              <w:rPr>
                <w:rFonts w:ascii="Arial" w:cs="Arial" w:eastAsia="Arial" w:hAnsi="Arial"/>
                <w:sz w:val="12"/>
                <w:szCs w:val="12"/>
                <w:b w:val="1"/>
                <w:bCs w:val="1"/>
                <w:color w:val="auto"/>
                <w:w w:val="88"/>
              </w:rPr>
              <w:t>Beginning</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Purchases</w:t>
            </w:r>
          </w:p>
        </w:tc>
        <w:tc>
          <w:tcPr>
            <w:tcW w:w="160" w:type="dxa"/>
            <w:vAlign w:val="bottom"/>
          </w:tcPr>
          <w:p>
            <w:pPr>
              <w:spacing w:after="0"/>
              <w:rPr>
                <w:sz w:val="9"/>
                <w:szCs w:val="9"/>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Sales</w:t>
            </w: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Settlements</w:t>
            </w:r>
          </w:p>
        </w:tc>
        <w:tc>
          <w:tcPr>
            <w:tcW w:w="100" w:type="dxa"/>
            <w:vAlign w:val="bottom"/>
          </w:tcPr>
          <w:p>
            <w:pPr>
              <w:spacing w:after="0"/>
              <w:rPr>
                <w:sz w:val="9"/>
                <w:szCs w:val="9"/>
                <w:color w:val="auto"/>
              </w:rPr>
            </w:pPr>
          </w:p>
        </w:tc>
        <w:tc>
          <w:tcPr>
            <w:tcW w:w="800" w:type="dxa"/>
            <w:vAlign w:val="bottom"/>
            <w:gridSpan w:val="2"/>
          </w:tcPr>
          <w:p>
            <w:pPr>
              <w:ind w:left="100"/>
              <w:spacing w:after="0" w:line="113" w:lineRule="exact"/>
              <w:rPr>
                <w:sz w:val="20"/>
                <w:szCs w:val="20"/>
                <w:color w:val="auto"/>
              </w:rPr>
            </w:pPr>
            <w:r>
              <w:rPr>
                <w:rFonts w:ascii="Arial" w:cs="Arial" w:eastAsia="Arial" w:hAnsi="Arial"/>
                <w:sz w:val="12"/>
                <w:szCs w:val="12"/>
                <w:b w:val="1"/>
                <w:bCs w:val="1"/>
                <w:color w:val="auto"/>
              </w:rPr>
              <w:t>(Out) of</w:t>
            </w:r>
          </w:p>
        </w:tc>
        <w:tc>
          <w:tcPr>
            <w:tcW w:w="120" w:type="dxa"/>
            <w:vAlign w:val="bottom"/>
          </w:tcPr>
          <w:p>
            <w:pPr>
              <w:spacing w:after="0"/>
              <w:rPr>
                <w:sz w:val="9"/>
                <w:szCs w:val="9"/>
                <w:color w:val="auto"/>
              </w:rPr>
            </w:pPr>
          </w:p>
        </w:tc>
        <w:tc>
          <w:tcPr>
            <w:tcW w:w="760" w:type="dxa"/>
            <w:vAlign w:val="bottom"/>
            <w:gridSpan w:val="2"/>
          </w:tcPr>
          <w:p>
            <w:pPr>
              <w:jc w:val="center"/>
              <w:ind w:right="180"/>
              <w:spacing w:after="0" w:line="113" w:lineRule="exact"/>
              <w:rPr>
                <w:sz w:val="20"/>
                <w:szCs w:val="20"/>
                <w:color w:val="auto"/>
              </w:rPr>
            </w:pPr>
            <w:r>
              <w:rPr>
                <w:rFonts w:ascii="Arial" w:cs="Arial" w:eastAsia="Arial" w:hAnsi="Arial"/>
                <w:sz w:val="12"/>
                <w:szCs w:val="12"/>
                <w:b w:val="1"/>
                <w:bCs w:val="1"/>
                <w:color w:val="auto"/>
                <w:w w:val="90"/>
              </w:rPr>
              <w:t>End of</w:t>
            </w:r>
          </w:p>
        </w:tc>
        <w:tc>
          <w:tcPr>
            <w:tcW w:w="100" w:type="dxa"/>
            <w:vAlign w:val="bottom"/>
          </w:tcPr>
          <w:p>
            <w:pPr>
              <w:spacing w:after="0"/>
              <w:rPr>
                <w:sz w:val="9"/>
                <w:szCs w:val="9"/>
                <w:color w:val="auto"/>
              </w:rPr>
            </w:pPr>
          </w:p>
        </w:tc>
        <w:tc>
          <w:tcPr>
            <w:tcW w:w="720" w:type="dxa"/>
            <w:vAlign w:val="bottom"/>
          </w:tcPr>
          <w:p>
            <w:pPr>
              <w:jc w:val="center"/>
              <w:ind w:right="20"/>
              <w:spacing w:after="0" w:line="113" w:lineRule="exact"/>
              <w:rPr>
                <w:sz w:val="20"/>
                <w:szCs w:val="20"/>
                <w:color w:val="auto"/>
              </w:rPr>
            </w:pPr>
            <w:r>
              <w:rPr>
                <w:rFonts w:ascii="Arial" w:cs="Arial" w:eastAsia="Arial" w:hAnsi="Arial"/>
                <w:sz w:val="12"/>
                <w:szCs w:val="12"/>
                <w:b w:val="1"/>
                <w:bCs w:val="1"/>
                <w:color w:val="auto"/>
                <w:w w:val="92"/>
              </w:rPr>
              <w:t>Unrealized</w:t>
            </w:r>
          </w:p>
        </w:tc>
        <w:tc>
          <w:tcPr>
            <w:tcW w:w="0" w:type="dxa"/>
            <w:vAlign w:val="bottom"/>
          </w:tcPr>
          <w:p>
            <w:pPr>
              <w:spacing w:after="0"/>
              <w:rPr>
                <w:sz w:val="1"/>
                <w:szCs w:val="1"/>
                <w:color w:val="auto"/>
              </w:rPr>
            </w:pPr>
          </w:p>
        </w:tc>
      </w:tr>
      <w:tr>
        <w:trPr>
          <w:trHeight w:val="157"/>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of Period</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Acquisition</w:t>
            </w: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Earnings</w:t>
            </w: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AOCI</w:t>
            </w: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3 (a)</w:t>
            </w: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Period</w:t>
            </w:r>
          </w:p>
        </w:tc>
        <w:tc>
          <w:tcPr>
            <w:tcW w:w="100" w:type="dxa"/>
            <w:vAlign w:val="bottom"/>
          </w:tcPr>
          <w:p>
            <w:pPr>
              <w:spacing w:after="0"/>
              <w:rPr>
                <w:sz w:val="13"/>
                <w:szCs w:val="13"/>
                <w:color w:val="auto"/>
              </w:rPr>
            </w:pPr>
          </w:p>
        </w:tc>
        <w:tc>
          <w:tcPr>
            <w:tcW w:w="720" w:type="dxa"/>
            <w:vAlign w:val="bottom"/>
          </w:tcPr>
          <w:p>
            <w:pPr>
              <w:jc w:val="center"/>
              <w:ind w:right="40"/>
              <w:spacing w:after="0"/>
              <w:rPr>
                <w:sz w:val="20"/>
                <w:szCs w:val="20"/>
                <w:color w:val="auto"/>
              </w:rPr>
            </w:pPr>
            <w:r>
              <w:rPr>
                <w:rFonts w:ascii="Arial" w:cs="Arial" w:eastAsia="Arial" w:hAnsi="Arial"/>
                <w:sz w:val="12"/>
                <w:szCs w:val="12"/>
                <w:b w:val="1"/>
                <w:bCs w:val="1"/>
                <w:color w:val="auto"/>
                <w:w w:val="97"/>
              </w:rPr>
              <w:t>Incl in OCI</w:t>
            </w:r>
          </w:p>
        </w:tc>
        <w:tc>
          <w:tcPr>
            <w:tcW w:w="0" w:type="dxa"/>
            <w:vAlign w:val="bottom"/>
          </w:tcPr>
          <w:p>
            <w:pPr>
              <w:spacing w:after="0"/>
              <w:rPr>
                <w:sz w:val="1"/>
                <w:szCs w:val="1"/>
                <w:color w:val="auto"/>
              </w:rPr>
            </w:pPr>
          </w:p>
        </w:tc>
      </w:tr>
      <w:tr>
        <w:trPr>
          <w:trHeight w:val="138"/>
        </w:trPr>
        <w:tc>
          <w:tcPr>
            <w:tcW w:w="204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spacing w:after="0" w:line="114" w:lineRule="exact"/>
              <w:rPr>
                <w:sz w:val="20"/>
                <w:szCs w:val="20"/>
                <w:color w:val="auto"/>
              </w:rPr>
            </w:pPr>
            <w:r>
              <w:rPr>
                <w:rFonts w:ascii="Arial" w:cs="Arial" w:eastAsia="Arial" w:hAnsi="Arial"/>
                <w:sz w:val="12"/>
                <w:szCs w:val="12"/>
                <w:color w:val="auto"/>
                <w:w w:val="99"/>
              </w:rPr>
              <w:t>Fixed maturity securities available-for-</w:t>
            </w: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sale:</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4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854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633</w:t>
            </w:r>
          </w:p>
        </w:tc>
        <w:tc>
          <w:tcPr>
            <w:tcW w:w="10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Pr>
          <w:p>
            <w:pPr>
              <w:ind w:left="44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(133)</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1,350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180"/>
              <w:spacing w:after="0" w:line="115" w:lineRule="exact"/>
              <w:rPr>
                <w:sz w:val="20"/>
                <w:szCs w:val="20"/>
                <w:color w:val="auto"/>
              </w:rPr>
            </w:pPr>
            <w:r>
              <w:rPr>
                <w:rFonts w:ascii="Arial" w:cs="Arial" w:eastAsia="Arial" w:hAnsi="Arial"/>
                <w:sz w:val="12"/>
                <w:szCs w:val="12"/>
                <w:color w:val="auto"/>
              </w:rPr>
              <w:t>Commercial mortgage-backed</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20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securities</w:t>
            </w: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40" w:type="dxa"/>
            <w:vAlign w:val="bottom"/>
          </w:tcPr>
          <w:p>
            <w:pPr>
              <w:ind w:left="180"/>
              <w:spacing w:after="0"/>
              <w:rPr>
                <w:sz w:val="20"/>
                <w:szCs w:val="20"/>
                <w:color w:val="auto"/>
              </w:rPr>
            </w:pPr>
            <w:r>
              <w:rPr>
                <w:rFonts w:ascii="Arial" w:cs="Arial" w:eastAsia="Arial" w:hAnsi="Arial"/>
                <w:sz w:val="12"/>
                <w:szCs w:val="12"/>
                <w:color w:val="auto"/>
              </w:rPr>
              <w:t>Corporates</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1,238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60"/>
        </w:trPr>
        <w:tc>
          <w:tcPr>
            <w:tcW w:w="20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Hybrids</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040" w:type="dxa"/>
            <w:vAlign w:val="bottom"/>
          </w:tcPr>
          <w:p>
            <w:pPr>
              <w:ind w:left="180"/>
              <w:spacing w:after="0"/>
              <w:rPr>
                <w:sz w:val="20"/>
                <w:szCs w:val="20"/>
                <w:color w:val="auto"/>
              </w:rPr>
            </w:pPr>
            <w:r>
              <w:rPr>
                <w:rFonts w:ascii="Arial" w:cs="Arial" w:eastAsia="Arial" w:hAnsi="Arial"/>
                <w:sz w:val="12"/>
                <w:szCs w:val="12"/>
                <w:color w:val="auto"/>
              </w:rPr>
              <w:t>Municipals</w:t>
            </w: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180"/>
              <w:spacing w:after="0" w:line="115" w:lineRule="exact"/>
              <w:rPr>
                <w:sz w:val="20"/>
                <w:szCs w:val="20"/>
                <w:color w:val="auto"/>
              </w:rPr>
            </w:pPr>
            <w:r>
              <w:rPr>
                <w:rFonts w:ascii="Arial" w:cs="Arial" w:eastAsia="Arial" w:hAnsi="Arial"/>
                <w:sz w:val="12"/>
                <w:szCs w:val="12"/>
                <w:color w:val="auto"/>
              </w:rPr>
              <w:t>Residential mortgage-backed</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20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securities</w:t>
            </w: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40" w:type="dxa"/>
            <w:vAlign w:val="bottom"/>
          </w:tcPr>
          <w:p>
            <w:pPr>
              <w:ind w:left="180"/>
              <w:spacing w:after="0"/>
              <w:rPr>
                <w:sz w:val="20"/>
                <w:szCs w:val="20"/>
                <w:color w:val="auto"/>
              </w:rPr>
            </w:pPr>
            <w:r>
              <w:rPr>
                <w:rFonts w:ascii="Arial" w:cs="Arial" w:eastAsia="Arial" w:hAnsi="Arial"/>
                <w:sz w:val="12"/>
                <w:szCs w:val="12"/>
                <w:color w:val="auto"/>
              </w:rPr>
              <w:t>Foreign Governments</w:t>
            </w: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0"/>
        </w:trPr>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Preferred securities</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040" w:type="dxa"/>
            <w:vAlign w:val="bottom"/>
          </w:tcPr>
          <w:p>
            <w:pPr>
              <w:spacing w:after="0"/>
              <w:rPr>
                <w:sz w:val="20"/>
                <w:szCs w:val="20"/>
                <w:color w:val="auto"/>
              </w:rPr>
            </w:pPr>
            <w:r>
              <w:rPr>
                <w:rFonts w:ascii="Arial" w:cs="Arial" w:eastAsia="Arial" w:hAnsi="Arial"/>
                <w:sz w:val="12"/>
                <w:szCs w:val="12"/>
                <w:color w:val="auto"/>
              </w:rPr>
              <w:t>Equity securities</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assets:</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40" w:type="dxa"/>
            <w:vAlign w:val="bottom"/>
          </w:tcPr>
          <w:p>
            <w:pPr>
              <w:ind w:left="180"/>
              <w:spacing w:after="0" w:line="113" w:lineRule="exact"/>
              <w:rPr>
                <w:sz w:val="20"/>
                <w:szCs w:val="20"/>
                <w:color w:val="auto"/>
              </w:rPr>
            </w:pPr>
            <w:r>
              <w:rPr>
                <w:rFonts w:ascii="Arial" w:cs="Arial" w:eastAsia="Arial" w:hAnsi="Arial"/>
                <w:sz w:val="12"/>
                <w:szCs w:val="12"/>
                <w:color w:val="auto"/>
              </w:rPr>
              <w:t>Available-for-sale embedded</w:t>
            </w:r>
          </w:p>
        </w:tc>
        <w:tc>
          <w:tcPr>
            <w:tcW w:w="12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800" w:type="dxa"/>
            <w:vAlign w:val="bottom"/>
            <w:gridSpan w:val="2"/>
            <w:vMerge w:val="restart"/>
          </w:tcPr>
          <w:p>
            <w:pPr>
              <w:ind w:left="5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040" w:type="dxa"/>
            <w:vAlign w:val="bottom"/>
          </w:tcPr>
          <w:p>
            <w:pPr>
              <w:ind w:left="180"/>
              <w:spacing w:after="0"/>
              <w:rPr>
                <w:sz w:val="20"/>
                <w:szCs w:val="20"/>
                <w:color w:val="auto"/>
              </w:rPr>
            </w:pPr>
            <w:r>
              <w:rPr>
                <w:rFonts w:ascii="Arial" w:cs="Arial" w:eastAsia="Arial" w:hAnsi="Arial"/>
                <w:sz w:val="12"/>
                <w:szCs w:val="12"/>
                <w:color w:val="auto"/>
              </w:rPr>
              <w:t>derivative</w:t>
            </w: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Credit linked note</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040" w:type="dxa"/>
            <w:vAlign w:val="bottom"/>
          </w:tcPr>
          <w:p>
            <w:pPr>
              <w:ind w:left="180"/>
              <w:spacing w:after="0"/>
              <w:rPr>
                <w:sz w:val="20"/>
                <w:szCs w:val="20"/>
                <w:color w:val="auto"/>
              </w:rPr>
            </w:pPr>
            <w:r>
              <w:rPr>
                <w:rFonts w:ascii="Arial" w:cs="Arial" w:eastAsia="Arial" w:hAnsi="Arial"/>
                <w:sz w:val="12"/>
                <w:szCs w:val="12"/>
                <w:color w:val="auto"/>
              </w:rPr>
              <w:t>Other long-term investment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Total assets at Level 3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Future policy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2040" w:type="dxa"/>
            <w:vAlign w:val="bottom"/>
          </w:tcPr>
          <w:p>
            <w:pPr>
              <w:spacing w:after="0" w:line="113" w:lineRule="exact"/>
              <w:rPr>
                <w:sz w:val="20"/>
                <w:szCs w:val="20"/>
                <w:color w:val="auto"/>
              </w:rPr>
            </w:pPr>
            <w:r>
              <w:rPr>
                <w:rFonts w:ascii="Arial" w:cs="Arial" w:eastAsia="Arial" w:hAnsi="Arial"/>
                <w:sz w:val="12"/>
                <w:szCs w:val="12"/>
                <w:color w:val="auto"/>
                <w:w w:val="93"/>
              </w:rPr>
              <w:t>FIA/ IUL embedded derivatives, included</w:t>
            </w:r>
          </w:p>
        </w:tc>
        <w:tc>
          <w:tcPr>
            <w:tcW w:w="12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2,852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552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800" w:type="dxa"/>
            <w:vAlign w:val="bottom"/>
            <w:gridSpan w:val="2"/>
            <w:vMerge w:val="restart"/>
          </w:tcPr>
          <w:p>
            <w:pPr>
              <w:ind w:left="5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3,404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040" w:type="dxa"/>
            <w:vAlign w:val="bottom"/>
          </w:tcPr>
          <w:p>
            <w:pPr>
              <w:spacing w:after="0"/>
              <w:rPr>
                <w:sz w:val="20"/>
                <w:szCs w:val="20"/>
                <w:color w:val="auto"/>
              </w:rPr>
            </w:pPr>
            <w:r>
              <w:rPr>
                <w:rFonts w:ascii="Arial" w:cs="Arial" w:eastAsia="Arial" w:hAnsi="Arial"/>
                <w:sz w:val="12"/>
                <w:szCs w:val="12"/>
                <w:color w:val="auto"/>
              </w:rPr>
              <w:t>in contractholder funds</w:t>
            </w: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w w:val="95"/>
              </w:rPr>
              <w:t>Total liabilities at Level 3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3,409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a) The net transfers out of Level 3 during the year ended December 31, 2020 were to Level 2, except for the net transfers out related to our other long-term investment, which was to Level 1.</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Methodologies and Associated Inputs for Financial Instruments Not Carried at Fair Value</w:t>
      </w:r>
    </w:p>
    <w:p>
      <w:pPr>
        <w:spacing w:after="0" w:line="143"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Mortgage Loans</w:t>
      </w:r>
    </w:p>
    <w:p>
      <w:pPr>
        <w:spacing w:after="0" w:line="98" w:lineRule="exact"/>
        <w:rPr>
          <w:sz w:val="20"/>
          <w:szCs w:val="20"/>
          <w:color w:val="auto"/>
        </w:rPr>
      </w:pPr>
    </w:p>
    <w:p>
      <w:pPr>
        <w:jc w:val="both"/>
        <w:ind w:firstLine="270"/>
        <w:spacing w:after="0" w:line="321" w:lineRule="auto"/>
        <w:rPr>
          <w:sz w:val="20"/>
          <w:szCs w:val="20"/>
          <w:color w:val="auto"/>
        </w:rPr>
      </w:pPr>
      <w:r>
        <w:rPr>
          <w:rFonts w:ascii="Arial" w:cs="Arial" w:eastAsia="Arial" w:hAnsi="Arial"/>
          <w:sz w:val="13"/>
          <w:szCs w:val="13"/>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Policy Loans (included within Other long-term investments)</w:t>
      </w:r>
    </w:p>
    <w:p>
      <w:pPr>
        <w:spacing w:after="0" w:line="98"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Fair values for policy loans are estimated from a discounted cash flow analysis, using interest rates currently being offered for loans with similar credit risk. Loans with similar characteristics are aggregated for purposes of the calculations.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6" w:name="page127"/>
    <w:bookmarkEnd w:id="12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Company Owned Life Insurance</w:t>
      </w:r>
    </w:p>
    <w:p>
      <w:pPr>
        <w:spacing w:after="0" w:line="98"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Other Invested Assets (included within Other long-term investments)</w:t>
      </w:r>
    </w:p>
    <w:p>
      <w:pPr>
        <w:spacing w:after="0" w:line="143" w:lineRule="exact"/>
        <w:rPr>
          <w:sz w:val="20"/>
          <w:szCs w:val="20"/>
          <w:color w:val="auto"/>
        </w:rPr>
      </w:pPr>
    </w:p>
    <w:p>
      <w:pPr>
        <w:jc w:val="both"/>
        <w:ind w:right="20" w:firstLine="270"/>
        <w:spacing w:after="0" w:line="262" w:lineRule="auto"/>
        <w:rPr>
          <w:sz w:val="20"/>
          <w:szCs w:val="20"/>
          <w:color w:val="auto"/>
        </w:rPr>
      </w:pPr>
      <w:r>
        <w:rPr>
          <w:rFonts w:ascii="Arial" w:cs="Arial" w:eastAsia="Arial" w:hAnsi="Arial"/>
          <w:sz w:val="15"/>
          <w:szCs w:val="15"/>
          <w:color w:val="auto"/>
        </w:rPr>
        <w:t>The fair value of the bank loan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Investment Contracts</w:t>
      </w:r>
    </w:p>
    <w:p>
      <w:pPr>
        <w:spacing w:after="0" w:line="9" w:lineRule="exact"/>
        <w:rPr>
          <w:sz w:val="20"/>
          <w:szCs w:val="20"/>
          <w:color w:val="auto"/>
        </w:rPr>
      </w:pPr>
    </w:p>
    <w:p>
      <w:pPr>
        <w:ind w:firstLine="270"/>
        <w:spacing w:after="0" w:line="223" w:lineRule="auto"/>
        <w:rPr>
          <w:sz w:val="20"/>
          <w:szCs w:val="20"/>
          <w:color w:val="auto"/>
        </w:rPr>
      </w:pPr>
      <w:r>
        <w:rPr>
          <w:rFonts w:ascii="Arial" w:cs="Arial" w:eastAsia="Arial" w:hAnsi="Arial"/>
          <w:sz w:val="15"/>
          <w:szCs w:val="15"/>
          <w:color w:val="auto"/>
        </w:rPr>
        <w:t>Investment contracts include deferred annuities (FIAs and fixed rate annuities), indexed universal life policies ("IULs"), funding agreements and PRT and immediate annuity contracts without life contingencies. The FIA/ IUL embedded derivatives, included in contractholder funds, are excluded as they are carried at fair value. The fair value of the FIA, fixed rate annuity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Other</w:t>
      </w:r>
    </w:p>
    <w:p>
      <w:pPr>
        <w:spacing w:after="0" w:line="17" w:lineRule="exact"/>
        <w:rPr>
          <w:sz w:val="20"/>
          <w:szCs w:val="20"/>
          <w:color w:val="auto"/>
        </w:rPr>
      </w:pPr>
    </w:p>
    <w:p>
      <w:pPr>
        <w:ind w:firstLine="270"/>
        <w:spacing w:after="0" w:line="308" w:lineRule="auto"/>
        <w:rPr>
          <w:sz w:val="20"/>
          <w:szCs w:val="20"/>
          <w:color w:val="auto"/>
        </w:rPr>
      </w:pPr>
      <w:r>
        <w:rPr>
          <w:rFonts w:ascii="Arial" w:cs="Arial" w:eastAsia="Arial" w:hAnsi="Arial"/>
          <w:sz w:val="15"/>
          <w:szCs w:val="15"/>
          <w:color w:val="auto"/>
        </w:rPr>
        <w:t>FHLB common stock, Accounts receivable and Notes receivable are carried at cost, which approximates fair value. FHLB common stock is classified as Level 2 within the fair value hierarchy. Accounts receivable and Notes receivable are classified as Level 3 within the fair value hierarchy.</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Debt</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 of debt is based on quoted market prices. The inputs used to measure the fair value of our outstanding debt are classified as Level 2 within the fair value hierarchy.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7" w:name="page128"/>
    <w:bookmarkEnd w:id="12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38"/>
        <w:spacing w:after="0" w:line="274" w:lineRule="auto"/>
        <w:rPr>
          <w:sz w:val="20"/>
          <w:szCs w:val="20"/>
          <w:color w:val="auto"/>
        </w:rPr>
      </w:pPr>
      <w:r>
        <w:rPr>
          <w:rFonts w:ascii="Arial" w:cs="Arial" w:eastAsia="Arial" w:hAnsi="Arial"/>
          <w:sz w:val="15"/>
          <w:szCs w:val="15"/>
          <w:color w:val="auto"/>
        </w:rPr>
        <w:t>The following tables provide the carrying value and estimated fair value of our financial instruments that are carried on the accompanying Consolidated Balance Sheets at amounts other than fair value, summarized according to the fair value hierarchy previously described.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left="20"/>
              <w:spacing w:after="0"/>
              <w:rPr>
                <w:sz w:val="20"/>
                <w:szCs w:val="20"/>
                <w:color w:val="auto"/>
              </w:rPr>
            </w:pPr>
            <w:r>
              <w:rPr>
                <w:rFonts w:ascii="Arial" w:cs="Arial" w:eastAsia="Arial" w:hAnsi="Arial"/>
                <w:sz w:val="12"/>
                <w:szCs w:val="12"/>
                <w:b w:val="1"/>
                <w:bCs w:val="1"/>
                <w:color w:val="auto"/>
                <w:w w:val="88"/>
              </w:rPr>
              <w:t>December 31, 2021</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left="140"/>
              <w:spacing w:after="0"/>
              <w:rPr>
                <w:sz w:val="20"/>
                <w:szCs w:val="20"/>
                <w:color w:val="auto"/>
              </w:rPr>
            </w:pPr>
            <w:r>
              <w:rPr>
                <w:rFonts w:ascii="Arial" w:cs="Arial" w:eastAsia="Arial" w:hAnsi="Arial"/>
                <w:sz w:val="12"/>
                <w:szCs w:val="12"/>
                <w:b w:val="1"/>
                <w:bCs w:val="1"/>
                <w:color w:val="auto"/>
                <w:w w:val="89"/>
              </w:rPr>
              <w:t>(in millions)</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Level 2</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Level 3</w:t>
            </w:r>
          </w:p>
        </w:tc>
        <w:tc>
          <w:tcPr>
            <w:tcW w:w="120" w:type="dxa"/>
            <w:vAlign w:val="bottom"/>
          </w:tcPr>
          <w:p>
            <w:pPr>
              <w:spacing w:after="0"/>
              <w:rPr>
                <w:sz w:val="9"/>
                <w:szCs w:val="9"/>
                <w:color w:val="auto"/>
              </w:rPr>
            </w:pPr>
          </w:p>
        </w:tc>
        <w:tc>
          <w:tcPr>
            <w:tcW w:w="1300" w:type="dxa"/>
            <w:vAlign w:val="bottom"/>
            <w:gridSpan w:val="2"/>
          </w:tcPr>
          <w:p>
            <w:pPr>
              <w:jc w:val="center"/>
              <w:ind w:right="200"/>
              <w:spacing w:after="0" w:line="109" w:lineRule="exact"/>
              <w:rPr>
                <w:sz w:val="20"/>
                <w:szCs w:val="20"/>
                <w:color w:val="auto"/>
              </w:rPr>
            </w:pPr>
            <w:r>
              <w:rPr>
                <w:rFonts w:ascii="Arial" w:cs="Arial" w:eastAsia="Arial" w:hAnsi="Arial"/>
                <w:sz w:val="12"/>
                <w:szCs w:val="12"/>
                <w:b w:val="1"/>
                <w:bCs w:val="1"/>
                <w:color w:val="auto"/>
                <w:w w:val="92"/>
              </w:rPr>
              <w:t>Total Estimated Fair</w:t>
            </w:r>
          </w:p>
        </w:tc>
        <w:tc>
          <w:tcPr>
            <w:tcW w:w="140" w:type="dxa"/>
            <w:vAlign w:val="bottom"/>
          </w:tcPr>
          <w:p>
            <w:pPr>
              <w:spacing w:after="0"/>
              <w:rPr>
                <w:sz w:val="9"/>
                <w:szCs w:val="9"/>
                <w:color w:val="auto"/>
              </w:rPr>
            </w:pPr>
          </w:p>
        </w:tc>
        <w:tc>
          <w:tcPr>
            <w:tcW w:w="1200" w:type="dxa"/>
            <w:vAlign w:val="bottom"/>
            <w:vMerge w:val="restart"/>
          </w:tcPr>
          <w:p>
            <w:pPr>
              <w:jc w:val="right"/>
              <w:ind w:right="140"/>
              <w:spacing w:after="0"/>
              <w:rPr>
                <w:sz w:val="20"/>
                <w:szCs w:val="20"/>
                <w:color w:val="auto"/>
              </w:rPr>
            </w:pPr>
            <w:r>
              <w:rPr>
                <w:rFonts w:ascii="Arial" w:cs="Arial" w:eastAsia="Arial" w:hAnsi="Arial"/>
                <w:sz w:val="12"/>
                <w:szCs w:val="12"/>
                <w:b w:val="1"/>
                <w:bCs w:val="1"/>
                <w:color w:val="auto"/>
                <w:w w:val="99"/>
              </w:rPr>
              <w:t>Carrying Amount</w:t>
            </w:r>
          </w:p>
        </w:tc>
        <w:tc>
          <w:tcPr>
            <w:tcW w:w="0" w:type="dxa"/>
            <w:vAlign w:val="bottom"/>
          </w:tcPr>
          <w:p>
            <w:pPr>
              <w:spacing w:after="0"/>
              <w:rPr>
                <w:sz w:val="1"/>
                <w:szCs w:val="1"/>
                <w:color w:val="auto"/>
              </w:rPr>
            </w:pPr>
          </w:p>
        </w:tc>
      </w:tr>
      <w:tr>
        <w:trPr>
          <w:trHeight w:val="157"/>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Value</w:t>
            </w: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Arial" w:cs="Arial" w:eastAsia="Arial" w:hAnsi="Arial"/>
                <w:sz w:val="12"/>
                <w:szCs w:val="12"/>
                <w:color w:val="auto"/>
              </w:rPr>
              <w:t>FHLB common stock</w:t>
            </w:r>
          </w:p>
        </w:tc>
        <w:tc>
          <w:tcPr>
            <w:tcW w:w="960" w:type="dxa"/>
            <w:vAlign w:val="bottom"/>
            <w:gridSpan w:val="2"/>
          </w:tcPr>
          <w:p>
            <w:pPr>
              <w:jc w:val="right"/>
              <w:ind w:right="640"/>
              <w:spacing w:after="0"/>
              <w:rPr>
                <w:sz w:val="20"/>
                <w:szCs w:val="20"/>
                <w:color w:val="auto"/>
              </w:rPr>
            </w:pPr>
            <w:r>
              <w:rPr>
                <w:rFonts w:ascii="Arial" w:cs="Arial" w:eastAsia="Arial" w:hAnsi="Arial"/>
                <w:sz w:val="12"/>
                <w:szCs w:val="12"/>
                <w:color w:val="auto"/>
              </w:rPr>
              <w:t>$</w:t>
            </w:r>
          </w:p>
        </w:tc>
        <w:tc>
          <w:tcPr>
            <w:tcW w:w="3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6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72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60"/>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Commercial mortgage loans</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2,168</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Arial" w:cs="Arial" w:eastAsia="Arial" w:hAnsi="Arial"/>
                <w:sz w:val="12"/>
                <w:szCs w:val="12"/>
                <w:color w:val="auto"/>
              </w:rPr>
              <w:t>Residential mortgage loans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1,581</w:t>
            </w:r>
          </w:p>
        </w:tc>
        <w:tc>
          <w:tcPr>
            <w:tcW w:w="0" w:type="dxa"/>
            <w:vAlign w:val="bottom"/>
          </w:tcPr>
          <w:p>
            <w:pPr>
              <w:spacing w:after="0"/>
              <w:rPr>
                <w:sz w:val="1"/>
                <w:szCs w:val="1"/>
                <w:color w:val="auto"/>
              </w:rPr>
            </w:pPr>
          </w:p>
        </w:tc>
      </w:tr>
      <w:tr>
        <w:trPr>
          <w:trHeight w:val="160"/>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Policy loans</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Arial" w:cs="Arial" w:eastAsia="Arial" w:hAnsi="Arial"/>
                <w:sz w:val="12"/>
                <w:szCs w:val="12"/>
                <w:color w:val="auto"/>
              </w:rPr>
              <w:t>Other invested assets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60"/>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Company-owned life insurance</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Arial" w:cs="Arial" w:eastAsia="Arial" w:hAnsi="Arial"/>
                <w:sz w:val="12"/>
                <w:szCs w:val="12"/>
                <w:color w:val="auto"/>
              </w:rPr>
              <w:t>Trade and notes receivables, net of allowance</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557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76"/>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bottom w:val="single" w:sz="8" w:color="auto"/>
            </w:tcBorders>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620"/>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Arial" w:cs="Arial" w:eastAsia="Arial" w:hAnsi="Arial"/>
                <w:sz w:val="12"/>
                <w:szCs w:val="12"/>
                <w:color w:val="auto"/>
              </w:rPr>
              <w:t>Investment contracts, included in contractholder funds</w:t>
            </w:r>
          </w:p>
        </w:tc>
        <w:tc>
          <w:tcPr>
            <w:tcW w:w="960" w:type="dxa"/>
            <w:vAlign w:val="bottom"/>
            <w:gridSpan w:val="2"/>
          </w:tcPr>
          <w:p>
            <w:pPr>
              <w:jc w:val="right"/>
              <w:ind w:right="640"/>
              <w:spacing w:after="0"/>
              <w:rPr>
                <w:sz w:val="20"/>
                <w:szCs w:val="20"/>
                <w:color w:val="auto"/>
              </w:rPr>
            </w:pPr>
            <w:r>
              <w:rPr>
                <w:rFonts w:ascii="Arial" w:cs="Arial" w:eastAsia="Arial" w:hAnsi="Arial"/>
                <w:sz w:val="12"/>
                <w:szCs w:val="12"/>
                <w:color w:val="auto"/>
              </w:rPr>
              <w:t>$</w:t>
            </w:r>
          </w:p>
        </w:tc>
        <w:tc>
          <w:tcPr>
            <w:tcW w:w="3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620"/>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27,448</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27,448</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31,529</w:t>
            </w:r>
          </w:p>
        </w:tc>
        <w:tc>
          <w:tcPr>
            <w:tcW w:w="0" w:type="dxa"/>
            <w:vAlign w:val="bottom"/>
          </w:tcPr>
          <w:p>
            <w:pPr>
              <w:spacing w:after="0"/>
              <w:rPr>
                <w:sz w:val="1"/>
                <w:szCs w:val="1"/>
                <w:color w:val="auto"/>
              </w:rPr>
            </w:pPr>
          </w:p>
        </w:tc>
      </w:tr>
      <w:tr>
        <w:trPr>
          <w:trHeight w:val="160"/>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Debt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3,218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3,096</w:t>
            </w:r>
          </w:p>
        </w:tc>
        <w:tc>
          <w:tcPr>
            <w:tcW w:w="0" w:type="dxa"/>
            <w:vAlign w:val="bottom"/>
          </w:tcPr>
          <w:p>
            <w:pPr>
              <w:spacing w:after="0"/>
              <w:rPr>
                <w:sz w:val="1"/>
                <w:szCs w:val="1"/>
                <w:color w:val="auto"/>
              </w:rPr>
            </w:pPr>
          </w:p>
        </w:tc>
      </w:tr>
      <w:tr>
        <w:trPr>
          <w:trHeight w:val="149"/>
        </w:trPr>
        <w:tc>
          <w:tcPr>
            <w:tcW w:w="4720" w:type="dxa"/>
            <w:vAlign w:val="bottom"/>
          </w:tcPr>
          <w:p>
            <w:pPr>
              <w:ind w:left="180"/>
              <w:spacing w:after="0"/>
              <w:rPr>
                <w:sz w:val="20"/>
                <w:szCs w:val="20"/>
                <w:color w:val="auto"/>
              </w:rPr>
            </w:pPr>
            <w:r>
              <w:rPr>
                <w:rFonts w:ascii="Arial" w:cs="Arial" w:eastAsia="Arial" w:hAnsi="Arial"/>
                <w:sz w:val="12"/>
                <w:szCs w:val="12"/>
                <w:color w:val="auto"/>
              </w:rPr>
              <w:t>Total</w:t>
            </w: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6"/>
              </w:rPr>
              <w:t>3,218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27,448</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30,666</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34,625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w w:val="90"/>
              </w:rPr>
              <w:t>December 31, 2020</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restart"/>
          </w:tcPr>
          <w:p>
            <w:pPr>
              <w:jc w:val="right"/>
              <w:ind w:right="140"/>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Level 2</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Level 3</w:t>
            </w:r>
          </w:p>
        </w:tc>
        <w:tc>
          <w:tcPr>
            <w:tcW w:w="120" w:type="dxa"/>
            <w:vAlign w:val="bottom"/>
          </w:tcPr>
          <w:p>
            <w:pPr>
              <w:spacing w:after="0"/>
              <w:rPr>
                <w:sz w:val="9"/>
                <w:szCs w:val="9"/>
                <w:color w:val="auto"/>
              </w:rPr>
            </w:pPr>
          </w:p>
        </w:tc>
        <w:tc>
          <w:tcPr>
            <w:tcW w:w="1300" w:type="dxa"/>
            <w:vAlign w:val="bottom"/>
            <w:gridSpan w:val="2"/>
          </w:tcPr>
          <w:p>
            <w:pPr>
              <w:jc w:val="center"/>
              <w:ind w:right="200"/>
              <w:spacing w:after="0" w:line="109" w:lineRule="exact"/>
              <w:rPr>
                <w:sz w:val="20"/>
                <w:szCs w:val="20"/>
                <w:color w:val="auto"/>
              </w:rPr>
            </w:pPr>
            <w:r>
              <w:rPr>
                <w:rFonts w:ascii="Arial" w:cs="Arial" w:eastAsia="Arial" w:hAnsi="Arial"/>
                <w:sz w:val="12"/>
                <w:szCs w:val="12"/>
                <w:b w:val="1"/>
                <w:bCs w:val="1"/>
                <w:color w:val="auto"/>
                <w:w w:val="92"/>
              </w:rPr>
              <w:t>Total Estimated Fair</w:t>
            </w:r>
          </w:p>
        </w:tc>
        <w:tc>
          <w:tcPr>
            <w:tcW w:w="140" w:type="dxa"/>
            <w:vAlign w:val="bottom"/>
          </w:tcPr>
          <w:p>
            <w:pPr>
              <w:spacing w:after="0"/>
              <w:rPr>
                <w:sz w:val="9"/>
                <w:szCs w:val="9"/>
                <w:color w:val="auto"/>
              </w:rPr>
            </w:pPr>
          </w:p>
        </w:tc>
        <w:tc>
          <w:tcPr>
            <w:tcW w:w="1200" w:type="dxa"/>
            <w:vAlign w:val="bottom"/>
            <w:vMerge w:val="restart"/>
          </w:tcPr>
          <w:p>
            <w:pPr>
              <w:jc w:val="right"/>
              <w:ind w:right="140"/>
              <w:spacing w:after="0"/>
              <w:rPr>
                <w:sz w:val="20"/>
                <w:szCs w:val="20"/>
                <w:color w:val="auto"/>
              </w:rPr>
            </w:pPr>
            <w:r>
              <w:rPr>
                <w:rFonts w:ascii="Arial" w:cs="Arial" w:eastAsia="Arial" w:hAnsi="Arial"/>
                <w:sz w:val="12"/>
                <w:szCs w:val="12"/>
                <w:b w:val="1"/>
                <w:bCs w:val="1"/>
                <w:color w:val="auto"/>
                <w:w w:val="99"/>
              </w:rPr>
              <w:t>Carrying Amount</w:t>
            </w:r>
          </w:p>
        </w:tc>
        <w:tc>
          <w:tcPr>
            <w:tcW w:w="0" w:type="dxa"/>
            <w:vAlign w:val="bottom"/>
          </w:tcPr>
          <w:p>
            <w:pPr>
              <w:spacing w:after="0"/>
              <w:rPr>
                <w:sz w:val="1"/>
                <w:szCs w:val="1"/>
                <w:color w:val="auto"/>
              </w:rPr>
            </w:pPr>
          </w:p>
        </w:tc>
      </w:tr>
      <w:tr>
        <w:trPr>
          <w:trHeight w:val="157"/>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Value</w:t>
            </w: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Arial" w:cs="Arial" w:eastAsia="Arial" w:hAnsi="Arial"/>
                <w:sz w:val="12"/>
                <w:szCs w:val="12"/>
                <w:color w:val="auto"/>
              </w:rPr>
              <w:t>FHLB common stock</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tcPr>
          <w:p>
            <w:pPr>
              <w:spacing w:after="0"/>
              <w:rPr>
                <w:sz w:val="13"/>
                <w:szCs w:val="13"/>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66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60"/>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Commercial mortgage loans</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903</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Arial" w:cs="Arial" w:eastAsia="Arial" w:hAnsi="Arial"/>
                <w:sz w:val="12"/>
                <w:szCs w:val="12"/>
                <w:color w:val="auto"/>
              </w:rPr>
              <w:t>Residential mortgage loans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1,128</w:t>
            </w:r>
          </w:p>
        </w:tc>
        <w:tc>
          <w:tcPr>
            <w:tcW w:w="0" w:type="dxa"/>
            <w:vAlign w:val="bottom"/>
          </w:tcPr>
          <w:p>
            <w:pPr>
              <w:spacing w:after="0"/>
              <w:rPr>
                <w:sz w:val="1"/>
                <w:szCs w:val="1"/>
                <w:color w:val="auto"/>
              </w:rPr>
            </w:pPr>
          </w:p>
        </w:tc>
      </w:tr>
      <w:tr>
        <w:trPr>
          <w:trHeight w:val="160"/>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Policy loans</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Arial" w:cs="Arial" w:eastAsia="Arial" w:hAnsi="Arial"/>
                <w:sz w:val="12"/>
                <w:szCs w:val="12"/>
                <w:color w:val="auto"/>
              </w:rPr>
              <w:t>Other invested assets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60"/>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Company-owned life insurance</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Arial" w:cs="Arial" w:eastAsia="Arial" w:hAnsi="Arial"/>
                <w:sz w:val="12"/>
                <w:szCs w:val="12"/>
                <w:color w:val="auto"/>
              </w:rPr>
              <w:t>Trade and notes receivables, net of allowance</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437</w:t>
            </w:r>
          </w:p>
        </w:tc>
        <w:tc>
          <w:tcPr>
            <w:tcW w:w="0" w:type="dxa"/>
            <w:vAlign w:val="bottom"/>
          </w:tcPr>
          <w:p>
            <w:pPr>
              <w:spacing w:after="0"/>
              <w:rPr>
                <w:sz w:val="1"/>
                <w:szCs w:val="1"/>
                <w:color w:val="auto"/>
              </w:rPr>
            </w:pPr>
          </w:p>
        </w:tc>
      </w:tr>
      <w:tr>
        <w:trPr>
          <w:trHeight w:val="176"/>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w:t>
            </w: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2,918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Arial" w:cs="Arial" w:eastAsia="Arial" w:hAnsi="Arial"/>
                <w:sz w:val="12"/>
                <w:szCs w:val="12"/>
                <w:color w:val="auto"/>
              </w:rPr>
              <w:t>Investment contracts, included in contractholder funds</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tcPr>
          <w:p>
            <w:pPr>
              <w:spacing w:after="0"/>
              <w:rPr>
                <w:sz w:val="13"/>
                <w:szCs w:val="13"/>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spacing w:after="0"/>
              <w:rPr>
                <w:sz w:val="13"/>
                <w:szCs w:val="13"/>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21,719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21,719</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25,199</w:t>
            </w:r>
          </w:p>
        </w:tc>
        <w:tc>
          <w:tcPr>
            <w:tcW w:w="0" w:type="dxa"/>
            <w:vAlign w:val="bottom"/>
          </w:tcPr>
          <w:p>
            <w:pPr>
              <w:spacing w:after="0"/>
              <w:rPr>
                <w:sz w:val="1"/>
                <w:szCs w:val="1"/>
                <w:color w:val="auto"/>
              </w:rPr>
            </w:pPr>
          </w:p>
        </w:tc>
      </w:tr>
      <w:tr>
        <w:trPr>
          <w:trHeight w:val="160"/>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Debt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2,896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2,662</w:t>
            </w:r>
          </w:p>
        </w:tc>
        <w:tc>
          <w:tcPr>
            <w:tcW w:w="0" w:type="dxa"/>
            <w:vAlign w:val="bottom"/>
          </w:tcPr>
          <w:p>
            <w:pPr>
              <w:spacing w:after="0"/>
              <w:rPr>
                <w:sz w:val="1"/>
                <w:szCs w:val="1"/>
                <w:color w:val="auto"/>
              </w:rPr>
            </w:pPr>
          </w:p>
        </w:tc>
      </w:tr>
      <w:tr>
        <w:trPr>
          <w:trHeight w:val="149"/>
        </w:trPr>
        <w:tc>
          <w:tcPr>
            <w:tcW w:w="4720" w:type="dxa"/>
            <w:vAlign w:val="bottom"/>
          </w:tcPr>
          <w:p>
            <w:pPr>
              <w:ind w:left="180"/>
              <w:spacing w:after="0"/>
              <w:rPr>
                <w:sz w:val="20"/>
                <w:szCs w:val="20"/>
                <w:color w:val="auto"/>
              </w:rPr>
            </w:pPr>
            <w:r>
              <w:rPr>
                <w:rFonts w:ascii="Arial" w:cs="Arial" w:eastAsia="Arial" w:hAnsi="Arial"/>
                <w:sz w:val="12"/>
                <w:szCs w:val="12"/>
                <w:b w:val="1"/>
                <w:bCs w:val="1"/>
                <w:color w:val="auto"/>
              </w:rPr>
              <w:t>Total</w:t>
            </w: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2,896</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21,719</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24,615</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27,861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The following table includes assets that have not been classified in the fair value hierarchy as the value of these investments are measured using the equity method of accounting or the net asset value ("NAV") per share practical expedient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100" w:type="dxa"/>
            <w:vAlign w:val="bottom"/>
          </w:tcPr>
          <w:p>
            <w:pPr>
              <w:spacing w:after="0"/>
              <w:rPr>
                <w:sz w:val="13"/>
                <w:szCs w:val="13"/>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December 31, 2021</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December 31, 2020</w:t>
            </w:r>
          </w:p>
        </w:tc>
      </w:tr>
      <w:tr>
        <w:trPr>
          <w:trHeight w:val="155"/>
        </w:trPr>
        <w:tc>
          <w:tcPr>
            <w:tcW w:w="7100" w:type="dxa"/>
            <w:vAlign w:val="bottom"/>
          </w:tcPr>
          <w:p>
            <w:pPr>
              <w:spacing w:after="0"/>
              <w:rPr>
                <w:sz w:val="20"/>
                <w:szCs w:val="20"/>
                <w:color w:val="auto"/>
              </w:rPr>
            </w:pPr>
            <w:r>
              <w:rPr>
                <w:rFonts w:ascii="Arial" w:cs="Arial" w:eastAsia="Arial" w:hAnsi="Arial"/>
                <w:sz w:val="12"/>
                <w:szCs w:val="12"/>
                <w:color w:val="auto"/>
              </w:rPr>
              <w:t>Investments in unconsolidated affiliates (equity method of accounting)</w:t>
            </w:r>
          </w:p>
        </w:tc>
        <w:tc>
          <w:tcPr>
            <w:tcW w:w="1620" w:type="dxa"/>
            <w:vAlign w:val="bottom"/>
          </w:tcPr>
          <w:p>
            <w:pPr>
              <w:jc w:val="right"/>
              <w:ind w:right="14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136</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160"/>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Equity securities (NAV)</w:t>
            </w:r>
          </w:p>
        </w:tc>
        <w:tc>
          <w:tcPr>
            <w:tcW w:w="16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Investments in unconsolidated affiliates (NAV)</w:t>
            </w:r>
          </w:p>
        </w:tc>
        <w:tc>
          <w:tcPr>
            <w:tcW w:w="1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1,148</w:t>
            </w:r>
          </w:p>
        </w:tc>
      </w:tr>
      <w:tr>
        <w:trPr>
          <w:trHeight w:val="174"/>
        </w:trPr>
        <w:tc>
          <w:tcPr>
            <w:tcW w:w="71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148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2,534</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8" w:name="page129"/>
    <w:bookmarkEnd w:id="12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For investments for which NAV is used as a practical expedient for fair value, we do not have any significant restrictions in our ability to liquidate our positions in these investments, other than obtaining general partner approval, nor do we believe it is probable a price less than NAV would be received in the event of a liquidation. Equity method investments are reported on a lag of up to three months for investee information not received timely.</w:t>
      </w:r>
    </w:p>
    <w:p>
      <w:pPr>
        <w:spacing w:after="0" w:line="44"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5"/>
          <w:szCs w:val="15"/>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9" w:name="page130"/>
    <w:bookmarkEnd w:id="12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E — Investments</w:t>
      </w:r>
    </w:p>
    <w:p>
      <w:pPr>
        <w:spacing w:after="0" w:line="147"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4"/>
          <w:szCs w:val="14"/>
          <w:color w:val="auto"/>
        </w:rPr>
        <w:t>Our fixed maturity securities investments have been designated as available-for-sale and are carried at fair value, net of allowance for expected credit losses, with unrealized gains and losses included in AOCI, net of associated adjustments for DAC, VOBA, DSI, UREV, SOP 03-1 reserves, and deferred income taxes. Our preferred and equity securities investments are carried at fair value with unrealized gains and losses included in net income (loss). The Company’s consolidated investments are summarized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500"/>
              <w:spacing w:after="0"/>
              <w:rPr>
                <w:sz w:val="20"/>
                <w:szCs w:val="20"/>
                <w:color w:val="auto"/>
              </w:rPr>
            </w:pPr>
            <w:r>
              <w:rPr>
                <w:rFonts w:ascii="Arial" w:cs="Arial" w:eastAsia="Arial" w:hAnsi="Arial"/>
                <w:sz w:val="12"/>
                <w:szCs w:val="12"/>
                <w:b w:val="1"/>
                <w:bCs w:val="1"/>
                <w:color w:val="auto"/>
              </w:rPr>
              <w:t>December 31, 2021</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Amortized Cost</w:t>
            </w:r>
          </w:p>
        </w:tc>
        <w:tc>
          <w:tcPr>
            <w:tcW w:w="1380" w:type="dxa"/>
            <w:vAlign w:val="bottom"/>
            <w:gridSpan w:val="3"/>
          </w:tcPr>
          <w:p>
            <w:pPr>
              <w:ind w:left="40"/>
              <w:spacing w:after="0" w:line="109" w:lineRule="exact"/>
              <w:rPr>
                <w:sz w:val="20"/>
                <w:szCs w:val="20"/>
                <w:color w:val="auto"/>
              </w:rPr>
            </w:pPr>
            <w:r>
              <w:rPr>
                <w:rFonts w:ascii="Arial" w:cs="Arial" w:eastAsia="Arial" w:hAnsi="Arial"/>
                <w:sz w:val="12"/>
                <w:szCs w:val="12"/>
                <w:b w:val="1"/>
                <w:bCs w:val="1"/>
                <w:color w:val="auto"/>
                <w:w w:val="97"/>
              </w:rPr>
              <w:t>Allowance for Expected</w:t>
            </w:r>
          </w:p>
        </w:tc>
        <w:tc>
          <w:tcPr>
            <w:tcW w:w="100" w:type="dxa"/>
            <w:vAlign w:val="bottom"/>
          </w:tcPr>
          <w:p>
            <w:pPr>
              <w:spacing w:after="0"/>
              <w:rPr>
                <w:sz w:val="9"/>
                <w:szCs w:val="9"/>
                <w:color w:val="auto"/>
              </w:rPr>
            </w:pPr>
          </w:p>
        </w:tc>
        <w:tc>
          <w:tcPr>
            <w:tcW w:w="1120" w:type="dxa"/>
            <w:vAlign w:val="bottom"/>
            <w:gridSpan w:val="2"/>
          </w:tcPr>
          <w:p>
            <w:pPr>
              <w:jc w:val="center"/>
              <w:ind w:right="200"/>
              <w:spacing w:after="0" w:line="109" w:lineRule="exact"/>
              <w:rPr>
                <w:sz w:val="20"/>
                <w:szCs w:val="20"/>
                <w:color w:val="auto"/>
              </w:rPr>
            </w:pPr>
            <w:r>
              <w:rPr>
                <w:rFonts w:ascii="Arial" w:cs="Arial" w:eastAsia="Arial" w:hAnsi="Arial"/>
                <w:sz w:val="12"/>
                <w:szCs w:val="12"/>
                <w:b w:val="1"/>
                <w:bCs w:val="1"/>
                <w:color w:val="auto"/>
                <w:w w:val="89"/>
              </w:rPr>
              <w:t>Gross Unrealized</w:t>
            </w:r>
          </w:p>
        </w:tc>
        <w:tc>
          <w:tcPr>
            <w:tcW w:w="80" w:type="dxa"/>
            <w:vAlign w:val="bottom"/>
          </w:tcPr>
          <w:p>
            <w:pPr>
              <w:spacing w:after="0"/>
              <w:rPr>
                <w:sz w:val="9"/>
                <w:szCs w:val="9"/>
                <w:color w:val="auto"/>
              </w:rPr>
            </w:pPr>
          </w:p>
        </w:tc>
        <w:tc>
          <w:tcPr>
            <w:tcW w:w="1120" w:type="dxa"/>
            <w:vAlign w:val="bottom"/>
            <w:gridSpan w:val="2"/>
          </w:tcPr>
          <w:p>
            <w:pPr>
              <w:jc w:val="center"/>
              <w:ind w:right="200"/>
              <w:spacing w:after="0" w:line="109" w:lineRule="exact"/>
              <w:rPr>
                <w:sz w:val="20"/>
                <w:szCs w:val="20"/>
                <w:color w:val="auto"/>
              </w:rPr>
            </w:pPr>
            <w:r>
              <w:rPr>
                <w:rFonts w:ascii="Arial" w:cs="Arial" w:eastAsia="Arial" w:hAnsi="Arial"/>
                <w:sz w:val="12"/>
                <w:szCs w:val="12"/>
                <w:b w:val="1"/>
                <w:bCs w:val="1"/>
                <w:color w:val="auto"/>
                <w:w w:val="89"/>
              </w:rPr>
              <w:t>Gross Unrealized</w:t>
            </w:r>
          </w:p>
        </w:tc>
        <w:tc>
          <w:tcPr>
            <w:tcW w:w="18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Pr>
          <w:p>
            <w:pPr>
              <w:spacing w:after="0"/>
              <w:rPr>
                <w:sz w:val="9"/>
                <w:szCs w:val="9"/>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auto"/>
                <w:w w:val="96"/>
              </w:rPr>
              <w:t>Carrying Value</w:t>
            </w: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Credit Losses</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Gains</w:t>
            </w: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rPr>
                <w:sz w:val="20"/>
                <w:szCs w:val="20"/>
                <w:color w:val="auto"/>
              </w:rPr>
            </w:pPr>
            <w:r>
              <w:rPr>
                <w:rFonts w:ascii="Arial" w:cs="Arial" w:eastAsia="Arial" w:hAnsi="Arial"/>
                <w:sz w:val="12"/>
                <w:szCs w:val="12"/>
                <w:b w:val="1"/>
                <w:bCs w:val="1"/>
                <w:color w:val="auto"/>
              </w:rPr>
              <w:t>Available-for-sale securities</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8,516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ind w:left="940"/>
              <w:spacing w:after="0"/>
              <w:rPr>
                <w:sz w:val="20"/>
                <w:szCs w:val="20"/>
                <w:color w:val="auto"/>
              </w:rPr>
            </w:pPr>
            <w:r>
              <w:rPr>
                <w:rFonts w:ascii="Arial" w:cs="Arial" w:eastAsia="Arial" w:hAnsi="Arial"/>
                <w:sz w:val="12"/>
                <w:szCs w:val="12"/>
                <w:color w:val="auto"/>
                <w:w w:val="95"/>
              </w:rPr>
              <w:t>(3)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8,695</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20"/>
                <w:szCs w:val="20"/>
                <w:color w:val="auto"/>
              </w:rPr>
            </w:pPr>
            <w:r>
              <w:rPr>
                <w:rFonts w:ascii="Arial" w:cs="Arial" w:eastAsia="Arial" w:hAnsi="Arial"/>
                <w:sz w:val="12"/>
                <w:szCs w:val="12"/>
                <w:color w:val="auto"/>
              </w:rPr>
              <w:t>Commercial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2,684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ind w:left="940"/>
              <w:spacing w:after="0"/>
              <w:rPr>
                <w:sz w:val="20"/>
                <w:szCs w:val="20"/>
                <w:color w:val="auto"/>
              </w:rPr>
            </w:pPr>
            <w:r>
              <w:rPr>
                <w:rFonts w:ascii="Arial" w:cs="Arial" w:eastAsia="Arial" w:hAnsi="Arial"/>
                <w:sz w:val="12"/>
                <w:szCs w:val="12"/>
                <w:color w:val="auto"/>
                <w:w w:val="95"/>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2,979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2,979</w:t>
            </w:r>
          </w:p>
        </w:tc>
        <w:tc>
          <w:tcPr>
            <w:tcW w:w="0" w:type="dxa"/>
            <w:vAlign w:val="bottom"/>
          </w:tcPr>
          <w:p>
            <w:pPr>
              <w:spacing w:after="0"/>
              <w:rPr>
                <w:sz w:val="1"/>
                <w:szCs w:val="1"/>
                <w:color w:val="auto"/>
              </w:rPr>
            </w:pPr>
          </w:p>
        </w:tc>
      </w:tr>
      <w:tr>
        <w:trPr>
          <w:trHeight w:val="160"/>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Corporates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15,822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16,494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16,494</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20"/>
                <w:szCs w:val="20"/>
                <w:color w:val="auto"/>
              </w:rPr>
            </w:pPr>
            <w:r>
              <w:rPr>
                <w:rFonts w:ascii="Arial" w:cs="Arial" w:eastAsia="Arial" w:hAnsi="Arial"/>
                <w:sz w:val="12"/>
                <w:szCs w:val="12"/>
                <w:color w:val="auto"/>
              </w:rPr>
              <w:t>Hybrids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838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912</w:t>
            </w:r>
          </w:p>
        </w:tc>
        <w:tc>
          <w:tcPr>
            <w:tcW w:w="0" w:type="dxa"/>
            <w:vAlign w:val="bottom"/>
          </w:tcPr>
          <w:p>
            <w:pPr>
              <w:spacing w:after="0"/>
              <w:rPr>
                <w:sz w:val="1"/>
                <w:szCs w:val="1"/>
                <w:color w:val="auto"/>
              </w:rPr>
            </w:pPr>
          </w:p>
        </w:tc>
      </w:tr>
      <w:tr>
        <w:trPr>
          <w:trHeight w:val="160"/>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Municipals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1,501</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20"/>
                <w:szCs w:val="20"/>
                <w:color w:val="auto"/>
              </w:rPr>
            </w:pPr>
            <w:r>
              <w:rPr>
                <w:rFonts w:ascii="Arial" w:cs="Arial" w:eastAsia="Arial" w:hAnsi="Arial"/>
                <w:sz w:val="12"/>
                <w:szCs w:val="12"/>
                <w:color w:val="auto"/>
              </w:rPr>
              <w:t>Residential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ind w:left="940"/>
              <w:spacing w:after="0"/>
              <w:rPr>
                <w:sz w:val="20"/>
                <w:szCs w:val="20"/>
                <w:color w:val="auto"/>
              </w:rPr>
            </w:pPr>
            <w:r>
              <w:rPr>
                <w:rFonts w:ascii="Arial" w:cs="Arial" w:eastAsia="Arial" w:hAnsi="Arial"/>
                <w:sz w:val="12"/>
                <w:szCs w:val="12"/>
                <w:color w:val="auto"/>
                <w:w w:val="95"/>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731</w:t>
            </w:r>
          </w:p>
        </w:tc>
        <w:tc>
          <w:tcPr>
            <w:tcW w:w="0" w:type="dxa"/>
            <w:vAlign w:val="bottom"/>
          </w:tcPr>
          <w:p>
            <w:pPr>
              <w:spacing w:after="0"/>
              <w:rPr>
                <w:sz w:val="1"/>
                <w:szCs w:val="1"/>
                <w:color w:val="auto"/>
              </w:rPr>
            </w:pPr>
          </w:p>
        </w:tc>
      </w:tr>
      <w:tr>
        <w:trPr>
          <w:trHeight w:val="160"/>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U.S. Government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20"/>
                <w:szCs w:val="20"/>
                <w:color w:val="auto"/>
              </w:rPr>
            </w:pPr>
            <w:r>
              <w:rPr>
                <w:rFonts w:ascii="Arial" w:cs="Arial" w:eastAsia="Arial" w:hAnsi="Arial"/>
                <w:sz w:val="12"/>
                <w:szCs w:val="12"/>
                <w:color w:val="auto"/>
              </w:rPr>
              <w:t>Foreign Governments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276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284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284</w:t>
            </w:r>
          </w:p>
        </w:tc>
        <w:tc>
          <w:tcPr>
            <w:tcW w:w="0" w:type="dxa"/>
            <w:vAlign w:val="bottom"/>
          </w:tcPr>
          <w:p>
            <w:pPr>
              <w:spacing w:after="0"/>
              <w:rPr>
                <w:sz w:val="1"/>
                <w:szCs w:val="1"/>
                <w:color w:val="auto"/>
              </w:rPr>
            </w:pPr>
          </w:p>
        </w:tc>
      </w:tr>
      <w:tr>
        <w:trPr>
          <w:trHeight w:val="176"/>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30,705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2"/>
                <w:szCs w:val="12"/>
                <w:color w:val="auto"/>
                <w:w w:val="95"/>
              </w:rPr>
              <w:t>(8)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31,990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31,990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December 31, 2020</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Amortized Cost</w:t>
            </w:r>
          </w:p>
        </w:tc>
        <w:tc>
          <w:tcPr>
            <w:tcW w:w="1380" w:type="dxa"/>
            <w:vAlign w:val="bottom"/>
            <w:gridSpan w:val="3"/>
          </w:tcPr>
          <w:p>
            <w:pPr>
              <w:ind w:left="40"/>
              <w:spacing w:after="0" w:line="109" w:lineRule="exact"/>
              <w:rPr>
                <w:sz w:val="20"/>
                <w:szCs w:val="20"/>
                <w:color w:val="auto"/>
              </w:rPr>
            </w:pPr>
            <w:r>
              <w:rPr>
                <w:rFonts w:ascii="Arial" w:cs="Arial" w:eastAsia="Arial" w:hAnsi="Arial"/>
                <w:sz w:val="12"/>
                <w:szCs w:val="12"/>
                <w:b w:val="1"/>
                <w:bCs w:val="1"/>
                <w:color w:val="auto"/>
                <w:w w:val="97"/>
              </w:rPr>
              <w:t>Allowance for Expected</w:t>
            </w:r>
          </w:p>
        </w:tc>
        <w:tc>
          <w:tcPr>
            <w:tcW w:w="100" w:type="dxa"/>
            <w:vAlign w:val="bottom"/>
          </w:tcPr>
          <w:p>
            <w:pPr>
              <w:spacing w:after="0"/>
              <w:rPr>
                <w:sz w:val="9"/>
                <w:szCs w:val="9"/>
                <w:color w:val="auto"/>
              </w:rPr>
            </w:pPr>
          </w:p>
        </w:tc>
        <w:tc>
          <w:tcPr>
            <w:tcW w:w="1140" w:type="dxa"/>
            <w:vAlign w:val="bottom"/>
            <w:gridSpan w:val="2"/>
          </w:tcPr>
          <w:p>
            <w:pPr>
              <w:jc w:val="center"/>
              <w:ind w:right="180"/>
              <w:spacing w:after="0" w:line="109" w:lineRule="exact"/>
              <w:rPr>
                <w:sz w:val="20"/>
                <w:szCs w:val="20"/>
                <w:color w:val="auto"/>
              </w:rPr>
            </w:pPr>
            <w:r>
              <w:rPr>
                <w:rFonts w:ascii="Arial" w:cs="Arial" w:eastAsia="Arial" w:hAnsi="Arial"/>
                <w:sz w:val="12"/>
                <w:szCs w:val="12"/>
                <w:b w:val="1"/>
                <w:bCs w:val="1"/>
                <w:color w:val="auto"/>
                <w:w w:val="89"/>
              </w:rPr>
              <w:t>Gross Unrealized</w:t>
            </w:r>
          </w:p>
        </w:tc>
        <w:tc>
          <w:tcPr>
            <w:tcW w:w="100" w:type="dxa"/>
            <w:vAlign w:val="bottom"/>
          </w:tcPr>
          <w:p>
            <w:pPr>
              <w:spacing w:after="0"/>
              <w:rPr>
                <w:sz w:val="9"/>
                <w:szCs w:val="9"/>
                <w:color w:val="auto"/>
              </w:rPr>
            </w:pPr>
          </w:p>
        </w:tc>
        <w:tc>
          <w:tcPr>
            <w:tcW w:w="1140" w:type="dxa"/>
            <w:vAlign w:val="bottom"/>
            <w:gridSpan w:val="2"/>
          </w:tcPr>
          <w:p>
            <w:pPr>
              <w:jc w:val="center"/>
              <w:ind w:right="200"/>
              <w:spacing w:after="0" w:line="109" w:lineRule="exact"/>
              <w:rPr>
                <w:sz w:val="20"/>
                <w:szCs w:val="20"/>
                <w:color w:val="auto"/>
              </w:rPr>
            </w:pPr>
            <w:r>
              <w:rPr>
                <w:rFonts w:ascii="Arial" w:cs="Arial" w:eastAsia="Arial" w:hAnsi="Arial"/>
                <w:sz w:val="12"/>
                <w:szCs w:val="12"/>
                <w:b w:val="1"/>
                <w:bCs w:val="1"/>
                <w:color w:val="auto"/>
                <w:w w:val="91"/>
              </w:rPr>
              <w:t>Gross Unrealized</w:t>
            </w:r>
          </w:p>
        </w:tc>
        <w:tc>
          <w:tcPr>
            <w:tcW w:w="18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Pr>
          <w:p>
            <w:pPr>
              <w:spacing w:after="0"/>
              <w:rPr>
                <w:sz w:val="9"/>
                <w:szCs w:val="9"/>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auto"/>
                <w:w w:val="96"/>
              </w:rPr>
              <w:t>Carrying Value</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Credit Losses</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Gains</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2"/>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80" w:type="dxa"/>
            <w:vAlign w:val="bottom"/>
          </w:tcPr>
          <w:p>
            <w:pPr>
              <w:spacing w:after="0"/>
              <w:rPr>
                <w:sz w:val="20"/>
                <w:szCs w:val="20"/>
                <w:color w:val="auto"/>
              </w:rPr>
            </w:pPr>
            <w:r>
              <w:rPr>
                <w:rFonts w:ascii="Arial" w:cs="Arial" w:eastAsia="Arial" w:hAnsi="Arial"/>
                <w:sz w:val="12"/>
                <w:szCs w:val="12"/>
                <w:b w:val="1"/>
                <w:bCs w:val="1"/>
                <w:color w:val="auto"/>
              </w:rPr>
              <w:t>Available-for-sale securities</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6,266</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Arial" w:cs="Arial" w:eastAsia="Arial" w:hAnsi="Arial"/>
                <w:sz w:val="12"/>
                <w:szCs w:val="12"/>
                <w:color w:val="auto"/>
              </w:rPr>
              <w:t>Commercial mortgage-backed/asset-backed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2,490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2,829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2,829</w:t>
            </w:r>
          </w:p>
        </w:tc>
        <w:tc>
          <w:tcPr>
            <w:tcW w:w="0" w:type="dxa"/>
            <w:vAlign w:val="bottom"/>
          </w:tcPr>
          <w:p>
            <w:pPr>
              <w:spacing w:after="0"/>
              <w:rPr>
                <w:sz w:val="1"/>
                <w:szCs w:val="1"/>
                <w:color w:val="auto"/>
              </w:rPr>
            </w:pPr>
          </w:p>
        </w:tc>
      </w:tr>
      <w:tr>
        <w:trPr>
          <w:trHeight w:val="160"/>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Corporates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13,582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14,735</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Arial" w:cs="Arial" w:eastAsia="Arial" w:hAnsi="Arial"/>
                <w:sz w:val="12"/>
                <w:szCs w:val="12"/>
                <w:color w:val="auto"/>
              </w:rPr>
              <w:t>Hybrids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994</w:t>
            </w:r>
          </w:p>
        </w:tc>
        <w:tc>
          <w:tcPr>
            <w:tcW w:w="0" w:type="dxa"/>
            <w:vAlign w:val="bottom"/>
          </w:tcPr>
          <w:p>
            <w:pPr>
              <w:spacing w:after="0"/>
              <w:rPr>
                <w:sz w:val="1"/>
                <w:szCs w:val="1"/>
                <w:color w:val="auto"/>
              </w:rPr>
            </w:pPr>
          </w:p>
        </w:tc>
      </w:tr>
      <w:tr>
        <w:trPr>
          <w:trHeight w:val="160"/>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Municipals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1,403</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Arial" w:cs="Arial" w:eastAsia="Arial" w:hAnsi="Arial"/>
                <w:sz w:val="12"/>
                <w:szCs w:val="12"/>
                <w:color w:val="auto"/>
              </w:rPr>
              <w:t>Residential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825</w:t>
            </w:r>
          </w:p>
        </w:tc>
        <w:tc>
          <w:tcPr>
            <w:tcW w:w="0" w:type="dxa"/>
            <w:vAlign w:val="bottom"/>
          </w:tcPr>
          <w:p>
            <w:pPr>
              <w:spacing w:after="0"/>
              <w:rPr>
                <w:sz w:val="1"/>
                <w:szCs w:val="1"/>
                <w:color w:val="auto"/>
              </w:rPr>
            </w:pPr>
          </w:p>
        </w:tc>
      </w:tr>
      <w:tr>
        <w:trPr>
          <w:trHeight w:val="160"/>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U.S. Government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Arial" w:cs="Arial" w:eastAsia="Arial" w:hAnsi="Arial"/>
                <w:sz w:val="12"/>
                <w:szCs w:val="12"/>
                <w:color w:val="auto"/>
              </w:rPr>
              <w:t>Foreign Governments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76"/>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25,577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27,587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27,587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Securities held on deposit with various state regulatory authorities had a fair value of $22,343 million and $16,714 million at December 31, 2021 and 2020, respectively.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At December 31, 2021 and 2020, the Company held no material investments that were non-income producing for a period greater than twelve months.</w:t>
      </w:r>
    </w:p>
    <w:p>
      <w:pPr>
        <w:spacing w:after="0" w:line="120"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At December 31, 2021 and 2020, the Company's accrued interest receivable balance was $253 million and $235 million, respectively. Accrued interest receivable is classified within Prepaid expenses and other assets within the Consolidated Balance Sheets.</w:t>
      </w:r>
    </w:p>
    <w:p>
      <w:pPr>
        <w:spacing w:after="0" w:line="68" w:lineRule="exact"/>
        <w:rPr>
          <w:sz w:val="20"/>
          <w:szCs w:val="20"/>
          <w:color w:val="auto"/>
        </w:rPr>
      </w:pPr>
    </w:p>
    <w:p>
      <w:pPr>
        <w:jc w:val="both"/>
        <w:ind w:right="20" w:firstLine="270"/>
        <w:spacing w:after="0" w:line="354" w:lineRule="auto"/>
        <w:rPr>
          <w:sz w:val="20"/>
          <w:szCs w:val="20"/>
          <w:color w:val="auto"/>
        </w:rPr>
      </w:pPr>
      <w:r>
        <w:rPr>
          <w:rFonts w:ascii="Arial" w:cs="Arial" w:eastAsia="Arial" w:hAnsi="Arial"/>
          <w:sz w:val="13"/>
          <w:szCs w:val="13"/>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$2,469 million and $1,622 million at December 31, 2021 and 2020, respectively.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0" w:name="page131"/>
    <w:bookmarkEnd w:id="13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firstLine="338"/>
        <w:spacing w:after="0" w:line="274" w:lineRule="auto"/>
        <w:rPr>
          <w:sz w:val="20"/>
          <w:szCs w:val="20"/>
          <w:color w:val="auto"/>
        </w:rPr>
      </w:pPr>
      <w:r>
        <w:rPr>
          <w:rFonts w:ascii="Arial" w:cs="Arial" w:eastAsia="Arial" w:hAnsi="Arial"/>
          <w:sz w:val="15"/>
          <w:szCs w:val="15"/>
          <w:color w:val="auto"/>
        </w:rPr>
        <w:t>The amortized cost and fair value of fixed maturity securities by contractual maturities, as applicable, are shown below. Actual maturities may differ from contractual maturities because issuers may have the right to call or prepay obligations.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Arial" w:cs="Arial" w:eastAsia="Arial" w:hAnsi="Arial"/>
                <w:sz w:val="12"/>
                <w:szCs w:val="12"/>
                <w:b w:val="1"/>
                <w:bCs w:val="1"/>
                <w:color w:val="auto"/>
              </w:rPr>
              <w:t>December 31, 2021</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Arial" w:cs="Arial" w:eastAsia="Arial" w:hAnsi="Arial"/>
                <w:sz w:val="12"/>
                <w:szCs w:val="12"/>
                <w:b w:val="1"/>
                <w:bCs w:val="1"/>
                <w:color w:val="auto"/>
              </w:rPr>
              <w:t>December 31, 2020</w:t>
            </w:r>
          </w:p>
        </w:tc>
        <w:tc>
          <w:tcPr>
            <w:tcW w:w="980" w:type="dxa"/>
            <w:vAlign w:val="bottom"/>
          </w:tcPr>
          <w:p>
            <w:pPr>
              <w:spacing w:after="0"/>
              <w:rPr>
                <w:sz w:val="13"/>
                <w:szCs w:val="13"/>
                <w:color w:val="auto"/>
              </w:rPr>
            </w:pPr>
          </w:p>
        </w:tc>
      </w:tr>
      <w:tr>
        <w:trPr>
          <w:trHeight w:val="162"/>
        </w:trPr>
        <w:tc>
          <w:tcPr>
            <w:tcW w:w="5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(in millions)</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(in millions)</w:t>
            </w:r>
          </w:p>
        </w:tc>
        <w:tc>
          <w:tcPr>
            <w:tcW w:w="980" w:type="dxa"/>
            <w:vAlign w:val="bottom"/>
            <w:tcBorders>
              <w:bottom w:val="single" w:sz="8" w:color="auto"/>
            </w:tcBorders>
          </w:tcPr>
          <w:p>
            <w:pPr>
              <w:spacing w:after="0"/>
              <w:rPr>
                <w:sz w:val="14"/>
                <w:szCs w:val="14"/>
                <w:color w:val="auto"/>
              </w:rPr>
            </w:pPr>
          </w:p>
        </w:tc>
      </w:tr>
      <w:tr>
        <w:trPr>
          <w:trHeight w:val="153"/>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Amortized Cost</w:t>
            </w:r>
          </w:p>
        </w:tc>
        <w:tc>
          <w:tcPr>
            <w:tcW w:w="460" w:type="dxa"/>
            <w:vAlign w:val="bottom"/>
          </w:tcPr>
          <w:p>
            <w:pPr>
              <w:spacing w:after="0"/>
              <w:rPr>
                <w:sz w:val="13"/>
                <w:szCs w:val="13"/>
                <w:color w:val="auto"/>
              </w:rPr>
            </w:pPr>
          </w:p>
        </w:tc>
        <w:tc>
          <w:tcPr>
            <w:tcW w:w="960" w:type="dxa"/>
            <w:vAlign w:val="bottom"/>
          </w:tcPr>
          <w:p>
            <w:pPr>
              <w:jc w:val="right"/>
              <w:ind w:right="360"/>
              <w:spacing w:after="0"/>
              <w:rPr>
                <w:sz w:val="20"/>
                <w:szCs w:val="20"/>
                <w:color w:val="auto"/>
              </w:rPr>
            </w:pPr>
            <w:r>
              <w:rPr>
                <w:rFonts w:ascii="Arial" w:cs="Arial" w:eastAsia="Arial" w:hAnsi="Arial"/>
                <w:sz w:val="12"/>
                <w:szCs w:val="12"/>
                <w:b w:val="1"/>
                <w:bCs w:val="1"/>
                <w:color w:val="auto"/>
                <w:w w:val="90"/>
              </w:rPr>
              <w:t>Fair Value</w:t>
            </w: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Amortized Cost</w:t>
            </w:r>
          </w:p>
        </w:tc>
        <w:tc>
          <w:tcPr>
            <w:tcW w:w="460" w:type="dxa"/>
            <w:vAlign w:val="bottom"/>
          </w:tcPr>
          <w:p>
            <w:pPr>
              <w:spacing w:after="0"/>
              <w:rPr>
                <w:sz w:val="13"/>
                <w:szCs w:val="13"/>
                <w:color w:val="auto"/>
              </w:rPr>
            </w:pPr>
          </w:p>
        </w:tc>
        <w:tc>
          <w:tcPr>
            <w:tcW w:w="980" w:type="dxa"/>
            <w:vAlign w:val="bottom"/>
          </w:tcPr>
          <w:p>
            <w:pPr>
              <w:jc w:val="right"/>
              <w:ind w:right="380"/>
              <w:spacing w:after="0"/>
              <w:rPr>
                <w:sz w:val="20"/>
                <w:szCs w:val="20"/>
                <w:color w:val="auto"/>
              </w:rPr>
            </w:pPr>
            <w:r>
              <w:rPr>
                <w:rFonts w:ascii="Arial" w:cs="Arial" w:eastAsia="Arial" w:hAnsi="Arial"/>
                <w:sz w:val="12"/>
                <w:szCs w:val="12"/>
                <w:b w:val="1"/>
                <w:bCs w:val="1"/>
                <w:color w:val="auto"/>
                <w:w w:val="90"/>
              </w:rPr>
              <w:t>Fair Value</w:t>
            </w:r>
          </w:p>
        </w:tc>
      </w:tr>
      <w:tr>
        <w:trPr>
          <w:trHeight w:val="138"/>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Corporates, Non-structured Hybrids, Municipal and Government securities:</w:t>
            </w:r>
          </w:p>
        </w:tc>
        <w:tc>
          <w:tcPr>
            <w:tcW w:w="1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r>
      <w:tr>
        <w:trPr>
          <w:trHeight w:val="155"/>
        </w:trPr>
        <w:tc>
          <w:tcPr>
            <w:tcW w:w="5360" w:type="dxa"/>
            <w:vAlign w:val="bottom"/>
          </w:tcPr>
          <w:p>
            <w:pPr>
              <w:ind w:left="100"/>
              <w:spacing w:after="0"/>
              <w:rPr>
                <w:sz w:val="20"/>
                <w:szCs w:val="20"/>
                <w:color w:val="auto"/>
              </w:rPr>
            </w:pPr>
            <w:r>
              <w:rPr>
                <w:rFonts w:ascii="Arial" w:cs="Arial" w:eastAsia="Arial" w:hAnsi="Arial"/>
                <w:sz w:val="12"/>
                <w:szCs w:val="12"/>
                <w:color w:val="auto"/>
              </w:rPr>
              <w:t>Due in one year or less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426</w:t>
            </w:r>
          </w:p>
        </w:tc>
        <w:tc>
          <w:tcPr>
            <w:tcW w:w="10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431</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466</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463</w:t>
            </w:r>
          </w:p>
        </w:tc>
      </w:tr>
      <w:tr>
        <w:trPr>
          <w:trHeight w:val="160"/>
        </w:trPr>
        <w:tc>
          <w:tcPr>
            <w:tcW w:w="53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Due after one year through five years</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3,051</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2,295</w:t>
            </w:r>
          </w:p>
        </w:tc>
      </w:tr>
      <w:tr>
        <w:trPr>
          <w:trHeight w:val="155"/>
        </w:trPr>
        <w:tc>
          <w:tcPr>
            <w:tcW w:w="5360" w:type="dxa"/>
            <w:vAlign w:val="bottom"/>
          </w:tcPr>
          <w:p>
            <w:pPr>
              <w:ind w:left="100"/>
              <w:spacing w:after="0"/>
              <w:rPr>
                <w:sz w:val="20"/>
                <w:szCs w:val="20"/>
                <w:color w:val="auto"/>
              </w:rPr>
            </w:pPr>
            <w:r>
              <w:rPr>
                <w:rFonts w:ascii="Arial" w:cs="Arial" w:eastAsia="Arial" w:hAnsi="Arial"/>
                <w:sz w:val="12"/>
                <w:szCs w:val="12"/>
                <w:color w:val="auto"/>
              </w:rPr>
              <w:t>Due after five years through ten years</w:t>
            </w: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2,389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2,458</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2,116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2,255</w:t>
            </w:r>
          </w:p>
        </w:tc>
      </w:tr>
      <w:tr>
        <w:trPr>
          <w:trHeight w:val="158"/>
        </w:trPr>
        <w:tc>
          <w:tcPr>
            <w:tcW w:w="53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Due after ten years</w:t>
            </w: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12,930</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13,608</w:t>
            </w:r>
          </w:p>
        </w:tc>
        <w:tc>
          <w:tcPr>
            <w:tcW w:w="2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11,560</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12,624</w:t>
            </w: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18,743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19,548</w:t>
            </w: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16,313</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17,637</w:t>
            </w:r>
          </w:p>
        </w:tc>
      </w:tr>
      <w:tr>
        <w:trPr>
          <w:trHeight w:val="160"/>
        </w:trPr>
        <w:tc>
          <w:tcPr>
            <w:tcW w:w="5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securities, which provide for periodic payments:</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5"/>
        </w:trPr>
        <w:tc>
          <w:tcPr>
            <w:tcW w:w="5360" w:type="dxa"/>
            <w:vAlign w:val="bottom"/>
          </w:tcPr>
          <w:p>
            <w:pPr>
              <w:ind w:left="100"/>
              <w:spacing w:after="0"/>
              <w:rPr>
                <w:sz w:val="20"/>
                <w:szCs w:val="20"/>
                <w:color w:val="auto"/>
              </w:rPr>
            </w:pPr>
            <w:r>
              <w:rPr>
                <w:rFonts w:ascii="Arial" w:cs="Arial" w:eastAsia="Arial" w:hAnsi="Arial"/>
                <w:sz w:val="12"/>
                <w:szCs w:val="12"/>
                <w:color w:val="auto"/>
              </w:rPr>
              <w:t>Asset-backed securities</w:t>
            </w: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8,516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8,695</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5,941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6,266</w:t>
            </w:r>
          </w:p>
        </w:tc>
      </w:tr>
      <w:tr>
        <w:trPr>
          <w:trHeight w:val="160"/>
        </w:trPr>
        <w:tc>
          <w:tcPr>
            <w:tcW w:w="53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Commercial mortgage-backed securities</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2,979</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w:t>
            </w:r>
          </w:p>
        </w:tc>
      </w:tr>
      <w:tr>
        <w:trPr>
          <w:trHeight w:val="155"/>
        </w:trPr>
        <w:tc>
          <w:tcPr>
            <w:tcW w:w="5360" w:type="dxa"/>
            <w:vAlign w:val="bottom"/>
          </w:tcPr>
          <w:p>
            <w:pPr>
              <w:ind w:left="100"/>
              <w:spacing w:after="0"/>
              <w:rPr>
                <w:sz w:val="20"/>
                <w:szCs w:val="20"/>
                <w:color w:val="auto"/>
              </w:rPr>
            </w:pPr>
            <w:r>
              <w:rPr>
                <w:rFonts w:ascii="Arial" w:cs="Arial" w:eastAsia="Arial" w:hAnsi="Arial"/>
                <w:sz w:val="12"/>
                <w:szCs w:val="12"/>
                <w:color w:val="auto"/>
              </w:rPr>
              <w:t>Structured hybrids</w:t>
            </w: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37</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58"/>
        </w:trPr>
        <w:tc>
          <w:tcPr>
            <w:tcW w:w="53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Residential mortgage-backed securities</w:t>
            </w: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731</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731</w:t>
            </w:r>
          </w:p>
        </w:tc>
        <w:tc>
          <w:tcPr>
            <w:tcW w:w="2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806</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825</w:t>
            </w:r>
          </w:p>
        </w:tc>
      </w:tr>
      <w:tr>
        <w:trPr>
          <w:trHeight w:val="149"/>
        </w:trPr>
        <w:tc>
          <w:tcPr>
            <w:tcW w:w="5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11,962</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12,442</w:t>
            </w: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9,264</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9,950</w:t>
            </w:r>
          </w:p>
        </w:tc>
      </w:tr>
      <w:tr>
        <w:trPr>
          <w:trHeight w:val="176"/>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fixed maturity available-for-sale securities</w:t>
            </w: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30,705</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31,990</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25,577</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27,587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Current Expected Credit Loss</w:t>
      </w:r>
    </w:p>
    <w:p>
      <w:pPr>
        <w:spacing w:after="0" w:line="120"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68" w:lineRule="exact"/>
        <w:rPr>
          <w:sz w:val="20"/>
          <w:szCs w:val="20"/>
          <w:color w:val="auto"/>
        </w:rPr>
      </w:pPr>
    </w:p>
    <w:p>
      <w:pPr>
        <w:ind w:left="520" w:hanging="259"/>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extent to which the fair value is less than the amortized cost basis;</w:t>
      </w:r>
    </w:p>
    <w:p>
      <w:pPr>
        <w:spacing w:after="0" w:line="109" w:lineRule="exact"/>
        <w:rPr>
          <w:rFonts w:ascii="Arial" w:cs="Arial" w:eastAsia="Arial" w:hAnsi="Arial"/>
          <w:sz w:val="15"/>
          <w:szCs w:val="15"/>
          <w:color w:val="auto"/>
        </w:rPr>
      </w:pPr>
    </w:p>
    <w:p>
      <w:pPr>
        <w:ind w:left="520" w:hanging="259"/>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reasons for the decline in value (credit event, currency or interest-rate related, including general credit spread widening);</w:t>
      </w:r>
    </w:p>
    <w:p>
      <w:pPr>
        <w:spacing w:after="0" w:line="120" w:lineRule="exact"/>
        <w:rPr>
          <w:rFonts w:ascii="Arial" w:cs="Arial" w:eastAsia="Arial" w:hAnsi="Arial"/>
          <w:sz w:val="15"/>
          <w:szCs w:val="15"/>
          <w:color w:val="auto"/>
        </w:rPr>
      </w:pPr>
    </w:p>
    <w:p>
      <w:pPr>
        <w:ind w:left="540" w:hanging="279"/>
        <w:spacing w:after="0" w:line="274" w:lineRule="auto"/>
        <w:tabs>
          <w:tab w:leader="none" w:pos="536"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financial condition of and near-term prospects of the issuer (including issuer's current credit rating and the probability of full recovery of principal based upon the issuer's financial strength);</w:t>
      </w:r>
    </w:p>
    <w:p>
      <w:pPr>
        <w:spacing w:after="0" w:line="68" w:lineRule="exact"/>
        <w:rPr>
          <w:rFonts w:ascii="Arial" w:cs="Arial" w:eastAsia="Arial" w:hAnsi="Arial"/>
          <w:sz w:val="15"/>
          <w:szCs w:val="15"/>
          <w:color w:val="auto"/>
        </w:rPr>
      </w:pPr>
    </w:p>
    <w:p>
      <w:pPr>
        <w:ind w:left="520" w:hanging="259"/>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Current delinquencies and nonperforming assets of underlying collateral;</w:t>
      </w:r>
    </w:p>
    <w:p>
      <w:pPr>
        <w:spacing w:after="0" w:line="109" w:lineRule="exact"/>
        <w:rPr>
          <w:rFonts w:ascii="Arial" w:cs="Arial" w:eastAsia="Arial" w:hAnsi="Arial"/>
          <w:sz w:val="15"/>
          <w:szCs w:val="15"/>
          <w:color w:val="auto"/>
        </w:rPr>
      </w:pPr>
    </w:p>
    <w:p>
      <w:pPr>
        <w:ind w:left="520" w:hanging="259"/>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Expected future default rates;</w:t>
      </w:r>
    </w:p>
    <w:p>
      <w:pPr>
        <w:spacing w:after="0" w:line="120" w:lineRule="exact"/>
        <w:rPr>
          <w:rFonts w:ascii="Arial" w:cs="Arial" w:eastAsia="Arial" w:hAnsi="Arial"/>
          <w:sz w:val="15"/>
          <w:szCs w:val="15"/>
          <w:color w:val="auto"/>
        </w:rPr>
      </w:pPr>
    </w:p>
    <w:p>
      <w:pPr>
        <w:ind w:left="520" w:hanging="259"/>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Collateral value by vintage, geographic region, industry concentration or property type;</w:t>
      </w:r>
    </w:p>
    <w:p>
      <w:pPr>
        <w:spacing w:after="0" w:line="109" w:lineRule="exact"/>
        <w:rPr>
          <w:rFonts w:ascii="Arial" w:cs="Arial" w:eastAsia="Arial" w:hAnsi="Arial"/>
          <w:sz w:val="15"/>
          <w:szCs w:val="15"/>
          <w:color w:val="auto"/>
        </w:rPr>
      </w:pPr>
    </w:p>
    <w:p>
      <w:pPr>
        <w:ind w:left="520" w:hanging="259"/>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Subordination levels or other credit enhancements as of the balance sheet date as compared to origination; and</w:t>
      </w:r>
    </w:p>
    <w:p>
      <w:pPr>
        <w:spacing w:after="0" w:line="109" w:lineRule="exact"/>
        <w:rPr>
          <w:rFonts w:ascii="Arial" w:cs="Arial" w:eastAsia="Arial" w:hAnsi="Arial"/>
          <w:sz w:val="15"/>
          <w:szCs w:val="15"/>
          <w:color w:val="auto"/>
        </w:rPr>
      </w:pPr>
    </w:p>
    <w:p>
      <w:pPr>
        <w:ind w:left="520" w:hanging="259"/>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Contractual and regulatory cash obligations and the issuer's plans to meet such obligations.</w:t>
      </w:r>
    </w:p>
    <w:p>
      <w:pPr>
        <w:spacing w:after="0" w:line="12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4"/>
          <w:szCs w:val="14"/>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to Interest and investment income when collectability concerns arise.</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consider the following in determining whether write-offs of a security’s amortized cost is necessary:</w:t>
      </w:r>
    </w:p>
    <w:p>
      <w:pPr>
        <w:spacing w:after="0" w:line="109" w:lineRule="exact"/>
        <w:rPr>
          <w:sz w:val="20"/>
          <w:szCs w:val="20"/>
          <w:color w:val="auto"/>
        </w:rPr>
      </w:pPr>
    </w:p>
    <w:p>
      <w:pPr>
        <w:ind w:left="560" w:hanging="232"/>
        <w:spacing w:after="0"/>
        <w:tabs>
          <w:tab w:leader="none" w:pos="5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 believe amounts related to securities have become uncollectible; or</w:t>
      </w:r>
    </w:p>
    <w:p>
      <w:pPr>
        <w:spacing w:after="0" w:line="120" w:lineRule="exact"/>
        <w:rPr>
          <w:rFonts w:ascii="Arial" w:cs="Arial" w:eastAsia="Arial" w:hAnsi="Arial"/>
          <w:sz w:val="15"/>
          <w:szCs w:val="15"/>
          <w:color w:val="auto"/>
        </w:rPr>
      </w:pPr>
    </w:p>
    <w:p>
      <w:pPr>
        <w:ind w:left="560" w:hanging="232"/>
        <w:spacing w:after="0"/>
        <w:tabs>
          <w:tab w:leader="none" w:pos="5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 intend to sell a security; or</w:t>
      </w:r>
    </w:p>
    <w:p>
      <w:pPr>
        <w:spacing w:after="0" w:line="109" w:lineRule="exact"/>
        <w:rPr>
          <w:rFonts w:ascii="Arial" w:cs="Arial" w:eastAsia="Arial" w:hAnsi="Arial"/>
          <w:sz w:val="15"/>
          <w:szCs w:val="15"/>
          <w:color w:val="auto"/>
        </w:rPr>
      </w:pPr>
    </w:p>
    <w:p>
      <w:pPr>
        <w:ind w:left="560" w:hanging="232"/>
        <w:spacing w:after="0"/>
        <w:tabs>
          <w:tab w:leader="none" w:pos="5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It is more likely than not that we will be required to sell a security prior to recovery.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1" w:name="page132"/>
    <w:bookmarkEnd w:id="13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80"/>
        <w:spacing w:after="0" w:line="254" w:lineRule="auto"/>
        <w:rPr>
          <w:sz w:val="20"/>
          <w:szCs w:val="20"/>
          <w:color w:val="auto"/>
        </w:rPr>
      </w:pPr>
      <w:r>
        <w:rPr>
          <w:rFonts w:ascii="Arial" w:cs="Arial" w:eastAsia="Arial" w:hAnsi="Arial"/>
          <w:sz w:val="15"/>
          <w:szCs w:val="15"/>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Recognized gains and losses, net in the accompanying Consolidated Statements of Earnings. The remainder of unrealized loss is held in AOCI.</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activity in the allowance for expected credit losses of available-for-sale securities aggregated by investment category was as follows (in millions):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57"/>
        </w:trPr>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40" w:type="dxa"/>
            <w:vAlign w:val="bottom"/>
            <w:gridSpan w:val="4"/>
          </w:tcPr>
          <w:p>
            <w:pPr>
              <w:jc w:val="center"/>
              <w:spacing w:after="0"/>
              <w:rPr>
                <w:sz w:val="20"/>
                <w:szCs w:val="20"/>
                <w:color w:val="auto"/>
              </w:rPr>
            </w:pPr>
            <w:r>
              <w:rPr>
                <w:rFonts w:ascii="Arial" w:cs="Arial" w:eastAsia="Arial" w:hAnsi="Arial"/>
                <w:sz w:val="12"/>
                <w:szCs w:val="12"/>
                <w:b w:val="1"/>
                <w:bCs w:val="1"/>
                <w:color w:val="auto"/>
                <w:w w:val="90"/>
              </w:rPr>
              <w:t>Year Ended December 31, 2021</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Additions</w:t>
            </w: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Reductions</w:t>
            </w: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For credit</w:t>
            </w:r>
          </w:p>
        </w:tc>
        <w:tc>
          <w:tcPr>
            <w:tcW w:w="900" w:type="dxa"/>
            <w:vAlign w:val="bottom"/>
            <w:gridSpan w:val="2"/>
          </w:tcPr>
          <w:p>
            <w:pPr>
              <w:ind w:left="340"/>
              <w:spacing w:after="0" w:line="109" w:lineRule="exact"/>
              <w:rPr>
                <w:sz w:val="20"/>
                <w:szCs w:val="20"/>
                <w:color w:val="auto"/>
              </w:rPr>
            </w:pPr>
            <w:r>
              <w:rPr>
                <w:rFonts w:ascii="Arial" w:cs="Arial" w:eastAsia="Arial" w:hAnsi="Arial"/>
                <w:sz w:val="12"/>
                <w:szCs w:val="12"/>
                <w:b w:val="1"/>
                <w:bCs w:val="1"/>
                <w:color w:val="auto"/>
                <w:w w:val="99"/>
              </w:rPr>
              <w:t>For initial</w:t>
            </w: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0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5"/>
              </w:rPr>
              <w:t>credit losses on</w:t>
            </w: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jc w:val="center"/>
              <w:ind w:left="160"/>
              <w:spacing w:after="0" w:line="113" w:lineRule="exact"/>
              <w:rPr>
                <w:sz w:val="20"/>
                <w:szCs w:val="20"/>
                <w:color w:val="auto"/>
              </w:rPr>
            </w:pPr>
            <w:r>
              <w:rPr>
                <w:rFonts w:ascii="Arial" w:cs="Arial" w:eastAsia="Arial" w:hAnsi="Arial"/>
                <w:sz w:val="12"/>
                <w:szCs w:val="12"/>
                <w:b w:val="1"/>
                <w:bCs w:val="1"/>
                <w:color w:val="auto"/>
                <w:w w:val="79"/>
              </w:rPr>
              <w:t>losses on</w:t>
            </w:r>
          </w:p>
        </w:tc>
        <w:tc>
          <w:tcPr>
            <w:tcW w:w="240" w:type="dxa"/>
            <w:vAlign w:val="bottom"/>
          </w:tcPr>
          <w:p>
            <w:pPr>
              <w:spacing w:after="0"/>
              <w:rPr>
                <w:sz w:val="9"/>
                <w:szCs w:val="9"/>
                <w:color w:val="auto"/>
              </w:rPr>
            </w:pPr>
          </w:p>
        </w:tc>
        <w:tc>
          <w:tcPr>
            <w:tcW w:w="700" w:type="dxa"/>
            <w:vAlign w:val="bottom"/>
          </w:tcPr>
          <w:p>
            <w:pPr>
              <w:jc w:val="center"/>
              <w:ind w:left="100"/>
              <w:spacing w:after="0" w:line="113" w:lineRule="exact"/>
              <w:rPr>
                <w:sz w:val="20"/>
                <w:szCs w:val="20"/>
                <w:color w:val="auto"/>
              </w:rPr>
            </w:pPr>
            <w:r>
              <w:rPr>
                <w:rFonts w:ascii="Arial" w:cs="Arial" w:eastAsia="Arial" w:hAnsi="Arial"/>
                <w:sz w:val="12"/>
                <w:szCs w:val="12"/>
                <w:b w:val="1"/>
                <w:bCs w:val="1"/>
                <w:color w:val="auto"/>
                <w:w w:val="88"/>
              </w:rPr>
              <w:t>purchased</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vMerge w:val="restart"/>
          </w:tcPr>
          <w:p>
            <w:pPr>
              <w:jc w:val="right"/>
              <w:ind w:right="260"/>
              <w:spacing w:after="0"/>
              <w:rPr>
                <w:sz w:val="20"/>
                <w:szCs w:val="20"/>
                <w:color w:val="auto"/>
              </w:rPr>
            </w:pPr>
            <w:r>
              <w:rPr>
                <w:rFonts w:ascii="Arial" w:cs="Arial" w:eastAsia="Arial" w:hAnsi="Arial"/>
                <w:sz w:val="12"/>
                <w:szCs w:val="12"/>
                <w:b w:val="1"/>
                <w:bCs w:val="1"/>
                <w:color w:val="auto"/>
                <w:w w:val="94"/>
              </w:rPr>
              <w:t>(Additions)</w:t>
            </w:r>
          </w:p>
        </w:tc>
        <w:tc>
          <w:tcPr>
            <w:tcW w:w="4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For securities</w:t>
            </w: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Balance at</w:t>
            </w:r>
          </w:p>
        </w:tc>
        <w:tc>
          <w:tcPr>
            <w:tcW w:w="9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7"/>
              </w:rPr>
              <w:t>securities for</w:t>
            </w:r>
          </w:p>
        </w:tc>
        <w:tc>
          <w:tcPr>
            <w:tcW w:w="700" w:type="dxa"/>
            <w:vAlign w:val="bottom"/>
          </w:tcPr>
          <w:p>
            <w:pPr>
              <w:jc w:val="center"/>
              <w:ind w:left="80"/>
              <w:spacing w:after="0" w:line="113" w:lineRule="exact"/>
              <w:rPr>
                <w:sz w:val="20"/>
                <w:szCs w:val="20"/>
                <w:color w:val="auto"/>
              </w:rPr>
            </w:pPr>
            <w:r>
              <w:rPr>
                <w:rFonts w:ascii="Arial" w:cs="Arial" w:eastAsia="Arial" w:hAnsi="Arial"/>
                <w:sz w:val="12"/>
                <w:szCs w:val="12"/>
                <w:b w:val="1"/>
                <w:bCs w:val="1"/>
                <w:color w:val="auto"/>
                <w:w w:val="85"/>
              </w:rPr>
              <w:t>securities</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For</w:t>
            </w:r>
          </w:p>
        </w:tc>
        <w:tc>
          <w:tcPr>
            <w:tcW w:w="4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Write offs</w:t>
            </w:r>
          </w:p>
        </w:tc>
        <w:tc>
          <w:tcPr>
            <w:tcW w:w="380" w:type="dxa"/>
            <w:vAlign w:val="bottom"/>
          </w:tcPr>
          <w:p>
            <w:pPr>
              <w:spacing w:after="0"/>
              <w:rPr>
                <w:sz w:val="9"/>
                <w:szCs w:val="9"/>
                <w:color w:val="auto"/>
              </w:rPr>
            </w:pPr>
          </w:p>
        </w:tc>
        <w:tc>
          <w:tcPr>
            <w:tcW w:w="86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auto"/>
                <w:w w:val="86"/>
              </w:rPr>
              <w:t>Recoveries of</w:t>
            </w: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880" w:type="dxa"/>
            <w:vAlign w:val="bottom"/>
            <w:gridSpan w:val="4"/>
          </w:tcPr>
          <w:p>
            <w:pPr>
              <w:ind w:left="20"/>
              <w:spacing w:after="0" w:line="113" w:lineRule="exact"/>
              <w:rPr>
                <w:sz w:val="20"/>
                <w:szCs w:val="20"/>
                <w:color w:val="auto"/>
              </w:rPr>
            </w:pPr>
            <w:r>
              <w:rPr>
                <w:rFonts w:ascii="Arial" w:cs="Arial" w:eastAsia="Arial" w:hAnsi="Arial"/>
                <w:sz w:val="12"/>
                <w:szCs w:val="12"/>
                <w:b w:val="1"/>
                <w:bCs w:val="1"/>
                <w:color w:val="auto"/>
                <w:w w:val="89"/>
              </w:rPr>
              <w:t>which losses were accounted for as</w:t>
            </w:r>
          </w:p>
        </w:tc>
        <w:tc>
          <w:tcPr>
            <w:tcW w:w="1400" w:type="dxa"/>
            <w:vAlign w:val="bottom"/>
            <w:gridSpan w:val="2"/>
          </w:tcPr>
          <w:p>
            <w:pPr>
              <w:jc w:val="center"/>
              <w:ind w:right="80"/>
              <w:spacing w:after="0" w:line="113" w:lineRule="exact"/>
              <w:rPr>
                <w:sz w:val="20"/>
                <w:szCs w:val="20"/>
                <w:color w:val="auto"/>
              </w:rPr>
            </w:pPr>
            <w:r>
              <w:rPr>
                <w:rFonts w:ascii="Arial" w:cs="Arial" w:eastAsia="Arial" w:hAnsi="Arial"/>
                <w:sz w:val="12"/>
                <w:szCs w:val="12"/>
                <w:b w:val="1"/>
                <w:bCs w:val="1"/>
                <w:color w:val="auto"/>
                <w:w w:val="89"/>
              </w:rPr>
              <w:t>reductions in allowance</w:t>
            </w:r>
          </w:p>
        </w:tc>
        <w:tc>
          <w:tcPr>
            <w:tcW w:w="4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30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9"/>
              </w:rPr>
              <w:t>intended/required to be</w:t>
            </w:r>
          </w:p>
        </w:tc>
        <w:tc>
          <w:tcPr>
            <w:tcW w:w="9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89"/>
              </w:rPr>
              <w:t>Balance at</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980" w:type="dxa"/>
            <w:vAlign w:val="bottom"/>
            <w:gridSpan w:val="2"/>
          </w:tcPr>
          <w:p>
            <w:pPr>
              <w:jc w:val="right"/>
              <w:ind w:right="100"/>
              <w:spacing w:after="0" w:line="113" w:lineRule="exact"/>
              <w:rPr>
                <w:sz w:val="20"/>
                <w:szCs w:val="20"/>
                <w:color w:val="auto"/>
              </w:rPr>
            </w:pPr>
            <w:r>
              <w:rPr>
                <w:rFonts w:ascii="Arial" w:cs="Arial" w:eastAsia="Arial" w:hAnsi="Arial"/>
                <w:sz w:val="12"/>
                <w:szCs w:val="12"/>
                <w:b w:val="1"/>
                <w:bCs w:val="1"/>
                <w:color w:val="auto"/>
              </w:rPr>
              <w:t>Beginning of</w:t>
            </w:r>
          </w:p>
        </w:tc>
        <w:tc>
          <w:tcPr>
            <w:tcW w:w="9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7"/>
              </w:rPr>
              <w:t>not previously</w:t>
            </w:r>
          </w:p>
        </w:tc>
        <w:tc>
          <w:tcPr>
            <w:tcW w:w="90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3"/>
              </w:rPr>
              <w:t>PCD financial</w:t>
            </w:r>
          </w:p>
        </w:tc>
        <w:tc>
          <w:tcPr>
            <w:tcW w:w="1400" w:type="dxa"/>
            <w:vAlign w:val="bottom"/>
            <w:gridSpan w:val="2"/>
          </w:tcPr>
          <w:p>
            <w:pPr>
              <w:jc w:val="center"/>
              <w:ind w:right="80"/>
              <w:spacing w:after="0" w:line="113" w:lineRule="exact"/>
              <w:rPr>
                <w:sz w:val="20"/>
                <w:szCs w:val="20"/>
                <w:color w:val="auto"/>
              </w:rPr>
            </w:pPr>
            <w:r>
              <w:rPr>
                <w:rFonts w:ascii="Arial" w:cs="Arial" w:eastAsia="Arial" w:hAnsi="Arial"/>
                <w:sz w:val="12"/>
                <w:szCs w:val="12"/>
                <w:b w:val="1"/>
                <w:bCs w:val="1"/>
                <w:color w:val="auto"/>
                <w:w w:val="88"/>
              </w:rPr>
              <w:t>recorded on previously</w:t>
            </w:r>
          </w:p>
        </w:tc>
        <w:tc>
          <w:tcPr>
            <w:tcW w:w="420" w:type="dxa"/>
            <w:vAlign w:val="bottom"/>
            <w:tcBorders>
              <w:right w:val="single" w:sz="8" w:color="auto"/>
            </w:tcBorders>
          </w:tcPr>
          <w:p>
            <w:pPr>
              <w:spacing w:after="0"/>
              <w:rPr>
                <w:sz w:val="9"/>
                <w:szCs w:val="9"/>
                <w:color w:val="auto"/>
              </w:rPr>
            </w:pPr>
          </w:p>
        </w:tc>
        <w:tc>
          <w:tcPr>
            <w:tcW w:w="9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5"/>
              </w:rPr>
              <w:t>securities sold</w:t>
            </w:r>
          </w:p>
        </w:tc>
        <w:tc>
          <w:tcPr>
            <w:tcW w:w="130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9"/>
              </w:rPr>
              <w:t>sold prior to recovery of</w:t>
            </w:r>
          </w:p>
        </w:tc>
        <w:tc>
          <w:tcPr>
            <w:tcW w:w="960" w:type="dxa"/>
            <w:vAlign w:val="bottom"/>
            <w:gridSpan w:val="2"/>
          </w:tcPr>
          <w:p>
            <w:pPr>
              <w:jc w:val="right"/>
              <w:ind w:right="40"/>
              <w:spacing w:after="0" w:line="113" w:lineRule="exact"/>
              <w:rPr>
                <w:sz w:val="20"/>
                <w:szCs w:val="20"/>
                <w:color w:val="auto"/>
              </w:rPr>
            </w:pPr>
            <w:r>
              <w:rPr>
                <w:rFonts w:ascii="Arial" w:cs="Arial" w:eastAsia="Arial" w:hAnsi="Arial"/>
                <w:sz w:val="12"/>
                <w:szCs w:val="12"/>
                <w:b w:val="1"/>
                <w:bCs w:val="1"/>
                <w:color w:val="auto"/>
                <w:w w:val="91"/>
              </w:rPr>
              <w:t>charged against</w:t>
            </w:r>
          </w:p>
        </w:tc>
        <w:tc>
          <w:tcPr>
            <w:tcW w:w="1240" w:type="dxa"/>
            <w:vAlign w:val="bottom"/>
            <w:gridSpan w:val="2"/>
          </w:tcPr>
          <w:p>
            <w:pPr>
              <w:jc w:val="right"/>
              <w:ind w:right="100"/>
              <w:spacing w:after="0" w:line="113" w:lineRule="exact"/>
              <w:rPr>
                <w:sz w:val="20"/>
                <w:szCs w:val="20"/>
                <w:color w:val="auto"/>
              </w:rPr>
            </w:pPr>
            <w:r>
              <w:rPr>
                <w:rFonts w:ascii="Arial" w:cs="Arial" w:eastAsia="Arial" w:hAnsi="Arial"/>
                <w:sz w:val="12"/>
                <w:szCs w:val="12"/>
                <w:b w:val="1"/>
                <w:bCs w:val="1"/>
                <w:color w:val="auto"/>
                <w:w w:val="93"/>
              </w:rPr>
              <w:t>amounts previously</w:t>
            </w: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9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Period</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89"/>
              </w:rPr>
              <w:t>recorded</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left="100"/>
              <w:spacing w:after="0"/>
              <w:rPr>
                <w:sz w:val="20"/>
                <w:szCs w:val="20"/>
                <w:color w:val="auto"/>
              </w:rPr>
            </w:pPr>
            <w:r>
              <w:rPr>
                <w:rFonts w:ascii="Arial" w:cs="Arial" w:eastAsia="Arial" w:hAnsi="Arial"/>
                <w:sz w:val="12"/>
                <w:szCs w:val="12"/>
                <w:b w:val="1"/>
                <w:bCs w:val="1"/>
                <w:color w:val="auto"/>
                <w:w w:val="83"/>
              </w:rPr>
              <w:t>assets (1)</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89"/>
              </w:rPr>
              <w:t>impaired securities</w:t>
            </w:r>
          </w:p>
        </w:tc>
        <w:tc>
          <w:tcPr>
            <w:tcW w:w="42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1"/>
              </w:rPr>
              <w:t>during the period</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amortized cost basis</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w w:val="99"/>
              </w:rPr>
              <w:t>the allowance</w:t>
            </w: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written off</w:t>
            </w: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End of Period</w:t>
            </w:r>
          </w:p>
        </w:tc>
        <w:tc>
          <w:tcPr>
            <w:tcW w:w="0" w:type="dxa"/>
            <w:vAlign w:val="bottom"/>
          </w:tcPr>
          <w:p>
            <w:pPr>
              <w:spacing w:after="0"/>
              <w:rPr>
                <w:sz w:val="1"/>
                <w:szCs w:val="1"/>
                <w:color w:val="auto"/>
              </w:rPr>
            </w:pPr>
          </w:p>
        </w:tc>
      </w:tr>
      <w:tr>
        <w:trPr>
          <w:trHeight w:val="93"/>
        </w:trPr>
        <w:tc>
          <w:tcPr>
            <w:tcW w:w="980" w:type="dxa"/>
            <w:vAlign w:val="bottom"/>
            <w:shd w:val="clear" w:color="auto" w:fill="CCEEFF"/>
          </w:tcPr>
          <w:p>
            <w:pPr>
              <w:ind w:left="360"/>
              <w:spacing w:after="0" w:line="93" w:lineRule="exact"/>
              <w:rPr>
                <w:sz w:val="20"/>
                <w:szCs w:val="20"/>
                <w:color w:val="auto"/>
              </w:rPr>
            </w:pPr>
            <w:r>
              <w:rPr>
                <w:rFonts w:ascii="Arial" w:cs="Arial" w:eastAsia="Arial" w:hAnsi="Arial"/>
                <w:sz w:val="10"/>
                <w:szCs w:val="10"/>
                <w:b w:val="1"/>
                <w:bCs w:val="1"/>
                <w:color w:val="auto"/>
              </w:rPr>
              <w:t>Available-</w:t>
            </w: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420" w:type="dxa"/>
            <w:vAlign w:val="bottom"/>
            <w:tcBorders>
              <w:right w:val="single" w:sz="8" w:color="auto"/>
            </w:tcBorders>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9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91"/>
              </w:rPr>
              <w:t>for-sale securities</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20" w:type="dxa"/>
            <w:vAlign w:val="bottom"/>
            <w:tcBorders>
              <w:right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980" w:type="dxa"/>
            <w:vAlign w:val="bottom"/>
          </w:tcPr>
          <w:p>
            <w:pPr>
              <w:ind w:left="360"/>
              <w:spacing w:after="0" w:line="113" w:lineRule="exact"/>
              <w:rPr>
                <w:sz w:val="20"/>
                <w:szCs w:val="20"/>
                <w:color w:val="auto"/>
              </w:rPr>
            </w:pPr>
            <w:r>
              <w:rPr>
                <w:rFonts w:ascii="Arial" w:cs="Arial" w:eastAsia="Arial" w:hAnsi="Arial"/>
                <w:sz w:val="12"/>
                <w:szCs w:val="12"/>
                <w:color w:val="auto"/>
              </w:rPr>
              <w:t>Asset-</w:t>
            </w:r>
          </w:p>
        </w:tc>
        <w:tc>
          <w:tcPr>
            <w:tcW w:w="720" w:type="dxa"/>
            <w:vAlign w:val="bottom"/>
            <w:vMerge w:val="restart"/>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20"/>
              <w:spacing w:after="0"/>
              <w:rPr>
                <w:sz w:val="20"/>
                <w:szCs w:val="20"/>
                <w:color w:val="auto"/>
              </w:rPr>
            </w:pPr>
            <w:r>
              <w:rPr>
                <w:rFonts w:ascii="Arial" w:cs="Arial" w:eastAsia="Arial" w:hAnsi="Arial"/>
                <w:sz w:val="12"/>
                <w:szCs w:val="12"/>
                <w:color w:val="auto"/>
              </w:rPr>
              <w:t>(1)</w:t>
            </w: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40" w:type="dxa"/>
            <w:vAlign w:val="bottom"/>
            <w:vMerge w:val="restart"/>
          </w:tcPr>
          <w:p>
            <w:pPr>
              <w:jc w:val="right"/>
              <w:ind w:right="80"/>
              <w:spacing w:after="0"/>
              <w:rPr>
                <w:sz w:val="20"/>
                <w:szCs w:val="20"/>
                <w:color w:val="auto"/>
              </w:rPr>
            </w:pPr>
            <w:r>
              <w:rPr>
                <w:rFonts w:ascii="Arial" w:cs="Arial" w:eastAsia="Arial" w:hAnsi="Arial"/>
                <w:sz w:val="12"/>
                <w:szCs w:val="12"/>
                <w:color w:val="auto"/>
              </w:rPr>
              <w:t>(2)</w:t>
            </w:r>
          </w:p>
        </w:tc>
        <w:tc>
          <w:tcPr>
            <w:tcW w:w="420" w:type="dxa"/>
            <w:vAlign w:val="bottom"/>
            <w:tcBorders>
              <w:right w:val="single" w:sz="8" w:color="auto"/>
            </w:tcBorders>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ind w:left="280"/>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ind w:left="66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9"/>
                <w:szCs w:val="9"/>
                <w:color w:val="auto"/>
              </w:rPr>
            </w:pPr>
          </w:p>
        </w:tc>
        <w:tc>
          <w:tcPr>
            <w:tcW w:w="86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vMerge w:val="restart"/>
          </w:tcPr>
          <w:p>
            <w:pPr>
              <w:ind w:left="320"/>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ind w:left="180"/>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55"/>
        </w:trPr>
        <w:tc>
          <w:tcPr>
            <w:tcW w:w="980" w:type="dxa"/>
            <w:vAlign w:val="bottom"/>
          </w:tcPr>
          <w:p>
            <w:pPr>
              <w:ind w:left="20"/>
              <w:spacing w:after="0"/>
              <w:rPr>
                <w:sz w:val="20"/>
                <w:szCs w:val="20"/>
                <w:color w:val="auto"/>
              </w:rPr>
            </w:pPr>
            <w:r>
              <w:rPr>
                <w:rFonts w:ascii="Arial" w:cs="Arial" w:eastAsia="Arial" w:hAnsi="Arial"/>
                <w:sz w:val="12"/>
                <w:szCs w:val="12"/>
                <w:color w:val="auto"/>
              </w:rPr>
              <w:t>backed securities</w:t>
            </w:r>
          </w:p>
        </w:tc>
        <w:tc>
          <w:tcPr>
            <w:tcW w:w="7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360"/>
              <w:spacing w:after="0" w:line="115" w:lineRule="exact"/>
              <w:rPr>
                <w:sz w:val="20"/>
                <w:szCs w:val="20"/>
                <w:color w:val="auto"/>
              </w:rPr>
            </w:pPr>
            <w:r>
              <w:rPr>
                <w:rFonts w:ascii="Arial" w:cs="Arial" w:eastAsia="Arial" w:hAnsi="Arial"/>
                <w:sz w:val="12"/>
                <w:szCs w:val="12"/>
                <w:color w:val="auto"/>
                <w:w w:val="93"/>
              </w:rPr>
              <w:t>Commercial</w:t>
            </w: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80" w:type="dxa"/>
            <w:vAlign w:val="bottom"/>
            <w:shd w:val="clear" w:color="auto" w:fill="CCEEFF"/>
          </w:tcPr>
          <w:p>
            <w:pPr>
              <w:ind w:left="20"/>
              <w:spacing w:after="0" w:line="113" w:lineRule="exact"/>
              <w:rPr>
                <w:sz w:val="20"/>
                <w:szCs w:val="20"/>
                <w:color w:val="auto"/>
              </w:rPr>
            </w:pPr>
            <w:r>
              <w:rPr>
                <w:rFonts w:ascii="Arial" w:cs="Arial" w:eastAsia="Arial" w:hAnsi="Arial"/>
                <w:sz w:val="12"/>
                <w:szCs w:val="12"/>
                <w:color w:val="auto"/>
              </w:rPr>
              <w:t>mortgage-backed</w:t>
            </w:r>
          </w:p>
        </w:tc>
        <w:tc>
          <w:tcPr>
            <w:tcW w:w="72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ind w:left="40"/>
              <w:spacing w:after="0"/>
              <w:rPr>
                <w:sz w:val="20"/>
                <w:szCs w:val="20"/>
                <w:color w:val="auto"/>
              </w:rPr>
            </w:pPr>
            <w:r>
              <w:rPr>
                <w:rFonts w:ascii="Arial" w:cs="Arial" w:eastAsia="Arial" w:hAnsi="Arial"/>
                <w:sz w:val="12"/>
                <w:szCs w:val="12"/>
                <w:color w:val="auto"/>
              </w:rPr>
              <w:t>(2)</w:t>
            </w:r>
          </w:p>
        </w:tc>
        <w:tc>
          <w:tcPr>
            <w:tcW w:w="7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tcBorders>
              <w:right w:val="single" w:sz="8" w:color="auto"/>
            </w:tcBorders>
            <w:vMerge w:val="restart"/>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ind w:left="180"/>
              <w:spacing w:after="0"/>
              <w:rPr>
                <w:sz w:val="20"/>
                <w:szCs w:val="20"/>
                <w:color w:val="auto"/>
              </w:rPr>
            </w:pP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58"/>
        </w:trPr>
        <w:tc>
          <w:tcPr>
            <w:tcW w:w="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securities</w:t>
            </w:r>
          </w:p>
        </w:tc>
        <w:tc>
          <w:tcPr>
            <w:tcW w:w="720" w:type="dxa"/>
            <w:vAlign w:val="bottom"/>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420" w:type="dxa"/>
            <w:vAlign w:val="bottom"/>
            <w:tcBorders>
              <w:right w:val="single" w:sz="8" w:color="auto"/>
            </w:tcBorders>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ind w:left="360"/>
              <w:spacing w:after="0"/>
              <w:rPr>
                <w:sz w:val="20"/>
                <w:szCs w:val="20"/>
                <w:color w:val="auto"/>
              </w:rPr>
            </w:pPr>
            <w:r>
              <w:rPr>
                <w:rFonts w:ascii="Arial" w:cs="Arial" w:eastAsia="Arial" w:hAnsi="Arial"/>
                <w:sz w:val="12"/>
                <w:szCs w:val="12"/>
                <w:color w:val="auto"/>
              </w:rPr>
              <w:t>Corporates</w:t>
            </w:r>
          </w:p>
        </w:tc>
        <w:tc>
          <w:tcPr>
            <w:tcW w:w="7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(16)</w:t>
            </w:r>
          </w:p>
        </w:tc>
        <w:tc>
          <w:tcPr>
            <w:tcW w:w="740" w:type="dxa"/>
            <w:vAlign w:val="bottom"/>
          </w:tcPr>
          <w:p>
            <w:pPr>
              <w:spacing w:after="0"/>
              <w:rPr>
                <w:sz w:val="13"/>
                <w:szCs w:val="13"/>
                <w:color w:val="auto"/>
              </w:rPr>
            </w:pPr>
          </w:p>
        </w:tc>
        <w:tc>
          <w:tcPr>
            <w:tcW w:w="240" w:type="dxa"/>
            <w:vAlign w:val="bottom"/>
          </w:tcPr>
          <w:p>
            <w:pPr>
              <w:ind w:left="4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4</w:t>
            </w:r>
          </w:p>
        </w:tc>
        <w:tc>
          <w:tcPr>
            <w:tcW w:w="4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ind w:left="2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60" w:type="dxa"/>
            <w:vAlign w:val="bottom"/>
          </w:tcPr>
          <w:p>
            <w:pPr>
              <w:ind w:left="6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8</w:t>
            </w:r>
          </w:p>
        </w:tc>
        <w:tc>
          <w:tcPr>
            <w:tcW w:w="38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4</w:t>
            </w:r>
          </w:p>
        </w:tc>
        <w:tc>
          <w:tcPr>
            <w:tcW w:w="54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Hybrids</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tcBorders>
              <w:right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980" w:type="dxa"/>
            <w:vAlign w:val="bottom"/>
          </w:tcPr>
          <w:p>
            <w:pPr>
              <w:ind w:left="360"/>
              <w:spacing w:after="0" w:line="113" w:lineRule="exact"/>
              <w:rPr>
                <w:sz w:val="20"/>
                <w:szCs w:val="20"/>
                <w:color w:val="auto"/>
              </w:rPr>
            </w:pPr>
            <w:r>
              <w:rPr>
                <w:rFonts w:ascii="Arial" w:cs="Arial" w:eastAsia="Arial" w:hAnsi="Arial"/>
                <w:sz w:val="12"/>
                <w:szCs w:val="12"/>
                <w:color w:val="auto"/>
              </w:rPr>
              <w:t>Residential</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ind w:left="20"/>
              <w:spacing w:after="0" w:line="113" w:lineRule="exact"/>
              <w:rPr>
                <w:sz w:val="20"/>
                <w:szCs w:val="20"/>
                <w:color w:val="auto"/>
              </w:rPr>
            </w:pPr>
            <w:r>
              <w:rPr>
                <w:rFonts w:ascii="Arial" w:cs="Arial" w:eastAsia="Arial" w:hAnsi="Arial"/>
                <w:sz w:val="12"/>
                <w:szCs w:val="12"/>
                <w:color w:val="auto"/>
              </w:rPr>
              <w:t>mortgage-backed</w:t>
            </w:r>
          </w:p>
        </w:tc>
        <w:tc>
          <w:tcPr>
            <w:tcW w:w="72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740" w:type="dxa"/>
            <w:vAlign w:val="bottom"/>
          </w:tcPr>
          <w:p>
            <w:pPr>
              <w:spacing w:after="0"/>
              <w:rPr>
                <w:sz w:val="9"/>
                <w:szCs w:val="9"/>
                <w:color w:val="auto"/>
              </w:rPr>
            </w:pPr>
          </w:p>
        </w:tc>
        <w:tc>
          <w:tcPr>
            <w:tcW w:w="24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9"/>
                <w:szCs w:val="9"/>
                <w:color w:val="auto"/>
              </w:rPr>
            </w:pPr>
          </w:p>
        </w:tc>
        <w:tc>
          <w:tcPr>
            <w:tcW w:w="940" w:type="dxa"/>
            <w:vAlign w:val="bottom"/>
            <w:vMerge w:val="restart"/>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vMerge w:val="restart"/>
          </w:tcPr>
          <w:p>
            <w:pPr>
              <w:ind w:left="2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9"/>
                <w:szCs w:val="9"/>
                <w:color w:val="auto"/>
              </w:rPr>
            </w:pPr>
          </w:p>
        </w:tc>
        <w:tc>
          <w:tcPr>
            <w:tcW w:w="860" w:type="dxa"/>
            <w:vAlign w:val="bottom"/>
            <w:vMerge w:val="restart"/>
          </w:tcPr>
          <w:p>
            <w:pPr>
              <w:ind w:left="6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9"/>
                <w:szCs w:val="9"/>
                <w:color w:val="auto"/>
              </w:rPr>
            </w:pPr>
          </w:p>
        </w:tc>
        <w:tc>
          <w:tcPr>
            <w:tcW w:w="4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9"/>
                <w:szCs w:val="9"/>
                <w:color w:val="auto"/>
              </w:rPr>
            </w:pPr>
          </w:p>
        </w:tc>
        <w:tc>
          <w:tcPr>
            <w:tcW w:w="86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9"/>
                <w:szCs w:val="9"/>
                <w:color w:val="auto"/>
              </w:rPr>
            </w:pPr>
          </w:p>
        </w:tc>
        <w:tc>
          <w:tcPr>
            <w:tcW w:w="340" w:type="dxa"/>
            <w:vAlign w:val="bottom"/>
            <w:vMerge w:val="restart"/>
          </w:tcPr>
          <w:p>
            <w:pPr>
              <w:ind w:left="180"/>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55"/>
        </w:trPr>
        <w:tc>
          <w:tcPr>
            <w:tcW w:w="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securities</w:t>
            </w: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80" w:type="dxa"/>
            <w:vAlign w:val="bottom"/>
            <w:shd w:val="clear" w:color="auto" w:fill="CCEEFF"/>
          </w:tcPr>
          <w:p>
            <w:pPr>
              <w:ind w:left="360"/>
              <w:spacing w:after="0" w:line="95" w:lineRule="exact"/>
              <w:rPr>
                <w:sz w:val="20"/>
                <w:szCs w:val="20"/>
                <w:color w:val="auto"/>
              </w:rPr>
            </w:pPr>
            <w:r>
              <w:rPr>
                <w:rFonts w:ascii="Arial" w:cs="Arial" w:eastAsia="Arial" w:hAnsi="Arial"/>
                <w:sz w:val="11"/>
                <w:szCs w:val="11"/>
                <w:color w:val="auto"/>
              </w:rPr>
              <w:t>Total</w:t>
            </w: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420" w:type="dxa"/>
            <w:vAlign w:val="bottom"/>
            <w:tcBorders>
              <w:right w:val="single" w:sz="8" w:color="auto"/>
            </w:tcBorders>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980" w:type="dxa"/>
            <w:vAlign w:val="bottom"/>
            <w:shd w:val="clear" w:color="auto" w:fill="CCEEFF"/>
          </w:tcPr>
          <w:p>
            <w:pPr>
              <w:ind w:left="20"/>
              <w:spacing w:after="0" w:line="113" w:lineRule="exact"/>
              <w:rPr>
                <w:sz w:val="20"/>
                <w:szCs w:val="20"/>
                <w:color w:val="auto"/>
              </w:rPr>
            </w:pPr>
            <w:r>
              <w:rPr>
                <w:rFonts w:ascii="Arial" w:cs="Arial" w:eastAsia="Arial" w:hAnsi="Arial"/>
                <w:sz w:val="12"/>
                <w:szCs w:val="12"/>
                <w:color w:val="auto"/>
              </w:rPr>
              <w:t>available-for-sale</w:t>
            </w:r>
          </w:p>
        </w:tc>
        <w:tc>
          <w:tcPr>
            <w:tcW w:w="720" w:type="dxa"/>
            <w:vAlign w:val="bottom"/>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740" w:type="dxa"/>
            <w:vAlign w:val="bottom"/>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vMerge w:val="restart"/>
            <w:shd w:val="clear" w:color="auto" w:fill="CCEEFF"/>
          </w:tcPr>
          <w:p>
            <w:pPr>
              <w:ind w:left="40"/>
              <w:spacing w:after="0"/>
              <w:rPr>
                <w:sz w:val="20"/>
                <w:szCs w:val="20"/>
                <w:color w:val="auto"/>
              </w:rPr>
            </w:pPr>
            <w:r>
              <w:rPr>
                <w:rFonts w:ascii="Arial" w:cs="Arial" w:eastAsia="Arial" w:hAnsi="Arial"/>
                <w:sz w:val="12"/>
                <w:szCs w:val="12"/>
                <w:color w:val="auto"/>
              </w:rPr>
              <w:t>(2)</w:t>
            </w:r>
          </w:p>
        </w:tc>
        <w:tc>
          <w:tcPr>
            <w:tcW w:w="700" w:type="dxa"/>
            <w:vAlign w:val="bottom"/>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2</w:t>
            </w:r>
          </w:p>
        </w:tc>
        <w:tc>
          <w:tcPr>
            <w:tcW w:w="420" w:type="dxa"/>
            <w:vAlign w:val="bottom"/>
            <w:tcBorders>
              <w:right w:val="single" w:sz="8" w:color="auto"/>
            </w:tcBorders>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380" w:type="dxa"/>
            <w:vAlign w:val="bottom"/>
            <w:vMerge w:val="restart"/>
            <w:shd w:val="clear" w:color="auto" w:fill="CCEEFF"/>
          </w:tcPr>
          <w:p>
            <w:pPr>
              <w:ind w:left="300"/>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ind w:left="180"/>
              <w:spacing w:after="0"/>
              <w:rPr>
                <w:sz w:val="20"/>
                <w:szCs w:val="20"/>
                <w:color w:val="auto"/>
              </w:rPr>
            </w:pPr>
            <w:r>
              <w:rPr>
                <w:rFonts w:ascii="Arial" w:cs="Arial" w:eastAsia="Arial" w:hAnsi="Arial"/>
                <w:sz w:val="12"/>
                <w:szCs w:val="12"/>
                <w:color w:val="auto"/>
                <w:w w:val="95"/>
              </w:rPr>
              <w:t>(8)</w:t>
            </w:r>
          </w:p>
        </w:tc>
        <w:tc>
          <w:tcPr>
            <w:tcW w:w="0" w:type="dxa"/>
            <w:vAlign w:val="bottom"/>
          </w:tcPr>
          <w:p>
            <w:pPr>
              <w:spacing w:after="0"/>
              <w:rPr>
                <w:sz w:val="1"/>
                <w:szCs w:val="1"/>
                <w:color w:val="auto"/>
              </w:rPr>
            </w:pPr>
          </w:p>
        </w:tc>
      </w:tr>
      <w:tr>
        <w:trPr>
          <w:trHeight w:val="155"/>
        </w:trPr>
        <w:tc>
          <w:tcPr>
            <w:tcW w:w="980" w:type="dxa"/>
            <w:vAlign w:val="bottom"/>
            <w:tcBorders>
              <w:bottom w:val="single" w:sz="8" w:color="CCEEFF"/>
            </w:tcBorders>
            <w:shd w:val="clear" w:color="auto" w:fill="CCEEFF"/>
          </w:tcPr>
          <w:p>
            <w:pPr>
              <w:ind w:left="20"/>
              <w:spacing w:after="0" w:line="136" w:lineRule="exact"/>
              <w:rPr>
                <w:sz w:val="20"/>
                <w:szCs w:val="20"/>
                <w:color w:val="auto"/>
              </w:rPr>
            </w:pPr>
            <w:r>
              <w:rPr>
                <w:rFonts w:ascii="Arial" w:cs="Arial" w:eastAsia="Arial" w:hAnsi="Arial"/>
                <w:sz w:val="12"/>
                <w:szCs w:val="12"/>
                <w:color w:val="auto"/>
              </w:rPr>
              <w:t>securities</w:t>
            </w: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420" w:type="dxa"/>
            <w:vAlign w:val="bottom"/>
            <w:tcBorders>
              <w:bottom w:val="single" w:sz="8" w:color="auto"/>
              <w:right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6020"/>
        <w:spacing w:after="0"/>
        <w:rPr>
          <w:sz w:val="20"/>
          <w:szCs w:val="20"/>
          <w:color w:val="auto"/>
        </w:rPr>
      </w:pPr>
      <w:r>
        <w:rPr>
          <w:rFonts w:ascii="Arial" w:cs="Arial" w:eastAsia="Arial" w:hAnsi="Arial"/>
          <w:sz w:val="12"/>
          <w:szCs w:val="12"/>
          <w:b w:val="1"/>
          <w:bCs w:val="1"/>
          <w:color w:val="auto"/>
        </w:rPr>
        <w:t>Year ended December 31, 2020</w:t>
      </w:r>
    </w:p>
    <w:p>
      <w:pPr>
        <w:sectPr>
          <w:pgSz w:w="11900" w:h="16838" w:orient="portrait"/>
          <w:cols w:equalWidth="0" w:num="1">
            <w:col w:w="11340"/>
          </w:cols>
          <w:pgMar w:left="320" w:top="1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right="240" w:firstLine="338"/>
        <w:spacing w:after="0" w:line="234" w:lineRule="auto"/>
        <w:rPr>
          <w:sz w:val="20"/>
          <w:szCs w:val="20"/>
          <w:color w:val="auto"/>
        </w:rPr>
      </w:pPr>
      <w:r>
        <w:rPr>
          <w:rFonts w:ascii="Arial" w:cs="Arial" w:eastAsia="Arial" w:hAnsi="Arial"/>
          <w:sz w:val="12"/>
          <w:szCs w:val="12"/>
          <w:b w:val="1"/>
          <w:bCs w:val="1"/>
          <w:color w:val="auto"/>
        </w:rPr>
        <w:t>Available-for-sale securities</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0"/>
          <w:szCs w:val="10"/>
          <w:color w:val="auto"/>
        </w:rPr>
        <w:t>Asset-backed securities</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Corporates</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Hybrids</w:t>
      </w:r>
    </w:p>
    <w:p>
      <w:pPr>
        <w:spacing w:after="0" w:line="20" w:lineRule="exact"/>
        <w:rPr>
          <w:sz w:val="20"/>
          <w:szCs w:val="20"/>
          <w:color w:val="auto"/>
        </w:rPr>
      </w:pPr>
    </w:p>
    <w:p>
      <w:pPr>
        <w:ind w:left="340" w:right="80" w:firstLine="338"/>
        <w:spacing w:after="0" w:line="256" w:lineRule="auto"/>
        <w:rPr>
          <w:sz w:val="20"/>
          <w:szCs w:val="20"/>
          <w:color w:val="auto"/>
        </w:rPr>
      </w:pPr>
      <w:r>
        <w:rPr>
          <w:rFonts w:ascii="Arial" w:cs="Arial" w:eastAsia="Arial" w:hAnsi="Arial"/>
          <w:sz w:val="11"/>
          <w:szCs w:val="11"/>
          <w:color w:val="auto"/>
        </w:rPr>
        <w:t>Residential mortgage-backed securities</w:t>
      </w:r>
    </w:p>
    <w:p>
      <w:pPr>
        <w:spacing w:after="0" w:line="1" w:lineRule="exact"/>
        <w:rPr>
          <w:sz w:val="20"/>
          <w:szCs w:val="20"/>
          <w:color w:val="auto"/>
        </w:rPr>
      </w:pPr>
    </w:p>
    <w:p>
      <w:pPr>
        <w:ind w:left="340" w:right="20" w:firstLine="338"/>
        <w:spacing w:after="0" w:line="231" w:lineRule="auto"/>
        <w:rPr>
          <w:sz w:val="20"/>
          <w:szCs w:val="20"/>
          <w:color w:val="auto"/>
        </w:rPr>
      </w:pPr>
      <w:r>
        <w:rPr>
          <w:rFonts w:ascii="Arial" w:cs="Arial" w:eastAsia="Arial" w:hAnsi="Arial"/>
          <w:sz w:val="12"/>
          <w:szCs w:val="12"/>
          <w:color w:val="auto"/>
        </w:rPr>
        <w:t>Total available-for-sale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Additions</w:t>
            </w: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Reductions</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jc w:val="right"/>
              <w:ind w:right="80"/>
              <w:spacing w:after="0" w:line="109" w:lineRule="exact"/>
              <w:rPr>
                <w:sz w:val="20"/>
                <w:szCs w:val="20"/>
                <w:color w:val="auto"/>
              </w:rPr>
            </w:pPr>
            <w:r>
              <w:rPr>
                <w:rFonts w:ascii="Arial" w:cs="Arial" w:eastAsia="Arial" w:hAnsi="Arial"/>
                <w:sz w:val="12"/>
                <w:szCs w:val="12"/>
                <w:b w:val="1"/>
                <w:bCs w:val="1"/>
                <w:color w:val="auto"/>
                <w:w w:val="97"/>
              </w:rPr>
              <w:t>For credit</w:t>
            </w:r>
          </w:p>
        </w:tc>
        <w:tc>
          <w:tcPr>
            <w:tcW w:w="440" w:type="dxa"/>
            <w:vAlign w:val="bottom"/>
          </w:tcPr>
          <w:p>
            <w:pPr>
              <w:spacing w:after="0"/>
              <w:rPr>
                <w:sz w:val="9"/>
                <w:szCs w:val="9"/>
                <w:color w:val="auto"/>
              </w:rPr>
            </w:pPr>
          </w:p>
        </w:tc>
        <w:tc>
          <w:tcPr>
            <w:tcW w:w="740" w:type="dxa"/>
            <w:vAlign w:val="bottom"/>
          </w:tcPr>
          <w:p>
            <w:pPr>
              <w:jc w:val="right"/>
              <w:ind w:right="120"/>
              <w:spacing w:after="0" w:line="109" w:lineRule="exact"/>
              <w:rPr>
                <w:sz w:val="20"/>
                <w:szCs w:val="20"/>
                <w:color w:val="auto"/>
              </w:rPr>
            </w:pPr>
            <w:r>
              <w:rPr>
                <w:rFonts w:ascii="Arial" w:cs="Arial" w:eastAsia="Arial" w:hAnsi="Arial"/>
                <w:sz w:val="12"/>
                <w:szCs w:val="12"/>
                <w:b w:val="1"/>
                <w:bCs w:val="1"/>
                <w:color w:val="auto"/>
                <w:w w:val="99"/>
              </w:rPr>
              <w:t>For initial</w:t>
            </w:r>
          </w:p>
        </w:tc>
        <w:tc>
          <w:tcPr>
            <w:tcW w:w="11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(Additions)</w:t>
            </w:r>
          </w:p>
        </w:tc>
        <w:tc>
          <w:tcPr>
            <w:tcW w:w="28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vMerge w:val="restart"/>
          </w:tcPr>
          <w:p>
            <w:pPr>
              <w:jc w:val="right"/>
              <w:ind w:right="80"/>
              <w:spacing w:after="0"/>
              <w:rPr>
                <w:sz w:val="20"/>
                <w:szCs w:val="20"/>
                <w:color w:val="auto"/>
              </w:rPr>
            </w:pPr>
            <w:r>
              <w:rPr>
                <w:rFonts w:ascii="Arial" w:cs="Arial" w:eastAsia="Arial" w:hAnsi="Arial"/>
                <w:sz w:val="12"/>
                <w:szCs w:val="12"/>
                <w:b w:val="1"/>
                <w:bCs w:val="1"/>
                <w:color w:val="auto"/>
                <w:w w:val="88"/>
              </w:rPr>
              <w:t>For securities</w:t>
            </w: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2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w w:val="96"/>
              </w:rPr>
              <w:t>Balance at</w:t>
            </w:r>
          </w:p>
        </w:tc>
        <w:tc>
          <w:tcPr>
            <w:tcW w:w="116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1"/>
              </w:rPr>
              <w:t>losses on securities</w:t>
            </w:r>
          </w:p>
        </w:tc>
        <w:tc>
          <w:tcPr>
            <w:tcW w:w="11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3"/>
              </w:rPr>
              <w:t>credit losses on</w:t>
            </w:r>
          </w:p>
        </w:tc>
        <w:tc>
          <w:tcPr>
            <w:tcW w:w="1140" w:type="dxa"/>
            <w:vAlign w:val="bottom"/>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For</w:t>
            </w:r>
          </w:p>
        </w:tc>
        <w:tc>
          <w:tcPr>
            <w:tcW w:w="4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w w:val="93"/>
              </w:rPr>
              <w:t>Write offs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20" w:type="dxa"/>
            <w:vAlign w:val="bottom"/>
            <w:gridSpan w:val="2"/>
            <w:vMerge w:val="continue"/>
          </w:tcPr>
          <w:p>
            <w:pPr>
              <w:spacing w:after="0"/>
              <w:rPr>
                <w:sz w:val="9"/>
                <w:szCs w:val="9"/>
                <w:color w:val="auto"/>
              </w:rPr>
            </w:pPr>
          </w:p>
        </w:tc>
        <w:tc>
          <w:tcPr>
            <w:tcW w:w="116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6"/>
              </w:rPr>
              <w:t>for which losses were</w:t>
            </w:r>
          </w:p>
        </w:tc>
        <w:tc>
          <w:tcPr>
            <w:tcW w:w="11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6"/>
              </w:rPr>
              <w:t>purchased securities</w:t>
            </w:r>
          </w:p>
        </w:tc>
        <w:tc>
          <w:tcPr>
            <w:tcW w:w="1420" w:type="dxa"/>
            <w:vAlign w:val="bottom"/>
            <w:tcBorders>
              <w:right w:val="single" w:sz="8" w:color="auto"/>
            </w:tcBorders>
            <w:gridSpan w:val="2"/>
          </w:tcPr>
          <w:p>
            <w:pPr>
              <w:jc w:val="center"/>
              <w:ind w:right="40"/>
              <w:spacing w:after="0" w:line="113" w:lineRule="exact"/>
              <w:rPr>
                <w:sz w:val="20"/>
                <w:szCs w:val="20"/>
                <w:color w:val="auto"/>
              </w:rPr>
            </w:pPr>
            <w:r>
              <w:rPr>
                <w:rFonts w:ascii="Arial" w:cs="Arial" w:eastAsia="Arial" w:hAnsi="Arial"/>
                <w:sz w:val="12"/>
                <w:szCs w:val="12"/>
                <w:b w:val="1"/>
                <w:bCs w:val="1"/>
                <w:color w:val="auto"/>
                <w:w w:val="88"/>
              </w:rPr>
              <w:t>reductions in allowance</w:t>
            </w:r>
          </w:p>
        </w:tc>
        <w:tc>
          <w:tcPr>
            <w:tcW w:w="5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32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9"/>
              </w:rPr>
              <w:t>intended/required to be</w:t>
            </w:r>
          </w:p>
        </w:tc>
        <w:tc>
          <w:tcPr>
            <w:tcW w:w="4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60" w:type="dxa"/>
            <w:vAlign w:val="bottom"/>
          </w:tcPr>
          <w:p>
            <w:pPr>
              <w:ind w:left="200"/>
              <w:spacing w:after="0" w:line="113" w:lineRule="exact"/>
              <w:rPr>
                <w:sz w:val="20"/>
                <w:szCs w:val="20"/>
                <w:color w:val="auto"/>
              </w:rPr>
            </w:pPr>
            <w:r>
              <w:rPr>
                <w:rFonts w:ascii="Arial" w:cs="Arial" w:eastAsia="Arial" w:hAnsi="Arial"/>
                <w:sz w:val="12"/>
                <w:szCs w:val="12"/>
                <w:b w:val="1"/>
                <w:bCs w:val="1"/>
                <w:color w:val="auto"/>
                <w:w w:val="87"/>
              </w:rPr>
              <w:t>Beginning of</w:t>
            </w:r>
          </w:p>
        </w:tc>
        <w:tc>
          <w:tcPr>
            <w:tcW w:w="160" w:type="dxa"/>
            <w:vAlign w:val="bottom"/>
          </w:tcPr>
          <w:p>
            <w:pPr>
              <w:spacing w:after="0"/>
              <w:rPr>
                <w:sz w:val="9"/>
                <w:szCs w:val="9"/>
                <w:color w:val="auto"/>
              </w:rPr>
            </w:pPr>
          </w:p>
        </w:tc>
        <w:tc>
          <w:tcPr>
            <w:tcW w:w="116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0"/>
              </w:rPr>
              <w:t>not previously</w:t>
            </w:r>
          </w:p>
        </w:tc>
        <w:tc>
          <w:tcPr>
            <w:tcW w:w="11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9"/>
              </w:rPr>
              <w:t>accounted for as PCD</w:t>
            </w:r>
          </w:p>
        </w:tc>
        <w:tc>
          <w:tcPr>
            <w:tcW w:w="1420" w:type="dxa"/>
            <w:vAlign w:val="bottom"/>
            <w:tcBorders>
              <w:right w:val="single" w:sz="8" w:color="auto"/>
            </w:tcBorders>
            <w:gridSpan w:val="2"/>
          </w:tcPr>
          <w:p>
            <w:pPr>
              <w:jc w:val="center"/>
              <w:ind w:right="60"/>
              <w:spacing w:after="0" w:line="113" w:lineRule="exact"/>
              <w:rPr>
                <w:sz w:val="20"/>
                <w:szCs w:val="20"/>
                <w:color w:val="auto"/>
              </w:rPr>
            </w:pPr>
            <w:r>
              <w:rPr>
                <w:rFonts w:ascii="Arial" w:cs="Arial" w:eastAsia="Arial" w:hAnsi="Arial"/>
                <w:sz w:val="12"/>
                <w:szCs w:val="12"/>
                <w:b w:val="1"/>
                <w:bCs w:val="1"/>
                <w:color w:val="auto"/>
                <w:w w:val="88"/>
              </w:rPr>
              <w:t>recorded on previously</w:t>
            </w:r>
          </w:p>
        </w:tc>
        <w:tc>
          <w:tcPr>
            <w:tcW w:w="1080" w:type="dxa"/>
            <w:vAlign w:val="bottom"/>
            <w:gridSpan w:val="2"/>
          </w:tcPr>
          <w:p>
            <w:pPr>
              <w:jc w:val="right"/>
              <w:ind w:right="80"/>
              <w:spacing w:after="0" w:line="113" w:lineRule="exact"/>
              <w:rPr>
                <w:sz w:val="20"/>
                <w:szCs w:val="20"/>
                <w:color w:val="auto"/>
              </w:rPr>
            </w:pPr>
            <w:r>
              <w:rPr>
                <w:rFonts w:ascii="Arial" w:cs="Arial" w:eastAsia="Arial" w:hAnsi="Arial"/>
                <w:sz w:val="12"/>
                <w:szCs w:val="12"/>
                <w:b w:val="1"/>
                <w:bCs w:val="1"/>
                <w:color w:val="auto"/>
              </w:rPr>
              <w:t>securities sold</w:t>
            </w:r>
          </w:p>
        </w:tc>
        <w:tc>
          <w:tcPr>
            <w:tcW w:w="132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89"/>
              </w:rPr>
              <w:t>sold prior to recovery of</w:t>
            </w:r>
          </w:p>
        </w:tc>
        <w:tc>
          <w:tcPr>
            <w:tcW w:w="1080" w:type="dxa"/>
            <w:vAlign w:val="bottom"/>
            <w:gridSpan w:val="2"/>
          </w:tcPr>
          <w:p>
            <w:pPr>
              <w:jc w:val="right"/>
              <w:spacing w:after="0" w:line="113" w:lineRule="exact"/>
              <w:rPr>
                <w:sz w:val="20"/>
                <w:szCs w:val="20"/>
                <w:color w:val="auto"/>
              </w:rPr>
            </w:pPr>
            <w:r>
              <w:rPr>
                <w:rFonts w:ascii="Arial" w:cs="Arial" w:eastAsia="Arial" w:hAnsi="Arial"/>
                <w:sz w:val="12"/>
                <w:szCs w:val="12"/>
                <w:b w:val="1"/>
                <w:bCs w:val="1"/>
                <w:color w:val="auto"/>
                <w:w w:val="89"/>
              </w:rPr>
              <w:t>charged against the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86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Period</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recorded</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financial assets (1)</w:t>
            </w:r>
          </w:p>
        </w:tc>
        <w:tc>
          <w:tcPr>
            <w:tcW w:w="1140" w:type="dxa"/>
            <w:vAlign w:val="bottom"/>
            <w:tcBorders>
              <w:bottom w:val="single" w:sz="8" w:color="auto"/>
            </w:tcBorders>
          </w:tcPr>
          <w:p>
            <w:pPr>
              <w:jc w:val="center"/>
              <w:ind w:left="100"/>
              <w:spacing w:after="0"/>
              <w:rPr>
                <w:sz w:val="20"/>
                <w:szCs w:val="20"/>
                <w:color w:val="auto"/>
              </w:rPr>
            </w:pPr>
            <w:r>
              <w:rPr>
                <w:rFonts w:ascii="Arial" w:cs="Arial" w:eastAsia="Arial" w:hAnsi="Arial"/>
                <w:sz w:val="12"/>
                <w:szCs w:val="12"/>
                <w:b w:val="1"/>
                <w:bCs w:val="1"/>
                <w:color w:val="auto"/>
                <w:w w:val="89"/>
              </w:rPr>
              <w:t>impaired securities</w:t>
            </w:r>
          </w:p>
        </w:tc>
        <w:tc>
          <w:tcPr>
            <w:tcW w:w="28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during the period</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amortized cost basis</w:t>
            </w: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allowance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860" w:type="dxa"/>
            <w:vAlign w:val="bottom"/>
          </w:tcPr>
          <w:p>
            <w:pPr>
              <w:ind w:left="360"/>
              <w:spacing w:after="0"/>
              <w:rPr>
                <w:sz w:val="20"/>
                <w:szCs w:val="20"/>
                <w:color w:val="auto"/>
              </w:rPr>
            </w:pPr>
            <w:r>
              <w:rPr>
                <w:rFonts w:ascii="Arial" w:cs="Arial" w:eastAsia="Arial" w:hAnsi="Arial"/>
                <w:sz w:val="12"/>
                <w:szCs w:val="12"/>
                <w:color w:val="auto"/>
              </w:rPr>
              <w:t>$</w:t>
            </w:r>
          </w:p>
        </w:tc>
        <w:tc>
          <w:tcPr>
            <w:tcW w:w="160" w:type="dxa"/>
            <w:vAlign w:val="bottom"/>
          </w:tcPr>
          <w:p>
            <w:pPr>
              <w:ind w:left="20"/>
              <w:spacing w:after="0"/>
              <w:rPr>
                <w:sz w:val="20"/>
                <w:szCs w:val="20"/>
                <w:color w:val="auto"/>
              </w:rPr>
            </w:pPr>
            <w:r>
              <w:rPr>
                <w:rFonts w:ascii="Arial" w:cs="Arial" w:eastAsia="Arial" w:hAnsi="Arial"/>
                <w:sz w:val="12"/>
                <w:szCs w:val="12"/>
                <w:color w:val="auto"/>
                <w:w w:val="9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w:t>
            </w:r>
          </w:p>
        </w:tc>
        <w:tc>
          <w:tcPr>
            <w:tcW w:w="114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auto"/>
            </w:tcBorders>
          </w:tcPr>
          <w:p>
            <w:pPr>
              <w:jc w:val="right"/>
              <w:ind w:right="80"/>
              <w:spacing w:after="0"/>
              <w:rPr>
                <w:sz w:val="20"/>
                <w:szCs w:val="20"/>
                <w:color w:val="auto"/>
              </w:rPr>
            </w:pPr>
            <w:r>
              <w:rPr>
                <w:rFonts w:ascii="Arial" w:cs="Arial" w:eastAsia="Arial" w:hAnsi="Arial"/>
                <w:sz w:val="12"/>
                <w:szCs w:val="12"/>
                <w:color w:val="auto"/>
              </w:rPr>
              <w:t>2</w:t>
            </w: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w w:val="99"/>
              </w:rPr>
              <w:t>—</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w:t>
            </w: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w:t>
            </w:r>
          </w:p>
        </w:tc>
        <w:tc>
          <w:tcPr>
            <w:tcW w:w="1140" w:type="dxa"/>
            <w:vAlign w:val="bottom"/>
          </w:tcPr>
          <w:p>
            <w:pPr>
              <w:spacing w:after="0"/>
              <w:rPr>
                <w:sz w:val="13"/>
                <w:szCs w:val="13"/>
                <w:color w:val="auto"/>
              </w:rPr>
            </w:pPr>
          </w:p>
        </w:tc>
        <w:tc>
          <w:tcPr>
            <w:tcW w:w="280" w:type="dxa"/>
            <w:vAlign w:val="bottom"/>
            <w:tcBorders>
              <w:right w:val="single" w:sz="8" w:color="auto"/>
            </w:tcBorders>
          </w:tcPr>
          <w:p>
            <w:pPr>
              <w:jc w:val="right"/>
              <w:ind w:right="80"/>
              <w:spacing w:after="0"/>
              <w:rPr>
                <w:sz w:val="20"/>
                <w:szCs w:val="20"/>
                <w:color w:val="auto"/>
              </w:rPr>
            </w:pPr>
            <w:r>
              <w:rPr>
                <w:rFonts w:ascii="Arial" w:cs="Arial" w:eastAsia="Arial" w:hAnsi="Arial"/>
                <w:sz w:val="12"/>
                <w:szCs w:val="12"/>
                <w:color w:val="auto"/>
              </w:rPr>
              <w:t>7</w:t>
            </w:r>
          </w:p>
        </w:tc>
        <w:tc>
          <w:tcPr>
            <w:tcW w:w="5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w w:val="99"/>
              </w:rPr>
              <w:t>—</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140" w:type="dxa"/>
            <w:vAlign w:val="bottom"/>
          </w:tcPr>
          <w:p>
            <w:pPr>
              <w:spacing w:after="0"/>
              <w:rPr>
                <w:sz w:val="13"/>
                <w:szCs w:val="13"/>
                <w:color w:val="auto"/>
              </w:rPr>
            </w:pPr>
          </w:p>
        </w:tc>
        <w:tc>
          <w:tcPr>
            <w:tcW w:w="280" w:type="dxa"/>
            <w:vAlign w:val="bottom"/>
            <w:tcBorders>
              <w:right w:val="single" w:sz="8" w:color="auto"/>
            </w:tcBorders>
          </w:tcPr>
          <w:p>
            <w:pPr>
              <w:jc w:val="right"/>
              <w:ind w:right="80"/>
              <w:spacing w:after="0"/>
              <w:rPr>
                <w:sz w:val="20"/>
                <w:szCs w:val="20"/>
                <w:color w:val="auto"/>
              </w:rPr>
            </w:pPr>
            <w:r>
              <w:rPr>
                <w:rFonts w:ascii="Arial" w:cs="Arial" w:eastAsia="Arial" w:hAnsi="Arial"/>
                <w:sz w:val="12"/>
                <w:szCs w:val="12"/>
                <w:color w:val="auto"/>
                <w:w w:val="99"/>
              </w:rPr>
              <w:t>—</w:t>
            </w:r>
          </w:p>
        </w:tc>
        <w:tc>
          <w:tcPr>
            <w:tcW w:w="5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99"/>
              </w:rPr>
              <w:t>—</w:t>
            </w:r>
          </w:p>
        </w:tc>
        <w:tc>
          <w:tcPr>
            <w:tcW w:w="4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4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14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2"/>
                <w:szCs w:val="12"/>
                <w:color w:val="auto"/>
              </w:rPr>
              <w:t>1</w:t>
            </w:r>
          </w:p>
        </w:tc>
        <w:tc>
          <w:tcPr>
            <w:tcW w:w="5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1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2"/>
                <w:szCs w:val="12"/>
                <w:color w:val="auto"/>
                <w:w w:val="89"/>
              </w:rPr>
              <w:t>10</w:t>
            </w: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-557530</wp:posOffset>
            </wp:positionV>
            <wp:extent cx="6992620" cy="1003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2620" cy="10033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-356870</wp:posOffset>
            </wp:positionV>
            <wp:extent cx="69926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2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-829310</wp:posOffset>
            </wp:positionV>
            <wp:extent cx="69926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2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right="40" w:firstLine="257"/>
        <w:spacing w:after="0" w:line="322" w:lineRule="auto"/>
        <w:rPr>
          <w:sz w:val="20"/>
          <w:szCs w:val="20"/>
          <w:color w:val="auto"/>
        </w:rPr>
      </w:pPr>
      <w:r>
        <w:rPr>
          <w:rFonts w:ascii="Arial" w:cs="Arial" w:eastAsia="Arial" w:hAnsi="Arial"/>
          <w:sz w:val="10"/>
          <w:szCs w:val="10"/>
          <w:b w:val="1"/>
          <w:bCs w:val="1"/>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-412115</wp:posOffset>
            </wp:positionV>
            <wp:extent cx="6318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1825" cy="6985"/>
                    </a:xfrm>
                    <a:prstGeom prst="rect">
                      <a:avLst/>
                    </a:prstGeom>
                    <a:noFill/>
                  </pic:spPr>
                </pic:pic>
              </a:graphicData>
            </a:graphic>
          </wp:anchor>
        </w:drawing>
      </w:r>
    </w:p>
    <w:p>
      <w:pPr>
        <w:spacing w:after="0" w:line="216" w:lineRule="exact"/>
        <w:rPr>
          <w:sz w:val="20"/>
          <w:szCs w:val="20"/>
          <w:color w:val="auto"/>
        </w:rPr>
      </w:pPr>
    </w:p>
    <w:p>
      <w:pPr>
        <w:ind w:left="700" w:hanging="502"/>
        <w:spacing w:after="0"/>
        <w:tabs>
          <w:tab w:leader="none" w:pos="700" w:val="left"/>
        </w:tabs>
        <w:numPr>
          <w:ilvl w:val="0"/>
          <w:numId w:val="48"/>
        </w:numPr>
        <w:rPr>
          <w:rFonts w:ascii="Arial" w:cs="Arial" w:eastAsia="Arial" w:hAnsi="Arial"/>
          <w:sz w:val="12"/>
          <w:szCs w:val="12"/>
          <w:color w:val="auto"/>
        </w:rPr>
      </w:pPr>
      <w:r>
        <w:rPr>
          <w:rFonts w:ascii="Arial" w:cs="Arial" w:eastAsia="Arial" w:hAnsi="Arial"/>
          <w:sz w:val="12"/>
          <w:szCs w:val="12"/>
          <w:color w:val="auto"/>
        </w:rPr>
        <w:t>—</w:t>
      </w:r>
    </w:p>
    <w:p>
      <w:pPr>
        <w:spacing w:after="0" w:line="19"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1"/>
          <w:szCs w:val="11"/>
          <w:color w:val="auto"/>
        </w:rPr>
        <w:t>(16)</w:t>
      </w:r>
    </w:p>
    <w:p>
      <w:pPr>
        <w:spacing w:after="0" w:line="31" w:lineRule="exact"/>
        <w:rPr>
          <w:rFonts w:ascii="Arial" w:cs="Arial" w:eastAsia="Arial" w:hAnsi="Arial"/>
          <w:sz w:val="12"/>
          <w:szCs w:val="12"/>
          <w:color w:val="auto"/>
        </w:rPr>
      </w:pPr>
    </w:p>
    <w:p>
      <w:pPr>
        <w:ind w:left="700"/>
        <w:spacing w:after="0"/>
        <w:rPr>
          <w:rFonts w:ascii="Arial" w:cs="Arial" w:eastAsia="Arial" w:hAnsi="Arial"/>
          <w:sz w:val="12"/>
          <w:szCs w:val="12"/>
          <w:color w:val="auto"/>
        </w:rPr>
      </w:pPr>
      <w:r>
        <w:rPr>
          <w:rFonts w:ascii="Arial" w:cs="Arial" w:eastAsia="Arial" w:hAnsi="Arial"/>
          <w:sz w:val="12"/>
          <w:szCs w:val="12"/>
          <w:color w:val="auto"/>
        </w:rPr>
        <w: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15240</wp:posOffset>
            </wp:positionV>
            <wp:extent cx="6318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1825" cy="6985"/>
                    </a:xfrm>
                    <a:prstGeom prst="rect">
                      <a:avLst/>
                    </a:prstGeom>
                    <a:noFill/>
                  </pic:spPr>
                </pic:pic>
              </a:graphicData>
            </a:graphic>
          </wp:anchor>
        </w:drawing>
      </w:r>
    </w:p>
    <w:p>
      <w:pPr>
        <w:spacing w:after="0" w:line="90" w:lineRule="exact"/>
        <w:rPr>
          <w:sz w:val="20"/>
          <w:szCs w:val="20"/>
          <w:color w:val="auto"/>
        </w:rPr>
      </w:pPr>
    </w:p>
    <w:p>
      <w:pPr>
        <w:ind w:left="640" w:hanging="442"/>
        <w:spacing w:after="0"/>
        <w:tabs>
          <w:tab w:leader="none" w:pos="640" w:val="left"/>
        </w:tabs>
        <w:numPr>
          <w:ilvl w:val="0"/>
          <w:numId w:val="49"/>
        </w:numPr>
        <w:rPr>
          <w:rFonts w:ascii="Arial" w:cs="Arial" w:eastAsia="Arial" w:hAnsi="Arial"/>
          <w:sz w:val="11"/>
          <w:szCs w:val="11"/>
          <w:color w:val="auto"/>
        </w:rPr>
      </w:pPr>
      <w:r>
        <w:rPr>
          <w:rFonts w:ascii="Arial" w:cs="Arial" w:eastAsia="Arial" w:hAnsi="Arial"/>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22860</wp:posOffset>
            </wp:positionV>
            <wp:extent cx="63182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1825" cy="698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43815</wp:posOffset>
            </wp:positionV>
            <wp:extent cx="63182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1825" cy="698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3">
            <w:col w:w="1820" w:space="100"/>
            <w:col w:w="8340" w:space="240"/>
            <w:col w:w="840"/>
          </w:cols>
          <w:pgMar w:left="320" w:top="129" w:right="239" w:bottom="1440" w:gutter="0" w:footer="0" w:header="0"/>
          <w:type w:val="continuous"/>
        </w:sectPr>
      </w:pPr>
    </w:p>
    <w:p>
      <w:pPr>
        <w:ind w:left="320"/>
        <w:spacing w:after="0"/>
        <w:rPr>
          <w:sz w:val="20"/>
          <w:szCs w:val="20"/>
          <w:color w:val="auto"/>
        </w:rPr>
      </w:pPr>
      <w:r>
        <w:rPr>
          <w:rFonts w:ascii="Arial" w:cs="Arial" w:eastAsia="Arial" w:hAnsi="Arial"/>
          <w:sz w:val="15"/>
          <w:szCs w:val="15"/>
          <w:color w:val="auto"/>
        </w:rPr>
        <w:t>(1) Purchased credit deteriorated financial assets ("PCD")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71120</wp:posOffset>
            </wp:positionV>
            <wp:extent cx="7180580"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type w:val="continuous"/>
        </w:sectPr>
      </w:pPr>
    </w:p>
    <w:bookmarkStart w:id="132" w:name="page133"/>
    <w:bookmarkEnd w:id="13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Purchased credit-deteriorated available-for-sale debt securities ("PCD"s) are AFS securities purchased at a discount, where part of that discount is attributable to credit. Credit loss allowances are calculated for these securities as of the date of their acquisition, with the initial allowance serving to increase amortized cost. The following table summarizes year to date PCD AFS security purchases (in millions).</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2"/>
                <w:szCs w:val="12"/>
                <w:b w:val="1"/>
                <w:bCs w:val="1"/>
                <w:color w:val="auto"/>
              </w:rPr>
              <w:t>Purchased credit-deteriorated available-for-sale debt securities</w:t>
            </w:r>
          </w:p>
        </w:tc>
        <w:tc>
          <w:tcPr>
            <w:tcW w:w="6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b w:val="1"/>
                <w:bCs w:val="1"/>
                <w:color w:val="auto"/>
              </w:rPr>
              <w:t>December 31, 2021</w:t>
            </w: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December 31, 2020</w:t>
            </w:r>
          </w:p>
        </w:tc>
      </w:tr>
      <w:tr>
        <w:trPr>
          <w:trHeight w:val="154"/>
        </w:trPr>
        <w:tc>
          <w:tcPr>
            <w:tcW w:w="62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Purchase price</w:t>
            </w:r>
          </w:p>
        </w:tc>
        <w:tc>
          <w:tcPr>
            <w:tcW w:w="6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4</w:t>
            </w: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r>
      <w:tr>
        <w:trPr>
          <w:trHeight w:val="155"/>
        </w:trPr>
        <w:tc>
          <w:tcPr>
            <w:tcW w:w="6280" w:type="dxa"/>
            <w:vAlign w:val="bottom"/>
          </w:tcPr>
          <w:p>
            <w:pPr>
              <w:ind w:left="360"/>
              <w:spacing w:after="0"/>
              <w:rPr>
                <w:sz w:val="20"/>
                <w:szCs w:val="20"/>
                <w:color w:val="auto"/>
              </w:rPr>
            </w:pPr>
            <w:r>
              <w:rPr>
                <w:rFonts w:ascii="Arial" w:cs="Arial" w:eastAsia="Arial" w:hAnsi="Arial"/>
                <w:sz w:val="12"/>
                <w:szCs w:val="12"/>
                <w:color w:val="auto"/>
              </w:rPr>
              <w:t>Allowance for credit losses at acquisition</w:t>
            </w:r>
          </w:p>
        </w:tc>
        <w:tc>
          <w:tcPr>
            <w:tcW w:w="680" w:type="dxa"/>
            <w:vAlign w:val="bottom"/>
          </w:tcPr>
          <w:p>
            <w:pPr>
              <w:spacing w:after="0"/>
              <w:rPr>
                <w:sz w:val="13"/>
                <w:szCs w:val="13"/>
                <w:color w:val="auto"/>
              </w:rPr>
            </w:pPr>
          </w:p>
        </w:tc>
        <w:tc>
          <w:tcPr>
            <w:tcW w:w="2000" w:type="dxa"/>
            <w:vAlign w:val="bottom"/>
          </w:tcPr>
          <w:p>
            <w:pPr>
              <w:jc w:val="right"/>
              <w:ind w:right="140"/>
              <w:spacing w:after="0"/>
              <w:rPr>
                <w:sz w:val="20"/>
                <w:szCs w:val="20"/>
                <w:color w:val="auto"/>
              </w:rPr>
            </w:pPr>
            <w:r>
              <w:rPr>
                <w:rFonts w:ascii="Arial" w:cs="Arial" w:eastAsia="Arial" w:hAnsi="Arial"/>
                <w:sz w:val="12"/>
                <w:szCs w:val="12"/>
                <w:color w:val="auto"/>
              </w:rPr>
              <w:t>1</w:t>
            </w:r>
          </w:p>
        </w:tc>
        <w:tc>
          <w:tcPr>
            <w:tcW w:w="4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58"/>
        </w:trPr>
        <w:tc>
          <w:tcPr>
            <w:tcW w:w="62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Discount (or premiums) attributable to other factors</w:t>
            </w:r>
          </w:p>
        </w:tc>
        <w:tc>
          <w:tcPr>
            <w:tcW w:w="68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w:t>
            </w:r>
          </w:p>
        </w:tc>
      </w:tr>
      <w:tr>
        <w:trPr>
          <w:trHeight w:val="151"/>
        </w:trPr>
        <w:tc>
          <w:tcPr>
            <w:tcW w:w="6280" w:type="dxa"/>
            <w:vAlign w:val="bottom"/>
          </w:tcPr>
          <w:p>
            <w:pPr>
              <w:ind w:left="360"/>
              <w:spacing w:after="0"/>
              <w:rPr>
                <w:sz w:val="20"/>
                <w:szCs w:val="20"/>
                <w:color w:val="auto"/>
              </w:rPr>
            </w:pPr>
            <w:r>
              <w:rPr>
                <w:rFonts w:ascii="Arial" w:cs="Arial" w:eastAsia="Arial" w:hAnsi="Arial"/>
                <w:sz w:val="12"/>
                <w:szCs w:val="12"/>
                <w:color w:val="auto"/>
              </w:rPr>
              <w:t>AFS purchased credit-deteriorated par value</w:t>
            </w: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20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5</w:t>
            </w:r>
          </w:p>
        </w:tc>
        <w:tc>
          <w:tcPr>
            <w:tcW w:w="4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384</w:t>
            </w:r>
          </w:p>
        </w:tc>
      </w:tr>
      <w:tr>
        <w:trPr>
          <w:trHeight w:val="20"/>
        </w:trPr>
        <w:tc>
          <w:tcPr>
            <w:tcW w:w="6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5"/>
          <w:szCs w:val="15"/>
          <w:color w:val="auto"/>
        </w:rPr>
        <w:t>The fair value and gross unrealized losses of available-for-sale securities, excluding securities in an unrealized loss position with an allowance for expected credit loss, aggregated by investment category and duration of fair value below amortized cost were as follows (dollars in millions):</w:t>
      </w:r>
    </w:p>
    <w:tbl>
      <w:tblPr>
        <w:tblLayout w:type="fixed"/>
        <w:tblInd w:w="32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rPr>
              <w:t>December 31, 2021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ind w:left="480"/>
              <w:spacing w:after="0"/>
              <w:rPr>
                <w:sz w:val="20"/>
                <w:szCs w:val="20"/>
                <w:color w:val="auto"/>
              </w:rPr>
            </w:pPr>
            <w:r>
              <w:rPr>
                <w:rFonts w:ascii="Arial" w:cs="Arial" w:eastAsia="Arial" w:hAnsi="Arial"/>
                <w:sz w:val="12"/>
                <w:szCs w:val="12"/>
                <w:b w:val="1"/>
                <w:bCs w:val="1"/>
                <w:color w:val="auto"/>
              </w:rPr>
              <w:t>Less than 12 months</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12 months or longer</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restart"/>
          </w:tcPr>
          <w:p>
            <w:pPr>
              <w:ind w:left="380"/>
              <w:spacing w:after="0"/>
              <w:rPr>
                <w:sz w:val="20"/>
                <w:szCs w:val="20"/>
                <w:color w:val="auto"/>
              </w:rPr>
            </w:pPr>
            <w:r>
              <w:rPr>
                <w:rFonts w:ascii="Arial" w:cs="Arial" w:eastAsia="Arial" w:hAnsi="Arial"/>
                <w:sz w:val="12"/>
                <w:szCs w:val="12"/>
                <w:b w:val="1"/>
                <w:bCs w:val="1"/>
                <w:color w:val="auto"/>
                <w:w w:val="99"/>
              </w:rPr>
              <w:t>Gross Unrealized</w:t>
            </w: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spacing w:after="0" w:line="105" w:lineRule="exact"/>
              <w:rPr>
                <w:sz w:val="20"/>
                <w:szCs w:val="20"/>
                <w:color w:val="auto"/>
              </w:rPr>
            </w:pPr>
            <w:r>
              <w:rPr>
                <w:rFonts w:ascii="Arial" w:cs="Arial" w:eastAsia="Arial" w:hAnsi="Arial"/>
                <w:sz w:val="12"/>
                <w:szCs w:val="12"/>
                <w:b w:val="1"/>
                <w:bCs w:val="1"/>
                <w:color w:val="auto"/>
              </w:rPr>
              <w:t>Gross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w w:val="91"/>
              </w:rPr>
              <w:t>Gross Unrealized</w:t>
            </w:r>
          </w:p>
        </w:tc>
        <w:tc>
          <w:tcPr>
            <w:tcW w:w="0" w:type="dxa"/>
            <w:vAlign w:val="bottom"/>
          </w:tcPr>
          <w:p>
            <w:pPr>
              <w:spacing w:after="0"/>
              <w:rPr>
                <w:sz w:val="1"/>
                <w:szCs w:val="1"/>
                <w:color w:val="auto"/>
              </w:rPr>
            </w:pPr>
          </w:p>
        </w:tc>
      </w:tr>
      <w:tr>
        <w:trPr>
          <w:trHeight w:val="113"/>
        </w:trPr>
        <w:tc>
          <w:tcPr>
            <w:tcW w:w="2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Fair Value</w:t>
            </w:r>
          </w:p>
        </w:tc>
        <w:tc>
          <w:tcPr>
            <w:tcW w:w="13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Fair Value</w:t>
            </w:r>
          </w:p>
        </w:tc>
        <w:tc>
          <w:tcPr>
            <w:tcW w:w="980" w:type="dxa"/>
            <w:vAlign w:val="bottom"/>
          </w:tcPr>
          <w:p>
            <w:pPr>
              <w:jc w:val="right"/>
              <w:ind w:right="40"/>
              <w:spacing w:after="0" w:line="113" w:lineRule="exact"/>
              <w:rPr>
                <w:sz w:val="20"/>
                <w:szCs w:val="20"/>
                <w:color w:val="auto"/>
              </w:rPr>
            </w:pPr>
            <w:r>
              <w:rPr>
                <w:rFonts w:ascii="Arial" w:cs="Arial" w:eastAsia="Arial" w:hAnsi="Arial"/>
                <w:sz w:val="12"/>
                <w:szCs w:val="12"/>
                <w:b w:val="1"/>
                <w:bCs w:val="1"/>
                <w:color w:val="auto"/>
              </w:rPr>
              <w:t>Unrealized</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Fair Value</w:t>
            </w: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tcPr>
          <w:p>
            <w:pPr>
              <w:ind w:left="480"/>
              <w:spacing w:after="0"/>
              <w:rPr>
                <w:sz w:val="20"/>
                <w:szCs w:val="20"/>
                <w:color w:val="auto"/>
              </w:rPr>
            </w:pPr>
            <w:r>
              <w:rPr>
                <w:rFonts w:ascii="Arial" w:cs="Arial" w:eastAsia="Arial" w:hAnsi="Arial"/>
                <w:sz w:val="12"/>
                <w:szCs w:val="12"/>
                <w:b w:val="1"/>
                <w:bCs w:val="1"/>
                <w:color w:val="auto"/>
                <w:w w:val="96"/>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80" w:type="dxa"/>
            <w:vAlign w:val="bottom"/>
          </w:tcPr>
          <w:p>
            <w:pPr>
              <w:jc w:val="right"/>
              <w:ind w:right="140"/>
              <w:spacing w:after="0"/>
              <w:rPr>
                <w:sz w:val="20"/>
                <w:szCs w:val="20"/>
                <w:color w:val="auto"/>
              </w:rPr>
            </w:pPr>
            <w:r>
              <w:rPr>
                <w:rFonts w:ascii="Arial" w:cs="Arial" w:eastAsia="Arial" w:hAnsi="Arial"/>
                <w:sz w:val="12"/>
                <w:szCs w:val="12"/>
                <w:b w:val="1"/>
                <w:bCs w:val="1"/>
                <w:color w:val="auto"/>
              </w:rPr>
              <w:t>Losses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ind w:right="400"/>
              <w:spacing w:after="0"/>
              <w:rPr>
                <w:sz w:val="20"/>
                <w:szCs w:val="20"/>
                <w:color w:val="auto"/>
              </w:rPr>
            </w:pPr>
            <w:r>
              <w:rPr>
                <w:rFonts w:ascii="Arial" w:cs="Arial" w:eastAsia="Arial" w:hAnsi="Arial"/>
                <w:sz w:val="12"/>
                <w:szCs w:val="12"/>
                <w:b w:val="1"/>
                <w:bCs w:val="1"/>
                <w:color w:val="auto"/>
                <w:w w:val="86"/>
              </w:rPr>
              <w:t>Losses</w:t>
            </w:r>
          </w:p>
        </w:tc>
        <w:tc>
          <w:tcPr>
            <w:tcW w:w="0" w:type="dxa"/>
            <w:vAlign w:val="bottom"/>
          </w:tcPr>
          <w:p>
            <w:pPr>
              <w:spacing w:after="0"/>
              <w:rPr>
                <w:sz w:val="1"/>
                <w:szCs w:val="1"/>
                <w:color w:val="auto"/>
              </w:rPr>
            </w:pPr>
          </w:p>
        </w:tc>
      </w:tr>
      <w:tr>
        <w:trPr>
          <w:trHeight w:val="138"/>
        </w:trPr>
        <w:tc>
          <w:tcPr>
            <w:tcW w:w="2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2"/>
                <w:szCs w:val="12"/>
                <w:b w:val="1"/>
                <w:bCs w:val="1"/>
                <w:color w:val="auto"/>
              </w:rPr>
              <w:t>Available-for-sale securities</w:t>
            </w:r>
          </w:p>
        </w:tc>
        <w:tc>
          <w:tcPr>
            <w:tcW w:w="4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20" w:type="dxa"/>
            <w:vAlign w:val="bottom"/>
          </w:tcPr>
          <w:p>
            <w:pPr>
              <w:ind w:left="360"/>
              <w:spacing w:after="0"/>
              <w:rPr>
                <w:sz w:val="20"/>
                <w:szCs w:val="20"/>
                <w:color w:val="auto"/>
              </w:rPr>
            </w:pPr>
            <w:r>
              <w:rPr>
                <w:rFonts w:ascii="Arial" w:cs="Arial" w:eastAsia="Arial" w:hAnsi="Arial"/>
                <w:sz w:val="12"/>
                <w:szCs w:val="12"/>
                <w:color w:val="auto"/>
              </w:rPr>
              <w:t>Asset-backed securities</w:t>
            </w: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4,410</w:t>
            </w:r>
          </w:p>
        </w:tc>
        <w:tc>
          <w:tcPr>
            <w:tcW w:w="80" w:type="dxa"/>
            <w:vAlign w:val="bottom"/>
          </w:tcPr>
          <w:p>
            <w:pPr>
              <w:spacing w:after="0"/>
              <w:rPr>
                <w:sz w:val="13"/>
                <w:szCs w:val="13"/>
                <w:color w:val="auto"/>
              </w:rPr>
            </w:pPr>
          </w:p>
        </w:tc>
        <w:tc>
          <w:tcPr>
            <w:tcW w:w="900" w:type="dxa"/>
            <w:vAlign w:val="bottom"/>
          </w:tcPr>
          <w:p>
            <w:pPr>
              <w:ind w:left="36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146</w:t>
            </w:r>
          </w:p>
        </w:tc>
        <w:tc>
          <w:tcPr>
            <w:tcW w:w="100" w:type="dxa"/>
            <w:vAlign w:val="bottom"/>
          </w:tcPr>
          <w:p>
            <w:pPr>
              <w:spacing w:after="0"/>
              <w:rPr>
                <w:sz w:val="13"/>
                <w:szCs w:val="13"/>
                <w:color w:val="auto"/>
              </w:rPr>
            </w:pPr>
          </w:p>
        </w:tc>
        <w:tc>
          <w:tcPr>
            <w:tcW w:w="980" w:type="dxa"/>
            <w:vAlign w:val="bottom"/>
          </w:tcPr>
          <w:p>
            <w:pPr>
              <w:jc w:val="right"/>
              <w:ind w:right="520"/>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4,556</w:t>
            </w:r>
          </w:p>
        </w:tc>
        <w:tc>
          <w:tcPr>
            <w:tcW w:w="520" w:type="dxa"/>
            <w:vAlign w:val="bottom"/>
            <w:gridSpan w:val="2"/>
          </w:tcPr>
          <w:p>
            <w:pPr>
              <w:ind w:left="4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Commercial mortgage-backed securities</w:t>
            </w: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603</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5"/>
        </w:trPr>
        <w:tc>
          <w:tcPr>
            <w:tcW w:w="2620" w:type="dxa"/>
            <w:vAlign w:val="bottom"/>
          </w:tcPr>
          <w:p>
            <w:pPr>
              <w:ind w:left="360"/>
              <w:spacing w:after="0"/>
              <w:rPr>
                <w:sz w:val="20"/>
                <w:szCs w:val="20"/>
                <w:color w:val="auto"/>
              </w:rPr>
            </w:pPr>
            <w:r>
              <w:rPr>
                <w:rFonts w:ascii="Arial" w:cs="Arial" w:eastAsia="Arial" w:hAnsi="Arial"/>
                <w:sz w:val="12"/>
                <w:szCs w:val="12"/>
                <w:color w:val="auto"/>
              </w:rPr>
              <w:t>Corporates</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5,391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(132)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394</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5,785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Hybrids</w:t>
            </w: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620" w:type="dxa"/>
            <w:vAlign w:val="bottom"/>
          </w:tcPr>
          <w:p>
            <w:pPr>
              <w:ind w:left="360"/>
              <w:spacing w:after="0"/>
              <w:rPr>
                <w:sz w:val="20"/>
                <w:szCs w:val="20"/>
                <w:color w:val="auto"/>
              </w:rPr>
            </w:pPr>
            <w:r>
              <w:rPr>
                <w:rFonts w:ascii="Arial" w:cs="Arial" w:eastAsia="Arial" w:hAnsi="Arial"/>
                <w:sz w:val="12"/>
                <w:szCs w:val="12"/>
                <w:color w:val="auto"/>
              </w:rPr>
              <w:t>Municipals</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410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495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Residential mortgage-backed securities</w:t>
            </w: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5"/>
        </w:trPr>
        <w:tc>
          <w:tcPr>
            <w:tcW w:w="2620" w:type="dxa"/>
            <w:vAlign w:val="bottom"/>
          </w:tcPr>
          <w:p>
            <w:pPr>
              <w:ind w:left="360"/>
              <w:spacing w:after="0"/>
              <w:rPr>
                <w:sz w:val="20"/>
                <w:szCs w:val="20"/>
                <w:color w:val="auto"/>
              </w:rPr>
            </w:pPr>
            <w:r>
              <w:rPr>
                <w:rFonts w:ascii="Arial" w:cs="Arial" w:eastAsia="Arial" w:hAnsi="Arial"/>
                <w:sz w:val="12"/>
                <w:szCs w:val="12"/>
                <w:color w:val="auto"/>
              </w:rPr>
              <w:t>U.S. Government</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Foreign Government</w:t>
            </w: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9"/>
        </w:trPr>
        <w:tc>
          <w:tcPr>
            <w:tcW w:w="2620" w:type="dxa"/>
            <w:vAlign w:val="bottom"/>
          </w:tcPr>
          <w:p>
            <w:pPr>
              <w:ind w:left="360"/>
              <w:spacing w:after="0"/>
              <w:rPr>
                <w:sz w:val="20"/>
                <w:szCs w:val="20"/>
                <w:color w:val="auto"/>
              </w:rPr>
            </w:pPr>
            <w:r>
              <w:rPr>
                <w:rFonts w:ascii="Arial" w:cs="Arial" w:eastAsia="Arial" w:hAnsi="Arial"/>
                <w:sz w:val="12"/>
                <w:szCs w:val="12"/>
                <w:color w:val="auto"/>
              </w:rPr>
              <w:t>Total available-for-sale securities</w:t>
            </w:r>
          </w:p>
        </w:tc>
        <w:tc>
          <w:tcPr>
            <w:tcW w:w="4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11,443</w:t>
            </w:r>
          </w:p>
        </w:tc>
        <w:tc>
          <w:tcPr>
            <w:tcW w:w="80" w:type="dxa"/>
            <w:vAlign w:val="bottom"/>
          </w:tcPr>
          <w:p>
            <w:pPr>
              <w:spacing w:after="0"/>
              <w:rPr>
                <w:sz w:val="12"/>
                <w:szCs w:val="12"/>
                <w:color w:val="auto"/>
              </w:rPr>
            </w:pPr>
          </w:p>
        </w:tc>
        <w:tc>
          <w:tcPr>
            <w:tcW w:w="9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(185)</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646</w:t>
            </w: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12,089</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(225)</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620" w:type="dxa"/>
            <w:vAlign w:val="bottom"/>
            <w:shd w:val="clear" w:color="auto" w:fill="CCEEFF"/>
          </w:tcPr>
          <w:p>
            <w:pPr>
              <w:ind w:left="360"/>
              <w:spacing w:after="0" w:line="76" w:lineRule="exact"/>
              <w:rPr>
                <w:sz w:val="20"/>
                <w:szCs w:val="20"/>
                <w:color w:val="auto"/>
              </w:rPr>
            </w:pPr>
            <w:r>
              <w:rPr>
                <w:rFonts w:ascii="Arial" w:cs="Arial" w:eastAsia="Arial" w:hAnsi="Arial"/>
                <w:sz w:val="8"/>
                <w:szCs w:val="8"/>
                <w:color w:val="auto"/>
              </w:rPr>
              <w:t>Total number of available-for-sale securities</w:t>
            </w:r>
          </w:p>
        </w:tc>
        <w:tc>
          <w:tcPr>
            <w:tcW w:w="4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620" w:type="dxa"/>
            <w:vAlign w:val="bottom"/>
            <w:shd w:val="clear" w:color="auto" w:fill="CCEEFF"/>
          </w:tcPr>
          <w:p>
            <w:pPr>
              <w:ind w:left="20"/>
              <w:spacing w:after="0" w:line="113" w:lineRule="exact"/>
              <w:rPr>
                <w:sz w:val="20"/>
                <w:szCs w:val="20"/>
                <w:color w:val="auto"/>
              </w:rPr>
            </w:pPr>
            <w:r>
              <w:rPr>
                <w:rFonts w:ascii="Arial" w:cs="Arial" w:eastAsia="Arial" w:hAnsi="Arial"/>
                <w:sz w:val="12"/>
                <w:szCs w:val="12"/>
                <w:color w:val="auto"/>
              </w:rPr>
              <w:t>in an unrealized loss position less than twelve</w:t>
            </w:r>
          </w:p>
        </w:tc>
        <w:tc>
          <w:tcPr>
            <w:tcW w:w="4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2,056</w:t>
            </w:r>
          </w:p>
        </w:tc>
        <w:tc>
          <w:tcPr>
            <w:tcW w:w="0" w:type="dxa"/>
            <w:vAlign w:val="bottom"/>
          </w:tcPr>
          <w:p>
            <w:pPr>
              <w:spacing w:after="0"/>
              <w:rPr>
                <w:sz w:val="1"/>
                <w:szCs w:val="1"/>
                <w:color w:val="auto"/>
              </w:rPr>
            </w:pPr>
          </w:p>
        </w:tc>
      </w:tr>
      <w:tr>
        <w:trPr>
          <w:trHeight w:val="155"/>
        </w:trPr>
        <w:tc>
          <w:tcPr>
            <w:tcW w:w="2620" w:type="dxa"/>
            <w:vAlign w:val="bottom"/>
            <w:tcBorders>
              <w:bottom w:val="single" w:sz="8" w:color="CCEEFF"/>
            </w:tcBorders>
            <w:shd w:val="clear" w:color="auto" w:fill="CCEEFF"/>
          </w:tcPr>
          <w:p>
            <w:pPr>
              <w:ind w:left="20"/>
              <w:spacing w:after="0" w:line="136" w:lineRule="exact"/>
              <w:rPr>
                <w:sz w:val="20"/>
                <w:szCs w:val="20"/>
                <w:color w:val="auto"/>
              </w:rPr>
            </w:pPr>
            <w:r>
              <w:rPr>
                <w:rFonts w:ascii="Arial" w:cs="Arial" w:eastAsia="Arial" w:hAnsi="Arial"/>
                <w:sz w:val="12"/>
                <w:szCs w:val="12"/>
                <w:color w:val="auto"/>
              </w:rPr>
              <w:t>months</w:t>
            </w:r>
          </w:p>
        </w:tc>
        <w:tc>
          <w:tcPr>
            <w:tcW w:w="4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360"/>
              <w:spacing w:after="0" w:line="95" w:lineRule="exact"/>
              <w:rPr>
                <w:sz w:val="20"/>
                <w:szCs w:val="20"/>
                <w:color w:val="auto"/>
              </w:rPr>
            </w:pPr>
            <w:r>
              <w:rPr>
                <w:rFonts w:ascii="Arial" w:cs="Arial" w:eastAsia="Arial" w:hAnsi="Arial"/>
                <w:sz w:val="11"/>
                <w:szCs w:val="11"/>
                <w:color w:val="auto"/>
              </w:rPr>
              <w:t>Total number of available-for-sale securities</w:t>
            </w: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620" w:type="dxa"/>
            <w:vAlign w:val="bottom"/>
          </w:tcPr>
          <w:p>
            <w:pPr>
              <w:ind w:left="20"/>
              <w:spacing w:after="0" w:line="113" w:lineRule="exact"/>
              <w:rPr>
                <w:sz w:val="20"/>
                <w:szCs w:val="20"/>
                <w:color w:val="auto"/>
              </w:rPr>
            </w:pPr>
            <w:r>
              <w:rPr>
                <w:rFonts w:ascii="Arial" w:cs="Arial" w:eastAsia="Arial" w:hAnsi="Arial"/>
                <w:sz w:val="12"/>
                <w:szCs w:val="12"/>
                <w:color w:val="auto"/>
              </w:rPr>
              <w:t>in an unrealized loss position twelve months or</w:t>
            </w: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6" w:lineRule="exact"/>
              <w:rPr>
                <w:sz w:val="20"/>
                <w:szCs w:val="20"/>
                <w:color w:val="auto"/>
              </w:rPr>
            </w:pPr>
            <w:r>
              <w:rPr>
                <w:rFonts w:ascii="Arial" w:cs="Arial" w:eastAsia="Arial" w:hAnsi="Arial"/>
                <w:sz w:val="12"/>
                <w:szCs w:val="12"/>
                <w:color w:val="auto"/>
              </w:rPr>
              <w:t>longer</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620" w:type="dxa"/>
            <w:vAlign w:val="bottom"/>
            <w:shd w:val="clear" w:color="auto" w:fill="CCEEFF"/>
          </w:tcPr>
          <w:p>
            <w:pPr>
              <w:ind w:left="360"/>
              <w:spacing w:after="0" w:line="76" w:lineRule="exact"/>
              <w:rPr>
                <w:sz w:val="20"/>
                <w:szCs w:val="20"/>
                <w:color w:val="auto"/>
              </w:rPr>
            </w:pPr>
            <w:r>
              <w:rPr>
                <w:rFonts w:ascii="Arial" w:cs="Arial" w:eastAsia="Arial" w:hAnsi="Arial"/>
                <w:sz w:val="8"/>
                <w:szCs w:val="8"/>
                <w:color w:val="auto"/>
              </w:rPr>
              <w:t>Total number of available-for-sale securities</w:t>
            </w:r>
          </w:p>
        </w:tc>
        <w:tc>
          <w:tcPr>
            <w:tcW w:w="4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2,124</w:t>
            </w:r>
          </w:p>
        </w:tc>
        <w:tc>
          <w:tcPr>
            <w:tcW w:w="0" w:type="dxa"/>
            <w:vAlign w:val="bottom"/>
          </w:tcPr>
          <w:p>
            <w:pPr>
              <w:spacing w:after="0"/>
              <w:rPr>
                <w:sz w:val="1"/>
                <w:szCs w:val="1"/>
                <w:color w:val="auto"/>
              </w:rPr>
            </w:pPr>
          </w:p>
        </w:tc>
      </w:tr>
      <w:tr>
        <w:trPr>
          <w:trHeight w:val="155"/>
        </w:trPr>
        <w:tc>
          <w:tcPr>
            <w:tcW w:w="2620" w:type="dxa"/>
            <w:vAlign w:val="bottom"/>
            <w:tcBorders>
              <w:bottom w:val="single" w:sz="8" w:color="CCEEFF"/>
            </w:tcBorders>
            <w:shd w:val="clear" w:color="auto" w:fill="CCEEFF"/>
          </w:tcPr>
          <w:p>
            <w:pPr>
              <w:ind w:left="20"/>
              <w:spacing w:after="0" w:line="136" w:lineRule="exact"/>
              <w:rPr>
                <w:sz w:val="20"/>
                <w:szCs w:val="20"/>
                <w:color w:val="auto"/>
              </w:rPr>
            </w:pPr>
            <w:r>
              <w:rPr>
                <w:rFonts w:ascii="Arial" w:cs="Arial" w:eastAsia="Arial" w:hAnsi="Arial"/>
                <w:sz w:val="12"/>
                <w:szCs w:val="12"/>
                <w:color w:val="auto"/>
              </w:rPr>
              <w:t>in an unrealized loss position</w:t>
            </w:r>
          </w:p>
        </w:tc>
        <w:tc>
          <w:tcPr>
            <w:tcW w:w="4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33" w:name="page134"/>
    <w:bookmarkEnd w:id="13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500"/>
              <w:spacing w:after="0"/>
              <w:rPr>
                <w:sz w:val="20"/>
                <w:szCs w:val="20"/>
                <w:color w:val="auto"/>
              </w:rPr>
            </w:pPr>
            <w:r>
              <w:rPr>
                <w:rFonts w:ascii="Arial" w:cs="Arial" w:eastAsia="Arial" w:hAnsi="Arial"/>
                <w:sz w:val="12"/>
                <w:szCs w:val="12"/>
                <w:b w:val="1"/>
                <w:bCs w:val="1"/>
                <w:color w:val="auto"/>
              </w:rPr>
              <w:t>December 31, 2020</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ind w:left="440"/>
              <w:spacing w:after="0"/>
              <w:rPr>
                <w:sz w:val="20"/>
                <w:szCs w:val="20"/>
                <w:color w:val="auto"/>
              </w:rPr>
            </w:pPr>
            <w:r>
              <w:rPr>
                <w:rFonts w:ascii="Arial" w:cs="Arial" w:eastAsia="Arial" w:hAnsi="Arial"/>
                <w:sz w:val="12"/>
                <w:szCs w:val="12"/>
                <w:b w:val="1"/>
                <w:bCs w:val="1"/>
                <w:color w:val="auto"/>
              </w:rPr>
              <w:t>Less than 12 months</w:t>
            </w:r>
          </w:p>
        </w:tc>
        <w:tc>
          <w:tcPr>
            <w:tcW w:w="180" w:type="dxa"/>
            <w:vAlign w:val="bottom"/>
          </w:tcPr>
          <w:p>
            <w:pPr>
              <w:spacing w:after="0"/>
              <w:rPr>
                <w:sz w:val="13"/>
                <w:szCs w:val="13"/>
                <w:color w:val="auto"/>
              </w:rPr>
            </w:pPr>
          </w:p>
        </w:tc>
        <w:tc>
          <w:tcPr>
            <w:tcW w:w="2220" w:type="dxa"/>
            <w:vAlign w:val="bottom"/>
            <w:gridSpan w:val="5"/>
          </w:tcPr>
          <w:p>
            <w:pPr>
              <w:ind w:left="460"/>
              <w:spacing w:after="0"/>
              <w:rPr>
                <w:sz w:val="20"/>
                <w:szCs w:val="20"/>
                <w:color w:val="auto"/>
              </w:rPr>
            </w:pPr>
            <w:r>
              <w:rPr>
                <w:rFonts w:ascii="Arial" w:cs="Arial" w:eastAsia="Arial" w:hAnsi="Arial"/>
                <w:sz w:val="12"/>
                <w:szCs w:val="12"/>
                <w:b w:val="1"/>
                <w:bCs w:val="1"/>
                <w:color w:val="auto"/>
              </w:rPr>
              <w:t>12 months or longer</w:t>
            </w:r>
          </w:p>
        </w:tc>
        <w:tc>
          <w:tcPr>
            <w:tcW w:w="1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b w:val="1"/>
                <w:bCs w:val="1"/>
                <w:color w:val="auto"/>
              </w:rPr>
              <w:t>Total</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1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2"/>
                <w:szCs w:val="12"/>
                <w:b w:val="1"/>
                <w:bCs w:val="1"/>
                <w:color w:val="auto"/>
              </w:rPr>
              <w:t>Fair Value</w:t>
            </w: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60"/>
              <w:spacing w:after="0" w:line="105" w:lineRule="exact"/>
              <w:rPr>
                <w:sz w:val="20"/>
                <w:szCs w:val="20"/>
                <w:color w:val="auto"/>
              </w:rPr>
            </w:pPr>
            <w:r>
              <w:rPr>
                <w:rFonts w:ascii="Arial" w:cs="Arial" w:eastAsia="Arial" w:hAnsi="Arial"/>
                <w:sz w:val="12"/>
                <w:szCs w:val="12"/>
                <w:b w:val="1"/>
                <w:bCs w:val="1"/>
                <w:color w:val="auto"/>
                <w:w w:val="89"/>
              </w:rPr>
              <w:t>Gross Unrealized</w:t>
            </w: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2"/>
                <w:szCs w:val="12"/>
                <w:b w:val="1"/>
                <w:bCs w:val="1"/>
                <w:color w:val="auto"/>
              </w:rPr>
              <w:t>Fair Value</w:t>
            </w: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line="105" w:lineRule="exact"/>
              <w:rPr>
                <w:sz w:val="20"/>
                <w:szCs w:val="20"/>
                <w:color w:val="auto"/>
              </w:rPr>
            </w:pPr>
            <w:r>
              <w:rPr>
                <w:rFonts w:ascii="Arial" w:cs="Arial" w:eastAsia="Arial" w:hAnsi="Arial"/>
                <w:sz w:val="12"/>
                <w:szCs w:val="12"/>
                <w:b w:val="1"/>
                <w:bCs w:val="1"/>
                <w:color w:val="auto"/>
              </w:rPr>
              <w:t>Gross Unrealized</w:t>
            </w: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80"/>
              <w:spacing w:after="0" w:line="105" w:lineRule="exact"/>
              <w:rPr>
                <w:sz w:val="20"/>
                <w:szCs w:val="20"/>
                <w:color w:val="auto"/>
              </w:rPr>
            </w:pPr>
            <w:r>
              <w:rPr>
                <w:rFonts w:ascii="Arial" w:cs="Arial" w:eastAsia="Arial" w:hAnsi="Arial"/>
                <w:sz w:val="12"/>
                <w:szCs w:val="12"/>
                <w:b w:val="1"/>
                <w:bCs w:val="1"/>
                <w:color w:val="auto"/>
                <w:w w:val="87"/>
              </w:rPr>
              <w:t>Gross Unrealized</w:t>
            </w: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40"/>
              <w:spacing w:after="0"/>
              <w:rPr>
                <w:sz w:val="20"/>
                <w:szCs w:val="20"/>
                <w:color w:val="auto"/>
              </w:rPr>
            </w:pPr>
            <w:r>
              <w:rPr>
                <w:rFonts w:ascii="Arial" w:cs="Arial" w:eastAsia="Arial" w:hAnsi="Arial"/>
                <w:sz w:val="12"/>
                <w:szCs w:val="12"/>
                <w:b w:val="1"/>
                <w:bCs w:val="1"/>
                <w:color w:val="auto"/>
              </w:rPr>
              <w:t>Losses</w:t>
            </w:r>
          </w:p>
        </w:tc>
        <w:tc>
          <w:tcPr>
            <w:tcW w:w="0" w:type="dxa"/>
            <w:vAlign w:val="bottom"/>
          </w:tcPr>
          <w:p>
            <w:pPr>
              <w:spacing w:after="0"/>
              <w:rPr>
                <w:sz w:val="1"/>
                <w:szCs w:val="1"/>
                <w:color w:val="auto"/>
              </w:rPr>
            </w:pPr>
          </w:p>
        </w:tc>
      </w:tr>
      <w:tr>
        <w:trPr>
          <w:trHeight w:val="138"/>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Available-for-sale securities</w:t>
            </w: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477</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477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Commercial mortgage-backed securities</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20"/>
                <w:szCs w:val="20"/>
                <w:color w:val="auto"/>
              </w:rPr>
            </w:pPr>
            <w:r>
              <w:rPr>
                <w:rFonts w:ascii="Arial" w:cs="Arial" w:eastAsia="Arial" w:hAnsi="Arial"/>
                <w:sz w:val="12"/>
                <w:szCs w:val="12"/>
                <w:color w:val="auto"/>
              </w:rPr>
              <w:t>Corporates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865</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00" w:type="dxa"/>
            <w:vAlign w:val="bottom"/>
          </w:tcPr>
          <w:p>
            <w:pPr>
              <w:ind w:left="740"/>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901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Hybrids</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20"/>
                <w:szCs w:val="20"/>
                <w:color w:val="auto"/>
              </w:rPr>
            </w:pPr>
            <w:r>
              <w:rPr>
                <w:rFonts w:ascii="Arial" w:cs="Arial" w:eastAsia="Arial" w:hAnsi="Arial"/>
                <w:sz w:val="12"/>
                <w:szCs w:val="12"/>
                <w:color w:val="auto"/>
              </w:rPr>
              <w:t>Municipals</w:t>
            </w: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Residential mortgage-backed securities</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20"/>
                <w:szCs w:val="20"/>
                <w:color w:val="auto"/>
              </w:rPr>
            </w:pPr>
            <w:r>
              <w:rPr>
                <w:rFonts w:ascii="Arial" w:cs="Arial" w:eastAsia="Arial" w:hAnsi="Arial"/>
                <w:sz w:val="12"/>
                <w:szCs w:val="12"/>
                <w:color w:val="auto"/>
              </w:rPr>
              <w:t>U.S. Government</w:t>
            </w: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2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available-for-sale securities</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2"/>
                <w:szCs w:val="12"/>
                <w:color w:val="auto"/>
              </w:rPr>
              <w:t>36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line="95" w:lineRule="exact"/>
              <w:rPr>
                <w:sz w:val="20"/>
                <w:szCs w:val="20"/>
                <w:color w:val="auto"/>
              </w:rPr>
            </w:pPr>
            <w:r>
              <w:rPr>
                <w:rFonts w:ascii="Arial" w:cs="Arial" w:eastAsia="Arial" w:hAnsi="Arial"/>
                <w:sz w:val="11"/>
                <w:szCs w:val="11"/>
                <w:color w:val="auto"/>
              </w:rPr>
              <w:t>Total number of available-for-sale securities in an unrealized loss position less than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1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35"/>
        </w:trPr>
        <w:tc>
          <w:tcPr>
            <w:tcW w:w="4140" w:type="dxa"/>
            <w:vAlign w:val="bottom"/>
          </w:tcPr>
          <w:p>
            <w:pPr>
              <w:spacing w:after="0" w:line="136" w:lineRule="exact"/>
              <w:rPr>
                <w:sz w:val="20"/>
                <w:szCs w:val="20"/>
                <w:color w:val="auto"/>
              </w:rPr>
            </w:pPr>
            <w:r>
              <w:rPr>
                <w:rFonts w:ascii="Arial" w:cs="Arial" w:eastAsia="Arial" w:hAnsi="Arial"/>
                <w:sz w:val="12"/>
                <w:szCs w:val="12"/>
                <w:color w:val="auto"/>
              </w:rPr>
              <w:t>twelve months</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140" w:type="dxa"/>
            <w:vAlign w:val="bottom"/>
            <w:shd w:val="clear" w:color="auto" w:fill="CCEEFF"/>
          </w:tcPr>
          <w:p>
            <w:pPr>
              <w:spacing w:after="0" w:line="76" w:lineRule="exact"/>
              <w:rPr>
                <w:sz w:val="20"/>
                <w:szCs w:val="20"/>
                <w:color w:val="auto"/>
              </w:rPr>
            </w:pPr>
            <w:r>
              <w:rPr>
                <w:rFonts w:ascii="Arial" w:cs="Arial" w:eastAsia="Arial" w:hAnsi="Arial"/>
                <w:sz w:val="8"/>
                <w:szCs w:val="8"/>
                <w:color w:val="auto"/>
              </w:rPr>
              <w:t>Total number of available-for-sale securities in an unrealized loss position twelve</w:t>
            </w: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5"/>
        </w:trPr>
        <w:tc>
          <w:tcPr>
            <w:tcW w:w="414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months or longer</w:t>
            </w:r>
          </w:p>
        </w:tc>
        <w:tc>
          <w:tcPr>
            <w:tcW w:w="1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140" w:type="dxa"/>
            <w:vAlign w:val="bottom"/>
          </w:tcPr>
          <w:p>
            <w:pPr>
              <w:spacing w:after="0" w:line="123" w:lineRule="exact"/>
              <w:rPr>
                <w:sz w:val="20"/>
                <w:szCs w:val="20"/>
                <w:color w:val="auto"/>
              </w:rPr>
            </w:pPr>
            <w:r>
              <w:rPr>
                <w:rFonts w:ascii="Arial" w:cs="Arial" w:eastAsia="Arial" w:hAnsi="Arial"/>
                <w:sz w:val="12"/>
                <w:szCs w:val="12"/>
                <w:color w:val="auto"/>
              </w:rPr>
              <w:t>Total number of available-for-sale securities in an unrealized loss position</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We determined the increase in unrealized losses was caused by the increasing treasury rates, offset by narrower credit spreads. Specific to asset-backed and mortgage-backed securities for which an expected credit loss was not determined, the effect of any increased expectations of underlying collateral defaults have not risen to the level of impacting the tranches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4" w:name="page135"/>
    <w:bookmarkEnd w:id="13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Mortgage Loans</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mortgage loans are collateralized by commercial and residential properties.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Commercial Mortgage Loans</w:t>
      </w:r>
    </w:p>
    <w:p>
      <w:pPr>
        <w:spacing w:after="0" w:line="102" w:lineRule="exact"/>
        <w:rPr>
          <w:sz w:val="20"/>
          <w:szCs w:val="20"/>
          <w:color w:val="auto"/>
        </w:rPr>
      </w:pPr>
    </w:p>
    <w:p>
      <w:pPr>
        <w:jc w:val="both"/>
        <w:ind w:firstLine="338"/>
        <w:spacing w:after="0" w:line="311" w:lineRule="auto"/>
        <w:rPr>
          <w:sz w:val="20"/>
          <w:szCs w:val="20"/>
          <w:color w:val="auto"/>
        </w:rPr>
      </w:pPr>
      <w:r>
        <w:rPr>
          <w:rFonts w:ascii="Arial" w:cs="Arial" w:eastAsia="Arial" w:hAnsi="Arial"/>
          <w:sz w:val="13"/>
          <w:szCs w:val="13"/>
          <w:color w:val="auto"/>
        </w:rPr>
        <w:t>Commercial mortgage loans ("CMLs") represented approximately 7% of our total investments at December 31, 2021. We primarily invest in mortgage loans on income producing properties including hotels,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920"/>
              <w:spacing w:after="0"/>
              <w:rPr>
                <w:sz w:val="20"/>
                <w:szCs w:val="20"/>
                <w:color w:val="auto"/>
              </w:rPr>
            </w:pPr>
            <w:r>
              <w:rPr>
                <w:rFonts w:ascii="Arial" w:cs="Arial" w:eastAsia="Arial" w:hAnsi="Arial"/>
                <w:sz w:val="12"/>
                <w:szCs w:val="12"/>
                <w:b w:val="1"/>
                <w:bCs w:val="1"/>
                <w:color w:val="auto"/>
                <w:w w:val="86"/>
              </w:rPr>
              <w:t>December 31, 2021</w:t>
            </w: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920"/>
              <w:spacing w:after="0"/>
              <w:rPr>
                <w:sz w:val="20"/>
                <w:szCs w:val="20"/>
                <w:color w:val="auto"/>
              </w:rPr>
            </w:pPr>
            <w:r>
              <w:rPr>
                <w:rFonts w:ascii="Arial" w:cs="Arial" w:eastAsia="Arial" w:hAnsi="Arial"/>
                <w:sz w:val="12"/>
                <w:szCs w:val="12"/>
                <w:b w:val="1"/>
                <w:bCs w:val="1"/>
                <w:color w:val="auto"/>
                <w:w w:val="86"/>
              </w:rPr>
              <w:t>December 31, 2020</w:t>
            </w:r>
          </w:p>
        </w:tc>
        <w:tc>
          <w:tcPr>
            <w:tcW w:w="1040" w:type="dxa"/>
            <w:vAlign w:val="bottom"/>
            <w:tcBorders>
              <w:bottom w:val="single" w:sz="8" w:color="auto"/>
            </w:tcBorders>
          </w:tcPr>
          <w:p>
            <w:pPr>
              <w:spacing w:after="0"/>
              <w:rPr>
                <w:sz w:val="14"/>
                <w:szCs w:val="14"/>
                <w:color w:val="auto"/>
              </w:rPr>
            </w:pPr>
          </w:p>
        </w:tc>
      </w:tr>
      <w:tr>
        <w:trPr>
          <w:trHeight w:val="153"/>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3"/>
          </w:tcPr>
          <w:p>
            <w:pPr>
              <w:ind w:left="20"/>
              <w:spacing w:after="0"/>
              <w:rPr>
                <w:sz w:val="20"/>
                <w:szCs w:val="20"/>
                <w:color w:val="auto"/>
              </w:rPr>
            </w:pPr>
            <w:r>
              <w:rPr>
                <w:rFonts w:ascii="Arial" w:cs="Arial" w:eastAsia="Arial" w:hAnsi="Arial"/>
                <w:sz w:val="12"/>
                <w:szCs w:val="12"/>
                <w:b w:val="1"/>
                <w:bCs w:val="1"/>
                <w:color w:val="auto"/>
              </w:rPr>
              <w:t>Gross Carrying Value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 of Total</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Gross Carrying Value</w:t>
            </w:r>
          </w:p>
        </w:tc>
        <w:tc>
          <w:tcPr>
            <w:tcW w:w="1040" w:type="dxa"/>
            <w:vAlign w:val="bottom"/>
          </w:tcPr>
          <w:p>
            <w:pPr>
              <w:jc w:val="right"/>
              <w:ind w:right="420"/>
              <w:spacing w:after="0"/>
              <w:rPr>
                <w:sz w:val="20"/>
                <w:szCs w:val="20"/>
                <w:color w:val="auto"/>
              </w:rPr>
            </w:pPr>
            <w:r>
              <w:rPr>
                <w:rFonts w:ascii="Arial" w:cs="Arial" w:eastAsia="Arial" w:hAnsi="Arial"/>
                <w:sz w:val="12"/>
                <w:szCs w:val="12"/>
                <w:b w:val="1"/>
                <w:bCs w:val="1"/>
                <w:color w:val="auto"/>
                <w:w w:val="94"/>
              </w:rPr>
              <w:t>% of Total</w:t>
            </w:r>
          </w:p>
        </w:tc>
      </w:tr>
      <w:tr>
        <w:trPr>
          <w:trHeight w:val="138"/>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Property Type:</w:t>
            </w:r>
          </w:p>
        </w:tc>
        <w:tc>
          <w:tcPr>
            <w:tcW w:w="1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r>
      <w:tr>
        <w:trPr>
          <w:trHeight w:val="155"/>
        </w:trPr>
        <w:tc>
          <w:tcPr>
            <w:tcW w:w="5100" w:type="dxa"/>
            <w:vAlign w:val="bottom"/>
          </w:tcPr>
          <w:p>
            <w:pPr>
              <w:ind w:left="100"/>
              <w:spacing w:after="0"/>
              <w:rPr>
                <w:sz w:val="20"/>
                <w:szCs w:val="20"/>
                <w:color w:val="auto"/>
              </w:rPr>
            </w:pPr>
            <w:r>
              <w:rPr>
                <w:rFonts w:ascii="Arial" w:cs="Arial" w:eastAsia="Arial" w:hAnsi="Arial"/>
                <w:sz w:val="12"/>
                <w:szCs w:val="12"/>
                <w:color w:val="auto"/>
              </w:rPr>
              <w:t>Hotel</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1 %</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2 %</w:t>
            </w:r>
          </w:p>
        </w:tc>
      </w:tr>
      <w:tr>
        <w:trPr>
          <w:trHeight w:val="160"/>
        </w:trPr>
        <w:tc>
          <w:tcPr>
            <w:tcW w:w="5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Industrial - General</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33 %</w:t>
            </w:r>
          </w:p>
        </w:tc>
      </w:tr>
      <w:tr>
        <w:trPr>
          <w:trHeight w:val="155"/>
        </w:trPr>
        <w:tc>
          <w:tcPr>
            <w:tcW w:w="5100" w:type="dxa"/>
            <w:vAlign w:val="bottom"/>
          </w:tcPr>
          <w:p>
            <w:pPr>
              <w:ind w:left="100"/>
              <w:spacing w:after="0"/>
              <w:rPr>
                <w:sz w:val="20"/>
                <w:szCs w:val="20"/>
                <w:color w:val="auto"/>
              </w:rPr>
            </w:pPr>
            <w:r>
              <w:rPr>
                <w:rFonts w:ascii="Arial" w:cs="Arial" w:eastAsia="Arial" w:hAnsi="Arial"/>
                <w:sz w:val="12"/>
                <w:szCs w:val="12"/>
                <w:color w:val="auto"/>
              </w:rPr>
              <w:t>Mixed Use</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1 %</w:t>
            </w:r>
          </w:p>
        </w:tc>
      </w:tr>
      <w:tr>
        <w:trPr>
          <w:trHeight w:val="160"/>
        </w:trPr>
        <w:tc>
          <w:tcPr>
            <w:tcW w:w="5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Multifamily</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18 %</w:t>
            </w:r>
          </w:p>
        </w:tc>
      </w:tr>
      <w:tr>
        <w:trPr>
          <w:trHeight w:val="155"/>
        </w:trPr>
        <w:tc>
          <w:tcPr>
            <w:tcW w:w="5100" w:type="dxa"/>
            <w:vAlign w:val="bottom"/>
          </w:tcPr>
          <w:p>
            <w:pPr>
              <w:ind w:left="100"/>
              <w:spacing w:after="0"/>
              <w:rPr>
                <w:sz w:val="20"/>
                <w:szCs w:val="20"/>
                <w:color w:val="auto"/>
              </w:rPr>
            </w:pPr>
            <w:r>
              <w:rPr>
                <w:rFonts w:ascii="Arial" w:cs="Arial" w:eastAsia="Arial" w:hAnsi="Arial"/>
                <w:sz w:val="12"/>
                <w:szCs w:val="12"/>
                <w:color w:val="auto"/>
              </w:rPr>
              <w:t>Office</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343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15 %</w:t>
            </w:r>
          </w:p>
        </w:tc>
      </w:tr>
      <w:tr>
        <w:trPr>
          <w:trHeight w:val="160"/>
        </w:trPr>
        <w:tc>
          <w:tcPr>
            <w:tcW w:w="5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Retail</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17 %</w:t>
            </w:r>
          </w:p>
        </w:tc>
      </w:tr>
      <w:tr>
        <w:trPr>
          <w:trHeight w:val="155"/>
        </w:trPr>
        <w:tc>
          <w:tcPr>
            <w:tcW w:w="5100" w:type="dxa"/>
            <w:vAlign w:val="bottom"/>
          </w:tcPr>
          <w:p>
            <w:pPr>
              <w:ind w:left="100"/>
              <w:spacing w:after="0"/>
              <w:rPr>
                <w:sz w:val="20"/>
                <w:szCs w:val="20"/>
                <w:color w:val="auto"/>
              </w:rPr>
            </w:pPr>
            <w:r>
              <w:rPr>
                <w:rFonts w:ascii="Arial" w:cs="Arial" w:eastAsia="Arial" w:hAnsi="Arial"/>
                <w:sz w:val="12"/>
                <w:szCs w:val="12"/>
                <w:color w:val="auto"/>
              </w:rPr>
              <w:t>Other</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204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14 %</w:t>
            </w:r>
          </w:p>
        </w:tc>
      </w:tr>
      <w:tr>
        <w:trPr>
          <w:trHeight w:val="158"/>
        </w:trPr>
        <w:tc>
          <w:tcPr>
            <w:tcW w:w="5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Student Housing</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80" w:type="dxa"/>
            <w:vAlign w:val="bottom"/>
            <w:gridSpan w:val="3"/>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1"/>
        </w:trPr>
        <w:tc>
          <w:tcPr>
            <w:tcW w:w="5100" w:type="dxa"/>
            <w:vAlign w:val="bottom"/>
          </w:tcPr>
          <w:p>
            <w:pPr>
              <w:ind w:left="100"/>
              <w:spacing w:after="0"/>
              <w:rPr>
                <w:sz w:val="20"/>
                <w:szCs w:val="20"/>
                <w:color w:val="auto"/>
              </w:rPr>
            </w:pPr>
            <w:r>
              <w:rPr>
                <w:rFonts w:ascii="Arial" w:cs="Arial" w:eastAsia="Arial" w:hAnsi="Arial"/>
                <w:sz w:val="12"/>
                <w:szCs w:val="12"/>
                <w:color w:val="auto"/>
              </w:rPr>
              <w:t>Total commercial mortgage loans, gross of valuation allowance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2,174</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905</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0"/>
        </w:trPr>
        <w:tc>
          <w:tcPr>
            <w:tcW w:w="510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Allowance for expected credit loss</w:t>
            </w: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51"/>
        </w:trPr>
        <w:tc>
          <w:tcPr>
            <w:tcW w:w="5100" w:type="dxa"/>
            <w:vAlign w:val="bottom"/>
          </w:tcPr>
          <w:p>
            <w:pPr>
              <w:ind w:left="100"/>
              <w:spacing w:after="0"/>
              <w:rPr>
                <w:sz w:val="20"/>
                <w:szCs w:val="20"/>
                <w:color w:val="auto"/>
              </w:rPr>
            </w:pPr>
            <w:r>
              <w:rPr>
                <w:rFonts w:ascii="Arial" w:cs="Arial" w:eastAsia="Arial" w:hAnsi="Arial"/>
                <w:sz w:val="12"/>
                <w:szCs w:val="12"/>
                <w:color w:val="auto"/>
              </w:rPr>
              <w:t>Total commercial mortgage loans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143"/>
        </w:trPr>
        <w:tc>
          <w:tcPr>
            <w:tcW w:w="5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2"/>
                <w:szCs w:val="12"/>
                <w:b w:val="1"/>
                <w:bCs w:val="1"/>
                <w:color w:val="auto"/>
              </w:rPr>
              <w:t>U.S. Region:</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8"/>
        </w:trPr>
        <w:tc>
          <w:tcPr>
            <w:tcW w:w="5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East North Central</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r>
      <w:tr>
        <w:trPr>
          <w:trHeight w:val="155"/>
        </w:trPr>
        <w:tc>
          <w:tcPr>
            <w:tcW w:w="5100" w:type="dxa"/>
            <w:vAlign w:val="bottom"/>
          </w:tcPr>
          <w:p>
            <w:pPr>
              <w:ind w:left="100"/>
              <w:spacing w:after="0"/>
              <w:rPr>
                <w:sz w:val="20"/>
                <w:szCs w:val="20"/>
                <w:color w:val="auto"/>
              </w:rPr>
            </w:pPr>
            <w:r>
              <w:rPr>
                <w:rFonts w:ascii="Arial" w:cs="Arial" w:eastAsia="Arial" w:hAnsi="Arial"/>
                <w:sz w:val="12"/>
                <w:szCs w:val="12"/>
                <w:color w:val="auto"/>
              </w:rPr>
              <w:t>East South Central</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9 %</w:t>
            </w:r>
          </w:p>
        </w:tc>
      </w:tr>
      <w:tr>
        <w:trPr>
          <w:trHeight w:val="160"/>
        </w:trPr>
        <w:tc>
          <w:tcPr>
            <w:tcW w:w="5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Middle Atlantic</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11 %</w:t>
            </w:r>
          </w:p>
        </w:tc>
      </w:tr>
      <w:tr>
        <w:trPr>
          <w:trHeight w:val="155"/>
        </w:trPr>
        <w:tc>
          <w:tcPr>
            <w:tcW w:w="5100" w:type="dxa"/>
            <w:vAlign w:val="bottom"/>
          </w:tcPr>
          <w:p>
            <w:pPr>
              <w:ind w:left="100"/>
              <w:spacing w:after="0"/>
              <w:rPr>
                <w:sz w:val="20"/>
                <w:szCs w:val="20"/>
                <w:color w:val="auto"/>
              </w:rPr>
            </w:pPr>
            <w:r>
              <w:rPr>
                <w:rFonts w:ascii="Arial" w:cs="Arial" w:eastAsia="Arial" w:hAnsi="Arial"/>
                <w:sz w:val="12"/>
                <w:szCs w:val="12"/>
                <w:color w:val="auto"/>
              </w:rPr>
              <w:t>Mountain</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236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5 %</w:t>
            </w:r>
          </w:p>
        </w:tc>
      </w:tr>
      <w:tr>
        <w:trPr>
          <w:trHeight w:val="160"/>
        </w:trPr>
        <w:tc>
          <w:tcPr>
            <w:tcW w:w="5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New England</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r>
      <w:tr>
        <w:trPr>
          <w:trHeight w:val="155"/>
        </w:trPr>
        <w:tc>
          <w:tcPr>
            <w:tcW w:w="5100" w:type="dxa"/>
            <w:vAlign w:val="bottom"/>
          </w:tcPr>
          <w:p>
            <w:pPr>
              <w:ind w:left="100"/>
              <w:spacing w:after="0"/>
              <w:rPr>
                <w:sz w:val="20"/>
                <w:szCs w:val="20"/>
                <w:color w:val="auto"/>
              </w:rPr>
            </w:pPr>
            <w:r>
              <w:rPr>
                <w:rFonts w:ascii="Arial" w:cs="Arial" w:eastAsia="Arial" w:hAnsi="Arial"/>
                <w:sz w:val="12"/>
                <w:szCs w:val="12"/>
                <w:color w:val="auto"/>
              </w:rPr>
              <w:t>Pacific</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649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30 %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333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37 %</w:t>
            </w:r>
          </w:p>
        </w:tc>
      </w:tr>
      <w:tr>
        <w:trPr>
          <w:trHeight w:val="160"/>
        </w:trPr>
        <w:tc>
          <w:tcPr>
            <w:tcW w:w="5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South Atlantic</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r>
      <w:tr>
        <w:trPr>
          <w:trHeight w:val="155"/>
        </w:trPr>
        <w:tc>
          <w:tcPr>
            <w:tcW w:w="5100" w:type="dxa"/>
            <w:vAlign w:val="bottom"/>
          </w:tcPr>
          <w:p>
            <w:pPr>
              <w:ind w:left="100"/>
              <w:spacing w:after="0"/>
              <w:rPr>
                <w:sz w:val="20"/>
                <w:szCs w:val="20"/>
                <w:color w:val="auto"/>
              </w:rPr>
            </w:pPr>
            <w:r>
              <w:rPr>
                <w:rFonts w:ascii="Arial" w:cs="Arial" w:eastAsia="Arial" w:hAnsi="Arial"/>
                <w:sz w:val="12"/>
                <w:szCs w:val="12"/>
                <w:color w:val="auto"/>
              </w:rPr>
              <w:t>West North Central</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1 %</w:t>
            </w:r>
          </w:p>
        </w:tc>
      </w:tr>
      <w:tr>
        <w:trPr>
          <w:trHeight w:val="160"/>
        </w:trPr>
        <w:tc>
          <w:tcPr>
            <w:tcW w:w="5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West South Central</w:t>
            </w: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6 %</w:t>
            </w:r>
          </w:p>
        </w:tc>
      </w:tr>
      <w:tr>
        <w:trPr>
          <w:trHeight w:val="149"/>
        </w:trPr>
        <w:tc>
          <w:tcPr>
            <w:tcW w:w="5100" w:type="dxa"/>
            <w:vAlign w:val="bottom"/>
          </w:tcPr>
          <w:p>
            <w:pPr>
              <w:ind w:left="100"/>
              <w:spacing w:after="0"/>
              <w:rPr>
                <w:sz w:val="20"/>
                <w:szCs w:val="20"/>
                <w:color w:val="auto"/>
              </w:rPr>
            </w:pPr>
            <w:r>
              <w:rPr>
                <w:rFonts w:ascii="Arial" w:cs="Arial" w:eastAsia="Arial" w:hAnsi="Arial"/>
                <w:sz w:val="12"/>
                <w:szCs w:val="12"/>
                <w:color w:val="auto"/>
              </w:rPr>
              <w:t>Total commercial mortgage loans, gross of valuation allowance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2,174</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905</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0"/>
        </w:trPr>
        <w:tc>
          <w:tcPr>
            <w:tcW w:w="510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Allowance for expected credit loss</w:t>
            </w: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51"/>
        </w:trPr>
        <w:tc>
          <w:tcPr>
            <w:tcW w:w="5100" w:type="dxa"/>
            <w:vAlign w:val="bottom"/>
          </w:tcPr>
          <w:p>
            <w:pPr>
              <w:ind w:left="100"/>
              <w:spacing w:after="0"/>
              <w:rPr>
                <w:sz w:val="20"/>
                <w:szCs w:val="20"/>
                <w:color w:val="auto"/>
              </w:rPr>
            </w:pPr>
            <w:r>
              <w:rPr>
                <w:rFonts w:ascii="Arial" w:cs="Arial" w:eastAsia="Arial" w:hAnsi="Arial"/>
                <w:sz w:val="12"/>
                <w:szCs w:val="12"/>
                <w:color w:val="auto"/>
              </w:rPr>
              <w:t>Total commercial mortgage loans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5"/>
          <w:szCs w:val="15"/>
          <w:color w:val="auto"/>
        </w:rPr>
        <w:t>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All of our investments in CMLs had a loan-to-value ("LTV") ratio of less than 75% at December 31, 2021, as measured at inception of the loans unless otherwise updated.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5" w:name="page136"/>
    <w:bookmarkEnd w:id="13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tables presents the recorded investment in CMLs by LTV and DSC ratio categories and estimated fair value by the indicated loan-to-value ratios (dollars in millions)</w:t>
      </w:r>
      <w:r>
        <w:rPr>
          <w:rFonts w:ascii="Arial" w:cs="Arial" w:eastAsia="Arial" w:hAnsi="Arial"/>
          <w:sz w:val="11"/>
          <w:szCs w:val="11"/>
          <w:color w:val="auto"/>
        </w:rPr>
        <w: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2"/>
                <w:szCs w:val="12"/>
                <w:b w:val="1"/>
                <w:bCs w:val="1"/>
                <w:color w:val="auto"/>
              </w:rPr>
              <w:t>Debt-Service Coverage Ratios</w:t>
            </w: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Total Amount</w:t>
            </w: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 of Total</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Estimated Fair</w:t>
            </w:r>
          </w:p>
        </w:tc>
        <w:tc>
          <w:tcPr>
            <w:tcW w:w="920" w:type="dxa"/>
            <w:vAlign w:val="bottom"/>
          </w:tcPr>
          <w:p>
            <w:pPr>
              <w:jc w:val="right"/>
              <w:ind w:right="120"/>
              <w:spacing w:after="0"/>
              <w:rPr>
                <w:sz w:val="20"/>
                <w:szCs w:val="20"/>
                <w:color w:val="auto"/>
              </w:rPr>
            </w:pPr>
            <w:r>
              <w:rPr>
                <w:rFonts w:ascii="Arial" w:cs="Arial" w:eastAsia="Arial" w:hAnsi="Arial"/>
                <w:sz w:val="12"/>
                <w:szCs w:val="12"/>
                <w:b w:val="1"/>
                <w:bCs w:val="1"/>
                <w:color w:val="auto"/>
              </w:rPr>
              <w:t>% of Total</w:t>
            </w:r>
          </w:p>
        </w:tc>
        <w:tc>
          <w:tcPr>
            <w:tcW w:w="0" w:type="dxa"/>
            <w:vAlign w:val="bottom"/>
          </w:tcPr>
          <w:p>
            <w:pPr>
              <w:spacing w:after="0"/>
              <w:rPr>
                <w:sz w:val="1"/>
                <w:szCs w:val="1"/>
                <w:color w:val="auto"/>
              </w:rPr>
            </w:pPr>
          </w:p>
        </w:tc>
      </w:tr>
      <w:tr>
        <w:trPr>
          <w:trHeight w:val="134"/>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220"/>
              <w:spacing w:after="0"/>
              <w:rPr>
                <w:sz w:val="20"/>
                <w:szCs w:val="20"/>
                <w:color w:val="auto"/>
              </w:rPr>
            </w:pPr>
            <w:r>
              <w:rPr>
                <w:rFonts w:ascii="Arial" w:cs="Arial" w:eastAsia="Arial" w:hAnsi="Arial"/>
                <w:sz w:val="12"/>
                <w:szCs w:val="12"/>
                <w:b w:val="1"/>
                <w:bCs w:val="1"/>
                <w:color w:val="auto"/>
              </w:rPr>
              <w:t>&gt;1.25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ind w:right="80"/>
              <w:spacing w:after="0"/>
              <w:rPr>
                <w:sz w:val="20"/>
                <w:szCs w:val="20"/>
                <w:color w:val="auto"/>
              </w:rPr>
            </w:pPr>
            <w:r>
              <w:rPr>
                <w:rFonts w:ascii="Arial" w:cs="Arial" w:eastAsia="Arial" w:hAnsi="Arial"/>
                <w:sz w:val="12"/>
                <w:szCs w:val="12"/>
                <w:b w:val="1"/>
                <w:bCs w:val="1"/>
                <w:color w:val="auto"/>
                <w:w w:val="94"/>
              </w:rPr>
              <w:t>1.00 - 1.25</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&lt;1.00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80"/>
              <w:spacing w:after="0" w:line="134" w:lineRule="exact"/>
              <w:rPr>
                <w:sz w:val="20"/>
                <w:szCs w:val="20"/>
                <w:color w:val="auto"/>
              </w:rPr>
            </w:pPr>
            <w:r>
              <w:rPr>
                <w:rFonts w:ascii="Arial" w:cs="Arial" w:eastAsia="Arial" w:hAnsi="Arial"/>
                <w:sz w:val="12"/>
                <w:szCs w:val="12"/>
                <w:b w:val="1"/>
                <w:bCs w:val="1"/>
                <w:color w:val="auto"/>
                <w:w w:val="87"/>
              </w:rPr>
              <w:t>Value</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4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2021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20"/>
                <w:szCs w:val="20"/>
                <w:color w:val="auto"/>
              </w:rPr>
            </w:pPr>
            <w:r>
              <w:rPr>
                <w:rFonts w:ascii="Arial" w:cs="Arial" w:eastAsia="Arial" w:hAnsi="Arial"/>
                <w:sz w:val="12"/>
                <w:szCs w:val="12"/>
                <w:color w:val="auto"/>
              </w:rPr>
              <w:t>LTV Ratios: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Less than 50%</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668</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745</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33 %</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20"/>
                <w:szCs w:val="20"/>
                <w:color w:val="auto"/>
              </w:rPr>
            </w:pPr>
            <w:r>
              <w:rPr>
                <w:rFonts w:ascii="Arial" w:cs="Arial" w:eastAsia="Arial" w:hAnsi="Arial"/>
                <w:sz w:val="12"/>
                <w:szCs w:val="12"/>
                <w:color w:val="auto"/>
              </w:rPr>
              <w:t>50% to 60%</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3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470</w:t>
            </w:r>
          </w:p>
        </w:tc>
        <w:tc>
          <w:tcPr>
            <w:tcW w:w="100" w:type="dxa"/>
            <w:vAlign w:val="bottom"/>
          </w:tcPr>
          <w:p>
            <w:pPr>
              <w:spacing w:after="0"/>
              <w:rPr>
                <w:sz w:val="13"/>
                <w:szCs w:val="13"/>
                <w:color w:val="auto"/>
              </w:rPr>
            </w:pPr>
          </w:p>
        </w:tc>
        <w:tc>
          <w:tcPr>
            <w:tcW w:w="900" w:type="dxa"/>
            <w:vAlign w:val="bottom"/>
          </w:tcPr>
          <w:p>
            <w:pPr>
              <w:jc w:val="right"/>
              <w:ind w:right="100"/>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481</w:t>
            </w:r>
          </w:p>
        </w:tc>
        <w:tc>
          <w:tcPr>
            <w:tcW w:w="80" w:type="dxa"/>
            <w:vAlign w:val="bottom"/>
          </w:tcPr>
          <w:p>
            <w:pPr>
              <w:spacing w:after="0"/>
              <w:rPr>
                <w:sz w:val="13"/>
                <w:szCs w:val="13"/>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58"/>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60% to 75%</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2"/>
              </w:rPr>
              <w:t>—</w:t>
            </w: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51"/>
        </w:trPr>
        <w:tc>
          <w:tcPr>
            <w:tcW w:w="4880" w:type="dxa"/>
            <w:vAlign w:val="bottom"/>
          </w:tcPr>
          <w:p>
            <w:pPr>
              <w:spacing w:after="0"/>
              <w:rPr>
                <w:sz w:val="20"/>
                <w:szCs w:val="20"/>
                <w:color w:val="auto"/>
              </w:rPr>
            </w:pPr>
            <w:r>
              <w:rPr>
                <w:rFonts w:ascii="Arial" w:cs="Arial" w:eastAsia="Arial" w:hAnsi="Arial"/>
                <w:sz w:val="12"/>
                <w:szCs w:val="12"/>
                <w:color w:val="auto"/>
              </w:rPr>
              <w:t>Commercial mortgage loans</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2,132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2,174</w:t>
            </w:r>
          </w:p>
        </w:tc>
        <w:tc>
          <w:tcPr>
            <w:tcW w:w="1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2,265</w:t>
            </w:r>
          </w:p>
        </w:tc>
        <w:tc>
          <w:tcPr>
            <w:tcW w:w="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78"/>
        </w:trPr>
        <w:tc>
          <w:tcPr>
            <w:tcW w:w="4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88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December 31, 2020</w:t>
            </w:r>
          </w:p>
        </w:tc>
        <w:tc>
          <w:tcPr>
            <w:tcW w:w="18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LTV Ratios: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20"/>
                <w:szCs w:val="20"/>
                <w:color w:val="auto"/>
              </w:rPr>
            </w:pPr>
            <w:r>
              <w:rPr>
                <w:rFonts w:ascii="Arial" w:cs="Arial" w:eastAsia="Arial" w:hAnsi="Arial"/>
                <w:sz w:val="12"/>
                <w:szCs w:val="12"/>
                <w:color w:val="auto"/>
              </w:rPr>
              <w:t>Less than 50%</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519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500" w:type="dxa"/>
            <w:vAlign w:val="bottom"/>
          </w:tcPr>
          <w:p>
            <w:pPr>
              <w:jc w:val="right"/>
              <w:ind w:right="388"/>
              <w:spacing w:after="0"/>
              <w:rPr>
                <w:sz w:val="20"/>
                <w:szCs w:val="20"/>
                <w:color w:val="auto"/>
              </w:rPr>
            </w:pPr>
            <w:r>
              <w:rPr>
                <w:rFonts w:ascii="Arial" w:cs="Arial" w:eastAsia="Arial" w:hAnsi="Arial"/>
                <w:sz w:val="10"/>
                <w:szCs w:val="10"/>
                <w:color w:val="auto"/>
                <w:w w:val="71"/>
              </w:rPr>
              <w:t>$</w:t>
            </w: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537</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60 %</w:t>
            </w:r>
          </w:p>
        </w:tc>
        <w:tc>
          <w:tcPr>
            <w:tcW w:w="100" w:type="dxa"/>
            <w:vAlign w:val="bottom"/>
          </w:tcPr>
          <w:p>
            <w:pPr>
              <w:spacing w:after="0"/>
              <w:rPr>
                <w:sz w:val="13"/>
                <w:szCs w:val="13"/>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557</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60 %</w:t>
            </w:r>
          </w:p>
        </w:tc>
        <w:tc>
          <w:tcPr>
            <w:tcW w:w="0" w:type="dxa"/>
            <w:vAlign w:val="bottom"/>
          </w:tcPr>
          <w:p>
            <w:pPr>
              <w:spacing w:after="0"/>
              <w:rPr>
                <w:sz w:val="1"/>
                <w:szCs w:val="1"/>
                <w:color w:val="auto"/>
              </w:rPr>
            </w:pPr>
          </w:p>
        </w:tc>
      </w:tr>
      <w:tr>
        <w:trPr>
          <w:trHeight w:val="160"/>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50% to 60%</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2"/>
              </w:rPr>
              <w:t>—</w:t>
            </w: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20"/>
                <w:szCs w:val="20"/>
                <w:color w:val="auto"/>
              </w:rPr>
            </w:pPr>
            <w:r>
              <w:rPr>
                <w:rFonts w:ascii="Arial" w:cs="Arial" w:eastAsia="Arial" w:hAnsi="Arial"/>
                <w:sz w:val="12"/>
                <w:szCs w:val="12"/>
                <w:color w:val="auto"/>
              </w:rPr>
              <w:t>60% to 75%</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3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122</w:t>
            </w:r>
          </w:p>
        </w:tc>
        <w:tc>
          <w:tcPr>
            <w:tcW w:w="100" w:type="dxa"/>
            <w:vAlign w:val="bottom"/>
          </w:tcPr>
          <w:p>
            <w:pPr>
              <w:spacing w:after="0"/>
              <w:rPr>
                <w:sz w:val="13"/>
                <w:szCs w:val="13"/>
                <w:color w:val="auto"/>
              </w:rPr>
            </w:pPr>
          </w:p>
        </w:tc>
        <w:tc>
          <w:tcPr>
            <w:tcW w:w="900" w:type="dxa"/>
            <w:vAlign w:val="bottom"/>
          </w:tcPr>
          <w:p>
            <w:pPr>
              <w:jc w:val="right"/>
              <w:ind w:right="10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119</w:t>
            </w:r>
          </w:p>
        </w:tc>
        <w:tc>
          <w:tcPr>
            <w:tcW w:w="80" w:type="dxa"/>
            <w:vAlign w:val="bottom"/>
          </w:tcPr>
          <w:p>
            <w:pPr>
              <w:spacing w:after="0"/>
              <w:rPr>
                <w:sz w:val="13"/>
                <w:szCs w:val="13"/>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76"/>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Commercial mortgage loans</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We recognize a mortgage loan as delinquent when payments on the loan are greater than 30 days past due. As of December 31, 2021 and 2020, we had no CMLs that were delinquent in principal or interest payments.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Allowance for Expected Credit Loss</w:t>
      </w:r>
    </w:p>
    <w:p>
      <w:pPr>
        <w:spacing w:after="0" w:line="120" w:lineRule="exact"/>
        <w:rPr>
          <w:sz w:val="20"/>
          <w:szCs w:val="20"/>
          <w:color w:val="auto"/>
        </w:rPr>
      </w:pPr>
    </w:p>
    <w:p>
      <w:pPr>
        <w:jc w:val="both"/>
        <w:ind w:firstLine="330"/>
        <w:spacing w:after="0" w:line="258" w:lineRule="auto"/>
        <w:rPr>
          <w:sz w:val="20"/>
          <w:szCs w:val="20"/>
          <w:color w:val="auto"/>
        </w:rPr>
      </w:pPr>
      <w:r>
        <w:rPr>
          <w:rFonts w:ascii="Arial" w:cs="Arial" w:eastAsia="Arial" w:hAnsi="Arial"/>
          <w:sz w:val="15"/>
          <w:szCs w:val="15"/>
          <w:color w:val="auto"/>
        </w:rPr>
        <w:t>We estimate expected credit losses for our commercial mortgage loan portfolio using a probability of default/loss given default model. Significant inputs to this model include the loans current performance, underlying collateral type, location, contractual life, LTV, and DSC. The model projects losses using a two year reasonable and supportable forecast and then reverts over a three year period to market-wide historical loss experience. Changes in our allowance for expected credit losses on commercial mortgage loans are recognized in Recognized gains and losses, net in the accompanying Consolidated Statements of Earnings.</w:t>
      </w:r>
    </w:p>
    <w:p>
      <w:pPr>
        <w:spacing w:after="0" w:line="182"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An allowance for expected credit loss is not measured on accrued interest income for commercial mortgage loans as we have a process to write-off interest on loans that enter into non-accrual status (over 90 days past due).</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Residential Mortgage Loans</w:t>
      </w:r>
    </w:p>
    <w:p>
      <w:pPr>
        <w:spacing w:after="0" w:line="102"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Residential mortgage loans ("RMLs") represented approximately 4% of our total investments at December 31, 2021.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(dollars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500"/>
              <w:spacing w:after="0"/>
              <w:rPr>
                <w:sz w:val="20"/>
                <w:szCs w:val="20"/>
                <w:color w:val="auto"/>
              </w:rPr>
            </w:pPr>
            <w:r>
              <w:rPr>
                <w:rFonts w:ascii="Arial" w:cs="Arial" w:eastAsia="Arial" w:hAnsi="Arial"/>
                <w:sz w:val="12"/>
                <w:szCs w:val="12"/>
                <w:b w:val="1"/>
                <w:bCs w:val="1"/>
                <w:color w:val="auto"/>
                <w:w w:val="88"/>
              </w:rPr>
              <w:t>December 31, 2021</w:t>
            </w:r>
          </w:p>
        </w:tc>
        <w:tc>
          <w:tcPr>
            <w:tcW w:w="1060" w:type="dxa"/>
            <w:vAlign w:val="bottom"/>
            <w:tcBorders>
              <w:bottom w:val="single" w:sz="8" w:color="auto"/>
            </w:tcBorders>
          </w:tcPr>
          <w:p>
            <w:pPr>
              <w:spacing w:after="0"/>
              <w:rPr>
                <w:sz w:val="13"/>
                <w:szCs w:val="13"/>
                <w:color w:val="auto"/>
              </w:rPr>
            </w:pPr>
          </w:p>
        </w:tc>
      </w:tr>
      <w:tr>
        <w:trPr>
          <w:trHeight w:val="157"/>
        </w:trPr>
        <w:tc>
          <w:tcPr>
            <w:tcW w:w="8160" w:type="dxa"/>
            <w:vAlign w:val="bottom"/>
          </w:tcPr>
          <w:p>
            <w:pPr>
              <w:spacing w:after="0"/>
              <w:rPr>
                <w:sz w:val="20"/>
                <w:szCs w:val="20"/>
                <w:color w:val="auto"/>
              </w:rPr>
            </w:pPr>
            <w:r>
              <w:rPr>
                <w:rFonts w:ascii="Arial" w:cs="Arial" w:eastAsia="Arial" w:hAnsi="Arial"/>
                <w:sz w:val="12"/>
                <w:szCs w:val="12"/>
                <w:b w:val="1"/>
                <w:bCs w:val="1"/>
                <w:color w:val="auto"/>
              </w:rPr>
              <w:t>U.S. State:</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Unpaid Principal Balance</w:t>
            </w:r>
          </w:p>
        </w:tc>
        <w:tc>
          <w:tcPr>
            <w:tcW w:w="1060" w:type="dxa"/>
            <w:vAlign w:val="bottom"/>
          </w:tcPr>
          <w:p>
            <w:pPr>
              <w:jc w:val="right"/>
              <w:ind w:right="440"/>
              <w:spacing w:after="0"/>
              <w:rPr>
                <w:sz w:val="20"/>
                <w:szCs w:val="20"/>
                <w:color w:val="auto"/>
              </w:rPr>
            </w:pPr>
            <w:r>
              <w:rPr>
                <w:rFonts w:ascii="Arial" w:cs="Arial" w:eastAsia="Arial" w:hAnsi="Arial"/>
                <w:sz w:val="12"/>
                <w:szCs w:val="12"/>
                <w:b w:val="1"/>
                <w:bCs w:val="1"/>
                <w:color w:val="auto"/>
                <w:w w:val="94"/>
              </w:rPr>
              <w:t>% of Total</w:t>
            </w:r>
          </w:p>
        </w:tc>
      </w:tr>
      <w:tr>
        <w:trPr>
          <w:trHeight w:val="147"/>
        </w:trPr>
        <w:tc>
          <w:tcPr>
            <w:tcW w:w="8160" w:type="dxa"/>
            <w:vAlign w:val="bottom"/>
          </w:tcPr>
          <w:p>
            <w:pPr>
              <w:spacing w:after="0"/>
              <w:rPr>
                <w:sz w:val="20"/>
                <w:szCs w:val="20"/>
                <w:color w:val="auto"/>
              </w:rPr>
            </w:pPr>
            <w:r>
              <w:rPr>
                <w:rFonts w:ascii="Arial" w:cs="Arial" w:eastAsia="Arial" w:hAnsi="Arial"/>
                <w:sz w:val="12"/>
                <w:szCs w:val="12"/>
                <w:color w:val="auto"/>
              </w:rPr>
              <w:t>Florida</w:t>
            </w:r>
          </w:p>
        </w:tc>
        <w:tc>
          <w:tcPr>
            <w:tcW w:w="560" w:type="dxa"/>
            <w:vAlign w:val="bottom"/>
            <w:tcBorders>
              <w:top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231</w:t>
            </w: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15 %</w:t>
            </w:r>
          </w:p>
        </w:tc>
      </w:tr>
      <w:tr>
        <w:trPr>
          <w:trHeight w:val="160"/>
        </w:trPr>
        <w:tc>
          <w:tcPr>
            <w:tcW w:w="8160" w:type="dxa"/>
            <w:vAlign w:val="bottom"/>
            <w:shd w:val="clear" w:color="auto" w:fill="CCEEFF"/>
          </w:tcPr>
          <w:p>
            <w:pPr>
              <w:spacing w:after="0"/>
              <w:rPr>
                <w:sz w:val="20"/>
                <w:szCs w:val="20"/>
                <w:color w:val="auto"/>
              </w:rPr>
            </w:pPr>
            <w:r>
              <w:rPr>
                <w:rFonts w:ascii="Arial" w:cs="Arial" w:eastAsia="Arial" w:hAnsi="Arial"/>
                <w:sz w:val="12"/>
                <w:szCs w:val="12"/>
                <w:color w:val="auto"/>
              </w:rPr>
              <w:t>Texas</w:t>
            </w: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r>
      <w:tr>
        <w:trPr>
          <w:trHeight w:val="155"/>
        </w:trPr>
        <w:tc>
          <w:tcPr>
            <w:tcW w:w="8160" w:type="dxa"/>
            <w:vAlign w:val="bottom"/>
          </w:tcPr>
          <w:p>
            <w:pPr>
              <w:spacing w:after="0"/>
              <w:rPr>
                <w:sz w:val="20"/>
                <w:szCs w:val="20"/>
                <w:color w:val="auto"/>
              </w:rPr>
            </w:pPr>
            <w:r>
              <w:rPr>
                <w:rFonts w:ascii="Arial" w:cs="Arial" w:eastAsia="Arial" w:hAnsi="Arial"/>
                <w:sz w:val="12"/>
                <w:szCs w:val="12"/>
                <w:color w:val="auto"/>
              </w:rPr>
              <w:t>New Jersey</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10</w:t>
            </w:r>
          </w:p>
        </w:tc>
      </w:tr>
      <w:tr>
        <w:trPr>
          <w:trHeight w:val="158"/>
        </w:trPr>
        <w:tc>
          <w:tcPr>
            <w:tcW w:w="8160" w:type="dxa"/>
            <w:vAlign w:val="bottom"/>
            <w:shd w:val="clear" w:color="auto" w:fill="CCEEFF"/>
          </w:tcPr>
          <w:p>
            <w:pPr>
              <w:spacing w:after="0"/>
              <w:rPr>
                <w:sz w:val="20"/>
                <w:szCs w:val="20"/>
                <w:color w:val="auto"/>
              </w:rPr>
            </w:pPr>
            <w:r>
              <w:rPr>
                <w:rFonts w:ascii="Arial" w:cs="Arial" w:eastAsia="Arial" w:hAnsi="Arial"/>
                <w:sz w:val="12"/>
                <w:szCs w:val="12"/>
                <w:color w:val="auto"/>
              </w:rPr>
              <w:t>All Other States (1)</w:t>
            </w:r>
          </w:p>
        </w:tc>
        <w:tc>
          <w:tcPr>
            <w:tcW w:w="5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1,027</w:t>
            </w:r>
          </w:p>
        </w:tc>
        <w:tc>
          <w:tcPr>
            <w:tcW w:w="1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65</w:t>
            </w:r>
          </w:p>
        </w:tc>
      </w:tr>
      <w:tr>
        <w:trPr>
          <w:trHeight w:val="151"/>
        </w:trPr>
        <w:tc>
          <w:tcPr>
            <w:tcW w:w="8160" w:type="dxa"/>
            <w:vAlign w:val="bottom"/>
          </w:tcPr>
          <w:p>
            <w:pPr>
              <w:spacing w:after="0"/>
              <w:rPr>
                <w:sz w:val="20"/>
                <w:szCs w:val="20"/>
                <w:color w:val="auto"/>
              </w:rPr>
            </w:pPr>
            <w:r>
              <w:rPr>
                <w:rFonts w:ascii="Arial" w:cs="Arial" w:eastAsia="Arial" w:hAnsi="Arial"/>
                <w:sz w:val="12"/>
                <w:szCs w:val="12"/>
                <w:color w:val="auto"/>
              </w:rPr>
              <w:t>Total mortgage loans</w:t>
            </w: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1,575</w:t>
            </w: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8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2"/>
          <w:szCs w:val="12"/>
          <w:color w:val="auto"/>
        </w:rPr>
        <w:t>(1) The individual concentration of each state is less than or equal to 9%.</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6" w:name="page137"/>
    <w:bookmarkEnd w:id="13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500"/>
              <w:spacing w:after="0"/>
              <w:rPr>
                <w:sz w:val="20"/>
                <w:szCs w:val="20"/>
                <w:color w:val="auto"/>
              </w:rPr>
            </w:pPr>
            <w:r>
              <w:rPr>
                <w:rFonts w:ascii="Arial" w:cs="Arial" w:eastAsia="Arial" w:hAnsi="Arial"/>
                <w:sz w:val="12"/>
                <w:szCs w:val="12"/>
                <w:b w:val="1"/>
                <w:bCs w:val="1"/>
                <w:color w:val="auto"/>
                <w:w w:val="88"/>
              </w:rPr>
              <w:t>December 31, 2020</w:t>
            </w:r>
          </w:p>
        </w:tc>
        <w:tc>
          <w:tcPr>
            <w:tcW w:w="1060" w:type="dxa"/>
            <w:vAlign w:val="bottom"/>
            <w:tcBorders>
              <w:bottom w:val="single" w:sz="8" w:color="auto"/>
            </w:tcBorders>
          </w:tcPr>
          <w:p>
            <w:pPr>
              <w:spacing w:after="0"/>
              <w:rPr>
                <w:sz w:val="13"/>
                <w:szCs w:val="13"/>
                <w:color w:val="auto"/>
              </w:rPr>
            </w:pPr>
          </w:p>
        </w:tc>
      </w:tr>
      <w:tr>
        <w:trPr>
          <w:trHeight w:val="157"/>
        </w:trPr>
        <w:tc>
          <w:tcPr>
            <w:tcW w:w="8160" w:type="dxa"/>
            <w:vAlign w:val="bottom"/>
          </w:tcPr>
          <w:p>
            <w:pPr>
              <w:spacing w:after="0"/>
              <w:rPr>
                <w:sz w:val="20"/>
                <w:szCs w:val="20"/>
                <w:color w:val="auto"/>
              </w:rPr>
            </w:pPr>
            <w:r>
              <w:rPr>
                <w:rFonts w:ascii="Arial" w:cs="Arial" w:eastAsia="Arial" w:hAnsi="Arial"/>
                <w:sz w:val="12"/>
                <w:szCs w:val="12"/>
                <w:b w:val="1"/>
                <w:bCs w:val="1"/>
                <w:color w:val="auto"/>
              </w:rPr>
              <w:t>U.S. State:</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Unpaid Principal Balance</w:t>
            </w:r>
          </w:p>
        </w:tc>
        <w:tc>
          <w:tcPr>
            <w:tcW w:w="1060" w:type="dxa"/>
            <w:vAlign w:val="bottom"/>
          </w:tcPr>
          <w:p>
            <w:pPr>
              <w:jc w:val="right"/>
              <w:ind w:right="440"/>
              <w:spacing w:after="0"/>
              <w:rPr>
                <w:sz w:val="20"/>
                <w:szCs w:val="20"/>
                <w:color w:val="auto"/>
              </w:rPr>
            </w:pPr>
            <w:r>
              <w:rPr>
                <w:rFonts w:ascii="Arial" w:cs="Arial" w:eastAsia="Arial" w:hAnsi="Arial"/>
                <w:sz w:val="12"/>
                <w:szCs w:val="12"/>
                <w:b w:val="1"/>
                <w:bCs w:val="1"/>
                <w:color w:val="auto"/>
                <w:w w:val="94"/>
              </w:rPr>
              <w:t>% of Total</w:t>
            </w:r>
          </w:p>
        </w:tc>
      </w:tr>
      <w:tr>
        <w:trPr>
          <w:trHeight w:val="147"/>
        </w:trPr>
        <w:tc>
          <w:tcPr>
            <w:tcW w:w="8160" w:type="dxa"/>
            <w:vAlign w:val="bottom"/>
          </w:tcPr>
          <w:p>
            <w:pPr>
              <w:spacing w:after="0"/>
              <w:rPr>
                <w:sz w:val="20"/>
                <w:szCs w:val="20"/>
                <w:color w:val="auto"/>
              </w:rPr>
            </w:pPr>
            <w:r>
              <w:rPr>
                <w:rFonts w:ascii="Arial" w:cs="Arial" w:eastAsia="Arial" w:hAnsi="Arial"/>
                <w:sz w:val="12"/>
                <w:szCs w:val="12"/>
                <w:color w:val="auto"/>
              </w:rPr>
              <w:t>California</w:t>
            </w:r>
          </w:p>
        </w:tc>
        <w:tc>
          <w:tcPr>
            <w:tcW w:w="560" w:type="dxa"/>
            <w:vAlign w:val="bottom"/>
            <w:tcBorders>
              <w:top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164</w:t>
            </w: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15 %</w:t>
            </w:r>
          </w:p>
        </w:tc>
      </w:tr>
      <w:tr>
        <w:trPr>
          <w:trHeight w:val="160"/>
        </w:trPr>
        <w:tc>
          <w:tcPr>
            <w:tcW w:w="8160" w:type="dxa"/>
            <w:vAlign w:val="bottom"/>
            <w:shd w:val="clear" w:color="auto" w:fill="CCEEFF"/>
          </w:tcPr>
          <w:p>
            <w:pPr>
              <w:spacing w:after="0"/>
              <w:rPr>
                <w:sz w:val="20"/>
                <w:szCs w:val="20"/>
                <w:color w:val="auto"/>
              </w:rPr>
            </w:pPr>
            <w:r>
              <w:rPr>
                <w:rFonts w:ascii="Arial" w:cs="Arial" w:eastAsia="Arial" w:hAnsi="Arial"/>
                <w:sz w:val="12"/>
                <w:szCs w:val="12"/>
                <w:color w:val="auto"/>
              </w:rPr>
              <w:t>Florida</w:t>
            </w: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r>
      <w:tr>
        <w:trPr>
          <w:trHeight w:val="155"/>
        </w:trPr>
        <w:tc>
          <w:tcPr>
            <w:tcW w:w="8160" w:type="dxa"/>
            <w:vAlign w:val="bottom"/>
          </w:tcPr>
          <w:p>
            <w:pPr>
              <w:spacing w:after="0"/>
              <w:rPr>
                <w:sz w:val="20"/>
                <w:szCs w:val="20"/>
                <w:color w:val="auto"/>
              </w:rPr>
            </w:pPr>
            <w:r>
              <w:rPr>
                <w:rFonts w:ascii="Arial" w:cs="Arial" w:eastAsia="Arial" w:hAnsi="Arial"/>
                <w:sz w:val="12"/>
                <w:szCs w:val="12"/>
                <w:color w:val="auto"/>
              </w:rPr>
              <w:t>New Jersey</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8 %</w:t>
            </w:r>
          </w:p>
        </w:tc>
      </w:tr>
      <w:tr>
        <w:trPr>
          <w:trHeight w:val="158"/>
        </w:trPr>
        <w:tc>
          <w:tcPr>
            <w:tcW w:w="8160" w:type="dxa"/>
            <w:vAlign w:val="bottom"/>
            <w:shd w:val="clear" w:color="auto" w:fill="CCEEFF"/>
          </w:tcPr>
          <w:p>
            <w:pPr>
              <w:spacing w:after="0"/>
              <w:rPr>
                <w:sz w:val="20"/>
                <w:szCs w:val="20"/>
                <w:color w:val="auto"/>
              </w:rPr>
            </w:pPr>
            <w:r>
              <w:rPr>
                <w:rFonts w:ascii="Arial" w:cs="Arial" w:eastAsia="Arial" w:hAnsi="Arial"/>
                <w:sz w:val="12"/>
                <w:szCs w:val="12"/>
                <w:color w:val="auto"/>
              </w:rPr>
              <w:t>All Other States (1)</w:t>
            </w:r>
          </w:p>
        </w:tc>
        <w:tc>
          <w:tcPr>
            <w:tcW w:w="5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704</w:t>
            </w:r>
          </w:p>
        </w:tc>
        <w:tc>
          <w:tcPr>
            <w:tcW w:w="1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61 %</w:t>
            </w:r>
          </w:p>
        </w:tc>
      </w:tr>
      <w:tr>
        <w:trPr>
          <w:trHeight w:val="151"/>
        </w:trPr>
        <w:tc>
          <w:tcPr>
            <w:tcW w:w="8160" w:type="dxa"/>
            <w:vAlign w:val="bottom"/>
          </w:tcPr>
          <w:p>
            <w:pPr>
              <w:spacing w:after="0"/>
              <w:rPr>
                <w:sz w:val="20"/>
                <w:szCs w:val="20"/>
                <w:color w:val="auto"/>
              </w:rPr>
            </w:pPr>
            <w:r>
              <w:rPr>
                <w:rFonts w:ascii="Arial" w:cs="Arial" w:eastAsia="Arial" w:hAnsi="Arial"/>
                <w:sz w:val="12"/>
                <w:szCs w:val="12"/>
                <w:b w:val="1"/>
                <w:bCs w:val="1"/>
                <w:color w:val="auto"/>
              </w:rPr>
              <w:t>Total residential mortgage loans</w:t>
            </w: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1,152</w:t>
            </w: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8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(1) The individual concentration of each state is less than 8%.</w:t>
      </w:r>
    </w:p>
    <w:p>
      <w:pPr>
        <w:spacing w:after="0" w:line="92" w:lineRule="exact"/>
        <w:rPr>
          <w:sz w:val="20"/>
          <w:szCs w:val="20"/>
          <w:color w:val="auto"/>
        </w:rPr>
      </w:pPr>
    </w:p>
    <w:p>
      <w:pPr>
        <w:ind w:right="20" w:firstLine="161"/>
        <w:spacing w:after="0" w:line="274" w:lineRule="auto"/>
        <w:rPr>
          <w:sz w:val="20"/>
          <w:szCs w:val="20"/>
          <w:color w:val="auto"/>
        </w:rPr>
      </w:pPr>
      <w:r>
        <w:rPr>
          <w:rFonts w:ascii="Arial" w:cs="Arial" w:eastAsia="Arial" w:hAnsi="Arial"/>
          <w:sz w:val="15"/>
          <w:szCs w:val="15"/>
          <w:color w:val="auto"/>
        </w:rPr>
        <w:t>Residential mortgage loans have a primary credit quality indicator of either a performing or nonperforming loan. We define non-performing residential mortgage loans as those that are 90 or more days past due or in nonaccrual status, which is assessed monthly. The credit quality of RMLs was as follows (dollars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ind w:left="740"/>
              <w:spacing w:after="0"/>
              <w:rPr>
                <w:sz w:val="20"/>
                <w:szCs w:val="20"/>
                <w:color w:val="auto"/>
              </w:rPr>
            </w:pPr>
            <w:r>
              <w:rPr>
                <w:rFonts w:ascii="Arial" w:cs="Arial" w:eastAsia="Arial" w:hAnsi="Arial"/>
                <w:sz w:val="12"/>
                <w:szCs w:val="12"/>
                <w:b w:val="1"/>
                <w:bCs w:val="1"/>
                <w:color w:val="auto"/>
              </w:rPr>
              <w:t>December 31, 2021</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2"/>
                <w:szCs w:val="12"/>
                <w:b w:val="1"/>
                <w:bCs w:val="1"/>
                <w:color w:val="auto"/>
              </w:rPr>
              <w:t>December 31, 2020</w:t>
            </w:r>
          </w:p>
        </w:tc>
      </w:tr>
      <w:tr>
        <w:trPr>
          <w:trHeight w:val="157"/>
        </w:trPr>
        <w:tc>
          <w:tcPr>
            <w:tcW w:w="5600" w:type="dxa"/>
            <w:vAlign w:val="bottom"/>
          </w:tcPr>
          <w:p>
            <w:pPr>
              <w:spacing w:after="0"/>
              <w:rPr>
                <w:sz w:val="20"/>
                <w:szCs w:val="20"/>
                <w:color w:val="auto"/>
              </w:rPr>
            </w:pPr>
            <w:r>
              <w:rPr>
                <w:rFonts w:ascii="Arial" w:cs="Arial" w:eastAsia="Arial" w:hAnsi="Arial"/>
                <w:sz w:val="12"/>
                <w:szCs w:val="12"/>
                <w:b w:val="1"/>
                <w:bCs w:val="1"/>
                <w:color w:val="auto"/>
              </w:rPr>
              <w:t>Performance indicators:</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Carrying Value</w:t>
            </w:r>
          </w:p>
        </w:tc>
        <w:tc>
          <w:tcPr>
            <w:tcW w:w="1000" w:type="dxa"/>
            <w:vAlign w:val="bottom"/>
          </w:tcPr>
          <w:p>
            <w:pPr>
              <w:ind w:left="420"/>
              <w:spacing w:after="0"/>
              <w:rPr>
                <w:sz w:val="20"/>
                <w:szCs w:val="20"/>
                <w:color w:val="auto"/>
              </w:rPr>
            </w:pPr>
            <w:r>
              <w:rPr>
                <w:rFonts w:ascii="Arial" w:cs="Arial" w:eastAsia="Arial" w:hAnsi="Arial"/>
                <w:sz w:val="12"/>
                <w:szCs w:val="12"/>
                <w:b w:val="1"/>
                <w:bCs w:val="1"/>
                <w:color w:val="auto"/>
                <w:w w:val="97"/>
              </w:rPr>
              <w:t>% of Total</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2"/>
                <w:szCs w:val="12"/>
                <w:b w:val="1"/>
                <w:bCs w:val="1"/>
                <w:color w:val="auto"/>
              </w:rPr>
              <w:t>Carrying Value</w:t>
            </w:r>
          </w:p>
        </w:tc>
        <w:tc>
          <w:tcPr>
            <w:tcW w:w="1380" w:type="dxa"/>
            <w:vAlign w:val="bottom"/>
          </w:tcPr>
          <w:p>
            <w:pPr>
              <w:jc w:val="right"/>
              <w:ind w:right="360"/>
              <w:spacing w:after="0"/>
              <w:rPr>
                <w:sz w:val="20"/>
                <w:szCs w:val="20"/>
                <w:color w:val="auto"/>
              </w:rPr>
            </w:pPr>
            <w:r>
              <w:rPr>
                <w:rFonts w:ascii="Arial" w:cs="Arial" w:eastAsia="Arial" w:hAnsi="Arial"/>
                <w:sz w:val="12"/>
                <w:szCs w:val="12"/>
                <w:b w:val="1"/>
                <w:bCs w:val="1"/>
                <w:color w:val="auto"/>
              </w:rPr>
              <w:t>% of Total</w:t>
            </w:r>
          </w:p>
        </w:tc>
      </w:tr>
      <w:tr>
        <w:trPr>
          <w:trHeight w:val="147"/>
        </w:trPr>
        <w:tc>
          <w:tcPr>
            <w:tcW w:w="5600" w:type="dxa"/>
            <w:vAlign w:val="bottom"/>
          </w:tcPr>
          <w:p>
            <w:pPr>
              <w:spacing w:after="0"/>
              <w:rPr>
                <w:sz w:val="20"/>
                <w:szCs w:val="20"/>
                <w:color w:val="auto"/>
              </w:rPr>
            </w:pPr>
            <w:r>
              <w:rPr>
                <w:rFonts w:ascii="Arial" w:cs="Arial" w:eastAsia="Arial" w:hAnsi="Arial"/>
                <w:sz w:val="12"/>
                <w:szCs w:val="12"/>
                <w:color w:val="auto"/>
              </w:rPr>
              <w:t>Performing</w:t>
            </w: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1,533</w:t>
            </w: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95 %</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1,059</w:t>
            </w:r>
          </w:p>
        </w:tc>
        <w:tc>
          <w:tcPr>
            <w:tcW w:w="100" w:type="dxa"/>
            <w:vAlign w:val="bottom"/>
          </w:tcPr>
          <w:p>
            <w:pPr>
              <w:spacing w:after="0"/>
              <w:rPr>
                <w:sz w:val="12"/>
                <w:szCs w:val="12"/>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91 %</w:t>
            </w:r>
          </w:p>
        </w:tc>
      </w:tr>
      <w:tr>
        <w:trPr>
          <w:trHeight w:val="160"/>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Non-performing</w:t>
            </w:r>
          </w:p>
        </w:tc>
        <w:tc>
          <w:tcPr>
            <w:tcW w:w="1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12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9 %</w:t>
            </w:r>
          </w:p>
        </w:tc>
      </w:tr>
      <w:tr>
        <w:trPr>
          <w:trHeight w:val="147"/>
        </w:trPr>
        <w:tc>
          <w:tcPr>
            <w:tcW w:w="560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Total residential mortgage loans, gross of valuation allowance</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1,606</w:t>
            </w: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100 %</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1165</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149"/>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Allowance for expected loan loss</w:t>
            </w: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1"/>
        </w:trPr>
        <w:tc>
          <w:tcPr>
            <w:tcW w:w="5600" w:type="dxa"/>
            <w:vAlign w:val="bottom"/>
          </w:tcPr>
          <w:p>
            <w:pPr>
              <w:spacing w:after="0"/>
              <w:rPr>
                <w:sz w:val="20"/>
                <w:szCs w:val="20"/>
                <w:color w:val="auto"/>
              </w:rPr>
            </w:pPr>
            <w:r>
              <w:rPr>
                <w:rFonts w:ascii="Arial" w:cs="Arial" w:eastAsia="Arial" w:hAnsi="Arial"/>
                <w:sz w:val="12"/>
                <w:szCs w:val="12"/>
                <w:color w:val="auto"/>
              </w:rPr>
              <w:t>Total residential mortgage loans</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1,581</w:t>
            </w: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100 %</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1128</w:t>
            </w: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Loans segregated by risk rating exposure were as follows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8"/>
              </w:rPr>
              <w:t>December 31, 2021</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91"/>
              </w:rPr>
              <w:t>Amortized Cost by Origination Year</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2018</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2017</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Prior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8"/>
        </w:trPr>
        <w:tc>
          <w:tcPr>
            <w:tcW w:w="4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Residential mortgages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Current (less than 30 days past due)</w:t>
            </w:r>
          </w:p>
        </w:tc>
        <w:tc>
          <w:tcPr>
            <w:tcW w:w="580" w:type="dxa"/>
            <w:vAlign w:val="bottom"/>
          </w:tcPr>
          <w:p>
            <w:pPr>
              <w:jc w:val="right"/>
              <w:ind w:right="468"/>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795</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293</w:t>
            </w:r>
          </w:p>
        </w:tc>
        <w:tc>
          <w:tcPr>
            <w:tcW w:w="2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323</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w:t>
            </w:r>
          </w:p>
        </w:tc>
        <w:tc>
          <w:tcPr>
            <w:tcW w:w="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36</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21</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1,518</w:t>
            </w:r>
          </w:p>
        </w:tc>
        <w:tc>
          <w:tcPr>
            <w:tcW w:w="0" w:type="dxa"/>
            <w:vAlign w:val="bottom"/>
          </w:tcPr>
          <w:p>
            <w:pPr>
              <w:spacing w:after="0"/>
              <w:rPr>
                <w:sz w:val="1"/>
                <w:szCs w:val="1"/>
                <w:color w:val="auto"/>
              </w:rPr>
            </w:pPr>
          </w:p>
        </w:tc>
      </w:tr>
      <w:tr>
        <w:trPr>
          <w:trHeight w:val="160"/>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30-89 days past due</w:t>
            </w: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55"/>
        </w:trPr>
        <w:tc>
          <w:tcPr>
            <w:tcW w:w="4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Over 90 days past due</w:t>
            </w: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76"/>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residential mortgages</w:t>
            </w:r>
          </w:p>
        </w:tc>
        <w:tc>
          <w:tcPr>
            <w:tcW w:w="5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801</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375</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b w:val="1"/>
                <w:bCs w:val="1"/>
                <w:color w:val="auto"/>
              </w:rPr>
              <w:t>Commercial mortgages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8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Current (less than 30 days past due)</w:t>
            </w:r>
          </w:p>
        </w:tc>
        <w:tc>
          <w:tcPr>
            <w:tcW w:w="580" w:type="dxa"/>
            <w:vAlign w:val="bottom"/>
            <w:shd w:val="clear" w:color="auto" w:fill="CCEEFF"/>
          </w:tcPr>
          <w:p>
            <w:pPr>
              <w:jc w:val="right"/>
              <w:ind w:right="468"/>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1,301</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2,174</w:t>
            </w:r>
          </w:p>
        </w:tc>
        <w:tc>
          <w:tcPr>
            <w:tcW w:w="0" w:type="dxa"/>
            <w:vAlign w:val="bottom"/>
          </w:tcPr>
          <w:p>
            <w:pPr>
              <w:spacing w:after="0"/>
              <w:rPr>
                <w:sz w:val="1"/>
                <w:szCs w:val="1"/>
                <w:color w:val="auto"/>
              </w:rPr>
            </w:pP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30-89 days past due</w:t>
            </w:r>
          </w:p>
        </w:tc>
        <w:tc>
          <w:tcPr>
            <w:tcW w:w="5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Over 90 days past due</w:t>
            </w:r>
          </w:p>
        </w:tc>
        <w:tc>
          <w:tcPr>
            <w:tcW w:w="5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4800" w:type="dxa"/>
            <w:vAlign w:val="bottom"/>
          </w:tcPr>
          <w:p>
            <w:pPr>
              <w:spacing w:after="0"/>
              <w:rPr>
                <w:sz w:val="20"/>
                <w:szCs w:val="20"/>
                <w:color w:val="auto"/>
              </w:rPr>
            </w:pPr>
            <w:r>
              <w:rPr>
                <w:rFonts w:ascii="Arial" w:cs="Arial" w:eastAsia="Arial" w:hAnsi="Arial"/>
                <w:sz w:val="12"/>
                <w:szCs w:val="12"/>
                <w:color w:val="auto"/>
              </w:rPr>
              <w:t>Total commercial mortgages</w:t>
            </w:r>
          </w:p>
        </w:tc>
        <w:tc>
          <w:tcPr>
            <w:tcW w:w="58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1,301</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w:t>
            </w: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324</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8"/>
              </w:rPr>
              <w:t>December 31, 2020</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91"/>
              </w:rPr>
              <w:t>Amortized Cost by Origination Year</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2017</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2016</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Prior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8"/>
        </w:trPr>
        <w:tc>
          <w:tcPr>
            <w:tcW w:w="4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Residential mortgages</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Current (less than 30 days past due)</w:t>
            </w:r>
          </w:p>
        </w:tc>
        <w:tc>
          <w:tcPr>
            <w:tcW w:w="620" w:type="dxa"/>
            <w:vAlign w:val="bottom"/>
          </w:tcPr>
          <w:p>
            <w:pPr>
              <w:jc w:val="right"/>
              <w:ind w:right="508"/>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311</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545</w:t>
            </w:r>
          </w:p>
        </w:tc>
        <w:tc>
          <w:tcPr>
            <w:tcW w:w="2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68</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42</w:t>
            </w:r>
          </w:p>
        </w:tc>
        <w:tc>
          <w:tcPr>
            <w:tcW w:w="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62</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1,030</w:t>
            </w:r>
          </w:p>
        </w:tc>
        <w:tc>
          <w:tcPr>
            <w:tcW w:w="0" w:type="dxa"/>
            <w:vAlign w:val="bottom"/>
          </w:tcPr>
          <w:p>
            <w:pPr>
              <w:spacing w:after="0"/>
              <w:rPr>
                <w:sz w:val="1"/>
                <w:szCs w:val="1"/>
                <w:color w:val="auto"/>
              </w:rPr>
            </w:pPr>
          </w:p>
        </w:tc>
      </w:tr>
      <w:tr>
        <w:trPr>
          <w:trHeight w:val="160"/>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30-89 days past due</w:t>
            </w: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55"/>
        </w:trPr>
        <w:tc>
          <w:tcPr>
            <w:tcW w:w="4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Over 90 days past due</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76"/>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residential mortgages</w:t>
            </w:r>
          </w:p>
        </w:tc>
        <w:tc>
          <w:tcPr>
            <w:tcW w:w="62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641</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b w:val="1"/>
                <w:bCs w:val="1"/>
                <w:color w:val="auto"/>
              </w:rPr>
              <w:t>Commercial mortgages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8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Current (less than 30 days past due)</w:t>
            </w:r>
          </w:p>
        </w:tc>
        <w:tc>
          <w:tcPr>
            <w:tcW w:w="620" w:type="dxa"/>
            <w:vAlign w:val="bottom"/>
            <w:shd w:val="clear" w:color="auto" w:fill="CCEEFF"/>
          </w:tcPr>
          <w:p>
            <w:pPr>
              <w:jc w:val="right"/>
              <w:ind w:right="508"/>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w:t>
            </w:r>
          </w:p>
        </w:tc>
        <w:tc>
          <w:tcPr>
            <w:tcW w:w="0" w:type="dxa"/>
            <w:vAlign w:val="bottom"/>
          </w:tcPr>
          <w:p>
            <w:pPr>
              <w:spacing w:after="0"/>
              <w:rPr>
                <w:sz w:val="1"/>
                <w:szCs w:val="1"/>
                <w:color w:val="auto"/>
              </w:rPr>
            </w:pP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30-89 days past due</w:t>
            </w:r>
          </w:p>
        </w:tc>
        <w:tc>
          <w:tcPr>
            <w:tcW w:w="6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Over 90 days past due</w:t>
            </w:r>
          </w:p>
        </w:tc>
        <w:tc>
          <w:tcPr>
            <w:tcW w:w="6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4800" w:type="dxa"/>
            <w:vAlign w:val="bottom"/>
          </w:tcPr>
          <w:p>
            <w:pPr>
              <w:spacing w:after="0"/>
              <w:rPr>
                <w:sz w:val="20"/>
                <w:szCs w:val="20"/>
                <w:color w:val="auto"/>
              </w:rPr>
            </w:pPr>
            <w:r>
              <w:rPr>
                <w:rFonts w:ascii="Arial" w:cs="Arial" w:eastAsia="Arial" w:hAnsi="Arial"/>
                <w:sz w:val="12"/>
                <w:szCs w:val="12"/>
                <w:color w:val="auto"/>
              </w:rPr>
              <w:t>Total commercial mortgage</w:t>
            </w:r>
          </w:p>
        </w:tc>
        <w:tc>
          <w:tcPr>
            <w:tcW w:w="620" w:type="dxa"/>
            <w:vAlign w:val="bottom"/>
            <w:tcBorders>
              <w:bottom w:val="single" w:sz="8" w:color="auto"/>
            </w:tcBorders>
          </w:tcPr>
          <w:p>
            <w:pPr>
              <w:jc w:val="right"/>
              <w:ind w:right="508"/>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7" w:name="page138"/>
    <w:bookmarkEnd w:id="13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40" w:type="dxa"/>
            <w:vAlign w:val="bottom"/>
            <w:gridSpan w:val="3"/>
          </w:tcPr>
          <w:p>
            <w:pPr>
              <w:jc w:val="center"/>
              <w:ind w:right="580"/>
              <w:spacing w:after="0"/>
              <w:rPr>
                <w:sz w:val="20"/>
                <w:szCs w:val="20"/>
                <w:color w:val="auto"/>
              </w:rPr>
            </w:pPr>
            <w:r>
              <w:rPr>
                <w:rFonts w:ascii="Arial" w:cs="Arial" w:eastAsia="Arial" w:hAnsi="Arial"/>
                <w:sz w:val="12"/>
                <w:szCs w:val="12"/>
                <w:b w:val="1"/>
                <w:bCs w:val="1"/>
                <w:color w:val="auto"/>
                <w:w w:val="88"/>
              </w:rPr>
              <w:t>December 31, 2021</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2"/>
        </w:trPr>
        <w:tc>
          <w:tcPr>
            <w:tcW w:w="4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1"/>
              </w:rPr>
              <w:t>Amortized Cost by Origination Year</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53"/>
        </w:trPr>
        <w:tc>
          <w:tcPr>
            <w:tcW w:w="48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2018</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2017</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Prior</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Total</w:t>
            </w:r>
          </w:p>
        </w:tc>
      </w:tr>
      <w:tr>
        <w:trPr>
          <w:trHeight w:val="138"/>
        </w:trPr>
        <w:tc>
          <w:tcPr>
            <w:tcW w:w="4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Commercial mortgages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LTV</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0"/>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Less than 50%</w:t>
            </w:r>
          </w:p>
        </w:tc>
        <w:tc>
          <w:tcPr>
            <w:tcW w:w="580" w:type="dxa"/>
            <w:vAlign w:val="bottom"/>
            <w:shd w:val="clear" w:color="auto" w:fill="CCEEFF"/>
          </w:tcPr>
          <w:p>
            <w:pPr>
              <w:jc w:val="right"/>
              <w:ind w:right="468"/>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70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 $</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313</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668</w:t>
            </w: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50% to 60%</w:t>
            </w:r>
          </w:p>
        </w:tc>
        <w:tc>
          <w:tcPr>
            <w:tcW w:w="5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267</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192</w:t>
            </w:r>
          </w:p>
        </w:tc>
        <w:tc>
          <w:tcPr>
            <w:tcW w:w="220" w:type="dxa"/>
            <w:vAlign w:val="bottom"/>
          </w:tcPr>
          <w:p>
            <w:pPr>
              <w:spacing w:after="0"/>
              <w:rPr>
                <w:sz w:val="13"/>
                <w:szCs w:val="13"/>
                <w:color w:val="auto"/>
              </w:rPr>
            </w:pPr>
          </w:p>
        </w:tc>
        <w:tc>
          <w:tcPr>
            <w:tcW w:w="680" w:type="dxa"/>
            <w:vAlign w:val="bottom"/>
          </w:tcPr>
          <w:p>
            <w:pPr>
              <w:ind w:left="540"/>
              <w:spacing w:after="0"/>
              <w:rPr>
                <w:sz w:val="20"/>
                <w:szCs w:val="20"/>
                <w:color w:val="auto"/>
              </w:rPr>
            </w:pPr>
            <w:r>
              <w:rPr>
                <w:rFonts w:ascii="Arial" w:cs="Arial" w:eastAsia="Arial" w:hAnsi="Arial"/>
                <w:sz w:val="12"/>
                <w:szCs w:val="12"/>
                <w:color w:val="auto"/>
                <w:w w:val="99"/>
              </w:rPr>
              <w:t>—</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470</w:t>
            </w:r>
          </w:p>
        </w:tc>
      </w:tr>
      <w:tr>
        <w:trPr>
          <w:trHeight w:val="15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60% to 75%</w:t>
            </w:r>
          </w:p>
        </w:tc>
        <w:tc>
          <w:tcPr>
            <w:tcW w:w="5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1,036</w:t>
            </w:r>
          </w:p>
        </w:tc>
      </w:tr>
      <w:tr>
        <w:trPr>
          <w:trHeight w:val="151"/>
        </w:trPr>
        <w:tc>
          <w:tcPr>
            <w:tcW w:w="4800" w:type="dxa"/>
            <w:vAlign w:val="bottom"/>
          </w:tcPr>
          <w:p>
            <w:pPr>
              <w:spacing w:after="0"/>
              <w:rPr>
                <w:sz w:val="20"/>
                <w:szCs w:val="20"/>
                <w:color w:val="auto"/>
              </w:rPr>
            </w:pPr>
            <w:r>
              <w:rPr>
                <w:rFonts w:ascii="Arial" w:cs="Arial" w:eastAsia="Arial" w:hAnsi="Arial"/>
                <w:sz w:val="12"/>
                <w:szCs w:val="12"/>
                <w:color w:val="auto"/>
              </w:rPr>
              <w:t>Total commercial mortgages</w:t>
            </w:r>
          </w:p>
        </w:tc>
        <w:tc>
          <w:tcPr>
            <w:tcW w:w="58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1301</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w:t>
            </w: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324</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2174</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0"/>
        </w:trPr>
        <w:tc>
          <w:tcPr>
            <w:tcW w:w="480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Commercial mortgages</w:t>
            </w:r>
          </w:p>
        </w:tc>
        <w:tc>
          <w:tcPr>
            <w:tcW w:w="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DSCR</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0"/>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Greater than 1.25x</w:t>
            </w:r>
          </w:p>
        </w:tc>
        <w:tc>
          <w:tcPr>
            <w:tcW w:w="580" w:type="dxa"/>
            <w:vAlign w:val="bottom"/>
            <w:shd w:val="clear" w:color="auto" w:fill="CCEEFF"/>
          </w:tcPr>
          <w:p>
            <w:pPr>
              <w:jc w:val="right"/>
              <w:ind w:right="468"/>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1,301</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9"/>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70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284</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2,132</w:t>
            </w: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1.00x - 1.25x</w:t>
            </w:r>
          </w:p>
        </w:tc>
        <w:tc>
          <w:tcPr>
            <w:tcW w:w="5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80" w:type="dxa"/>
            <w:vAlign w:val="bottom"/>
          </w:tcPr>
          <w:p>
            <w:pPr>
              <w:ind w:left="540"/>
              <w:spacing w:after="0"/>
              <w:rPr>
                <w:sz w:val="20"/>
                <w:szCs w:val="20"/>
                <w:color w:val="auto"/>
              </w:rPr>
            </w:pPr>
            <w:r>
              <w:rPr>
                <w:rFonts w:ascii="Arial" w:cs="Arial" w:eastAsia="Arial" w:hAnsi="Arial"/>
                <w:sz w:val="12"/>
                <w:szCs w:val="12"/>
                <w:color w:val="auto"/>
                <w:w w:val="99"/>
              </w:rPr>
              <w:t>—</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w:t>
            </w:r>
          </w:p>
        </w:tc>
        <w:tc>
          <w:tcPr>
            <w:tcW w:w="700" w:type="dxa"/>
            <w:vAlign w:val="bottom"/>
          </w:tcPr>
          <w:p>
            <w:pPr>
              <w:spacing w:after="0"/>
              <w:rPr>
                <w:sz w:val="13"/>
                <w:szCs w:val="13"/>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31</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5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Less than 1.00x</w:t>
            </w:r>
          </w:p>
        </w:tc>
        <w:tc>
          <w:tcPr>
            <w:tcW w:w="5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51"/>
        </w:trPr>
        <w:tc>
          <w:tcPr>
            <w:tcW w:w="4800" w:type="dxa"/>
            <w:vAlign w:val="bottom"/>
          </w:tcPr>
          <w:p>
            <w:pPr>
              <w:spacing w:after="0"/>
              <w:rPr>
                <w:sz w:val="20"/>
                <w:szCs w:val="20"/>
                <w:color w:val="auto"/>
              </w:rPr>
            </w:pPr>
            <w:r>
              <w:rPr>
                <w:rFonts w:ascii="Arial" w:cs="Arial" w:eastAsia="Arial" w:hAnsi="Arial"/>
                <w:sz w:val="12"/>
                <w:szCs w:val="12"/>
                <w:color w:val="auto"/>
              </w:rPr>
              <w:t>Total commercial mortgages</w:t>
            </w:r>
          </w:p>
        </w:tc>
        <w:tc>
          <w:tcPr>
            <w:tcW w:w="58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1301</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w:t>
            </w: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324</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2174</w:t>
            </w:r>
          </w:p>
        </w:tc>
      </w:tr>
      <w:tr>
        <w:trPr>
          <w:trHeight w:val="20"/>
        </w:trPr>
        <w:tc>
          <w:tcPr>
            <w:tcW w:w="4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40" w:type="dxa"/>
            <w:vAlign w:val="bottom"/>
            <w:gridSpan w:val="3"/>
          </w:tcPr>
          <w:p>
            <w:pPr>
              <w:jc w:val="center"/>
              <w:ind w:right="580"/>
              <w:spacing w:after="0"/>
              <w:rPr>
                <w:sz w:val="20"/>
                <w:szCs w:val="20"/>
                <w:color w:val="auto"/>
              </w:rPr>
            </w:pPr>
            <w:r>
              <w:rPr>
                <w:rFonts w:ascii="Arial" w:cs="Arial" w:eastAsia="Arial" w:hAnsi="Arial"/>
                <w:sz w:val="12"/>
                <w:szCs w:val="12"/>
                <w:b w:val="1"/>
                <w:bCs w:val="1"/>
                <w:color w:val="auto"/>
                <w:w w:val="88"/>
              </w:rPr>
              <w:t>December 31, 2020</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2"/>
        </w:trPr>
        <w:tc>
          <w:tcPr>
            <w:tcW w:w="4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1"/>
              </w:rPr>
              <w:t>Amortized Cost by Origination Year</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53"/>
        </w:trPr>
        <w:tc>
          <w:tcPr>
            <w:tcW w:w="48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70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w w:val="89"/>
              </w:rPr>
              <w:t>2017</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2016</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Prior</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Total</w:t>
            </w:r>
          </w:p>
        </w:tc>
      </w:tr>
      <w:tr>
        <w:trPr>
          <w:trHeight w:val="138"/>
        </w:trPr>
        <w:tc>
          <w:tcPr>
            <w:tcW w:w="4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Commercial mortgages</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LTV</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0"/>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Less than 50%</w:t>
            </w:r>
          </w:p>
        </w:tc>
        <w:tc>
          <w:tcPr>
            <w:tcW w:w="620" w:type="dxa"/>
            <w:vAlign w:val="bottom"/>
            <w:shd w:val="clear" w:color="auto" w:fill="CCEEFF"/>
          </w:tcPr>
          <w:p>
            <w:pPr>
              <w:jc w:val="right"/>
              <w:ind w:right="508"/>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 $</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 $</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303</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w:t>
            </w: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50% to 60%</w:t>
            </w:r>
          </w:p>
        </w:tc>
        <w:tc>
          <w:tcPr>
            <w:tcW w:w="6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192</w:t>
            </w:r>
          </w:p>
        </w:tc>
        <w:tc>
          <w:tcPr>
            <w:tcW w:w="220" w:type="dxa"/>
            <w:vAlign w:val="bottom"/>
          </w:tcPr>
          <w:p>
            <w:pPr>
              <w:spacing w:after="0"/>
              <w:rPr>
                <w:sz w:val="13"/>
                <w:szCs w:val="13"/>
                <w:color w:val="auto"/>
              </w:rPr>
            </w:pPr>
          </w:p>
        </w:tc>
        <w:tc>
          <w:tcPr>
            <w:tcW w:w="700" w:type="dxa"/>
            <w:vAlign w:val="bottom"/>
          </w:tcPr>
          <w:p>
            <w:pPr>
              <w:ind w:left="5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2"/>
                <w:szCs w:val="12"/>
                <w:color w:val="auto"/>
                <w:w w:val="99"/>
              </w:rPr>
              <w:t>—</w:t>
            </w:r>
          </w:p>
        </w:tc>
        <w:tc>
          <w:tcPr>
            <w:tcW w:w="700" w:type="dxa"/>
            <w:vAlign w:val="bottom"/>
          </w:tcPr>
          <w:p>
            <w:pPr>
              <w:spacing w:after="0"/>
              <w:rPr>
                <w:sz w:val="13"/>
                <w:szCs w:val="13"/>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11</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43</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246</w:t>
            </w:r>
          </w:p>
        </w:tc>
      </w:tr>
      <w:tr>
        <w:trPr>
          <w:trHeight w:val="15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60% to 75%</w:t>
            </w:r>
          </w:p>
        </w:tc>
        <w:tc>
          <w:tcPr>
            <w:tcW w:w="6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w w:val="99"/>
              </w:rPr>
              <w:t>—</w:t>
            </w:r>
          </w:p>
        </w:tc>
        <w:tc>
          <w:tcPr>
            <w:tcW w:w="7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w:t>
            </w:r>
          </w:p>
        </w:tc>
      </w:tr>
      <w:tr>
        <w:trPr>
          <w:trHeight w:val="151"/>
        </w:trPr>
        <w:tc>
          <w:tcPr>
            <w:tcW w:w="4800" w:type="dxa"/>
            <w:vAlign w:val="bottom"/>
          </w:tcPr>
          <w:p>
            <w:pPr>
              <w:spacing w:after="0"/>
              <w:rPr>
                <w:sz w:val="20"/>
                <w:szCs w:val="20"/>
                <w:color w:val="auto"/>
              </w:rPr>
            </w:pPr>
            <w:r>
              <w:rPr>
                <w:rFonts w:ascii="Arial" w:cs="Arial" w:eastAsia="Arial" w:hAnsi="Arial"/>
                <w:sz w:val="12"/>
                <w:szCs w:val="12"/>
                <w:color w:val="auto"/>
              </w:rPr>
              <w:t>Total commercial mortgages</w:t>
            </w:r>
          </w:p>
        </w:tc>
        <w:tc>
          <w:tcPr>
            <w:tcW w:w="620" w:type="dxa"/>
            <w:vAlign w:val="bottom"/>
            <w:tcBorders>
              <w:bottom w:val="single" w:sz="8" w:color="auto"/>
            </w:tcBorders>
          </w:tcPr>
          <w:p>
            <w:pPr>
              <w:jc w:val="right"/>
              <w:ind w:right="508"/>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99"/>
              </w:rPr>
              <w:t>—</w:t>
            </w:r>
          </w:p>
        </w:tc>
        <w:tc>
          <w:tcPr>
            <w:tcW w:w="7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11</w:t>
            </w: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346</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905</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0"/>
        </w:trPr>
        <w:tc>
          <w:tcPr>
            <w:tcW w:w="480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Commercial mortgages</w:t>
            </w: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DSCR</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0"/>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Greater than 1.25x</w:t>
            </w:r>
          </w:p>
        </w:tc>
        <w:tc>
          <w:tcPr>
            <w:tcW w:w="620" w:type="dxa"/>
            <w:vAlign w:val="bottom"/>
            <w:shd w:val="clear" w:color="auto" w:fill="CCEEFF"/>
          </w:tcPr>
          <w:p>
            <w:pPr>
              <w:jc w:val="right"/>
              <w:ind w:right="508"/>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9"/>
              </w:rPr>
              <w:t>—</w:t>
            </w:r>
          </w:p>
        </w:tc>
        <w:tc>
          <w:tcPr>
            <w:tcW w:w="70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11</w:t>
            </w: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319</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878</w:t>
            </w:r>
          </w:p>
        </w:tc>
      </w:tr>
      <w:tr>
        <w:trPr>
          <w:trHeight w:val="155"/>
        </w:trPr>
        <w:tc>
          <w:tcPr>
            <w:tcW w:w="4800" w:type="dxa"/>
            <w:vAlign w:val="bottom"/>
          </w:tcPr>
          <w:p>
            <w:pPr>
              <w:spacing w:after="0"/>
              <w:rPr>
                <w:sz w:val="20"/>
                <w:szCs w:val="20"/>
                <w:color w:val="auto"/>
              </w:rPr>
            </w:pPr>
            <w:r>
              <w:rPr>
                <w:rFonts w:ascii="Arial" w:cs="Arial" w:eastAsia="Arial" w:hAnsi="Arial"/>
                <w:sz w:val="12"/>
                <w:szCs w:val="12"/>
                <w:color w:val="auto"/>
              </w:rPr>
              <w:t>1.00x - 1.25x</w:t>
            </w:r>
          </w:p>
        </w:tc>
        <w:tc>
          <w:tcPr>
            <w:tcW w:w="6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ind w:left="5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2"/>
                <w:szCs w:val="12"/>
                <w:color w:val="auto"/>
                <w:w w:val="99"/>
              </w:rPr>
              <w:t>—</w:t>
            </w:r>
          </w:p>
        </w:tc>
        <w:tc>
          <w:tcPr>
            <w:tcW w:w="700" w:type="dxa"/>
            <w:vAlign w:val="bottom"/>
          </w:tcPr>
          <w:p>
            <w:pPr>
              <w:spacing w:after="0"/>
              <w:rPr>
                <w:sz w:val="13"/>
                <w:szCs w:val="13"/>
                <w:color w:val="auto"/>
              </w:rPr>
            </w:pPr>
          </w:p>
        </w:tc>
        <w:tc>
          <w:tcPr>
            <w:tcW w:w="240" w:type="dxa"/>
            <w:vAlign w:val="bottom"/>
          </w:tcPr>
          <w:p>
            <w:pPr>
              <w:ind w:left="8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27</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5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Less than 1.00x</w:t>
            </w:r>
          </w:p>
        </w:tc>
        <w:tc>
          <w:tcPr>
            <w:tcW w:w="6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w w:val="99"/>
              </w:rPr>
              <w:t>—</w:t>
            </w:r>
          </w:p>
        </w:tc>
        <w:tc>
          <w:tcPr>
            <w:tcW w:w="7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4800" w:type="dxa"/>
            <w:vAlign w:val="bottom"/>
          </w:tcPr>
          <w:p>
            <w:pPr>
              <w:spacing w:after="0"/>
              <w:rPr>
                <w:sz w:val="20"/>
                <w:szCs w:val="20"/>
                <w:color w:val="auto"/>
              </w:rPr>
            </w:pPr>
            <w:r>
              <w:rPr>
                <w:rFonts w:ascii="Arial" w:cs="Arial" w:eastAsia="Arial" w:hAnsi="Arial"/>
                <w:sz w:val="12"/>
                <w:szCs w:val="12"/>
                <w:color w:val="auto"/>
              </w:rPr>
              <w:t>Total commercial mortgages</w:t>
            </w:r>
          </w:p>
        </w:tc>
        <w:tc>
          <w:tcPr>
            <w:tcW w:w="620" w:type="dxa"/>
            <w:vAlign w:val="bottom"/>
            <w:tcBorders>
              <w:bottom w:val="single" w:sz="8" w:color="auto"/>
            </w:tcBorders>
          </w:tcPr>
          <w:p>
            <w:pPr>
              <w:jc w:val="right"/>
              <w:ind w:right="508"/>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7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99"/>
              </w:rPr>
              <w:t>—</w:t>
            </w:r>
          </w:p>
        </w:tc>
        <w:tc>
          <w:tcPr>
            <w:tcW w:w="7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11</w:t>
            </w: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346</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905</w:t>
            </w:r>
          </w:p>
        </w:tc>
      </w:tr>
      <w:tr>
        <w:trPr>
          <w:trHeight w:val="20"/>
        </w:trPr>
        <w:tc>
          <w:tcPr>
            <w:tcW w:w="4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Non-accrual loans by amortized cost were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Amortized cost of loans on non-accrual</w:t>
            </w:r>
          </w:p>
        </w:tc>
        <w:tc>
          <w:tcPr>
            <w:tcW w:w="28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b w:val="1"/>
                <w:bCs w:val="1"/>
                <w:color w:val="auto"/>
              </w:rPr>
              <w:t>December 31, 2021</w:t>
            </w:r>
          </w:p>
        </w:tc>
        <w:tc>
          <w:tcPr>
            <w:tcW w:w="30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b w:val="1"/>
                <w:bCs w:val="1"/>
                <w:color w:val="auto"/>
              </w:rPr>
              <w:t>December 31, 2020</w:t>
            </w: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Residential mortgage:</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72</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Commercial mortgage:</w:t>
            </w:r>
          </w:p>
        </w:tc>
        <w:tc>
          <w:tcPr>
            <w:tcW w:w="28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7300" w:type="dxa"/>
            <w:vAlign w:val="bottom"/>
          </w:tcPr>
          <w:p>
            <w:pPr>
              <w:spacing w:after="0"/>
              <w:rPr>
                <w:sz w:val="20"/>
                <w:szCs w:val="20"/>
                <w:color w:val="auto"/>
              </w:rPr>
            </w:pPr>
            <w:r>
              <w:rPr>
                <w:rFonts w:ascii="Arial" w:cs="Arial" w:eastAsia="Arial" w:hAnsi="Arial"/>
                <w:sz w:val="12"/>
                <w:szCs w:val="12"/>
                <w:color w:val="auto"/>
              </w:rPr>
              <w:t>Total non-accrual loans</w:t>
            </w: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Immaterial interest income was recognized on non-accrual financing receivables for the years ended December 31, 2021 and 2020.</w:t>
      </w:r>
    </w:p>
    <w:p>
      <w:pPr>
        <w:spacing w:after="0" w:line="120" w:lineRule="exact"/>
        <w:rPr>
          <w:sz w:val="20"/>
          <w:szCs w:val="20"/>
          <w:color w:val="auto"/>
        </w:rPr>
      </w:pPr>
    </w:p>
    <w:p>
      <w:pPr>
        <w:jc w:val="both"/>
        <w:ind w:firstLine="338"/>
        <w:spacing w:after="0" w:line="245" w:lineRule="auto"/>
        <w:rPr>
          <w:sz w:val="20"/>
          <w:szCs w:val="20"/>
          <w:color w:val="auto"/>
        </w:rPr>
      </w:pPr>
      <w:r>
        <w:rPr>
          <w:rFonts w:ascii="Arial" w:cs="Arial" w:eastAsia="Arial" w:hAnsi="Arial"/>
          <w:sz w:val="14"/>
          <w:szCs w:val="14"/>
          <w:color w:val="auto"/>
        </w:rPr>
        <w:t>It is our policy to cease to accrue interest on loans that are over 90 days delinquent. For loans less than 90 days delinquent, interest is accrued unless it is determined that the accrued interest is not collectible. If a loan becomes over 90 days delinquent, it is our general policy to initiate foreclosure proceedings unless a workout arrangement to bring the loan current is in place. At December 31, 2021 and 2020, we had $72 million and $99 million, respectively, of mortgage loans that were over 90 days past due, of which $39 million and $24 million, respectively, were in the process of foreclosure. We will continue to evaluate these policies with regard to the economic challenges for mortgage debtors related to COVID-19. Our ability to initiate foreclosure proceedings may be limited by legislation passed and executive orders issued in response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8" w:name="page139"/>
    <w:bookmarkEnd w:id="13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Allowance for Expected Credit Loss</w:t>
      </w:r>
    </w:p>
    <w:p>
      <w:pPr>
        <w:spacing w:after="0" w:line="17" w:lineRule="exact"/>
        <w:rPr>
          <w:sz w:val="20"/>
          <w:szCs w:val="20"/>
          <w:color w:val="auto"/>
        </w:rPr>
      </w:pPr>
    </w:p>
    <w:p>
      <w:pPr>
        <w:jc w:val="both"/>
        <w:ind w:firstLine="338"/>
        <w:spacing w:after="0" w:line="250" w:lineRule="auto"/>
        <w:rPr>
          <w:sz w:val="20"/>
          <w:szCs w:val="20"/>
          <w:color w:val="auto"/>
        </w:rPr>
      </w:pPr>
      <w:r>
        <w:rPr>
          <w:rFonts w:ascii="Arial" w:cs="Arial" w:eastAsia="Arial" w:hAnsi="Arial"/>
          <w:sz w:val="15"/>
          <w:szCs w:val="15"/>
          <w:color w:val="auto"/>
        </w:rPr>
        <w:t>We estimate expected credit losses for our residential mortgage loan portfolio using a probability of default/loss given default model. Significant inputs to this model include the loans' current performance, underlying collateral type, location, contractual life, LTV,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Consolidated Statements of Earnings.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allowances for our mortgage loan portfolio is summarized as follows:</w:t>
      </w:r>
    </w:p>
    <w:p>
      <w:pPr>
        <w:spacing w:after="0" w:line="124"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w w:val="94"/>
              </w:rPr>
              <w:t>Year ended December 31, 2021</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2"/>
                <w:szCs w:val="12"/>
                <w:b w:val="1"/>
                <w:bCs w:val="1"/>
                <w:color w:val="auto"/>
              </w:rPr>
              <w:t>Seven months ended December 31, 2020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ind w:left="120"/>
              <w:spacing w:after="0" w:line="109" w:lineRule="exact"/>
              <w:rPr>
                <w:sz w:val="20"/>
                <w:szCs w:val="20"/>
                <w:color w:val="auto"/>
              </w:rPr>
            </w:pPr>
            <w:r>
              <w:rPr>
                <w:rFonts w:ascii="Arial" w:cs="Arial" w:eastAsia="Arial" w:hAnsi="Arial"/>
                <w:sz w:val="12"/>
                <w:szCs w:val="12"/>
                <w:b w:val="1"/>
                <w:bCs w:val="1"/>
                <w:color w:val="auto"/>
              </w:rPr>
              <w:t>Residential</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gridSpan w:val="3"/>
          </w:tcPr>
          <w:p>
            <w:pPr>
              <w:ind w:left="100"/>
              <w:spacing w:after="0" w:line="109" w:lineRule="exact"/>
              <w:rPr>
                <w:sz w:val="20"/>
                <w:szCs w:val="20"/>
                <w:color w:val="auto"/>
              </w:rPr>
            </w:pPr>
            <w:r>
              <w:rPr>
                <w:rFonts w:ascii="Arial" w:cs="Arial" w:eastAsia="Arial" w:hAnsi="Arial"/>
                <w:sz w:val="12"/>
                <w:szCs w:val="12"/>
                <w:b w:val="1"/>
                <w:bCs w:val="1"/>
                <w:color w:val="auto"/>
              </w:rPr>
              <w:t>Commercial</w:t>
            </w:r>
          </w:p>
        </w:tc>
        <w:tc>
          <w:tcPr>
            <w:tcW w:w="280" w:type="dxa"/>
            <w:vAlign w:val="bottom"/>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Total</w:t>
            </w:r>
          </w:p>
        </w:tc>
        <w:tc>
          <w:tcPr>
            <w:tcW w:w="420" w:type="dxa"/>
            <w:vAlign w:val="bottom"/>
          </w:tcPr>
          <w:p>
            <w:pPr>
              <w:spacing w:after="0"/>
              <w:rPr>
                <w:sz w:val="9"/>
                <w:szCs w:val="9"/>
                <w:color w:val="auto"/>
              </w:rPr>
            </w:pPr>
          </w:p>
        </w:tc>
        <w:tc>
          <w:tcPr>
            <w:tcW w:w="1000" w:type="dxa"/>
            <w:vAlign w:val="bottom"/>
            <w:gridSpan w:val="2"/>
          </w:tcPr>
          <w:p>
            <w:pPr>
              <w:ind w:left="140"/>
              <w:spacing w:after="0" w:line="109" w:lineRule="exact"/>
              <w:rPr>
                <w:sz w:val="20"/>
                <w:szCs w:val="20"/>
                <w:color w:val="auto"/>
              </w:rPr>
            </w:pPr>
            <w:r>
              <w:rPr>
                <w:rFonts w:ascii="Arial" w:cs="Arial" w:eastAsia="Arial" w:hAnsi="Arial"/>
                <w:sz w:val="12"/>
                <w:szCs w:val="12"/>
                <w:b w:val="1"/>
                <w:bCs w:val="1"/>
                <w:color w:val="auto"/>
              </w:rPr>
              <w:t>Residential</w:t>
            </w:r>
          </w:p>
        </w:tc>
        <w:tc>
          <w:tcPr>
            <w:tcW w:w="420" w:type="dxa"/>
            <w:vAlign w:val="bottom"/>
          </w:tcPr>
          <w:p>
            <w:pPr>
              <w:spacing w:after="0"/>
              <w:rPr>
                <w:sz w:val="9"/>
                <w:szCs w:val="9"/>
                <w:color w:val="auto"/>
              </w:rPr>
            </w:pPr>
          </w:p>
        </w:tc>
        <w:tc>
          <w:tcPr>
            <w:tcW w:w="1020" w:type="dxa"/>
            <w:vAlign w:val="bottom"/>
            <w:gridSpan w:val="2"/>
          </w:tcPr>
          <w:p>
            <w:pPr>
              <w:ind w:left="120"/>
              <w:spacing w:after="0" w:line="109" w:lineRule="exact"/>
              <w:rPr>
                <w:sz w:val="20"/>
                <w:szCs w:val="20"/>
                <w:color w:val="auto"/>
              </w:rPr>
            </w:pPr>
            <w:r>
              <w:rPr>
                <w:rFonts w:ascii="Arial" w:cs="Arial" w:eastAsia="Arial" w:hAnsi="Arial"/>
                <w:sz w:val="12"/>
                <w:szCs w:val="12"/>
                <w:b w:val="1"/>
                <w:bCs w:val="1"/>
                <w:color w:val="auto"/>
              </w:rPr>
              <w:t>Commercial</w:t>
            </w:r>
          </w:p>
        </w:tc>
        <w:tc>
          <w:tcPr>
            <w:tcW w:w="520" w:type="dxa"/>
            <w:vAlign w:val="bottom"/>
          </w:tcPr>
          <w:p>
            <w:pPr>
              <w:spacing w:after="0"/>
              <w:rPr>
                <w:sz w:val="9"/>
                <w:szCs w:val="9"/>
                <w:color w:val="auto"/>
              </w:rPr>
            </w:pPr>
          </w:p>
        </w:tc>
        <w:tc>
          <w:tcPr>
            <w:tcW w:w="660" w:type="dxa"/>
            <w:vAlign w:val="bottom"/>
            <w:vMerge w:val="restart"/>
          </w:tcPr>
          <w:p>
            <w:pPr>
              <w:jc w:val="right"/>
              <w:ind w:right="2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Mortgage</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Mortgage</w:t>
            </w:r>
          </w:p>
        </w:tc>
        <w:tc>
          <w:tcPr>
            <w:tcW w:w="2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Mortgage</w:t>
            </w:r>
          </w:p>
        </w:tc>
        <w:tc>
          <w:tcPr>
            <w:tcW w:w="42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Mortgage</w:t>
            </w:r>
          </w:p>
        </w:tc>
        <w:tc>
          <w:tcPr>
            <w:tcW w:w="5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2"/>
                <w:szCs w:val="12"/>
                <w:b w:val="1"/>
                <w:bCs w:val="1"/>
                <w:color w:val="auto"/>
              </w:rPr>
              <w:t>Beginning Balance</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shd w:val="clear" w:color="auto" w:fill="CCEEFF"/>
          </w:tcPr>
          <w:p>
            <w:pPr>
              <w:jc w:val="center"/>
              <w:ind w:left="620"/>
              <w:spacing w:after="0"/>
              <w:rPr>
                <w:sz w:val="20"/>
                <w:szCs w:val="20"/>
                <w:color w:val="auto"/>
              </w:rPr>
            </w:pPr>
            <w:r>
              <w:rPr>
                <w:rFonts w:ascii="Arial" w:cs="Arial" w:eastAsia="Arial" w:hAnsi="Arial"/>
                <w:sz w:val="12"/>
                <w:szCs w:val="12"/>
                <w:color w:val="auto"/>
                <w:w w:val="89"/>
              </w:rPr>
              <w:t>37</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2"/>
                <w:szCs w:val="12"/>
                <w:color w:val="auto"/>
              </w:rPr>
              <w:t>39</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800" w:type="dxa"/>
            <w:vAlign w:val="bottom"/>
          </w:tcPr>
          <w:p>
            <w:pPr>
              <w:ind w:left="360"/>
              <w:spacing w:after="0"/>
              <w:rPr>
                <w:sz w:val="20"/>
                <w:szCs w:val="20"/>
                <w:color w:val="auto"/>
              </w:rPr>
            </w:pPr>
            <w:r>
              <w:rPr>
                <w:rFonts w:ascii="Arial" w:cs="Arial" w:eastAsia="Arial" w:hAnsi="Arial"/>
                <w:sz w:val="12"/>
                <w:szCs w:val="12"/>
                <w:color w:val="auto"/>
              </w:rPr>
              <w:t>Provision for loan losses</w:t>
            </w:r>
          </w:p>
        </w:tc>
        <w:tc>
          <w:tcPr>
            <w:tcW w:w="420" w:type="dxa"/>
            <w:vAlign w:val="bottom"/>
          </w:tcPr>
          <w:p>
            <w:pPr>
              <w:spacing w:after="0"/>
              <w:rPr>
                <w:sz w:val="13"/>
                <w:szCs w:val="13"/>
                <w:color w:val="auto"/>
              </w:rPr>
            </w:pPr>
          </w:p>
        </w:tc>
        <w:tc>
          <w:tcPr>
            <w:tcW w:w="920" w:type="dxa"/>
            <w:vAlign w:val="bottom"/>
          </w:tcPr>
          <w:p>
            <w:pPr>
              <w:jc w:val="center"/>
              <w:ind w:left="580"/>
              <w:spacing w:after="0"/>
              <w:rPr>
                <w:sz w:val="20"/>
                <w:szCs w:val="20"/>
                <w:color w:val="auto"/>
              </w:rPr>
            </w:pPr>
            <w:r>
              <w:rPr>
                <w:rFonts w:ascii="Arial" w:cs="Arial" w:eastAsia="Arial" w:hAnsi="Arial"/>
                <w:sz w:val="12"/>
                <w:szCs w:val="12"/>
                <w:color w:val="auto"/>
                <w:w w:val="93"/>
              </w:rPr>
              <w:t>(12)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ind w:left="500"/>
              <w:spacing w:after="0"/>
              <w:rPr>
                <w:sz w:val="20"/>
                <w:szCs w:val="20"/>
                <w:color w:val="auto"/>
              </w:rPr>
            </w:pPr>
            <w:r>
              <w:rPr>
                <w:rFonts w:ascii="Arial" w:cs="Arial" w:eastAsia="Arial" w:hAnsi="Arial"/>
                <w:sz w:val="12"/>
                <w:szCs w:val="12"/>
                <w:color w:val="auto"/>
                <w:w w:val="95"/>
              </w:rPr>
              <w:t>(8)</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15"/>
        </w:trPr>
        <w:tc>
          <w:tcPr>
            <w:tcW w:w="2800" w:type="dxa"/>
            <w:vAlign w:val="bottom"/>
            <w:shd w:val="clear" w:color="auto" w:fill="CCEEFF"/>
          </w:tcPr>
          <w:p>
            <w:pPr>
              <w:ind w:left="360"/>
              <w:spacing w:after="0" w:line="115" w:lineRule="exact"/>
              <w:rPr>
                <w:sz w:val="20"/>
                <w:szCs w:val="20"/>
                <w:color w:val="auto"/>
              </w:rPr>
            </w:pPr>
            <w:r>
              <w:rPr>
                <w:rFonts w:ascii="Arial" w:cs="Arial" w:eastAsia="Arial" w:hAnsi="Arial"/>
                <w:sz w:val="12"/>
                <w:szCs w:val="12"/>
                <w:color w:val="auto"/>
              </w:rPr>
              <w:t>For initial credit losses on purchased loans</w:t>
            </w:r>
          </w:p>
        </w:tc>
        <w:tc>
          <w:tcPr>
            <w:tcW w:w="4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center"/>
              <w:ind w:left="6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4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8"/>
        </w:trPr>
        <w:tc>
          <w:tcPr>
            <w:tcW w:w="2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accounted for as PCD financial assets</w:t>
            </w:r>
          </w:p>
        </w:tc>
        <w:tc>
          <w:tcPr>
            <w:tcW w:w="42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40" w:type="dxa"/>
            <w:vAlign w:val="bottom"/>
            <w:gridSpan w:val="3"/>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360"/>
              <w:spacing w:after="0"/>
              <w:rPr>
                <w:sz w:val="20"/>
                <w:szCs w:val="20"/>
                <w:color w:val="auto"/>
              </w:rPr>
            </w:pPr>
            <w:r>
              <w:rPr>
                <w:rFonts w:ascii="Arial" w:cs="Arial" w:eastAsia="Arial" w:hAnsi="Arial"/>
                <w:sz w:val="12"/>
                <w:szCs w:val="12"/>
                <w:b w:val="1"/>
                <w:bCs w:val="1"/>
                <w:color w:val="auto"/>
              </w:rPr>
              <w:t>Ending Balance</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tcPr>
          <w:p>
            <w:pPr>
              <w:jc w:val="center"/>
              <w:ind w:left="620"/>
              <w:spacing w:after="0"/>
              <w:rPr>
                <w:sz w:val="20"/>
                <w:szCs w:val="20"/>
                <w:color w:val="auto"/>
              </w:rPr>
            </w:pPr>
            <w:r>
              <w:rPr>
                <w:rFonts w:ascii="Arial" w:cs="Arial" w:eastAsia="Arial" w:hAnsi="Arial"/>
                <w:sz w:val="12"/>
                <w:szCs w:val="12"/>
                <w:color w:val="auto"/>
                <w:w w:val="89"/>
              </w:rPr>
              <w:t>25</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An allowance for expected credit loss is not measured on accrued interest income for commercial mortgage loans as we have a process to write-off interest on loans that enter into non-accrual status (over 90 days past due). Allowances for expected credit losses are measured on accrued interest income for residential mortgage loans and were immaterial as of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9" w:name="page140"/>
    <w:bookmarkEnd w:id="139"/>
    <w:p>
      <w:pPr>
        <w:ind w:left="1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Interest and Investment Income</w:t>
      </w:r>
    </w:p>
    <w:p>
      <w:pPr>
        <w:spacing w:after="0" w:line="109" w:lineRule="exact"/>
        <w:rPr>
          <w:sz w:val="20"/>
          <w:szCs w:val="20"/>
          <w:color w:val="auto"/>
        </w:rPr>
      </w:pPr>
    </w:p>
    <w:p>
      <w:pPr>
        <w:ind w:left="270"/>
        <w:spacing w:after="0"/>
        <w:rPr>
          <w:sz w:val="20"/>
          <w:szCs w:val="20"/>
          <w:color w:val="auto"/>
        </w:rPr>
      </w:pPr>
      <w:r>
        <w:rPr>
          <w:rFonts w:ascii="Arial" w:cs="Arial" w:eastAsia="Arial" w:hAnsi="Arial"/>
          <w:sz w:val="15"/>
          <w:szCs w:val="15"/>
          <w:color w:val="auto"/>
        </w:rPr>
        <w:t>The major sources of Interest and investment income reported on the accompanying Consolidated Statements of Earnings were as follows (in millions):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9"/>
              </w:rPr>
              <w:t>Year ended</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3"/>
        </w:trPr>
        <w:tc>
          <w:tcPr>
            <w:tcW w:w="7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December 31, 2021</w:t>
            </w:r>
          </w:p>
        </w:tc>
        <w:tc>
          <w:tcPr>
            <w:tcW w:w="10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December 31, 2020</w:t>
            </w:r>
          </w:p>
        </w:tc>
        <w:tc>
          <w:tcPr>
            <w:tcW w:w="100" w:type="dxa"/>
            <w:vAlign w:val="bottom"/>
          </w:tcPr>
          <w:p>
            <w:pPr>
              <w:spacing w:after="0"/>
              <w:rPr>
                <w:sz w:val="13"/>
                <w:szCs w:val="13"/>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b w:val="1"/>
                <w:bCs w:val="1"/>
                <w:color w:val="auto"/>
                <w:w w:val="90"/>
              </w:rPr>
              <w:t>December 31, 2019</w:t>
            </w:r>
          </w:p>
        </w:tc>
      </w:tr>
      <w:tr>
        <w:trPr>
          <w:trHeight w:val="147"/>
        </w:trPr>
        <w:tc>
          <w:tcPr>
            <w:tcW w:w="7360" w:type="dxa"/>
            <w:vAlign w:val="bottom"/>
          </w:tcPr>
          <w:p>
            <w:pPr>
              <w:spacing w:after="0"/>
              <w:rPr>
                <w:sz w:val="20"/>
                <w:szCs w:val="20"/>
                <w:color w:val="auto"/>
              </w:rPr>
            </w:pPr>
            <w:r>
              <w:rPr>
                <w:rFonts w:ascii="Arial" w:cs="Arial" w:eastAsia="Arial" w:hAnsi="Arial"/>
                <w:sz w:val="12"/>
                <w:szCs w:val="12"/>
                <w:color w:val="auto"/>
              </w:rPr>
              <w:t>Fixed maturity securities, available-for-sale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1,267</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708</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w:t>
            </w:r>
          </w:p>
        </w:tc>
      </w:tr>
      <w:tr>
        <w:trPr>
          <w:trHeight w:val="160"/>
        </w:trPr>
        <w:tc>
          <w:tcPr>
            <w:tcW w:w="7360" w:type="dxa"/>
            <w:vAlign w:val="bottom"/>
            <w:shd w:val="clear" w:color="auto" w:fill="CCEEFF"/>
          </w:tcPr>
          <w:p>
            <w:pPr>
              <w:spacing w:after="0"/>
              <w:rPr>
                <w:sz w:val="20"/>
                <w:szCs w:val="20"/>
                <w:color w:val="auto"/>
              </w:rPr>
            </w:pPr>
            <w:r>
              <w:rPr>
                <w:rFonts w:ascii="Arial" w:cs="Arial" w:eastAsia="Arial" w:hAnsi="Arial"/>
                <w:sz w:val="12"/>
                <w:szCs w:val="12"/>
                <w:color w:val="auto"/>
              </w:rPr>
              <w:t>Equity securities</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r>
      <w:tr>
        <w:trPr>
          <w:trHeight w:val="155"/>
        </w:trPr>
        <w:tc>
          <w:tcPr>
            <w:tcW w:w="7360" w:type="dxa"/>
            <w:vAlign w:val="bottom"/>
          </w:tcPr>
          <w:p>
            <w:pPr>
              <w:spacing w:after="0"/>
              <w:rPr>
                <w:sz w:val="20"/>
                <w:szCs w:val="20"/>
                <w:color w:val="auto"/>
              </w:rPr>
            </w:pPr>
            <w:r>
              <w:rPr>
                <w:rFonts w:ascii="Arial" w:cs="Arial" w:eastAsia="Arial" w:hAnsi="Arial"/>
                <w:sz w:val="12"/>
                <w:szCs w:val="12"/>
                <w:color w:val="auto"/>
              </w:rPr>
              <w:t>Preferred securities</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60"/>
        </w:trPr>
        <w:tc>
          <w:tcPr>
            <w:tcW w:w="7360" w:type="dxa"/>
            <w:vAlign w:val="bottom"/>
            <w:shd w:val="clear" w:color="auto" w:fill="CCEEFF"/>
          </w:tcPr>
          <w:p>
            <w:pPr>
              <w:spacing w:after="0"/>
              <w:rPr>
                <w:sz w:val="20"/>
                <w:szCs w:val="20"/>
                <w:color w:val="auto"/>
              </w:rPr>
            </w:pPr>
            <w:r>
              <w:rPr>
                <w:rFonts w:ascii="Arial" w:cs="Arial" w:eastAsia="Arial" w:hAnsi="Arial"/>
                <w:sz w:val="12"/>
                <w:szCs w:val="12"/>
                <w:color w:val="auto"/>
              </w:rPr>
              <w:t>Mortgage loans</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360" w:type="dxa"/>
            <w:vAlign w:val="bottom"/>
          </w:tcPr>
          <w:p>
            <w:pPr>
              <w:spacing w:after="0"/>
              <w:rPr>
                <w:sz w:val="20"/>
                <w:szCs w:val="20"/>
                <w:color w:val="auto"/>
              </w:rPr>
            </w:pPr>
            <w:r>
              <w:rPr>
                <w:rFonts w:ascii="Arial" w:cs="Arial" w:eastAsia="Arial" w:hAnsi="Arial"/>
                <w:sz w:val="12"/>
                <w:szCs w:val="12"/>
                <w:color w:val="auto"/>
              </w:rPr>
              <w:t>Invested cash and short-term investments</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60"/>
        </w:trPr>
        <w:tc>
          <w:tcPr>
            <w:tcW w:w="7360" w:type="dxa"/>
            <w:vAlign w:val="bottom"/>
            <w:shd w:val="clear" w:color="auto" w:fill="CCEEFF"/>
          </w:tcPr>
          <w:p>
            <w:pPr>
              <w:spacing w:after="0"/>
              <w:rPr>
                <w:sz w:val="20"/>
                <w:szCs w:val="20"/>
                <w:color w:val="auto"/>
              </w:rPr>
            </w:pPr>
            <w:r>
              <w:rPr>
                <w:rFonts w:ascii="Arial" w:cs="Arial" w:eastAsia="Arial" w:hAnsi="Arial"/>
                <w:sz w:val="12"/>
                <w:szCs w:val="12"/>
                <w:color w:val="auto"/>
              </w:rPr>
              <w:t>Limited partnerships</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360" w:type="dxa"/>
            <w:vAlign w:val="bottom"/>
          </w:tcPr>
          <w:p>
            <w:pPr>
              <w:spacing w:after="0"/>
              <w:rPr>
                <w:sz w:val="20"/>
                <w:szCs w:val="20"/>
                <w:color w:val="auto"/>
              </w:rPr>
            </w:pPr>
            <w:r>
              <w:rPr>
                <w:rFonts w:ascii="Arial" w:cs="Arial" w:eastAsia="Arial" w:hAnsi="Arial"/>
                <w:sz w:val="12"/>
                <w:szCs w:val="12"/>
                <w:color w:val="auto"/>
              </w:rPr>
              <w:t>Tax deferred property exchange income</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160"/>
        </w:trPr>
        <w:tc>
          <w:tcPr>
            <w:tcW w:w="7360" w:type="dxa"/>
            <w:vAlign w:val="bottom"/>
            <w:shd w:val="clear" w:color="auto" w:fill="CCEEFF"/>
          </w:tcPr>
          <w:p>
            <w:pPr>
              <w:spacing w:after="0"/>
              <w:rPr>
                <w:sz w:val="20"/>
                <w:szCs w:val="20"/>
                <w:color w:val="auto"/>
              </w:rPr>
            </w:pPr>
            <w:r>
              <w:rPr>
                <w:rFonts w:ascii="Arial" w:cs="Arial" w:eastAsia="Arial" w:hAnsi="Arial"/>
                <w:sz w:val="12"/>
                <w:szCs w:val="12"/>
                <w:color w:val="auto"/>
              </w:rPr>
              <w:t>Other investments</w:t>
            </w: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r>
      <w:tr>
        <w:trPr>
          <w:trHeight w:val="147"/>
        </w:trPr>
        <w:tc>
          <w:tcPr>
            <w:tcW w:w="7360" w:type="dxa"/>
            <w:vAlign w:val="bottom"/>
          </w:tcPr>
          <w:p>
            <w:pPr>
              <w:ind w:left="180"/>
              <w:spacing w:after="0"/>
              <w:rPr>
                <w:sz w:val="20"/>
                <w:szCs w:val="20"/>
                <w:color w:val="auto"/>
              </w:rPr>
            </w:pPr>
            <w:r>
              <w:rPr>
                <w:rFonts w:ascii="Arial" w:cs="Arial" w:eastAsia="Arial" w:hAnsi="Arial"/>
                <w:sz w:val="12"/>
                <w:szCs w:val="12"/>
                <w:color w:val="auto"/>
              </w:rPr>
              <w:t>Gross investment income</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229</w:t>
            </w:r>
          </w:p>
        </w:tc>
      </w:tr>
      <w:tr>
        <w:trPr>
          <w:trHeight w:val="158"/>
        </w:trPr>
        <w:tc>
          <w:tcPr>
            <w:tcW w:w="7360" w:type="dxa"/>
            <w:vAlign w:val="bottom"/>
            <w:shd w:val="clear" w:color="auto" w:fill="CCEEFF"/>
          </w:tcPr>
          <w:p>
            <w:pPr>
              <w:spacing w:after="0"/>
              <w:rPr>
                <w:sz w:val="20"/>
                <w:szCs w:val="20"/>
                <w:color w:val="auto"/>
              </w:rPr>
            </w:pPr>
            <w:r>
              <w:rPr>
                <w:rFonts w:ascii="Arial" w:cs="Arial" w:eastAsia="Arial" w:hAnsi="Arial"/>
                <w:sz w:val="12"/>
                <w:szCs w:val="12"/>
                <w:color w:val="auto"/>
              </w:rPr>
              <w:t>Investment expense</w:t>
            </w: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51"/>
        </w:trPr>
        <w:tc>
          <w:tcPr>
            <w:tcW w:w="7360" w:type="dxa"/>
            <w:vAlign w:val="bottom"/>
          </w:tcPr>
          <w:p>
            <w:pPr>
              <w:spacing w:after="0"/>
              <w:rPr>
                <w:sz w:val="20"/>
                <w:szCs w:val="20"/>
                <w:color w:val="auto"/>
              </w:rPr>
            </w:pPr>
            <w:r>
              <w:rPr>
                <w:rFonts w:ascii="Arial" w:cs="Arial" w:eastAsia="Arial" w:hAnsi="Arial"/>
                <w:sz w:val="12"/>
                <w:szCs w:val="12"/>
                <w:color w:val="auto"/>
              </w:rPr>
              <w:t>Interest and investment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1,961</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900</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w:t>
            </w: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Recognized Gains and Losses, net</w:t>
      </w:r>
    </w:p>
    <w:p>
      <w:pPr>
        <w:spacing w:after="0" w:line="109" w:lineRule="exact"/>
        <w:rPr>
          <w:sz w:val="20"/>
          <w:szCs w:val="20"/>
          <w:color w:val="auto"/>
        </w:rPr>
      </w:pPr>
    </w:p>
    <w:p>
      <w:pPr>
        <w:ind w:left="330"/>
        <w:spacing w:after="0"/>
        <w:rPr>
          <w:sz w:val="20"/>
          <w:szCs w:val="20"/>
          <w:color w:val="auto"/>
        </w:rPr>
      </w:pPr>
      <w:r>
        <w:rPr>
          <w:rFonts w:ascii="Arial" w:cs="Arial" w:eastAsia="Arial" w:hAnsi="Arial"/>
          <w:sz w:val="15"/>
          <w:szCs w:val="15"/>
          <w:color w:val="auto"/>
        </w:rPr>
        <w:t>Details underlying Recognized gains and losses, net reported on the accompanying Consolidated Statements of Earnings were as follows (in millions):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9"/>
              </w:rPr>
              <w:t>Year ended</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3"/>
        </w:trPr>
        <w:tc>
          <w:tcPr>
            <w:tcW w:w="7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December 31, 2021</w:t>
            </w:r>
          </w:p>
        </w:tc>
        <w:tc>
          <w:tcPr>
            <w:tcW w:w="10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December 31, 2020</w:t>
            </w:r>
          </w:p>
        </w:tc>
        <w:tc>
          <w:tcPr>
            <w:tcW w:w="100" w:type="dxa"/>
            <w:vAlign w:val="bottom"/>
          </w:tcPr>
          <w:p>
            <w:pPr>
              <w:spacing w:after="0"/>
              <w:rPr>
                <w:sz w:val="13"/>
                <w:szCs w:val="13"/>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b w:val="1"/>
                <w:bCs w:val="1"/>
                <w:color w:val="auto"/>
                <w:w w:val="90"/>
              </w:rPr>
              <w:t>December 31, 2019</w:t>
            </w:r>
          </w:p>
        </w:tc>
      </w:tr>
      <w:tr>
        <w:trPr>
          <w:trHeight w:val="149"/>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realized gains (losses) on fixed maturity available-for-sale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155"/>
        </w:trPr>
        <w:tc>
          <w:tcPr>
            <w:tcW w:w="7360" w:type="dxa"/>
            <w:vAlign w:val="bottom"/>
          </w:tcPr>
          <w:p>
            <w:pPr>
              <w:spacing w:after="0"/>
              <w:rPr>
                <w:sz w:val="20"/>
                <w:szCs w:val="20"/>
                <w:color w:val="auto"/>
              </w:rPr>
            </w:pPr>
            <w:r>
              <w:rPr>
                <w:rFonts w:ascii="Arial" w:cs="Arial" w:eastAsia="Arial" w:hAnsi="Arial"/>
                <w:sz w:val="12"/>
                <w:szCs w:val="12"/>
                <w:color w:val="auto"/>
              </w:rPr>
              <w:t>Net realized/unrealized gains (losses) on equity securities (2)</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(434)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241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309</w:t>
            </w:r>
          </w:p>
        </w:tc>
      </w:tr>
      <w:tr>
        <w:trPr>
          <w:trHeight w:val="160"/>
        </w:trPr>
        <w:tc>
          <w:tcPr>
            <w:tcW w:w="7360" w:type="dxa"/>
            <w:vAlign w:val="bottom"/>
            <w:shd w:val="clear" w:color="auto" w:fill="CCEEFF"/>
          </w:tcPr>
          <w:p>
            <w:pPr>
              <w:spacing w:after="0"/>
              <w:rPr>
                <w:sz w:val="20"/>
                <w:szCs w:val="20"/>
                <w:color w:val="auto"/>
              </w:rPr>
            </w:pPr>
            <w:r>
              <w:rPr>
                <w:rFonts w:ascii="Arial" w:cs="Arial" w:eastAsia="Arial" w:hAnsi="Arial"/>
                <w:sz w:val="12"/>
                <w:szCs w:val="12"/>
                <w:color w:val="auto"/>
              </w:rPr>
              <w:t>Net realized/unrealized gains (losses) on preferred securities (3)</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155"/>
        </w:trPr>
        <w:tc>
          <w:tcPr>
            <w:tcW w:w="7360" w:type="dxa"/>
            <w:vAlign w:val="bottom"/>
          </w:tcPr>
          <w:p>
            <w:pPr>
              <w:spacing w:after="0"/>
              <w:rPr>
                <w:sz w:val="20"/>
                <w:szCs w:val="20"/>
                <w:color w:val="auto"/>
              </w:rPr>
            </w:pPr>
            <w:r>
              <w:rPr>
                <w:rFonts w:ascii="Arial" w:cs="Arial" w:eastAsia="Arial" w:hAnsi="Arial"/>
                <w:sz w:val="12"/>
                <w:szCs w:val="12"/>
                <w:color w:val="auto"/>
              </w:rPr>
              <w:t>Realized gains (losses) on other invested assets</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60"/>
        </w:trPr>
        <w:tc>
          <w:tcPr>
            <w:tcW w:w="7360" w:type="dxa"/>
            <w:vAlign w:val="bottom"/>
            <w:shd w:val="clear" w:color="auto" w:fill="CCEEFF"/>
          </w:tcPr>
          <w:p>
            <w:pPr>
              <w:spacing w:after="0"/>
              <w:rPr>
                <w:sz w:val="20"/>
                <w:szCs w:val="20"/>
                <w:color w:val="auto"/>
              </w:rPr>
            </w:pPr>
            <w:r>
              <w:rPr>
                <w:rFonts w:ascii="Arial" w:cs="Arial" w:eastAsia="Arial" w:hAnsi="Arial"/>
                <w:sz w:val="12"/>
                <w:szCs w:val="12"/>
                <w:color w:val="auto"/>
              </w:rPr>
              <w:t>Change in allowance for expected credit losses</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360" w:type="dxa"/>
            <w:vAlign w:val="bottom"/>
          </w:tcPr>
          <w:p>
            <w:pPr>
              <w:spacing w:after="0"/>
              <w:rPr>
                <w:sz w:val="20"/>
                <w:szCs w:val="20"/>
                <w:color w:val="auto"/>
              </w:rPr>
            </w:pPr>
            <w:r>
              <w:rPr>
                <w:rFonts w:ascii="Arial" w:cs="Arial" w:eastAsia="Arial" w:hAnsi="Arial"/>
                <w:sz w:val="12"/>
                <w:szCs w:val="12"/>
                <w:color w:val="auto"/>
              </w:rPr>
              <w:t>Derivatives and embedded derivatives:</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73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Realized gains on certain derivative instruments</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360" w:type="dxa"/>
            <w:vAlign w:val="bottom"/>
          </w:tcPr>
          <w:p>
            <w:pPr>
              <w:ind w:left="100"/>
              <w:spacing w:after="0"/>
              <w:rPr>
                <w:sz w:val="20"/>
                <w:szCs w:val="20"/>
                <w:color w:val="auto"/>
              </w:rPr>
            </w:pPr>
            <w:r>
              <w:rPr>
                <w:rFonts w:ascii="Arial" w:cs="Arial" w:eastAsia="Arial" w:hAnsi="Arial"/>
                <w:sz w:val="12"/>
                <w:szCs w:val="12"/>
                <w:color w:val="auto"/>
              </w:rPr>
              <w:t>Unrealized gains on certain derivative instruments</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73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Change in fair value of reinsurance related embedded derivatives (1)</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3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Change in fair value of other derivatives and embedded derivatives</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9"/>
        </w:trPr>
        <w:tc>
          <w:tcPr>
            <w:tcW w:w="7360" w:type="dxa"/>
            <w:vAlign w:val="bottom"/>
            <w:shd w:val="clear" w:color="auto" w:fill="CCEEFF"/>
          </w:tcPr>
          <w:p>
            <w:pPr>
              <w:spacing w:after="0"/>
              <w:rPr>
                <w:sz w:val="20"/>
                <w:szCs w:val="20"/>
                <w:color w:val="auto"/>
              </w:rPr>
            </w:pPr>
            <w:r>
              <w:rPr>
                <w:rFonts w:ascii="Arial" w:cs="Arial" w:eastAsia="Arial" w:hAnsi="Arial"/>
                <w:sz w:val="12"/>
                <w:szCs w:val="12"/>
                <w:color w:val="auto"/>
              </w:rPr>
              <w:t>Realized gains on derivatives and embedded derivatives</w:t>
            </w: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655</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7360" w:type="dxa"/>
            <w:vAlign w:val="bottom"/>
          </w:tcPr>
          <w:p>
            <w:pPr>
              <w:spacing w:after="0"/>
              <w:rPr>
                <w:sz w:val="20"/>
                <w:szCs w:val="20"/>
                <w:color w:val="auto"/>
              </w:rPr>
            </w:pPr>
            <w:r>
              <w:rPr>
                <w:rFonts w:ascii="Arial" w:cs="Arial" w:eastAsia="Arial" w:hAnsi="Arial"/>
                <w:sz w:val="12"/>
                <w:szCs w:val="12"/>
                <w:color w:val="auto"/>
              </w:rPr>
              <w:t>Recognized gains and losses,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w:t>
            </w: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70" w:hanging="170"/>
        <w:spacing w:after="0"/>
        <w:tabs>
          <w:tab w:leader="none" w:pos="17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Change in fair value of reinsurance related embedded derivatives is due to activity related to the reinsurance treaties with Kubera (novated from Kubera to Somerset effective October 31, 2021) and Aspida Re.</w:t>
      </w:r>
    </w:p>
    <w:p>
      <w:pPr>
        <w:spacing w:after="0" w:line="7" w:lineRule="exact"/>
        <w:rPr>
          <w:rFonts w:ascii="Arial" w:cs="Arial" w:eastAsia="Arial" w:hAnsi="Arial"/>
          <w:sz w:val="12"/>
          <w:szCs w:val="12"/>
          <w:color w:val="auto"/>
        </w:rPr>
      </w:pPr>
    </w:p>
    <w:p>
      <w:pPr>
        <w:ind w:left="170" w:hanging="170"/>
        <w:spacing w:after="0" w:line="235" w:lineRule="auto"/>
        <w:tabs>
          <w:tab w:leader="none" w:pos="17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net valuation (losses) gains of $(436) million, $248 million and $299 million for the years ended December 31, 2021 2020, and 2019 respectively.</w:t>
      </w:r>
    </w:p>
    <w:p>
      <w:pPr>
        <w:ind w:left="170" w:hanging="170"/>
        <w:spacing w:after="0"/>
        <w:tabs>
          <w:tab w:leader="none" w:pos="17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net valuation (losses) gains of $(14)million, $(40) million, and $17 million for the years ended December 31, 2021, 2020 and 2019, respectively.</w:t>
      </w:r>
    </w:p>
    <w:p>
      <w:pPr>
        <w:spacing w:after="0" w:line="200" w:lineRule="exact"/>
        <w:rPr>
          <w:sz w:val="20"/>
          <w:szCs w:val="20"/>
          <w:color w:val="auto"/>
        </w:rPr>
      </w:pPr>
    </w:p>
    <w:p>
      <w:pPr>
        <w:spacing w:after="0" w:line="35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8058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70"/>
          </w:cols>
          <w:pgMar w:left="310" w:top="129" w:right="319" w:bottom="1440" w:gutter="0" w:footer="0" w:header="0"/>
        </w:sectPr>
      </w:pPr>
    </w:p>
    <w:bookmarkStart w:id="140" w:name="page141"/>
    <w:bookmarkEnd w:id="14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proceeds from the sale of fixed-maturity securities and the gross gains and losses associated with those transactions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Year ended</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3"/>
        </w:trPr>
        <w:tc>
          <w:tcPr>
            <w:tcW w:w="7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2021</w:t>
            </w:r>
          </w:p>
        </w:tc>
        <w:tc>
          <w:tcPr>
            <w:tcW w:w="14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tcPr>
          <w:p>
            <w:pPr>
              <w:spacing w:after="0"/>
              <w:rPr>
                <w:sz w:val="13"/>
                <w:szCs w:val="13"/>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b w:val="1"/>
                <w:bCs w:val="1"/>
                <w:color w:val="auto"/>
                <w:w w:val="90"/>
              </w:rPr>
              <w:t>December 31, 2019</w:t>
            </w:r>
          </w:p>
        </w:tc>
      </w:tr>
      <w:tr>
        <w:trPr>
          <w:trHeight w:val="149"/>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Proceeds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4,749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614</w:t>
            </w:r>
          </w:p>
        </w:tc>
      </w:tr>
      <w:tr>
        <w:trPr>
          <w:trHeight w:val="155"/>
        </w:trPr>
        <w:tc>
          <w:tcPr>
            <w:tcW w:w="7080" w:type="dxa"/>
            <w:vAlign w:val="bottom"/>
          </w:tcPr>
          <w:p>
            <w:pPr>
              <w:spacing w:after="0"/>
              <w:rPr>
                <w:sz w:val="20"/>
                <w:szCs w:val="20"/>
                <w:color w:val="auto"/>
              </w:rPr>
            </w:pPr>
            <w:r>
              <w:rPr>
                <w:rFonts w:ascii="Arial" w:cs="Arial" w:eastAsia="Arial" w:hAnsi="Arial"/>
                <w:sz w:val="12"/>
                <w:szCs w:val="12"/>
                <w:color w:val="auto"/>
              </w:rPr>
              <w:t>Gross gains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60"/>
        </w:trPr>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Gross losses</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Unconsolidated Variable Interest Entities</w:t>
      </w:r>
    </w:p>
    <w:p>
      <w:pPr>
        <w:spacing w:after="0" w:line="143"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5"/>
          <w:szCs w:val="15"/>
          <w:color w:val="auto"/>
        </w:rPr>
        <w:t>The Company owns investments in VIEs that are not consolidated within our financial statements.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While the Company participates in the benefits from VIEs in which it invests, but does not consolidate, the substantive power to make the key economic decisions for each respective VIE resides with entities not under common control with the Company. It is for this reason that the Company is not considered the primary beneficiary for the VIE investments that are not consolidated.</w:t>
      </w:r>
    </w:p>
    <w:p>
      <w:pPr>
        <w:spacing w:after="0" w:line="72"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4"/>
          <w:szCs w:val="14"/>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Consolidated Balance Sheets.</w:t>
      </w:r>
    </w:p>
    <w:p>
      <w:pPr>
        <w:spacing w:after="0" w:line="101" w:lineRule="exact"/>
        <w:rPr>
          <w:sz w:val="20"/>
          <w:szCs w:val="20"/>
          <w:color w:val="auto"/>
        </w:rPr>
      </w:pPr>
    </w:p>
    <w:p>
      <w:pPr>
        <w:jc w:val="both"/>
        <w:ind w:firstLine="372"/>
        <w:spacing w:after="0" w:line="311" w:lineRule="auto"/>
        <w:rPr>
          <w:sz w:val="20"/>
          <w:szCs w:val="20"/>
          <w:color w:val="auto"/>
        </w:rPr>
      </w:pPr>
      <w:r>
        <w:rPr>
          <w:rFonts w:ascii="Arial" w:cs="Arial" w:eastAsia="Arial" w:hAnsi="Arial"/>
          <w:sz w:val="14"/>
          <w:szCs w:val="14"/>
          <w:color w:val="auto"/>
        </w:rPr>
        <w:t>Our maximum exposure to loss with respect to these VIEs is limited to the investment carrying amounts reported in our Consolidated Balance Sheets for limited partnerships and the amortized costs of our fixed maturity securities, in addition to any required unfunded commitments (also refer to Note H - Commitments and Contingencies).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the carrying value and the maximum loss exposure of our unconsolidated VIEs: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tcPr>
          <w:p>
            <w:pPr>
              <w:ind w:left="660"/>
              <w:spacing w:after="0"/>
              <w:rPr>
                <w:sz w:val="20"/>
                <w:szCs w:val="20"/>
                <w:color w:val="auto"/>
              </w:rPr>
            </w:pPr>
            <w:r>
              <w:rPr>
                <w:rFonts w:ascii="Arial" w:cs="Arial" w:eastAsia="Arial" w:hAnsi="Arial"/>
                <w:sz w:val="12"/>
                <w:szCs w:val="12"/>
                <w:b w:val="1"/>
                <w:bCs w:val="1"/>
                <w:color w:val="auto"/>
              </w:rPr>
              <w:t>December 31, 2021</w:t>
            </w:r>
          </w:p>
        </w:tc>
        <w:tc>
          <w:tcPr>
            <w:tcW w:w="140" w:type="dxa"/>
            <w:vAlign w:val="bottom"/>
          </w:tcPr>
          <w:p>
            <w:pPr>
              <w:spacing w:after="0"/>
              <w:rPr>
                <w:sz w:val="14"/>
                <w:szCs w:val="14"/>
                <w:color w:val="auto"/>
              </w:rPr>
            </w:pPr>
          </w:p>
        </w:tc>
        <w:tc>
          <w:tcPr>
            <w:tcW w:w="2440" w:type="dxa"/>
            <w:vAlign w:val="bottom"/>
            <w:gridSpan w:val="4"/>
          </w:tcPr>
          <w:p>
            <w:pPr>
              <w:jc w:val="right"/>
              <w:ind w:right="74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2"/>
                <w:szCs w:val="12"/>
                <w:b w:val="1"/>
                <w:bCs w:val="1"/>
                <w:color w:val="auto"/>
              </w:rPr>
              <w:t>Carrying Value</w:t>
            </w:r>
          </w:p>
        </w:tc>
        <w:tc>
          <w:tcPr>
            <w:tcW w:w="1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80"/>
              <w:spacing w:after="0" w:line="109" w:lineRule="exact"/>
              <w:rPr>
                <w:sz w:val="20"/>
                <w:szCs w:val="20"/>
                <w:color w:val="auto"/>
              </w:rPr>
            </w:pPr>
            <w:r>
              <w:rPr>
                <w:rFonts w:ascii="Arial" w:cs="Arial" w:eastAsia="Arial" w:hAnsi="Arial"/>
                <w:sz w:val="12"/>
                <w:szCs w:val="12"/>
                <w:b w:val="1"/>
                <w:bCs w:val="1"/>
                <w:color w:val="auto"/>
                <w:w w:val="92"/>
              </w:rPr>
              <w:t>Maximum Loss</w:t>
            </w: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2"/>
                <w:szCs w:val="12"/>
                <w:b w:val="1"/>
                <w:bCs w:val="1"/>
                <w:color w:val="auto"/>
              </w:rPr>
              <w:t>Carrying Value</w:t>
            </w:r>
          </w:p>
        </w:tc>
        <w:tc>
          <w:tcPr>
            <w:tcW w:w="1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right"/>
              <w:ind w:right="160"/>
              <w:spacing w:after="0" w:line="109" w:lineRule="exact"/>
              <w:rPr>
                <w:sz w:val="20"/>
                <w:szCs w:val="20"/>
                <w:color w:val="auto"/>
              </w:rPr>
            </w:pPr>
            <w:r>
              <w:rPr>
                <w:rFonts w:ascii="Arial" w:cs="Arial" w:eastAsia="Arial" w:hAnsi="Arial"/>
                <w:sz w:val="12"/>
                <w:szCs w:val="12"/>
                <w:b w:val="1"/>
                <w:bCs w:val="1"/>
                <w:color w:val="auto"/>
                <w:w w:val="99"/>
              </w:rPr>
              <w:t>Maximum Loss</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Exposure</w:t>
            </w: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320"/>
              <w:spacing w:after="0"/>
              <w:rPr>
                <w:sz w:val="20"/>
                <w:szCs w:val="20"/>
                <w:color w:val="auto"/>
              </w:rPr>
            </w:pPr>
            <w:r>
              <w:rPr>
                <w:rFonts w:ascii="Arial" w:cs="Arial" w:eastAsia="Arial" w:hAnsi="Arial"/>
                <w:sz w:val="12"/>
                <w:szCs w:val="12"/>
                <w:b w:val="1"/>
                <w:bCs w:val="1"/>
                <w:color w:val="auto"/>
              </w:rPr>
              <w:t>Exposure</w:t>
            </w:r>
          </w:p>
        </w:tc>
        <w:tc>
          <w:tcPr>
            <w:tcW w:w="0" w:type="dxa"/>
            <w:vAlign w:val="bottom"/>
          </w:tcPr>
          <w:p>
            <w:pPr>
              <w:spacing w:after="0"/>
              <w:rPr>
                <w:sz w:val="1"/>
                <w:szCs w:val="1"/>
                <w:color w:val="auto"/>
              </w:rPr>
            </w:pPr>
          </w:p>
        </w:tc>
      </w:tr>
      <w:tr>
        <w:trPr>
          <w:trHeight w:val="149"/>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Investments in unconsolidated affiliates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3,496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1,550</w:t>
            </w:r>
          </w:p>
        </w:tc>
        <w:tc>
          <w:tcPr>
            <w:tcW w:w="0" w:type="dxa"/>
            <w:vAlign w:val="bottom"/>
          </w:tcPr>
          <w:p>
            <w:pPr>
              <w:spacing w:after="0"/>
              <w:rPr>
                <w:sz w:val="1"/>
                <w:szCs w:val="1"/>
                <w:color w:val="auto"/>
              </w:rPr>
            </w:pPr>
          </w:p>
        </w:tc>
      </w:tr>
      <w:tr>
        <w:trPr>
          <w:trHeight w:val="155"/>
        </w:trPr>
        <w:tc>
          <w:tcPr>
            <w:tcW w:w="6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Fixed maturity securities</w:t>
            </w: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12,382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12,802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9,873</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9,513</w:t>
            </w: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unconsolidated VIE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14,732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16,298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11,029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11,063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with Related Party</w:t>
      </w:r>
    </w:p>
    <w:p>
      <w:pPr>
        <w:spacing w:after="0" w:line="98" w:lineRule="exact"/>
        <w:rPr>
          <w:sz w:val="20"/>
          <w:szCs w:val="20"/>
          <w:color w:val="auto"/>
        </w:rPr>
      </w:pPr>
    </w:p>
    <w:p>
      <w:pPr>
        <w:jc w:val="both"/>
        <w:ind w:right="20" w:firstLine="270"/>
        <w:spacing w:after="0" w:line="290" w:lineRule="auto"/>
        <w:rPr>
          <w:sz w:val="20"/>
          <w:szCs w:val="20"/>
          <w:color w:val="auto"/>
        </w:rPr>
      </w:pPr>
      <w:r>
        <w:rPr>
          <w:rFonts w:ascii="Arial" w:cs="Arial" w:eastAsia="Arial" w:hAnsi="Arial"/>
          <w:sz w:val="14"/>
          <w:szCs w:val="14"/>
          <w:color w:val="auto"/>
        </w:rPr>
        <w:t>Included in equity securities as of December 31, 2021 and 2020 are 5,775,598 and 5,706,134 shares, respectively, of Cannae common stock (NYSE: CNNE). The fair value of our related party investment based on quoted market prices was $203 million and $253 million as of December 31, 2021 and December 31, 2020, respectively. In order to maintain the tax-free treatment of the November 17, 2017 split-off of Cannae Holdings, Inc. we are required to dispose of these shares by November 17,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41" w:name="page142"/>
    <w:bookmarkEnd w:id="14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F — Derivative Financial Instruments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carrying amounts of derivative instruments, including derivative instruments embedded in FIA and IUL contracts, and reinsurance is as follows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2021</w:t>
            </w:r>
          </w:p>
        </w:tc>
        <w:tc>
          <w:tcPr>
            <w:tcW w:w="140" w:type="dxa"/>
            <w:vAlign w:val="bottom"/>
          </w:tcPr>
          <w:p>
            <w:pPr>
              <w:spacing w:after="0"/>
              <w:rPr>
                <w:sz w:val="13"/>
                <w:szCs w:val="13"/>
                <w:color w:val="auto"/>
              </w:rPr>
            </w:pPr>
          </w:p>
        </w:tc>
        <w:tc>
          <w:tcPr>
            <w:tcW w:w="124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December 31, 2020</w:t>
            </w:r>
          </w:p>
        </w:tc>
      </w:tr>
      <w:tr>
        <w:trPr>
          <w:trHeight w:val="142"/>
        </w:trPr>
        <w:tc>
          <w:tcPr>
            <w:tcW w:w="840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r>
      <w:tr>
        <w:trPr>
          <w:trHeight w:val="162"/>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Derivative investments:</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55"/>
        </w:trPr>
        <w:tc>
          <w:tcPr>
            <w:tcW w:w="8400" w:type="dxa"/>
            <w:vAlign w:val="bottom"/>
          </w:tcPr>
          <w:p>
            <w:pPr>
              <w:ind w:left="180"/>
              <w:spacing w:after="0"/>
              <w:rPr>
                <w:sz w:val="20"/>
                <w:szCs w:val="20"/>
                <w:color w:val="auto"/>
              </w:rPr>
            </w:pPr>
            <w:r>
              <w:rPr>
                <w:rFonts w:ascii="Arial" w:cs="Arial" w:eastAsia="Arial" w:hAnsi="Arial"/>
                <w:sz w:val="12"/>
                <w:szCs w:val="12"/>
                <w:color w:val="auto"/>
              </w:rPr>
              <w:t>Call options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816</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548</w:t>
            </w:r>
          </w:p>
        </w:tc>
      </w:tr>
      <w:tr>
        <w:trPr>
          <w:trHeight w:val="160"/>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investments:</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5"/>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embedded derivatives</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r>
      <w:tr>
        <w:trPr>
          <w:trHeight w:val="174"/>
        </w:trPr>
        <w:tc>
          <w:tcPr>
            <w:tcW w:w="84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8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58"/>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5"/>
        </w:trPr>
        <w:tc>
          <w:tcPr>
            <w:tcW w:w="8400" w:type="dxa"/>
            <w:vAlign w:val="bottom"/>
          </w:tcPr>
          <w:p>
            <w:pPr>
              <w:spacing w:after="0"/>
              <w:rPr>
                <w:sz w:val="20"/>
                <w:szCs w:val="20"/>
                <w:color w:val="auto"/>
              </w:rPr>
            </w:pPr>
            <w:r>
              <w:rPr>
                <w:rFonts w:ascii="Arial" w:cs="Arial" w:eastAsia="Arial" w:hAnsi="Arial"/>
                <w:sz w:val="12"/>
                <w:szCs w:val="12"/>
                <w:color w:val="auto"/>
              </w:rPr>
              <w:t>Contractholder funds:</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8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FIA/ IUL embedded derivatives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3,404</w:t>
            </w:r>
          </w:p>
        </w:tc>
      </w:tr>
      <w:tr>
        <w:trPr>
          <w:trHeight w:val="155"/>
        </w:trPr>
        <w:tc>
          <w:tcPr>
            <w:tcW w:w="8400" w:type="dxa"/>
            <w:vAlign w:val="bottom"/>
          </w:tcPr>
          <w:p>
            <w:pPr>
              <w:spacing w:after="0"/>
              <w:rPr>
                <w:sz w:val="20"/>
                <w:szCs w:val="20"/>
                <w:color w:val="auto"/>
              </w:rPr>
            </w:pPr>
            <w:r>
              <w:rPr>
                <w:rFonts w:ascii="Arial" w:cs="Arial" w:eastAsia="Arial" w:hAnsi="Arial"/>
                <w:sz w:val="12"/>
                <w:szCs w:val="12"/>
                <w:color w:val="auto"/>
              </w:rPr>
              <w:t>Accounts payable and accrued liabilities:</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8"/>
        </w:trPr>
        <w:tc>
          <w:tcPr>
            <w:tcW w:w="8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Reinsurance related embedded derivatives</w:t>
            </w:r>
          </w:p>
        </w:tc>
        <w:tc>
          <w:tcPr>
            <w:tcW w:w="1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w:t>
            </w:r>
          </w:p>
        </w:tc>
      </w:tr>
      <w:tr>
        <w:trPr>
          <w:trHeight w:val="149"/>
        </w:trPr>
        <w:tc>
          <w:tcPr>
            <w:tcW w:w="840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3,956</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3,505</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change in fair value of derivative instruments included in the accompanying Consolidated Statements of Earnings is as follows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4"/>
                <w:szCs w:val="14"/>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b w:val="1"/>
                <w:bCs w:val="1"/>
                <w:color w:val="auto"/>
                <w:w w:val="90"/>
              </w:rPr>
              <w:t>Seven Months Ended</w:t>
            </w:r>
          </w:p>
        </w:tc>
      </w:tr>
      <w:tr>
        <w:trPr>
          <w:trHeight w:val="153"/>
        </w:trPr>
        <w:tc>
          <w:tcPr>
            <w:tcW w:w="8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December 31, 2021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6"/>
              </w:rPr>
              <w:t>December 31, 2020</w:t>
            </w:r>
          </w:p>
        </w:tc>
      </w:tr>
      <w:tr>
        <w:trPr>
          <w:trHeight w:val="138"/>
        </w:trPr>
        <w:tc>
          <w:tcPr>
            <w:tcW w:w="8400" w:type="dxa"/>
            <w:vAlign w:val="bottom"/>
          </w:tcPr>
          <w:p>
            <w:pPr>
              <w:spacing w:after="0"/>
              <w:rPr>
                <w:sz w:val="20"/>
                <w:szCs w:val="20"/>
                <w:color w:val="auto"/>
              </w:rPr>
            </w:pPr>
            <w:r>
              <w:rPr>
                <w:rFonts w:ascii="Arial" w:cs="Arial" w:eastAsia="Arial" w:hAnsi="Arial"/>
                <w:sz w:val="12"/>
                <w:szCs w:val="12"/>
                <w:b w:val="1"/>
                <w:bCs w:val="1"/>
                <w:color w:val="auto"/>
              </w:rPr>
              <w:t>Net investment gains (losses):</w:t>
            </w: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58"/>
        </w:trPr>
        <w:tc>
          <w:tcPr>
            <w:tcW w:w="8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Call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w:t>
            </w:r>
          </w:p>
        </w:tc>
      </w:tr>
      <w:tr>
        <w:trPr>
          <w:trHeight w:val="155"/>
        </w:trPr>
        <w:tc>
          <w:tcPr>
            <w:tcW w:w="8400" w:type="dxa"/>
            <w:vAlign w:val="bottom"/>
          </w:tcPr>
          <w:p>
            <w:pPr>
              <w:ind w:left="100"/>
              <w:spacing w:after="0"/>
              <w:rPr>
                <w:sz w:val="20"/>
                <w:szCs w:val="20"/>
                <w:color w:val="auto"/>
              </w:rPr>
            </w:pPr>
            <w:r>
              <w:rPr>
                <w:rFonts w:ascii="Arial" w:cs="Arial" w:eastAsia="Arial" w:hAnsi="Arial"/>
                <w:sz w:val="12"/>
                <w:szCs w:val="12"/>
                <w:color w:val="auto"/>
              </w:rPr>
              <w:t>Futures contracts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60"/>
        </w:trPr>
        <w:tc>
          <w:tcPr>
            <w:tcW w:w="8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currency forwards</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155"/>
        </w:trPr>
        <w:tc>
          <w:tcPr>
            <w:tcW w:w="8400" w:type="dxa"/>
            <w:vAlign w:val="bottom"/>
          </w:tcPr>
          <w:p>
            <w:pPr>
              <w:ind w:left="100"/>
              <w:spacing w:after="0"/>
              <w:rPr>
                <w:sz w:val="20"/>
                <w:szCs w:val="20"/>
                <w:color w:val="auto"/>
              </w:rPr>
            </w:pPr>
            <w:r>
              <w:rPr>
                <w:rFonts w:ascii="Arial" w:cs="Arial" w:eastAsia="Arial" w:hAnsi="Arial"/>
                <w:sz w:val="12"/>
                <w:szCs w:val="12"/>
                <w:color w:val="auto"/>
              </w:rPr>
              <w:t>Other derivatives and embedded derivatives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58"/>
        </w:trPr>
        <w:tc>
          <w:tcPr>
            <w:tcW w:w="8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Reinsurance related embedded derivatives</w:t>
            </w:r>
          </w:p>
        </w:tc>
        <w:tc>
          <w:tcPr>
            <w:tcW w:w="1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r>
      <w:tr>
        <w:trPr>
          <w:trHeight w:val="151"/>
        </w:trPr>
        <w:tc>
          <w:tcPr>
            <w:tcW w:w="8400" w:type="dxa"/>
            <w:vAlign w:val="bottom"/>
          </w:tcPr>
          <w:p>
            <w:pPr>
              <w:spacing w:after="0"/>
              <w:rPr>
                <w:sz w:val="20"/>
                <w:szCs w:val="20"/>
                <w:color w:val="auto"/>
              </w:rPr>
            </w:pPr>
            <w:r>
              <w:rPr>
                <w:rFonts w:ascii="Arial" w:cs="Arial" w:eastAsia="Arial" w:hAnsi="Arial"/>
                <w:sz w:val="12"/>
                <w:szCs w:val="12"/>
                <w:b w:val="1"/>
                <w:bCs w:val="1"/>
                <w:color w:val="auto"/>
              </w:rPr>
              <w:t>Total net investment gains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653</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43"/>
        </w:trPr>
        <w:tc>
          <w:tcPr>
            <w:tcW w:w="8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57"/>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Benefits and other changes in policy reserves:</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74"/>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FIA/ IUL embedded derivatives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Additional Disclosures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FIA/ IUL Embedded Derivative and Call Options and Futures</w:t>
      </w:r>
    </w:p>
    <w:p>
      <w:pPr>
        <w:spacing w:after="0" w:line="75"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4"/>
          <w:szCs w:val="14"/>
          <w:color w:val="auto"/>
        </w:rPr>
        <w:t xml:space="preserve">We have FIA and IUL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FIA/IUL embedded derivatives are valued at fair value and included in the liability for contractholder funds in the accompanying Consolidated Balance Sheets with changes in fair value included as a component of Benefits and other changes in policy reserves in the Consolidated Statements of Earnings. See a description of the fair value methodology used in Note D </w:t>
      </w:r>
      <w:r>
        <w:rPr>
          <w:rFonts w:ascii="Arial" w:cs="Arial" w:eastAsia="Arial" w:hAnsi="Arial"/>
          <w:sz w:val="14"/>
          <w:szCs w:val="14"/>
          <w:i w:val="1"/>
          <w:iCs w:val="1"/>
          <w:color w:val="auto"/>
        </w:rPr>
        <w:t>Fair Value of Financial Instruments</w:t>
      </w:r>
      <w:r>
        <w:rPr>
          <w:rFonts w:ascii="Arial" w:cs="Arial" w:eastAsia="Arial" w:hAnsi="Arial"/>
          <w:sz w:val="14"/>
          <w:szCs w:val="14"/>
          <w:color w:val="auto"/>
        </w:rPr>
        <w:t>.</w:t>
      </w:r>
    </w:p>
    <w:p>
      <w:pPr>
        <w:spacing w:after="0" w:line="9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We purchase derivatives consisting of a combination of call options and futures contracts (specifically for FIA contracts) on the applicable market indices to fund the index credits due to FIA/ IUL contractholders. The call options are one, two, three, and five year options purchased to match the funding requirements of the underlying policies. On the respective anniversary dates of the indexed policies, the index used to compute the interest credit is reset and we purchase new call options to fund the next index credit. We manage the cost of these purchases through the terms of our FIA/IUL contracts, which permit us to change caps, spreads or participation rates, subject to guaranteed minimums, on each contract’s anniversary date. The change in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42" w:name="page143"/>
    <w:bookmarkEnd w:id="14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fair value of the call options and futures contracts is generally designed to offset the portion of the change in the fair value of the FIA/IUL embedded derivatives related to index performance through the current credit period. The call options and futures contracts are marked to fair value with the change in fair value included as a component of Recognized gains and losses, net. The change in fair value of the call options and futures contracts includes the gains and losses recognized at the expiration of the instrument term or upon early termination and the changes in fair value of open positions.</w:t>
      </w:r>
    </w:p>
    <w:p>
      <w:pPr>
        <w:spacing w:after="0" w:line="115" w:lineRule="exact"/>
        <w:rPr>
          <w:sz w:val="20"/>
          <w:szCs w:val="20"/>
          <w:color w:val="auto"/>
        </w:rPr>
      </w:pPr>
    </w:p>
    <w:p>
      <w:pPr>
        <w:jc w:val="both"/>
        <w:ind w:firstLine="270"/>
        <w:spacing w:after="0" w:line="321" w:lineRule="auto"/>
        <w:rPr>
          <w:sz w:val="20"/>
          <w:szCs w:val="20"/>
          <w:color w:val="auto"/>
        </w:rPr>
      </w:pPr>
      <w:r>
        <w:rPr>
          <w:rFonts w:ascii="Arial" w:cs="Arial" w:eastAsia="Arial" w:hAnsi="Arial"/>
          <w:sz w:val="13"/>
          <w:szCs w:val="13"/>
          <w:color w:val="auto"/>
        </w:rPr>
        <w:t>Other market exposures are hedged periodically depending on market conditions and our risk tolerance. Our FIA/IUL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Credit Risk</w:t>
      </w:r>
    </w:p>
    <w:p>
      <w:pPr>
        <w:spacing w:after="0" w:line="143"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We are exposed to credit loss in the event of non-performance by our counterparties on the call options and reflect assumptions regarding this non-performance risk in the fair value of the call options.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43" w:name="page144"/>
    <w:bookmarkEnd w:id="14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Information regarding our exposure to credit loss on the call options we hold is presented in the following table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ind w:left="480"/>
              <w:spacing w:after="0"/>
              <w:rPr>
                <w:sz w:val="20"/>
                <w:szCs w:val="20"/>
                <w:color w:val="auto"/>
              </w:rPr>
            </w:pPr>
            <w:r>
              <w:rPr>
                <w:rFonts w:ascii="Arial" w:cs="Arial" w:eastAsia="Arial" w:hAnsi="Arial"/>
                <w:sz w:val="12"/>
                <w:szCs w:val="12"/>
                <w:b w:val="1"/>
                <w:bCs w:val="1"/>
                <w:color w:val="auto"/>
              </w:rPr>
              <w:t>December 31, 2021</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400" w:type="dxa"/>
            <w:vAlign w:val="bottom"/>
            <w:vMerge w:val="restart"/>
          </w:tcPr>
          <w:p>
            <w:pPr>
              <w:spacing w:after="0"/>
              <w:rPr>
                <w:sz w:val="20"/>
                <w:szCs w:val="20"/>
                <w:color w:val="auto"/>
              </w:rPr>
            </w:pPr>
            <w:r>
              <w:rPr>
                <w:rFonts w:ascii="Arial" w:cs="Arial" w:eastAsia="Arial" w:hAnsi="Arial"/>
                <w:sz w:val="12"/>
                <w:szCs w:val="12"/>
                <w:b w:val="1"/>
                <w:bCs w:val="1"/>
                <w:color w:val="auto"/>
              </w:rPr>
              <w:t>Counterparty</w:t>
            </w:r>
          </w:p>
        </w:tc>
        <w:tc>
          <w:tcPr>
            <w:tcW w:w="3120" w:type="dxa"/>
            <w:vAlign w:val="bottom"/>
            <w:gridSpan w:val="2"/>
          </w:tcPr>
          <w:p>
            <w:pPr>
              <w:jc w:val="center"/>
              <w:ind w:left="1180"/>
              <w:spacing w:after="0" w:line="113" w:lineRule="exact"/>
              <w:rPr>
                <w:sz w:val="20"/>
                <w:szCs w:val="20"/>
                <w:color w:val="auto"/>
              </w:rPr>
            </w:pPr>
            <w:r>
              <w:rPr>
                <w:rFonts w:ascii="Arial" w:cs="Arial" w:eastAsia="Arial" w:hAnsi="Arial"/>
                <w:sz w:val="12"/>
                <w:szCs w:val="12"/>
                <w:b w:val="1"/>
                <w:bCs w:val="1"/>
                <w:color w:val="auto"/>
                <w:w w:val="95"/>
              </w:rPr>
              <w:t>Credit Rating</w:t>
            </w:r>
          </w:p>
        </w:tc>
        <w:tc>
          <w:tcPr>
            <w:tcW w:w="200" w:type="dxa"/>
            <w:vAlign w:val="bottom"/>
          </w:tcPr>
          <w:p>
            <w:pPr>
              <w:spacing w:after="0"/>
              <w:rPr>
                <w:sz w:val="9"/>
                <w:szCs w:val="9"/>
                <w:color w:val="auto"/>
              </w:rPr>
            </w:pPr>
          </w:p>
        </w:tc>
        <w:tc>
          <w:tcPr>
            <w:tcW w:w="1040" w:type="dxa"/>
            <w:vAlign w:val="bottom"/>
            <w:gridSpan w:val="2"/>
          </w:tcPr>
          <w:p>
            <w:pPr>
              <w:ind w:left="140"/>
              <w:spacing w:after="0" w:line="113" w:lineRule="exact"/>
              <w:rPr>
                <w:sz w:val="20"/>
                <w:szCs w:val="20"/>
                <w:color w:val="auto"/>
              </w:rPr>
            </w:pPr>
            <w:r>
              <w:rPr>
                <w:rFonts w:ascii="Arial" w:cs="Arial" w:eastAsia="Arial" w:hAnsi="Arial"/>
                <w:sz w:val="12"/>
                <w:szCs w:val="12"/>
                <w:b w:val="1"/>
                <w:bCs w:val="1"/>
                <w:color w:val="auto"/>
              </w:rPr>
              <w:t>Notional</w:t>
            </w:r>
          </w:p>
        </w:tc>
        <w:tc>
          <w:tcPr>
            <w:tcW w:w="160" w:type="dxa"/>
            <w:vAlign w:val="bottom"/>
          </w:tcPr>
          <w:p>
            <w:pPr>
              <w:spacing w:after="0"/>
              <w:rPr>
                <w:sz w:val="9"/>
                <w:szCs w:val="9"/>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Fair Value</w:t>
            </w:r>
          </w:p>
        </w:tc>
        <w:tc>
          <w:tcPr>
            <w:tcW w:w="20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Collateral</w:t>
            </w:r>
          </w:p>
        </w:tc>
        <w:tc>
          <w:tcPr>
            <w:tcW w:w="100" w:type="dxa"/>
            <w:vAlign w:val="bottom"/>
          </w:tcPr>
          <w:p>
            <w:pPr>
              <w:spacing w:after="0"/>
              <w:rPr>
                <w:sz w:val="9"/>
                <w:szCs w:val="9"/>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auto"/>
                <w:w w:val="95"/>
              </w:rPr>
              <w:t>Net Credit Risk</w:t>
            </w:r>
          </w:p>
        </w:tc>
        <w:tc>
          <w:tcPr>
            <w:tcW w:w="0" w:type="dxa"/>
            <w:vAlign w:val="bottom"/>
          </w:tcPr>
          <w:p>
            <w:pPr>
              <w:spacing w:after="0"/>
              <w:rPr>
                <w:sz w:val="1"/>
                <w:szCs w:val="1"/>
                <w:color w:val="auto"/>
              </w:rPr>
            </w:pPr>
          </w:p>
        </w:tc>
      </w:tr>
      <w:tr>
        <w:trPr>
          <w:trHeight w:val="157"/>
        </w:trPr>
        <w:tc>
          <w:tcPr>
            <w:tcW w:w="3400" w:type="dxa"/>
            <w:vAlign w:val="bottom"/>
            <w:vMerge w:val="continue"/>
          </w:tcPr>
          <w:p>
            <w:pPr>
              <w:spacing w:after="0"/>
              <w:rPr>
                <w:sz w:val="13"/>
                <w:szCs w:val="13"/>
                <w:color w:val="auto"/>
              </w:rPr>
            </w:pPr>
          </w:p>
        </w:tc>
        <w:tc>
          <w:tcPr>
            <w:tcW w:w="3120" w:type="dxa"/>
            <w:vAlign w:val="bottom"/>
            <w:gridSpan w:val="2"/>
          </w:tcPr>
          <w:p>
            <w:pPr>
              <w:jc w:val="center"/>
              <w:ind w:left="1180"/>
              <w:spacing w:after="0"/>
              <w:rPr>
                <w:sz w:val="20"/>
                <w:szCs w:val="20"/>
                <w:color w:val="auto"/>
              </w:rPr>
            </w:pPr>
            <w:r>
              <w:rPr>
                <w:rFonts w:ascii="Arial" w:cs="Arial" w:eastAsia="Arial" w:hAnsi="Arial"/>
                <w:sz w:val="12"/>
                <w:szCs w:val="12"/>
                <w:b w:val="1"/>
                <w:bCs w:val="1"/>
                <w:color w:val="auto"/>
                <w:w w:val="95"/>
              </w:rPr>
              <w:t>(Fitch/Moody's/S&amp;P) (1)</w:t>
            </w:r>
          </w:p>
        </w:tc>
        <w:tc>
          <w:tcPr>
            <w:tcW w:w="200" w:type="dxa"/>
            <w:vAlign w:val="bottom"/>
          </w:tcPr>
          <w:p>
            <w:pPr>
              <w:spacing w:after="0"/>
              <w:rPr>
                <w:sz w:val="13"/>
                <w:szCs w:val="13"/>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Merrill Lynch</w:t>
            </w:r>
          </w:p>
        </w:tc>
        <w:tc>
          <w:tcPr>
            <w:tcW w:w="3020" w:type="dxa"/>
            <w:vAlign w:val="bottom"/>
            <w:tcBorders>
              <w:top w:val="single" w:sz="8" w:color="auto"/>
            </w:tcBorders>
            <w:shd w:val="clear" w:color="auto" w:fill="CCEEFF"/>
          </w:tcPr>
          <w:p>
            <w:pPr>
              <w:jc w:val="center"/>
              <w:ind w:left="1300"/>
              <w:spacing w:after="0"/>
              <w:rPr>
                <w:sz w:val="20"/>
                <w:szCs w:val="20"/>
                <w:color w:val="auto"/>
              </w:rPr>
            </w:pPr>
            <w:r>
              <w:rPr>
                <w:rFonts w:ascii="Arial" w:cs="Arial" w:eastAsia="Arial" w:hAnsi="Arial"/>
                <w:sz w:val="12"/>
                <w:szCs w:val="12"/>
                <w:b w:val="1"/>
                <w:bCs w:val="1"/>
                <w:color w:val="auto"/>
              </w:rPr>
              <w:t>AA/*/A+</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3,307</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2"/>
                <w:szCs w:val="12"/>
                <w:color w:val="auto"/>
              </w:rPr>
              <w:t>Morgan Stanley</w:t>
            </w:r>
          </w:p>
        </w:tc>
        <w:tc>
          <w:tcPr>
            <w:tcW w:w="3120" w:type="dxa"/>
            <w:vAlign w:val="bottom"/>
            <w:gridSpan w:val="2"/>
          </w:tcPr>
          <w:p>
            <w:pPr>
              <w:jc w:val="center"/>
              <w:ind w:left="1200"/>
              <w:spacing w:after="0"/>
              <w:rPr>
                <w:sz w:val="20"/>
                <w:szCs w:val="20"/>
                <w:color w:val="auto"/>
              </w:rPr>
            </w:pPr>
            <w:r>
              <w:rPr>
                <w:rFonts w:ascii="Arial" w:cs="Arial" w:eastAsia="Arial" w:hAnsi="Arial"/>
                <w:sz w:val="12"/>
                <w:szCs w:val="12"/>
                <w:b w:val="1"/>
                <w:bCs w:val="1"/>
                <w:color w:val="auto"/>
              </w:rPr>
              <w:t>*/Aa3/A+</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2,184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Barclay's Bank</w:t>
            </w:r>
          </w:p>
        </w:tc>
        <w:tc>
          <w:tcPr>
            <w:tcW w:w="3120" w:type="dxa"/>
            <w:vAlign w:val="bottom"/>
            <w:gridSpan w:val="2"/>
            <w:shd w:val="clear" w:color="auto" w:fill="CCEEFF"/>
          </w:tcPr>
          <w:p>
            <w:pPr>
              <w:jc w:val="center"/>
              <w:ind w:left="1200"/>
              <w:spacing w:after="0"/>
              <w:rPr>
                <w:sz w:val="20"/>
                <w:szCs w:val="20"/>
                <w:color w:val="auto"/>
              </w:rPr>
            </w:pPr>
            <w:r>
              <w:rPr>
                <w:rFonts w:ascii="Arial" w:cs="Arial" w:eastAsia="Arial" w:hAnsi="Arial"/>
                <w:sz w:val="12"/>
                <w:szCs w:val="12"/>
                <w:b w:val="1"/>
                <w:bCs w:val="1"/>
                <w:color w:val="auto"/>
                <w:w w:val="99"/>
              </w:rPr>
              <w:t>A+/A1/A</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5,197</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2"/>
                <w:szCs w:val="12"/>
                <w:color w:val="auto"/>
              </w:rPr>
              <w:t>Canadian Imperial Bank of Commerce</w:t>
            </w:r>
          </w:p>
        </w:tc>
        <w:tc>
          <w:tcPr>
            <w:tcW w:w="3120" w:type="dxa"/>
            <w:vAlign w:val="bottom"/>
            <w:gridSpan w:val="2"/>
          </w:tcPr>
          <w:p>
            <w:pPr>
              <w:jc w:val="center"/>
              <w:ind w:left="1200"/>
              <w:spacing w:after="0"/>
              <w:rPr>
                <w:sz w:val="20"/>
                <w:szCs w:val="20"/>
                <w:color w:val="auto"/>
              </w:rPr>
            </w:pPr>
            <w:r>
              <w:rPr>
                <w:rFonts w:ascii="Arial" w:cs="Arial" w:eastAsia="Arial" w:hAnsi="Arial"/>
                <w:sz w:val="12"/>
                <w:szCs w:val="12"/>
                <w:b w:val="1"/>
                <w:bCs w:val="1"/>
                <w:color w:val="auto"/>
              </w:rPr>
              <w:t>AA/Aa2/A+</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2,936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Wells Fargo</w:t>
            </w:r>
          </w:p>
        </w:tc>
        <w:tc>
          <w:tcPr>
            <w:tcW w:w="3120" w:type="dxa"/>
            <w:vAlign w:val="bottom"/>
            <w:gridSpan w:val="2"/>
            <w:shd w:val="clear" w:color="auto" w:fill="CCEEFF"/>
          </w:tcPr>
          <w:p>
            <w:pPr>
              <w:jc w:val="center"/>
              <w:ind w:left="1200"/>
              <w:spacing w:after="0"/>
              <w:rPr>
                <w:sz w:val="20"/>
                <w:szCs w:val="20"/>
                <w:color w:val="auto"/>
              </w:rPr>
            </w:pPr>
            <w:r>
              <w:rPr>
                <w:rFonts w:ascii="Arial" w:cs="Arial" w:eastAsia="Arial" w:hAnsi="Arial"/>
                <w:sz w:val="12"/>
                <w:szCs w:val="12"/>
                <w:b w:val="1"/>
                <w:bCs w:val="1"/>
                <w:color w:val="auto"/>
                <w:w w:val="93"/>
              </w:rPr>
              <w:t>A+/A1/BBB+</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2"/>
                <w:szCs w:val="12"/>
                <w:color w:val="auto"/>
              </w:rPr>
              <w:t>Goldman Sachs</w:t>
            </w:r>
          </w:p>
        </w:tc>
        <w:tc>
          <w:tcPr>
            <w:tcW w:w="3120" w:type="dxa"/>
            <w:vAlign w:val="bottom"/>
            <w:gridSpan w:val="2"/>
          </w:tcPr>
          <w:p>
            <w:pPr>
              <w:jc w:val="center"/>
              <w:ind w:left="1200"/>
              <w:spacing w:after="0"/>
              <w:rPr>
                <w:sz w:val="20"/>
                <w:szCs w:val="20"/>
                <w:color w:val="auto"/>
              </w:rPr>
            </w:pPr>
            <w:r>
              <w:rPr>
                <w:rFonts w:ascii="Arial" w:cs="Arial" w:eastAsia="Arial" w:hAnsi="Arial"/>
                <w:sz w:val="12"/>
                <w:szCs w:val="12"/>
                <w:b w:val="1"/>
                <w:bCs w:val="1"/>
                <w:color w:val="auto"/>
                <w:w w:val="97"/>
              </w:rPr>
              <w:t>A/A2/BBB+</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Credit Suisse</w:t>
            </w:r>
          </w:p>
        </w:tc>
        <w:tc>
          <w:tcPr>
            <w:tcW w:w="3120" w:type="dxa"/>
            <w:vAlign w:val="bottom"/>
            <w:gridSpan w:val="2"/>
            <w:shd w:val="clear" w:color="auto" w:fill="CCEEFF"/>
          </w:tcPr>
          <w:p>
            <w:pPr>
              <w:jc w:val="center"/>
              <w:ind w:left="1200"/>
              <w:spacing w:after="0"/>
              <w:rPr>
                <w:sz w:val="20"/>
                <w:szCs w:val="20"/>
                <w:color w:val="auto"/>
              </w:rPr>
            </w:pPr>
            <w:r>
              <w:rPr>
                <w:rFonts w:ascii="Arial" w:cs="Arial" w:eastAsia="Arial" w:hAnsi="Arial"/>
                <w:sz w:val="12"/>
                <w:szCs w:val="12"/>
                <w:b w:val="1"/>
                <w:bCs w:val="1"/>
                <w:color w:val="auto"/>
                <w:w w:val="99"/>
              </w:rPr>
              <w:t>A/A1/A+</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3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Truist</w:t>
            </w:r>
          </w:p>
        </w:tc>
        <w:tc>
          <w:tcPr>
            <w:tcW w:w="3120" w:type="dxa"/>
            <w:vAlign w:val="bottom"/>
            <w:tcBorders>
              <w:bottom w:val="single" w:sz="8" w:color="CCEEFF"/>
            </w:tcBorders>
            <w:gridSpan w:val="2"/>
          </w:tcPr>
          <w:p>
            <w:pPr>
              <w:jc w:val="center"/>
              <w:ind w:left="1200"/>
              <w:spacing w:after="0"/>
              <w:rPr>
                <w:sz w:val="20"/>
                <w:szCs w:val="20"/>
                <w:color w:val="auto"/>
              </w:rPr>
            </w:pPr>
            <w:r>
              <w:rPr>
                <w:rFonts w:ascii="Arial" w:cs="Arial" w:eastAsia="Arial" w:hAnsi="Arial"/>
                <w:sz w:val="12"/>
                <w:szCs w:val="12"/>
                <w:b w:val="1"/>
                <w:bCs w:val="1"/>
                <w:color w:val="auto"/>
                <w:w w:val="99"/>
              </w:rPr>
              <w:t>A+/A2/A</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1,543</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4"/>
        </w:trPr>
        <w:tc>
          <w:tcPr>
            <w:tcW w:w="3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3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19,404</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816</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4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5"/>
          </w:tcPr>
          <w:p>
            <w:pPr>
              <w:ind w:left="480"/>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3"/>
        </w:trPr>
        <w:tc>
          <w:tcPr>
            <w:tcW w:w="3400" w:type="dxa"/>
            <w:vAlign w:val="bottom"/>
            <w:vMerge w:val="restart"/>
          </w:tcPr>
          <w:p>
            <w:pPr>
              <w:spacing w:after="0"/>
              <w:rPr>
                <w:sz w:val="20"/>
                <w:szCs w:val="20"/>
                <w:color w:val="auto"/>
              </w:rPr>
            </w:pPr>
            <w:r>
              <w:rPr>
                <w:rFonts w:ascii="Arial" w:cs="Arial" w:eastAsia="Arial" w:hAnsi="Arial"/>
                <w:sz w:val="12"/>
                <w:szCs w:val="12"/>
                <w:b w:val="1"/>
                <w:bCs w:val="1"/>
                <w:color w:val="auto"/>
              </w:rPr>
              <w:t>Counterparty</w:t>
            </w:r>
          </w:p>
        </w:tc>
        <w:tc>
          <w:tcPr>
            <w:tcW w:w="3120" w:type="dxa"/>
            <w:vAlign w:val="bottom"/>
            <w:gridSpan w:val="2"/>
          </w:tcPr>
          <w:p>
            <w:pPr>
              <w:jc w:val="center"/>
              <w:ind w:left="1180"/>
              <w:spacing w:after="0" w:line="113" w:lineRule="exact"/>
              <w:rPr>
                <w:sz w:val="20"/>
                <w:szCs w:val="20"/>
                <w:color w:val="auto"/>
              </w:rPr>
            </w:pPr>
            <w:r>
              <w:rPr>
                <w:rFonts w:ascii="Arial" w:cs="Arial" w:eastAsia="Arial" w:hAnsi="Arial"/>
                <w:sz w:val="12"/>
                <w:szCs w:val="12"/>
                <w:b w:val="1"/>
                <w:bCs w:val="1"/>
                <w:color w:val="auto"/>
                <w:w w:val="95"/>
              </w:rPr>
              <w:t>Credit Rating</w:t>
            </w:r>
          </w:p>
        </w:tc>
        <w:tc>
          <w:tcPr>
            <w:tcW w:w="200" w:type="dxa"/>
            <w:vAlign w:val="bottom"/>
          </w:tcPr>
          <w:p>
            <w:pPr>
              <w:spacing w:after="0"/>
              <w:rPr>
                <w:sz w:val="9"/>
                <w:szCs w:val="9"/>
                <w:color w:val="auto"/>
              </w:rPr>
            </w:pPr>
          </w:p>
        </w:tc>
        <w:tc>
          <w:tcPr>
            <w:tcW w:w="1040" w:type="dxa"/>
            <w:vAlign w:val="bottom"/>
            <w:gridSpan w:val="2"/>
          </w:tcPr>
          <w:p>
            <w:pPr>
              <w:ind w:left="140"/>
              <w:spacing w:after="0" w:line="113" w:lineRule="exact"/>
              <w:rPr>
                <w:sz w:val="20"/>
                <w:szCs w:val="20"/>
                <w:color w:val="auto"/>
              </w:rPr>
            </w:pPr>
            <w:r>
              <w:rPr>
                <w:rFonts w:ascii="Arial" w:cs="Arial" w:eastAsia="Arial" w:hAnsi="Arial"/>
                <w:sz w:val="12"/>
                <w:szCs w:val="12"/>
                <w:b w:val="1"/>
                <w:bCs w:val="1"/>
                <w:color w:val="auto"/>
              </w:rPr>
              <w:t>Notional</w:t>
            </w:r>
          </w:p>
        </w:tc>
        <w:tc>
          <w:tcPr>
            <w:tcW w:w="160" w:type="dxa"/>
            <w:vAlign w:val="bottom"/>
          </w:tcPr>
          <w:p>
            <w:pPr>
              <w:spacing w:after="0"/>
              <w:rPr>
                <w:sz w:val="9"/>
                <w:szCs w:val="9"/>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Fair Value</w:t>
            </w:r>
          </w:p>
        </w:tc>
        <w:tc>
          <w:tcPr>
            <w:tcW w:w="20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Collateral</w:t>
            </w:r>
          </w:p>
        </w:tc>
        <w:tc>
          <w:tcPr>
            <w:tcW w:w="100" w:type="dxa"/>
            <w:vAlign w:val="bottom"/>
          </w:tcPr>
          <w:p>
            <w:pPr>
              <w:spacing w:after="0"/>
              <w:rPr>
                <w:sz w:val="9"/>
                <w:szCs w:val="9"/>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auto"/>
                <w:w w:val="95"/>
              </w:rPr>
              <w:t>Net Credit Risk</w:t>
            </w:r>
          </w:p>
        </w:tc>
        <w:tc>
          <w:tcPr>
            <w:tcW w:w="0" w:type="dxa"/>
            <w:vAlign w:val="bottom"/>
          </w:tcPr>
          <w:p>
            <w:pPr>
              <w:spacing w:after="0"/>
              <w:rPr>
                <w:sz w:val="1"/>
                <w:szCs w:val="1"/>
                <w:color w:val="auto"/>
              </w:rPr>
            </w:pPr>
          </w:p>
        </w:tc>
      </w:tr>
      <w:tr>
        <w:trPr>
          <w:trHeight w:val="157"/>
        </w:trPr>
        <w:tc>
          <w:tcPr>
            <w:tcW w:w="3400" w:type="dxa"/>
            <w:vAlign w:val="bottom"/>
            <w:vMerge w:val="continue"/>
          </w:tcPr>
          <w:p>
            <w:pPr>
              <w:spacing w:after="0"/>
              <w:rPr>
                <w:sz w:val="13"/>
                <w:szCs w:val="13"/>
                <w:color w:val="auto"/>
              </w:rPr>
            </w:pPr>
          </w:p>
        </w:tc>
        <w:tc>
          <w:tcPr>
            <w:tcW w:w="3120" w:type="dxa"/>
            <w:vAlign w:val="bottom"/>
            <w:gridSpan w:val="2"/>
          </w:tcPr>
          <w:p>
            <w:pPr>
              <w:jc w:val="center"/>
              <w:ind w:left="1180"/>
              <w:spacing w:after="0"/>
              <w:rPr>
                <w:sz w:val="20"/>
                <w:szCs w:val="20"/>
                <w:color w:val="auto"/>
              </w:rPr>
            </w:pPr>
            <w:r>
              <w:rPr>
                <w:rFonts w:ascii="Arial" w:cs="Arial" w:eastAsia="Arial" w:hAnsi="Arial"/>
                <w:sz w:val="12"/>
                <w:szCs w:val="12"/>
                <w:b w:val="1"/>
                <w:bCs w:val="1"/>
                <w:color w:val="auto"/>
                <w:w w:val="95"/>
              </w:rPr>
              <w:t>(Fitch/Moody's/S&amp;P) (1)</w:t>
            </w:r>
          </w:p>
        </w:tc>
        <w:tc>
          <w:tcPr>
            <w:tcW w:w="200" w:type="dxa"/>
            <w:vAlign w:val="bottom"/>
          </w:tcPr>
          <w:p>
            <w:pPr>
              <w:spacing w:after="0"/>
              <w:rPr>
                <w:sz w:val="13"/>
                <w:szCs w:val="13"/>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Merrill Lynch</w:t>
            </w:r>
          </w:p>
        </w:tc>
        <w:tc>
          <w:tcPr>
            <w:tcW w:w="3020" w:type="dxa"/>
            <w:vAlign w:val="bottom"/>
            <w:tcBorders>
              <w:top w:val="single" w:sz="8" w:color="auto"/>
            </w:tcBorders>
            <w:shd w:val="clear" w:color="auto" w:fill="CCEEFF"/>
          </w:tcPr>
          <w:p>
            <w:pPr>
              <w:jc w:val="center"/>
              <w:ind w:left="1280"/>
              <w:spacing w:after="0"/>
              <w:rPr>
                <w:sz w:val="20"/>
                <w:szCs w:val="20"/>
                <w:color w:val="auto"/>
              </w:rPr>
            </w:pPr>
            <w:r>
              <w:rPr>
                <w:rFonts w:ascii="Arial" w:cs="Arial" w:eastAsia="Arial" w:hAnsi="Arial"/>
                <w:sz w:val="12"/>
                <w:szCs w:val="12"/>
                <w:b w:val="1"/>
                <w:bCs w:val="1"/>
                <w:color w:val="auto"/>
                <w:w w:val="99"/>
              </w:rPr>
              <w:t>AA-/*/A+</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2"/>
                <w:szCs w:val="12"/>
                <w:color w:val="auto"/>
              </w:rPr>
              <w:t>Morgan Stanley</w:t>
            </w:r>
          </w:p>
        </w:tc>
        <w:tc>
          <w:tcPr>
            <w:tcW w:w="3120" w:type="dxa"/>
            <w:vAlign w:val="bottom"/>
            <w:gridSpan w:val="2"/>
          </w:tcPr>
          <w:p>
            <w:pPr>
              <w:jc w:val="center"/>
              <w:ind w:left="1180"/>
              <w:spacing w:after="0"/>
              <w:rPr>
                <w:sz w:val="20"/>
                <w:szCs w:val="20"/>
                <w:color w:val="auto"/>
              </w:rPr>
            </w:pPr>
            <w:r>
              <w:rPr>
                <w:rFonts w:ascii="Arial" w:cs="Arial" w:eastAsia="Arial" w:hAnsi="Arial"/>
                <w:sz w:val="12"/>
                <w:szCs w:val="12"/>
                <w:b w:val="1"/>
                <w:bCs w:val="1"/>
                <w:color w:val="auto"/>
                <w:w w:val="94"/>
              </w:rPr>
              <w:t>A/A2/BBB+</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1,503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Barclay's Bank</w:t>
            </w:r>
          </w:p>
        </w:tc>
        <w:tc>
          <w:tcPr>
            <w:tcW w:w="3120" w:type="dxa"/>
            <w:vAlign w:val="bottom"/>
            <w:gridSpan w:val="2"/>
            <w:shd w:val="clear" w:color="auto" w:fill="CCEEFF"/>
          </w:tcPr>
          <w:p>
            <w:pPr>
              <w:jc w:val="center"/>
              <w:ind w:left="1180"/>
              <w:spacing w:after="0"/>
              <w:rPr>
                <w:sz w:val="20"/>
                <w:szCs w:val="20"/>
                <w:color w:val="auto"/>
              </w:rPr>
            </w:pPr>
            <w:r>
              <w:rPr>
                <w:rFonts w:ascii="Arial" w:cs="Arial" w:eastAsia="Arial" w:hAnsi="Arial"/>
                <w:sz w:val="12"/>
                <w:szCs w:val="12"/>
                <w:b w:val="1"/>
                <w:bCs w:val="1"/>
                <w:color w:val="auto"/>
                <w:w w:val="94"/>
              </w:rPr>
              <w:t>A+/A1/A</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4,639</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2"/>
                <w:szCs w:val="12"/>
                <w:color w:val="auto"/>
              </w:rPr>
              <w:t>Canadian Imperial Bank of Commerce</w:t>
            </w:r>
          </w:p>
        </w:tc>
        <w:tc>
          <w:tcPr>
            <w:tcW w:w="3120" w:type="dxa"/>
            <w:vAlign w:val="bottom"/>
            <w:gridSpan w:val="2"/>
          </w:tcPr>
          <w:p>
            <w:pPr>
              <w:jc w:val="center"/>
              <w:ind w:left="1180"/>
              <w:spacing w:after="0"/>
              <w:rPr>
                <w:sz w:val="20"/>
                <w:szCs w:val="20"/>
                <w:color w:val="auto"/>
              </w:rPr>
            </w:pPr>
            <w:r>
              <w:rPr>
                <w:rFonts w:ascii="Arial" w:cs="Arial" w:eastAsia="Arial" w:hAnsi="Arial"/>
                <w:sz w:val="12"/>
                <w:szCs w:val="12"/>
                <w:b w:val="1"/>
                <w:bCs w:val="1"/>
                <w:color w:val="auto"/>
                <w:w w:val="97"/>
              </w:rPr>
              <w:t>AA/Aa2/A+</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2,276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Wells Fargo</w:t>
            </w:r>
          </w:p>
        </w:tc>
        <w:tc>
          <w:tcPr>
            <w:tcW w:w="3120" w:type="dxa"/>
            <w:vAlign w:val="bottom"/>
            <w:gridSpan w:val="2"/>
            <w:shd w:val="clear" w:color="auto" w:fill="CCEEFF"/>
          </w:tcPr>
          <w:p>
            <w:pPr>
              <w:jc w:val="center"/>
              <w:ind w:left="1180"/>
              <w:spacing w:after="0"/>
              <w:rPr>
                <w:sz w:val="20"/>
                <w:szCs w:val="20"/>
                <w:color w:val="auto"/>
              </w:rPr>
            </w:pPr>
            <w:r>
              <w:rPr>
                <w:rFonts w:ascii="Arial" w:cs="Arial" w:eastAsia="Arial" w:hAnsi="Arial"/>
                <w:sz w:val="12"/>
                <w:szCs w:val="12"/>
                <w:b w:val="1"/>
                <w:bCs w:val="1"/>
                <w:color w:val="auto"/>
                <w:w w:val="96"/>
              </w:rPr>
              <w:t>A+/A2/BBB+</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2"/>
                <w:szCs w:val="12"/>
                <w:color w:val="auto"/>
              </w:rPr>
              <w:t>Goldman Sachs</w:t>
            </w:r>
          </w:p>
        </w:tc>
        <w:tc>
          <w:tcPr>
            <w:tcW w:w="3120" w:type="dxa"/>
            <w:vAlign w:val="bottom"/>
            <w:gridSpan w:val="2"/>
          </w:tcPr>
          <w:p>
            <w:pPr>
              <w:jc w:val="center"/>
              <w:ind w:left="1180"/>
              <w:spacing w:after="0"/>
              <w:rPr>
                <w:sz w:val="20"/>
                <w:szCs w:val="20"/>
                <w:color w:val="auto"/>
              </w:rPr>
            </w:pPr>
            <w:r>
              <w:rPr>
                <w:rFonts w:ascii="Arial" w:cs="Arial" w:eastAsia="Arial" w:hAnsi="Arial"/>
                <w:sz w:val="12"/>
                <w:szCs w:val="12"/>
                <w:b w:val="1"/>
                <w:bCs w:val="1"/>
                <w:color w:val="auto"/>
                <w:w w:val="94"/>
              </w:rPr>
              <w:t>A/A3/BBB+</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634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Credit Suisse</w:t>
            </w:r>
          </w:p>
        </w:tc>
        <w:tc>
          <w:tcPr>
            <w:tcW w:w="3120" w:type="dxa"/>
            <w:vAlign w:val="bottom"/>
            <w:gridSpan w:val="2"/>
            <w:shd w:val="clear" w:color="auto" w:fill="CCEEFF"/>
          </w:tcPr>
          <w:p>
            <w:pPr>
              <w:jc w:val="center"/>
              <w:ind w:left="1180"/>
              <w:spacing w:after="0"/>
              <w:rPr>
                <w:sz w:val="20"/>
                <w:szCs w:val="20"/>
                <w:color w:val="auto"/>
              </w:rPr>
            </w:pPr>
            <w:r>
              <w:rPr>
                <w:rFonts w:ascii="Arial" w:cs="Arial" w:eastAsia="Arial" w:hAnsi="Arial"/>
                <w:sz w:val="12"/>
                <w:szCs w:val="12"/>
                <w:b w:val="1"/>
                <w:bCs w:val="1"/>
                <w:color w:val="auto"/>
                <w:w w:val="97"/>
              </w:rPr>
              <w:t>A/Aa3/A+</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1,373</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7"/>
        </w:trPr>
        <w:tc>
          <w:tcPr>
            <w:tcW w:w="3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Truist</w:t>
            </w:r>
          </w:p>
        </w:tc>
        <w:tc>
          <w:tcPr>
            <w:tcW w:w="3120" w:type="dxa"/>
            <w:vAlign w:val="bottom"/>
            <w:tcBorders>
              <w:bottom w:val="single" w:sz="8" w:color="CCEEFF"/>
            </w:tcBorders>
            <w:gridSpan w:val="2"/>
          </w:tcPr>
          <w:p>
            <w:pPr>
              <w:jc w:val="center"/>
              <w:ind w:left="1180"/>
              <w:spacing w:after="0"/>
              <w:rPr>
                <w:sz w:val="20"/>
                <w:szCs w:val="20"/>
                <w:color w:val="auto"/>
              </w:rPr>
            </w:pPr>
            <w:r>
              <w:rPr>
                <w:rFonts w:ascii="Arial" w:cs="Arial" w:eastAsia="Arial" w:hAnsi="Arial"/>
                <w:sz w:val="12"/>
                <w:szCs w:val="12"/>
                <w:b w:val="1"/>
                <w:bCs w:val="1"/>
                <w:color w:val="auto"/>
                <w:w w:val="94"/>
              </w:rPr>
              <w:t>A+/A2/A</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652</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4"/>
        </w:trPr>
        <w:tc>
          <w:tcPr>
            <w:tcW w:w="3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3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15,909</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(1) An * represents credit ratings that were not available.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Collateral Agreements</w:t>
      </w:r>
    </w:p>
    <w:p>
      <w:pPr>
        <w:spacing w:after="0" w:line="120"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5"/>
          <w:szCs w:val="15"/>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option contracts between the parties, at which time any amounts payable by us or the counterparty would be dependent on the market value of the underlying option contracts. Our current rating does not allow any counterparty the right to terminate ISDA agreements. In certain transactions, both we and the counterparty have entered into a collateral support agreement requiring either party to post collateral when the net exposures exceed pre-determined thresholds. For all counterparties, except Merrill Lynch, this threshold is set to zero. As of December 31, 2021 and 2020, counterparties posted $790 million and $491 million, respectively, of collateral, of which $576 million and $415 million, respectively, is included in cash and cash equivalents with an associated payable for this collateral included in accounts payable and accrued liabilities on the Consolidated Balance Sheet. Accordingly, the maximum amount of loss due to credit risk that we would incur if parties to the call options failed completely to perform according to the terms of the contracts was $42 million at December 31, 2021 and $58 million at December 31, 2020.</w:t>
      </w:r>
    </w:p>
    <w:p>
      <w:pPr>
        <w:spacing w:after="0" w:line="88"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We are required to pay counterparties the effective federal funds rate each day for cash collateral posted to F&amp;G for daily mark to market margin changes. We reinvest derivative cash collateral to reduce the interest cost. Cash collateral is invested in overnight investment sweep products, which are included in cash and cash equivalents in the accompanying Consolidated Balance Sheets.</w:t>
      </w:r>
    </w:p>
    <w:p>
      <w:pPr>
        <w:spacing w:after="0" w:line="77"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5"/>
          <w:szCs w:val="15"/>
          <w:color w:val="auto"/>
        </w:rPr>
        <w:t>We held 329 and 384 futures contracts at December 31, 2021 and 2020,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accompanying Consolidated Balance Sheets. The amount of cash collateral held by the counterparties for such contracts was $3 million and $4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44" w:name="page145"/>
    <w:bookmarkEnd w:id="14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Reinsurance Related Embedded Derivatives</w:t>
      </w:r>
    </w:p>
    <w:p>
      <w:pPr>
        <w:spacing w:after="0" w:line="120"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5"/>
          <w:szCs w:val="15"/>
          <w:color w:val="auto"/>
        </w:rPr>
        <w:t xml:space="preserve">As discussed in Note O </w:t>
      </w:r>
      <w:r>
        <w:rPr>
          <w:rFonts w:ascii="Arial" w:cs="Arial" w:eastAsia="Arial" w:hAnsi="Arial"/>
          <w:sz w:val="15"/>
          <w:szCs w:val="15"/>
          <w:i w:val="1"/>
          <w:iCs w:val="1"/>
          <w:color w:val="auto"/>
        </w:rPr>
        <w:t>Reinsurance</w:t>
      </w:r>
      <w:r>
        <w:rPr>
          <w:rFonts w:ascii="Arial" w:cs="Arial" w:eastAsia="Arial" w:hAnsi="Arial"/>
          <w:sz w:val="15"/>
          <w:szCs w:val="15"/>
          <w:color w:val="auto"/>
        </w:rPr>
        <w:t>, F&amp;G entered into a reinsurance agreement with Kubera, effective December 31, 2018, to cede certain MYGA and deferred annuity business on a coinsurance funds withheld basis, net of applicable existing reinsurance. Effective October 31, 2021, this agreement was novated from Kubera to Somerset, a certified third party reinsurer. Additionally, F&amp;G entered into a reinsurance agreement with Aspida Re effective January 1, 2021, to cede a quota share of certain deferred annuity business on a funds withheld basis. Fair value movements in the funds withheld balances associated with these arrangements creates an obligation for FGL Insurance to pay Somerset and Aspida Re at a later date, which results in embedded derivatives. These embedded derivatives are considered total return swaps with contractual returns that are attributable to the assets and liabilities associated with the reinsurance arrangements.</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G — Notes Payable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Notes payable consists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December 31, 2021</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8"/>
              </w:rPr>
              <w:t>December 31, 2020</w:t>
            </w:r>
          </w:p>
        </w:tc>
      </w:tr>
      <w:tr>
        <w:trPr>
          <w:trHeight w:val="151"/>
        </w:trPr>
        <w:tc>
          <w:tcPr>
            <w:tcW w:w="8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Arial" w:cs="Arial" w:eastAsia="Arial" w:hAnsi="Arial"/>
                <w:sz w:val="12"/>
                <w:szCs w:val="12"/>
                <w:color w:val="auto"/>
              </w:rPr>
              <w:t>(In millions)</w:t>
            </w:r>
          </w:p>
        </w:tc>
        <w:tc>
          <w:tcPr>
            <w:tcW w:w="1260" w:type="dxa"/>
            <w:vAlign w:val="bottom"/>
          </w:tcPr>
          <w:p>
            <w:pPr>
              <w:spacing w:after="0"/>
              <w:rPr>
                <w:sz w:val="13"/>
                <w:szCs w:val="13"/>
                <w:color w:val="auto"/>
              </w:rPr>
            </w:pPr>
          </w:p>
        </w:tc>
      </w:tr>
      <w:tr>
        <w:trPr>
          <w:trHeight w:val="160"/>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4.50% Notes, net of discount</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w:t>
            </w:r>
          </w:p>
        </w:tc>
      </w:tr>
      <w:tr>
        <w:trPr>
          <w:trHeight w:val="155"/>
        </w:trPr>
        <w:tc>
          <w:tcPr>
            <w:tcW w:w="8140" w:type="dxa"/>
            <w:vAlign w:val="bottom"/>
          </w:tcPr>
          <w:p>
            <w:pPr>
              <w:spacing w:after="0"/>
              <w:rPr>
                <w:sz w:val="20"/>
                <w:szCs w:val="20"/>
                <w:color w:val="auto"/>
              </w:rPr>
            </w:pPr>
            <w:r>
              <w:rPr>
                <w:rFonts w:ascii="Arial" w:cs="Arial" w:eastAsia="Arial" w:hAnsi="Arial"/>
                <w:sz w:val="12"/>
                <w:szCs w:val="12"/>
                <w:color w:val="auto"/>
              </w:rPr>
              <w:t>5.50% Notes, net of discount</w:t>
            </w:r>
          </w:p>
        </w:tc>
        <w:tc>
          <w:tcPr>
            <w:tcW w:w="1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399</w:t>
            </w:r>
          </w:p>
        </w:tc>
      </w:tr>
      <w:tr>
        <w:trPr>
          <w:trHeight w:val="160"/>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3.40% Notes, net of discount</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w:t>
            </w:r>
          </w:p>
        </w:tc>
      </w:tr>
      <w:tr>
        <w:trPr>
          <w:trHeight w:val="155"/>
        </w:trPr>
        <w:tc>
          <w:tcPr>
            <w:tcW w:w="8140" w:type="dxa"/>
            <w:vAlign w:val="bottom"/>
          </w:tcPr>
          <w:p>
            <w:pPr>
              <w:spacing w:after="0"/>
              <w:rPr>
                <w:sz w:val="20"/>
                <w:szCs w:val="20"/>
                <w:color w:val="auto"/>
              </w:rPr>
            </w:pPr>
            <w:r>
              <w:rPr>
                <w:rFonts w:ascii="Arial" w:cs="Arial" w:eastAsia="Arial" w:hAnsi="Arial"/>
                <w:sz w:val="12"/>
                <w:szCs w:val="12"/>
                <w:color w:val="auto"/>
              </w:rPr>
              <w:t>2.45% Notes, net of discount</w:t>
            </w:r>
          </w:p>
        </w:tc>
        <w:tc>
          <w:tcPr>
            <w:tcW w:w="1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593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592</w:t>
            </w:r>
          </w:p>
        </w:tc>
      </w:tr>
      <w:tr>
        <w:trPr>
          <w:trHeight w:val="160"/>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3.20% Notes, net of discount</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140" w:type="dxa"/>
            <w:vAlign w:val="bottom"/>
          </w:tcPr>
          <w:p>
            <w:pPr>
              <w:spacing w:after="0"/>
              <w:rPr>
                <w:sz w:val="20"/>
                <w:szCs w:val="20"/>
                <w:color w:val="auto"/>
              </w:rPr>
            </w:pPr>
            <w:r>
              <w:rPr>
                <w:rFonts w:ascii="Arial" w:cs="Arial" w:eastAsia="Arial" w:hAnsi="Arial"/>
                <w:sz w:val="12"/>
                <w:szCs w:val="12"/>
                <w:color w:val="auto"/>
              </w:rPr>
              <w:t>Revolving Credit Facility</w:t>
            </w:r>
          </w:p>
        </w:tc>
        <w:tc>
          <w:tcPr>
            <w:tcW w:w="1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60"/>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5.50% F&amp;G Notes</w:t>
            </w:r>
          </w:p>
        </w:tc>
        <w:tc>
          <w:tcPr>
            <w:tcW w:w="1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589</w:t>
            </w:r>
          </w:p>
        </w:tc>
      </w:tr>
      <w:tr>
        <w:trPr>
          <w:trHeight w:val="147"/>
        </w:trPr>
        <w:tc>
          <w:tcPr>
            <w:tcW w:w="814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3,096</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2,662</w:t>
            </w:r>
          </w:p>
        </w:tc>
      </w:tr>
      <w:tr>
        <w:trPr>
          <w:trHeight w:val="20"/>
        </w:trPr>
        <w:tc>
          <w:tcPr>
            <w:tcW w:w="8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color w:val="auto"/>
        </w:rPr>
        <w:t>On September 17, 2021, we completed our underwritten public offering of $450 million aggregate principal amount of our 3.20% Notes due 2051, pursuant to our registration statement on Form S-3 ASR (File No. 333-239002) and the related prospectus supplement. The net proceeds from the registered offering of the 3.20% Notes were approximately $443 million, after deducting underwriting discounts, commissions and offering expenses. We plan to use the net proceeds from the offering for general corporate purposes.</w:t>
      </w:r>
    </w:p>
    <w:p>
      <w:pPr>
        <w:spacing w:after="0" w:line="47"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4"/>
          <w:szCs w:val="14"/>
          <w:color w:val="auto"/>
        </w:rPr>
        <w:t>On October 29, 2020, we entered into the Fifth Restated Credit Agreement for our Amended Revolving Credit Facility with Bank of America, N.A., as administrative agent and the other agents party thereto. Among other changes, the Fifth Restated Credit Agreement amends the Fourth Restated Credit Agreement to extend the maturity date from April 27, 2022 to October 29, 2025. The material terms of the Fourth Restated Credit Agreement are set forth in our Annual Report for the year ended December 31, 2019. As of December 31, 2021, there was no principal outstanding, $4 million of unamortized debt issuance costs, and $800 million of available borrowing capacity under the Revolving Credit Facility.</w:t>
      </w:r>
    </w:p>
    <w:p>
      <w:pPr>
        <w:spacing w:after="0" w:line="5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On September 15, 2020, we completed our underwritten public offering of $600 million aggregate principal amount of our 2.45% Notes due March 15, 2031 (the "2.45% Notes") pursuant to an effective registration statement filed with the Securities and Exchange Commission ("SEC"). The net proceeds from the registered offering of the 2.45% Notes were approximately $593 million, after deducting underwriting discounts and commissions and offering expenses. We used the net proceeds from the offering (i) to repay the remaining $260 million outstanding indebtedness under our prior term loan credit agreement dated April 22, 2020, among us, as borrower, various lenders, and Bank of American N.A., as administrative agent (the "Term Loan"), which provided for an aggregate principal borrowing of $1.0 billion and which we entered into to fund a portion of the acquisition of F&amp;G and (ii) for general corporate purposes.</w:t>
      </w:r>
    </w:p>
    <w:p>
      <w:pPr>
        <w:spacing w:after="0" w:line="72" w:lineRule="exact"/>
        <w:rPr>
          <w:sz w:val="20"/>
          <w:szCs w:val="20"/>
          <w:color w:val="auto"/>
        </w:rPr>
      </w:pPr>
    </w:p>
    <w:p>
      <w:pPr>
        <w:jc w:val="both"/>
        <w:ind w:firstLine="270"/>
        <w:spacing w:after="0" w:line="243" w:lineRule="auto"/>
        <w:rPr>
          <w:sz w:val="20"/>
          <w:szCs w:val="20"/>
          <w:color w:val="auto"/>
        </w:rPr>
      </w:pPr>
      <w:r>
        <w:rPr>
          <w:rFonts w:ascii="Arial" w:cs="Arial" w:eastAsia="Arial" w:hAnsi="Arial"/>
          <w:sz w:val="15"/>
          <w:szCs w:val="15"/>
          <w:color w:val="auto"/>
        </w:rPr>
        <w:t>On June 12, 2020, we completed our underwritten public offering of $650 million aggregate principal amount of the 3.40% Notes due 2030 (the “3.40% Notes”) pursuant to an effective registration statement filed with the SEC. The net proceeds from the registered offering of the 3.40% Notes were approximately $642 million, after deducting underwriting discounts, and commissions and offering expenses. We used the net proceeds from the offering (i) to repay $640 million of the then outstanding principal amount under the Term Loan, and (ii) for general corporate purposes.</w:t>
      </w:r>
    </w:p>
    <w:p>
      <w:pPr>
        <w:spacing w:after="0" w:line="68"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On June 1, 2020, as a result of the F&amp;G acquisition, we assumed $550 million aggregate principal amount of 5.50% senior notes due 2025 (the "5.50% F&amp;G Notes"), originally issued on April 20, 2018 at 99.5% of face value for proceeds of $547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45" w:name="page146"/>
    <w:bookmarkEnd w:id="14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80" w:firstLine="270"/>
        <w:spacing w:after="0" w:line="255" w:lineRule="auto"/>
        <w:rPr>
          <w:sz w:val="20"/>
          <w:szCs w:val="20"/>
          <w:color w:val="auto"/>
        </w:rPr>
      </w:pPr>
      <w:r>
        <w:rPr>
          <w:rFonts w:ascii="Arial" w:cs="Arial" w:eastAsia="Arial" w:hAnsi="Arial"/>
          <w:sz w:val="15"/>
          <w:szCs w:val="15"/>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72" w:lineRule="exact"/>
        <w:rPr>
          <w:sz w:val="20"/>
          <w:szCs w:val="20"/>
          <w:color w:val="auto"/>
        </w:rPr>
      </w:pPr>
    </w:p>
    <w:p>
      <w:pPr>
        <w:jc w:val="both"/>
        <w:ind w:right="80" w:firstLine="270"/>
        <w:spacing w:after="0" w:line="279" w:lineRule="auto"/>
        <w:rPr>
          <w:sz w:val="20"/>
          <w:szCs w:val="20"/>
          <w:color w:val="auto"/>
        </w:rPr>
      </w:pPr>
      <w:r>
        <w:rPr>
          <w:rFonts w:ascii="Arial" w:cs="Arial" w:eastAsia="Arial" w:hAnsi="Arial"/>
          <w:sz w:val="14"/>
          <w:szCs w:val="14"/>
          <w:color w:val="auto"/>
        </w:rPr>
        <w:t>On August 28, 2012, we completed an offering of $400 million in aggregate principal amount of 5.50% notes due September 2022 (the "5.50% Notes"), pursuant to an effective registration statement previously filed with the SEC. The notes were priced at 99.513% of par to yield 5.564% annual interest. We pay interest on the 5.50% semi-annually on the 1st of March and September, beginning March 1, 2013.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85" w:lineRule="exact"/>
        <w:rPr>
          <w:sz w:val="20"/>
          <w:szCs w:val="20"/>
          <w:color w:val="auto"/>
        </w:rPr>
      </w:pPr>
    </w:p>
    <w:tbl>
      <w:tblPr>
        <w:tblLayout w:type="fixed"/>
        <w:tblInd w:w="260" w:type="dxa"/>
        <w:tblCellMar>
          <w:top w:w="0" w:type="dxa"/>
          <w:left w:w="0" w:type="dxa"/>
          <w:bottom w:w="0" w:type="dxa"/>
          <w:right w:w="0" w:type="dxa"/>
        </w:tblCellMar>
      </w:tblPr>
      <w:tr>
        <w:trPr>
          <w:trHeight w:val="153"/>
        </w:trPr>
        <w:tc>
          <w:tcPr>
            <w:tcW w:w="9640" w:type="dxa"/>
            <w:vAlign w:val="bottom"/>
          </w:tcPr>
          <w:p>
            <w:pPr>
              <w:ind w:left="460"/>
              <w:spacing w:after="0"/>
              <w:rPr>
                <w:sz w:val="20"/>
                <w:szCs w:val="20"/>
                <w:color w:val="auto"/>
              </w:rPr>
            </w:pPr>
            <w:r>
              <w:rPr>
                <w:rFonts w:ascii="Arial" w:cs="Arial" w:eastAsia="Arial" w:hAnsi="Arial"/>
                <w:sz w:val="12"/>
                <w:szCs w:val="12"/>
                <w:color w:val="auto"/>
              </w:rPr>
              <w:t>Gross principal maturities of notes payable at December 31, 2021 are as follows (in millions):</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2"/>
        </w:trPr>
        <w:tc>
          <w:tcPr>
            <w:tcW w:w="9640" w:type="dxa"/>
            <w:vAlign w:val="bottom"/>
          </w:tcPr>
          <w:p>
            <w:pPr>
              <w:ind w:left="280"/>
              <w:spacing w:after="0"/>
              <w:rPr>
                <w:sz w:val="20"/>
                <w:szCs w:val="20"/>
                <w:color w:val="auto"/>
              </w:rPr>
            </w:pPr>
            <w:r>
              <w:rPr>
                <w:rFonts w:ascii="Arial" w:cs="Arial" w:eastAsia="Arial" w:hAnsi="Arial"/>
                <w:sz w:val="12"/>
                <w:szCs w:val="12"/>
                <w:color w:val="auto"/>
              </w:rPr>
              <w:t>2022</w:t>
            </w:r>
          </w:p>
        </w:tc>
        <w:tc>
          <w:tcPr>
            <w:tcW w:w="8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62"/>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2023</w:t>
            </w:r>
          </w:p>
        </w:tc>
        <w:tc>
          <w:tcPr>
            <w:tcW w:w="8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55"/>
        </w:trPr>
        <w:tc>
          <w:tcPr>
            <w:tcW w:w="9640" w:type="dxa"/>
            <w:vAlign w:val="bottom"/>
          </w:tcPr>
          <w:p>
            <w:pPr>
              <w:ind w:left="280"/>
              <w:spacing w:after="0"/>
              <w:rPr>
                <w:sz w:val="20"/>
                <w:szCs w:val="20"/>
                <w:color w:val="auto"/>
              </w:rPr>
            </w:pPr>
            <w:r>
              <w:rPr>
                <w:rFonts w:ascii="Arial" w:cs="Arial" w:eastAsia="Arial" w:hAnsi="Arial"/>
                <w:sz w:val="12"/>
                <w:szCs w:val="12"/>
                <w:color w:val="auto"/>
              </w:rPr>
              <w:t>2024</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0"/>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2025</w:t>
            </w:r>
          </w:p>
        </w:tc>
        <w:tc>
          <w:tcPr>
            <w:tcW w:w="8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r>
      <w:tr>
        <w:trPr>
          <w:trHeight w:val="155"/>
        </w:trPr>
        <w:tc>
          <w:tcPr>
            <w:tcW w:w="9640" w:type="dxa"/>
            <w:vAlign w:val="bottom"/>
          </w:tcPr>
          <w:p>
            <w:pPr>
              <w:ind w:left="280"/>
              <w:spacing w:after="0"/>
              <w:rPr>
                <w:sz w:val="20"/>
                <w:szCs w:val="20"/>
                <w:color w:val="auto"/>
              </w:rPr>
            </w:pPr>
            <w:r>
              <w:rPr>
                <w:rFonts w:ascii="Arial" w:cs="Arial" w:eastAsia="Arial" w:hAnsi="Arial"/>
                <w:sz w:val="12"/>
                <w:szCs w:val="12"/>
                <w:color w:val="auto"/>
              </w:rPr>
              <w:t>2026</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8"/>
        </w:trPr>
        <w:tc>
          <w:tcPr>
            <w:tcW w:w="9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Thereafter</w:t>
            </w:r>
          </w:p>
        </w:tc>
        <w:tc>
          <w:tcPr>
            <w:tcW w:w="8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49"/>
        </w:trPr>
        <w:tc>
          <w:tcPr>
            <w:tcW w:w="9640" w:type="dxa"/>
            <w:vAlign w:val="bottom"/>
          </w:tcPr>
          <w:p>
            <w:pPr>
              <w:spacing w:after="0"/>
              <w:rPr>
                <w:sz w:val="12"/>
                <w:szCs w:val="12"/>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r>
      <w:tr>
        <w:trPr>
          <w:trHeight w:val="20"/>
        </w:trPr>
        <w:tc>
          <w:tcPr>
            <w:tcW w:w="9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H — Commitments and Contingencies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and Regulatory Contingencies</w:t>
      </w:r>
    </w:p>
    <w:p>
      <w:pPr>
        <w:spacing w:after="0" w:line="88" w:lineRule="exact"/>
        <w:rPr>
          <w:sz w:val="20"/>
          <w:szCs w:val="20"/>
          <w:color w:val="auto"/>
        </w:rPr>
      </w:pPr>
    </w:p>
    <w:p>
      <w:pPr>
        <w:jc w:val="both"/>
        <w:ind w:right="80" w:firstLine="270"/>
        <w:spacing w:after="0" w:line="256" w:lineRule="auto"/>
        <w:rPr>
          <w:sz w:val="20"/>
          <w:szCs w:val="20"/>
          <w:color w:val="auto"/>
        </w:rPr>
      </w:pPr>
      <w:r>
        <w:rPr>
          <w:rFonts w:ascii="Arial" w:cs="Arial" w:eastAsia="Arial" w:hAnsi="Arial"/>
          <w:sz w:val="15"/>
          <w:szCs w:val="15"/>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C Summary of Reserve for Title Claim Losses.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72" w:lineRule="exact"/>
        <w:rPr>
          <w:sz w:val="20"/>
          <w:szCs w:val="20"/>
          <w:color w:val="auto"/>
        </w:rPr>
      </w:pPr>
    </w:p>
    <w:p>
      <w:pPr>
        <w:jc w:val="both"/>
        <w:ind w:right="80" w:firstLine="270"/>
        <w:spacing w:after="0" w:line="254" w:lineRule="auto"/>
        <w:rPr>
          <w:sz w:val="20"/>
          <w:szCs w:val="20"/>
          <w:color w:val="auto"/>
        </w:rPr>
      </w:pPr>
      <w:r>
        <w:rPr>
          <w:rFonts w:ascii="Arial" w:cs="Arial" w:eastAsia="Arial" w:hAnsi="Arial"/>
          <w:sz w:val="15"/>
          <w:szCs w:val="15"/>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represents our best estimate has been recorded. Our accrual for legal and regulatory matters was $12 million and $13 million as of December 31, 2021 and 2020,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06" w:lineRule="exact"/>
        <w:rPr>
          <w:sz w:val="20"/>
          <w:szCs w:val="20"/>
          <w:color w:val="auto"/>
        </w:rPr>
      </w:pPr>
    </w:p>
    <w:p>
      <w:pPr>
        <w:jc w:val="both"/>
        <w:ind w:right="80" w:firstLine="270"/>
        <w:spacing w:after="0" w:line="293" w:lineRule="auto"/>
        <w:rPr>
          <w:sz w:val="20"/>
          <w:szCs w:val="20"/>
          <w:color w:val="auto"/>
        </w:rPr>
      </w:pPr>
      <w:r>
        <w:rPr>
          <w:rFonts w:ascii="Arial" w:cs="Arial" w:eastAsia="Arial" w:hAnsi="Arial"/>
          <w:sz w:val="14"/>
          <w:szCs w:val="14"/>
          <w:color w:val="auto"/>
        </w:rPr>
        <w:t xml:space="preserve">Two lawsuits have been filed related to FNF’s acquisition of F&amp;G. On August 4, 2020, a stockholder derivative lawsuit styled, </w:t>
      </w:r>
      <w:r>
        <w:rPr>
          <w:rFonts w:ascii="Arial" w:cs="Arial" w:eastAsia="Arial" w:hAnsi="Arial"/>
          <w:sz w:val="14"/>
          <w:szCs w:val="14"/>
          <w:i w:val="1"/>
          <w:iCs w:val="1"/>
          <w:color w:val="auto"/>
        </w:rPr>
        <w:t>City of Miami General Employees’ and Sanitation</w:t>
      </w:r>
      <w:r>
        <w:rPr>
          <w:rFonts w:ascii="Arial" w:cs="Arial" w:eastAsia="Arial" w:hAnsi="Arial"/>
          <w:sz w:val="14"/>
          <w:szCs w:val="14"/>
          <w:color w:val="auto"/>
        </w:rPr>
        <w:t xml:space="preserve"> </w:t>
      </w:r>
      <w:r>
        <w:rPr>
          <w:rFonts w:ascii="Arial" w:cs="Arial" w:eastAsia="Arial" w:hAnsi="Arial"/>
          <w:sz w:val="14"/>
          <w:szCs w:val="14"/>
          <w:i w:val="1"/>
          <w:iCs w:val="1"/>
          <w:color w:val="auto"/>
        </w:rPr>
        <w:t>Employees’ Retirement Trust v. Fidelity National Financial, et al.</w:t>
      </w:r>
      <w:r>
        <w:rPr>
          <w:rFonts w:ascii="Arial" w:cs="Arial" w:eastAsia="Arial" w:hAnsi="Arial"/>
          <w:sz w:val="14"/>
          <w:szCs w:val="14"/>
          <w:color w:val="auto"/>
        </w:rPr>
        <w:t>, was filed in the Court of Chancery of the State of Delaware against the Company, its Board of Directors and others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alleging breach of fiduciary duties as directors and officers relating to FNF’s acquisition of F&amp;G. The Company’s Board of Directors (“Board”) designated a Special Litigation Committee</w:t>
      </w:r>
    </w:p>
    <w:p>
      <w:pPr>
        <w:spacing w:after="0" w:line="53" w:lineRule="exact"/>
        <w:rPr>
          <w:sz w:val="20"/>
          <w:szCs w:val="20"/>
          <w:color w:val="auto"/>
        </w:rPr>
      </w:pPr>
    </w:p>
    <w:p>
      <w:pPr>
        <w:jc w:val="both"/>
        <w:ind w:right="80"/>
        <w:spacing w:after="0" w:line="262" w:lineRule="auto"/>
        <w:rPr>
          <w:sz w:val="20"/>
          <w:szCs w:val="20"/>
          <w:color w:val="auto"/>
        </w:rPr>
      </w:pPr>
      <w:r>
        <w:rPr>
          <w:rFonts w:ascii="Arial" w:cs="Arial" w:eastAsia="Arial" w:hAnsi="Arial"/>
          <w:sz w:val="15"/>
          <w:szCs w:val="15"/>
          <w:color w:val="auto"/>
        </w:rPr>
        <w:t>(the “SLC”) consisting of three of the Board’s Directors, and authorized the SLC, among other things, to investigate and evaluate the claims and allegations asserted in the lawsuit. The Board gave the SLC the sole authority and power to consider and determine whether or not prosecution of the claims asserted in the lawsuit is in the best interest of the Company and its shareholders, and what action the Company should take with respect to the lawsuit.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146" w:name="page147"/>
    <w:bookmarkEnd w:id="14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On January 24, 2022, the SLC, acting on behalf of FNF, and the other parties to the lawsuit reached an agreement in principle to settle the action subject to various terms and conditions.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settlement will be presented to the court for approval, and if approved, is expected to be finalized during the second quarter of 2022.</w:t>
      </w:r>
    </w:p>
    <w:p>
      <w:pPr>
        <w:spacing w:after="0" w:line="88" w:lineRule="exact"/>
        <w:rPr>
          <w:sz w:val="20"/>
          <w:szCs w:val="20"/>
          <w:color w:val="auto"/>
        </w:rPr>
      </w:pPr>
    </w:p>
    <w:p>
      <w:pPr>
        <w:jc w:val="both"/>
        <w:ind w:firstLine="270"/>
        <w:spacing w:after="0" w:line="307" w:lineRule="auto"/>
        <w:rPr>
          <w:sz w:val="20"/>
          <w:szCs w:val="20"/>
          <w:color w:val="auto"/>
        </w:rPr>
      </w:pPr>
      <w:r>
        <w:rPr>
          <w:rFonts w:ascii="Arial" w:cs="Arial" w:eastAsia="Arial" w:hAnsi="Arial"/>
          <w:sz w:val="13"/>
          <w:szCs w:val="13"/>
          <w:color w:val="auto"/>
        </w:rPr>
        <w:t xml:space="preserve">On August 17, 2020, a lawsuit styled, </w:t>
      </w:r>
      <w:r>
        <w:rPr>
          <w:rFonts w:ascii="Arial" w:cs="Arial" w:eastAsia="Arial" w:hAnsi="Arial"/>
          <w:sz w:val="13"/>
          <w:szCs w:val="13"/>
          <w:i w:val="1"/>
          <w:iCs w:val="1"/>
          <w:color w:val="auto"/>
        </w:rPr>
        <w:t>In the Matter of FGL Holdings</w:t>
      </w:r>
      <w:r>
        <w:rPr>
          <w:rFonts w:ascii="Arial" w:cs="Arial" w:eastAsia="Arial" w:hAnsi="Arial"/>
          <w:sz w:val="13"/>
          <w:szCs w:val="13"/>
          <w:color w:val="auto"/>
        </w:rPr>
        <w:t>, was filed in the Grand Court of the Cayman Islands where dissenting shareholders, Kingfishers LP, Kingstown 1740 Fund LP, Kingstown Partners II LP, Kingstown Partners Master Ltd., and Ktown LP, have asserted statutory appraisal rights relative to their ownership of 12,000,000 shares of F&amp;G stock in connection with the acquisition. They seek a judicial determination of the fair value of their shares of F&amp;G stock under the law of the Cayman Islands, together with interest. The</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parties have exchanged expert reports, and the matter is scheduled for trial during the second quarter of 2022. We do not believe the result in either case will have a material adverse effect on our financial condition.</w:t>
      </w:r>
    </w:p>
    <w:p>
      <w:pPr>
        <w:spacing w:after="0" w:line="57" w:lineRule="exact"/>
        <w:rPr>
          <w:sz w:val="20"/>
          <w:szCs w:val="20"/>
          <w:color w:val="auto"/>
        </w:rPr>
      </w:pPr>
    </w:p>
    <w:p>
      <w:pPr>
        <w:jc w:val="both"/>
        <w:ind w:firstLine="297"/>
        <w:spacing w:after="0" w:line="302" w:lineRule="auto"/>
        <w:rPr>
          <w:sz w:val="20"/>
          <w:szCs w:val="20"/>
          <w:color w:val="auto"/>
        </w:rPr>
      </w:pPr>
      <w:r>
        <w:rPr>
          <w:rFonts w:ascii="Arial" w:cs="Arial" w:eastAsia="Arial" w:hAnsi="Arial"/>
          <w:sz w:val="13"/>
          <w:szCs w:val="13"/>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Acquired Contingencies - F&amp;G</w:t>
      </w:r>
    </w:p>
    <w:p>
      <w:pPr>
        <w:spacing w:after="0" w:line="75"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4"/>
          <w:szCs w:val="14"/>
          <w:color w:val="auto"/>
        </w:rPr>
        <w:t>We have received inquiries from a number of state regulatory authorities regarding our use of the U.S. Social Security Administration’s Death Master File (“Death Master File”) and compliance with state claims practices regulations and unclaimed property or escheatment laws. We have established procedures to periodically compare our in-force life insurance and annuity policies against the Death Master File or similar databases; investigate any identified potential matches to confirm the death of the insured; and determine whether benefits are due and attempt to locate the beneficiaries of any benefits due or, if no beneficiary can be located, escheat the benefit to the state as unclaimed property. We believe we have established sufficient reserves with respect to these matters; however, it is possible that third parties could dispute these amounts and additional payments or additional unreported claims or liabilities could be identified, which could be significant and could have a material adverse effect on our results of operations.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Escrow Balances</w:t>
      </w:r>
    </w:p>
    <w:p>
      <w:pPr>
        <w:spacing w:after="0" w:line="75"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4"/>
          <w:szCs w:val="14"/>
          <w:color w:val="auto"/>
        </w:rPr>
        <w:t>In conducting our operations, we 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GAAP and industry practice. These balances amounted to $30.5 billion and $26.5 billion at December 31, 2021 and 2020, respectively. As a result of holding these customers’ assets in escrow, we have ongoing programs for realizing economic benefits during the year through favorable borrowing and vendor arrangements with various banks. There were no investments or loans outstanding as of December 31, 2021 and 2020 related to these arrangements.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47" w:name="page148"/>
    <w:bookmarkEnd w:id="14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F&amp;G Commitments</w:t>
      </w:r>
    </w:p>
    <w:p>
      <w:pPr>
        <w:spacing w:after="0" w:line="75"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The Company has unfunded investment commitments as of December 31, 2021 and 2020 based upon the timing of when investments are executed compared to when the actual investments are funded, as some investments require that funding occur over a period of months or years. A summary of unfunded commitments by invested asset class is included below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2021</w:t>
            </w:r>
          </w:p>
        </w:tc>
        <w:tc>
          <w:tcPr>
            <w:tcW w:w="140" w:type="dxa"/>
            <w:vAlign w:val="bottom"/>
          </w:tcPr>
          <w:p>
            <w:pPr>
              <w:spacing w:after="0"/>
              <w:rPr>
                <w:sz w:val="13"/>
                <w:szCs w:val="13"/>
                <w:color w:val="auto"/>
              </w:rPr>
            </w:pPr>
          </w:p>
        </w:tc>
        <w:tc>
          <w:tcPr>
            <w:tcW w:w="124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December 31, 2020</w:t>
            </w:r>
          </w:p>
        </w:tc>
      </w:tr>
      <w:tr>
        <w:trPr>
          <w:trHeight w:val="142"/>
        </w:trPr>
        <w:tc>
          <w:tcPr>
            <w:tcW w:w="8400" w:type="dxa"/>
            <w:vAlign w:val="bottom"/>
          </w:tcPr>
          <w:p>
            <w:pPr>
              <w:spacing w:after="0"/>
              <w:rPr>
                <w:sz w:val="20"/>
                <w:szCs w:val="20"/>
                <w:color w:val="auto"/>
              </w:rPr>
            </w:pPr>
            <w:r>
              <w:rPr>
                <w:rFonts w:ascii="Arial" w:cs="Arial" w:eastAsia="Arial" w:hAnsi="Arial"/>
                <w:sz w:val="12"/>
                <w:szCs w:val="12"/>
                <w:b w:val="1"/>
                <w:bCs w:val="1"/>
                <w:color w:val="auto"/>
              </w:rPr>
              <w:t>Asset Type</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r>
      <w:tr>
        <w:trPr>
          <w:trHeight w:val="162"/>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Unconsolidated VIEs:</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55"/>
        </w:trPr>
        <w:tc>
          <w:tcPr>
            <w:tcW w:w="8400" w:type="dxa"/>
            <w:vAlign w:val="bottom"/>
          </w:tcPr>
          <w:p>
            <w:pPr>
              <w:ind w:left="160"/>
              <w:spacing w:after="0"/>
              <w:rPr>
                <w:sz w:val="20"/>
                <w:szCs w:val="20"/>
                <w:color w:val="auto"/>
              </w:rPr>
            </w:pPr>
            <w:r>
              <w:rPr>
                <w:rFonts w:ascii="Arial" w:cs="Arial" w:eastAsia="Arial" w:hAnsi="Arial"/>
                <w:sz w:val="12"/>
                <w:szCs w:val="12"/>
                <w:color w:val="auto"/>
              </w:rPr>
              <w:t>Limited partnerships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1,146</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394</w:t>
            </w:r>
          </w:p>
        </w:tc>
      </w:tr>
      <w:tr>
        <w:trPr>
          <w:trHeight w:val="160"/>
        </w:trPr>
        <w:tc>
          <w:tcPr>
            <w:tcW w:w="84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Whole loans</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400" w:type="dxa"/>
            <w:vAlign w:val="bottom"/>
          </w:tcPr>
          <w:p>
            <w:pPr>
              <w:ind w:left="160"/>
              <w:spacing w:after="0"/>
              <w:rPr>
                <w:sz w:val="20"/>
                <w:szCs w:val="20"/>
                <w:color w:val="auto"/>
              </w:rPr>
            </w:pPr>
            <w:r>
              <w:rPr>
                <w:rFonts w:ascii="Arial" w:cs="Arial" w:eastAsia="Arial" w:hAnsi="Arial"/>
                <w:sz w:val="12"/>
                <w:szCs w:val="12"/>
                <w:color w:val="auto"/>
              </w:rPr>
              <w:t>Fixed maturity securities, ABS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306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384</w:t>
            </w:r>
          </w:p>
        </w:tc>
      </w:tr>
      <w:tr>
        <w:trPr>
          <w:trHeight w:val="160"/>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Other fixed maturity securities, AFS</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r>
      <w:tr>
        <w:trPr>
          <w:trHeight w:val="155"/>
        </w:trPr>
        <w:tc>
          <w:tcPr>
            <w:tcW w:w="8400" w:type="dxa"/>
            <w:vAlign w:val="bottom"/>
          </w:tcPr>
          <w:p>
            <w:pPr>
              <w:spacing w:after="0"/>
              <w:rPr>
                <w:sz w:val="20"/>
                <w:szCs w:val="20"/>
                <w:color w:val="auto"/>
              </w:rPr>
            </w:pPr>
            <w:r>
              <w:rPr>
                <w:rFonts w:ascii="Arial" w:cs="Arial" w:eastAsia="Arial" w:hAnsi="Arial"/>
                <w:sz w:val="12"/>
                <w:szCs w:val="12"/>
                <w:color w:val="auto"/>
              </w:rPr>
              <w:t>Other assets</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156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135</w:t>
            </w:r>
          </w:p>
        </w:tc>
      </w:tr>
      <w:tr>
        <w:trPr>
          <w:trHeight w:val="160"/>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Commercial mortgage loans</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400" w:type="dxa"/>
            <w:vAlign w:val="bottom"/>
          </w:tcPr>
          <w:p>
            <w:pPr>
              <w:spacing w:after="0"/>
              <w:rPr>
                <w:sz w:val="20"/>
                <w:szCs w:val="20"/>
                <w:color w:val="auto"/>
              </w:rPr>
            </w:pPr>
            <w:r>
              <w:rPr>
                <w:rFonts w:ascii="Arial" w:cs="Arial" w:eastAsia="Arial" w:hAnsi="Arial"/>
                <w:sz w:val="12"/>
                <w:szCs w:val="12"/>
                <w:color w:val="auto"/>
              </w:rPr>
              <w:t>Residential mortgage loans</w:t>
            </w:r>
          </w:p>
        </w:tc>
        <w:tc>
          <w:tcPr>
            <w:tcW w:w="14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76"/>
        </w:trPr>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firstLine="338"/>
        <w:spacing w:after="0" w:line="243" w:lineRule="auto"/>
        <w:rPr>
          <w:sz w:val="20"/>
          <w:szCs w:val="20"/>
          <w:color w:val="auto"/>
        </w:rPr>
      </w:pPr>
      <w:r>
        <w:rPr>
          <w:rFonts w:ascii="Arial" w:cs="Arial" w:eastAsia="Arial" w:hAnsi="Arial"/>
          <w:sz w:val="15"/>
          <w:szCs w:val="15"/>
          <w:color w:val="auto"/>
        </w:rPr>
        <w:t xml:space="preserve">See Note A - </w:t>
      </w:r>
      <w:r>
        <w:rPr>
          <w:rFonts w:ascii="Arial" w:cs="Arial" w:eastAsia="Arial" w:hAnsi="Arial"/>
          <w:sz w:val="15"/>
          <w:szCs w:val="15"/>
          <w:i w:val="1"/>
          <w:iCs w:val="1"/>
          <w:color w:val="auto"/>
        </w:rPr>
        <w:t>Business and Summary of Significant Accounting Policies</w:t>
      </w:r>
      <w:r>
        <w:rPr>
          <w:rFonts w:ascii="Arial" w:cs="Arial" w:eastAsia="Arial" w:hAnsi="Arial"/>
          <w:sz w:val="15"/>
          <w:szCs w:val="15"/>
          <w:color w:val="auto"/>
        </w:rPr>
        <w:t>, for discussion of funding agreements that have been issued pursuant to the FABN Program as well as to the FHLB that are included in Contractholder funds.</w:t>
      </w:r>
    </w:p>
    <w:p>
      <w:pPr>
        <w:spacing w:after="0" w:line="113" w:lineRule="exact"/>
        <w:rPr>
          <w:sz w:val="20"/>
          <w:szCs w:val="20"/>
          <w:color w:val="auto"/>
        </w:rPr>
      </w:pPr>
    </w:p>
    <w:p>
      <w:pPr>
        <w:jc w:val="both"/>
        <w:ind w:firstLine="338"/>
        <w:spacing w:after="0" w:line="242" w:lineRule="auto"/>
        <w:rPr>
          <w:sz w:val="20"/>
          <w:szCs w:val="20"/>
          <w:color w:val="auto"/>
        </w:rPr>
      </w:pPr>
      <w:r>
        <w:rPr>
          <w:rFonts w:ascii="Arial" w:cs="Arial" w:eastAsia="Arial" w:hAnsi="Arial"/>
          <w:sz w:val="14"/>
          <w:szCs w:val="14"/>
          <w:color w:val="auto"/>
        </w:rPr>
        <w:t xml:space="preserve">As discussed in Note O - </w:t>
      </w:r>
      <w:r>
        <w:rPr>
          <w:rFonts w:ascii="Arial" w:cs="Arial" w:eastAsia="Arial" w:hAnsi="Arial"/>
          <w:sz w:val="14"/>
          <w:szCs w:val="14"/>
          <w:i w:val="1"/>
          <w:iCs w:val="1"/>
          <w:color w:val="auto"/>
        </w:rPr>
        <w:t>F&amp;G Reinsurance</w:t>
      </w:r>
      <w:r>
        <w:rPr>
          <w:rFonts w:ascii="Arial" w:cs="Arial" w:eastAsia="Arial" w:hAnsi="Arial"/>
          <w:sz w:val="14"/>
          <w:szCs w:val="14"/>
          <w:color w:val="auto"/>
        </w:rPr>
        <w:t>, to enhance Kubera's ability to pay its obligations under the amended reinsurance agreement, effective October 31, 2021, F&amp;G entered into a Variable Note Purchase Agreement (the “NPA”), whereby F&amp;G agreed to fund a note to Kubera to be used to ultimately settle with F&amp;G, with principal increases up to a maximum amount of $300 million, to the extent a potential funding shortfall (treaty assets are less than then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At December 31, 2021, the amount funded under the NPA was insignificant.</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I — Dividends</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On February 16, 2022, our Board of Directors declared cash dividends of $0.44 per share, payable on March 31, 2022, to FNF common shareholders of record as of March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48" w:name="page149"/>
    <w:bookmarkEnd w:id="14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J — Segment Information</w:t>
      </w:r>
    </w:p>
    <w:p>
      <w:pPr>
        <w:spacing w:after="0" w:line="102" w:lineRule="exact"/>
        <w:rPr>
          <w:sz w:val="20"/>
          <w:szCs w:val="20"/>
          <w:color w:val="auto"/>
        </w:rPr>
      </w:pPr>
    </w:p>
    <w:p>
      <w:pPr>
        <w:ind w:firstLine="270"/>
        <w:spacing w:after="0" w:line="274" w:lineRule="auto"/>
        <w:rPr>
          <w:sz w:val="20"/>
          <w:szCs w:val="20"/>
          <w:color w:val="auto"/>
        </w:rPr>
      </w:pPr>
      <w:r>
        <w:rPr>
          <w:rFonts w:ascii="Arial" w:cs="Arial" w:eastAsia="Arial" w:hAnsi="Arial"/>
          <w:sz w:val="15"/>
          <w:szCs w:val="15"/>
          <w:color w:val="auto"/>
        </w:rPr>
        <w:t>Summarized financial information concerning our reportable segments is shown in the following tables. On June 1, 2020, we completed our acquisition of F&amp;G. As a result, the year ended December 31, 2021 and the seven months ended December 31, 2020 include our F&amp;G segment.</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of and for the year ended December 31,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Title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2"/>
                <w:szCs w:val="12"/>
                <w:color w:val="auto"/>
              </w:rPr>
              <w:t>F&amp;G</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color w:val="auto"/>
                <w:w w:val="91"/>
              </w:rPr>
              <w:t>Corporate and</w:t>
            </w:r>
          </w:p>
        </w:tc>
        <w:tc>
          <w:tcPr>
            <w:tcW w:w="220" w:type="dxa"/>
            <w:vAlign w:val="bottom"/>
          </w:tcPr>
          <w:p>
            <w:pPr>
              <w:spacing w:after="0"/>
              <w:rPr>
                <w:sz w:val="12"/>
                <w:szCs w:val="12"/>
                <w:color w:val="auto"/>
              </w:rPr>
            </w:pPr>
          </w:p>
        </w:tc>
        <w:tc>
          <w:tcPr>
            <w:tcW w:w="78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700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color w:val="auto"/>
                <w:w w:val="86"/>
              </w:rPr>
              <w:t>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ind w:left="500"/>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Title premiums</w:t>
            </w: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8,553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8,553</w:t>
            </w:r>
          </w:p>
        </w:tc>
        <w:tc>
          <w:tcPr>
            <w:tcW w:w="0" w:type="dxa"/>
            <w:vAlign w:val="bottom"/>
          </w:tcPr>
          <w:p>
            <w:pPr>
              <w:spacing w:after="0"/>
              <w:rPr>
                <w:sz w:val="1"/>
                <w:szCs w:val="1"/>
                <w:color w:val="auto"/>
              </w:rPr>
            </w:pPr>
          </w:p>
        </w:tc>
      </w:tr>
      <w:tr>
        <w:trPr>
          <w:trHeight w:val="157"/>
        </w:trPr>
        <w:tc>
          <w:tcPr>
            <w:tcW w:w="7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revenues</w:t>
            </w:r>
          </w:p>
        </w:tc>
        <w:tc>
          <w:tcPr>
            <w:tcW w:w="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3,228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4,795</w:t>
            </w:r>
          </w:p>
        </w:tc>
        <w:tc>
          <w:tcPr>
            <w:tcW w:w="0" w:type="dxa"/>
            <w:vAlign w:val="bottom"/>
          </w:tcPr>
          <w:p>
            <w:pPr>
              <w:spacing w:after="0"/>
              <w:rPr>
                <w:sz w:val="1"/>
                <w:szCs w:val="1"/>
                <w:color w:val="auto"/>
              </w:rPr>
            </w:pPr>
          </w:p>
        </w:tc>
      </w:tr>
      <w:tr>
        <w:trPr>
          <w:trHeight w:val="149"/>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Revenues from external customers</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11,781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13,348</w:t>
            </w:r>
          </w:p>
        </w:tc>
        <w:tc>
          <w:tcPr>
            <w:tcW w:w="0" w:type="dxa"/>
            <w:vAlign w:val="bottom"/>
          </w:tcPr>
          <w:p>
            <w:pPr>
              <w:spacing w:after="0"/>
              <w:rPr>
                <w:sz w:val="1"/>
                <w:szCs w:val="1"/>
                <w:color w:val="auto"/>
              </w:rPr>
            </w:pPr>
          </w:p>
        </w:tc>
      </w:tr>
      <w:tr>
        <w:trPr>
          <w:trHeight w:val="157"/>
        </w:trPr>
        <w:tc>
          <w:tcPr>
            <w:tcW w:w="7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Interest and investment income, including recognized gains and losses</w:t>
            </w:r>
          </w:p>
        </w:tc>
        <w:tc>
          <w:tcPr>
            <w:tcW w:w="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2,295</w:t>
            </w:r>
          </w:p>
        </w:tc>
        <w:tc>
          <w:tcPr>
            <w:tcW w:w="0" w:type="dxa"/>
            <w:vAlign w:val="bottom"/>
          </w:tcPr>
          <w:p>
            <w:pPr>
              <w:spacing w:after="0"/>
              <w:rPr>
                <w:sz w:val="1"/>
                <w:szCs w:val="1"/>
                <w:color w:val="auto"/>
              </w:rPr>
            </w:pPr>
          </w:p>
        </w:tc>
      </w:tr>
      <w:tr>
        <w:trPr>
          <w:trHeight w:val="149"/>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6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1"/>
              </w:rPr>
              <w:t>11,497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3,962</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15,643</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645</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6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114</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2"/>
                <w:szCs w:val="12"/>
                <w:color w:val="auto"/>
              </w:rPr>
              <w:t>Earnings (loss) from continuing operations before income taxes and equity in earnings of unconsolidated affiliates</w:t>
            </w:r>
          </w:p>
        </w:tc>
        <w:tc>
          <w:tcPr>
            <w:tcW w:w="6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9"/>
              </w:rPr>
              <w:t>2,136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3,083</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6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713</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20"/>
                <w:szCs w:val="20"/>
                <w:color w:val="auto"/>
              </w:rPr>
            </w:pPr>
            <w:r>
              <w:rPr>
                <w:rFonts w:ascii="Arial" w:cs="Arial" w:eastAsia="Arial" w:hAnsi="Arial"/>
                <w:sz w:val="12"/>
                <w:szCs w:val="12"/>
                <w:color w:val="auto"/>
              </w:rPr>
              <w:t>Earnings (loss) before equity in earnings (loss) of unconsolidated affiliates</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9"/>
              </w:rPr>
              <w:t>1,625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2,370</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Equity in earnings of unconsolidated affiliates</w:t>
            </w: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64</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20"/>
                <w:szCs w:val="20"/>
                <w:color w:val="auto"/>
              </w:rPr>
            </w:pPr>
            <w:r>
              <w:rPr>
                <w:rFonts w:ascii="Arial" w:cs="Arial" w:eastAsia="Arial" w:hAnsi="Arial"/>
                <w:sz w:val="12"/>
                <w:szCs w:val="12"/>
                <w:color w:val="auto"/>
              </w:rPr>
              <w:t>Net earnings (loss) from continuing operations</w:t>
            </w:r>
          </w:p>
        </w:tc>
        <w:tc>
          <w:tcPr>
            <w:tcW w:w="6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1,683</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857</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2,434</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Assets</w:t>
            </w: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9,663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60,690</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2"/>
                <w:szCs w:val="12"/>
                <w:color w:val="auto"/>
              </w:rPr>
              <w:t>Goodwill</w:t>
            </w:r>
          </w:p>
        </w:tc>
        <w:tc>
          <w:tcPr>
            <w:tcW w:w="6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9"/>
              </w:rPr>
              <w:t>2,517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4,539</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of and for the year ended December 31,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Title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2"/>
                <w:szCs w:val="12"/>
                <w:color w:val="auto"/>
              </w:rPr>
              <w:t>F&amp;G</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color w:val="auto"/>
                <w:w w:val="91"/>
              </w:rPr>
              <w:t>Corporate and</w:t>
            </w:r>
          </w:p>
        </w:tc>
        <w:tc>
          <w:tcPr>
            <w:tcW w:w="220" w:type="dxa"/>
            <w:vAlign w:val="bottom"/>
          </w:tcPr>
          <w:p>
            <w:pPr>
              <w:spacing w:after="0"/>
              <w:rPr>
                <w:sz w:val="12"/>
                <w:szCs w:val="12"/>
                <w:color w:val="auto"/>
              </w:rPr>
            </w:pPr>
          </w:p>
        </w:tc>
        <w:tc>
          <w:tcPr>
            <w:tcW w:w="78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7000" w:type="dxa"/>
            <w:vAlign w:val="bottom"/>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color w:val="auto"/>
                <w:w w:val="86"/>
              </w:rPr>
              <w:t>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ind w:left="500"/>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Title premiums</w:t>
            </w: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6,298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6,298</w:t>
            </w:r>
          </w:p>
        </w:tc>
        <w:tc>
          <w:tcPr>
            <w:tcW w:w="0" w:type="dxa"/>
            <w:vAlign w:val="bottom"/>
          </w:tcPr>
          <w:p>
            <w:pPr>
              <w:spacing w:after="0"/>
              <w:rPr>
                <w:sz w:val="1"/>
                <w:szCs w:val="1"/>
                <w:color w:val="auto"/>
              </w:rPr>
            </w:pPr>
          </w:p>
        </w:tc>
      </w:tr>
      <w:tr>
        <w:trPr>
          <w:trHeight w:val="157"/>
        </w:trPr>
        <w:tc>
          <w:tcPr>
            <w:tcW w:w="7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revenues</w:t>
            </w: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2,782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3,092</w:t>
            </w:r>
          </w:p>
        </w:tc>
        <w:tc>
          <w:tcPr>
            <w:tcW w:w="0" w:type="dxa"/>
            <w:vAlign w:val="bottom"/>
          </w:tcPr>
          <w:p>
            <w:pPr>
              <w:spacing w:after="0"/>
              <w:rPr>
                <w:sz w:val="1"/>
                <w:szCs w:val="1"/>
                <w:color w:val="auto"/>
              </w:rPr>
            </w:pPr>
          </w:p>
        </w:tc>
      </w:tr>
      <w:tr>
        <w:trPr>
          <w:trHeight w:val="149"/>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Revenues from external customers</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9,080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9,390</w:t>
            </w:r>
          </w:p>
        </w:tc>
        <w:tc>
          <w:tcPr>
            <w:tcW w:w="0" w:type="dxa"/>
            <w:vAlign w:val="bottom"/>
          </w:tcPr>
          <w:p>
            <w:pPr>
              <w:spacing w:after="0"/>
              <w:rPr>
                <w:sz w:val="1"/>
                <w:szCs w:val="1"/>
                <w:color w:val="auto"/>
              </w:rPr>
            </w:pPr>
          </w:p>
        </w:tc>
      </w:tr>
      <w:tr>
        <w:trPr>
          <w:trHeight w:val="157"/>
        </w:trPr>
        <w:tc>
          <w:tcPr>
            <w:tcW w:w="7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Interest and investment income, including recognized gains and losses</w:t>
            </w: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1,388</w:t>
            </w:r>
          </w:p>
        </w:tc>
        <w:tc>
          <w:tcPr>
            <w:tcW w:w="0" w:type="dxa"/>
            <w:vAlign w:val="bottom"/>
          </w:tcPr>
          <w:p>
            <w:pPr>
              <w:spacing w:after="0"/>
              <w:rPr>
                <w:sz w:val="1"/>
                <w:szCs w:val="1"/>
                <w:color w:val="auto"/>
              </w:rPr>
            </w:pPr>
          </w:p>
        </w:tc>
      </w:tr>
      <w:tr>
        <w:trPr>
          <w:trHeight w:val="149"/>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6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9,374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1,233</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10,778</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6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296</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90</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2"/>
                <w:szCs w:val="12"/>
                <w:color w:val="auto"/>
              </w:rPr>
              <w:t>Earnings (loss) before income taxes and equity in earnings of unconsolidated affiliates</w:t>
            </w:r>
          </w:p>
        </w:tc>
        <w:tc>
          <w:tcPr>
            <w:tcW w:w="6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1,878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1,784</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6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322</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20"/>
                <w:szCs w:val="20"/>
                <w:color w:val="auto"/>
              </w:rPr>
            </w:pPr>
            <w:r>
              <w:rPr>
                <w:rFonts w:ascii="Arial" w:cs="Arial" w:eastAsia="Arial" w:hAnsi="Arial"/>
                <w:sz w:val="12"/>
                <w:szCs w:val="12"/>
                <w:color w:val="auto"/>
              </w:rPr>
              <w:t>Earnings (loss) before equity in earnings of unconsolidated affiliates</w:t>
            </w:r>
          </w:p>
        </w:tc>
        <w:tc>
          <w:tcPr>
            <w:tcW w:w="6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1,446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1,462</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Equity in earnings of unconsolidated affiliates</w:t>
            </w: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20"/>
                <w:szCs w:val="20"/>
                <w:color w:val="auto"/>
              </w:rPr>
            </w:pPr>
            <w:r>
              <w:rPr>
                <w:rFonts w:ascii="Arial" w:cs="Arial" w:eastAsia="Arial" w:hAnsi="Arial"/>
                <w:sz w:val="12"/>
                <w:szCs w:val="12"/>
                <w:color w:val="auto"/>
              </w:rPr>
              <w:t>Net earnings (loss)</w:t>
            </w:r>
          </w:p>
        </w:tc>
        <w:tc>
          <w:tcPr>
            <w:tcW w:w="6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1,460</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1,477</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Assets</w:t>
            </w: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9,211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50,455</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2"/>
                <w:szCs w:val="12"/>
                <w:color w:val="auto"/>
              </w:rPr>
              <w:t>Goodwill</w:t>
            </w:r>
          </w:p>
        </w:tc>
        <w:tc>
          <w:tcPr>
            <w:tcW w:w="6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2,478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1,751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4,495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49" w:name="page150"/>
    <w:bookmarkEnd w:id="14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of and for the year ended December 31, 2019:</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Title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Corporate and</w:t>
            </w:r>
          </w:p>
        </w:tc>
        <w:tc>
          <w:tcPr>
            <w:tcW w:w="220" w:type="dxa"/>
            <w:vAlign w:val="bottom"/>
          </w:tcPr>
          <w:p>
            <w:pPr>
              <w:spacing w:after="0"/>
              <w:rPr>
                <w:sz w:val="12"/>
                <w:szCs w:val="12"/>
                <w:color w:val="auto"/>
              </w:rPr>
            </w:pPr>
          </w:p>
        </w:tc>
        <w:tc>
          <w:tcPr>
            <w:tcW w:w="76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8100" w:type="dxa"/>
            <w:vAlign w:val="bottom"/>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color w:val="auto"/>
                <w:w w:val="93"/>
              </w:rPr>
              <w:t>Other</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(In millions)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Title premiums</w:t>
            </w: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5,342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5,342</w:t>
            </w:r>
          </w:p>
        </w:tc>
        <w:tc>
          <w:tcPr>
            <w:tcW w:w="0" w:type="dxa"/>
            <w:vAlign w:val="bottom"/>
          </w:tcPr>
          <w:p>
            <w:pPr>
              <w:spacing w:after="0"/>
              <w:rPr>
                <w:sz w:val="1"/>
                <w:szCs w:val="1"/>
                <w:color w:val="auto"/>
              </w:rPr>
            </w:pPr>
          </w:p>
        </w:tc>
      </w:tr>
      <w:tr>
        <w:trPr>
          <w:trHeight w:val="15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revenues</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2,389</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2,584</w:t>
            </w:r>
          </w:p>
        </w:tc>
        <w:tc>
          <w:tcPr>
            <w:tcW w:w="0" w:type="dxa"/>
            <w:vAlign w:val="bottom"/>
          </w:tcPr>
          <w:p>
            <w:pPr>
              <w:spacing w:after="0"/>
              <w:rPr>
                <w:sz w:val="1"/>
                <w:szCs w:val="1"/>
                <w:color w:val="auto"/>
              </w:rPr>
            </w:pPr>
          </w:p>
        </w:tc>
      </w:tr>
      <w:tr>
        <w:trPr>
          <w:trHeight w:val="149"/>
        </w:trPr>
        <w:tc>
          <w:tcPr>
            <w:tcW w:w="8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 from external customers</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7,731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7,926</w:t>
            </w:r>
          </w:p>
        </w:tc>
        <w:tc>
          <w:tcPr>
            <w:tcW w:w="0" w:type="dxa"/>
            <w:vAlign w:val="bottom"/>
          </w:tcPr>
          <w:p>
            <w:pPr>
              <w:spacing w:after="0"/>
              <w:rPr>
                <w:sz w:val="1"/>
                <w:szCs w:val="1"/>
                <w:color w:val="auto"/>
              </w:rPr>
            </w:pPr>
          </w:p>
        </w:tc>
      </w:tr>
      <w:tr>
        <w:trPr>
          <w:trHeight w:val="15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Interest and investment income, including recognized gains and losses</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543</w:t>
            </w:r>
          </w:p>
        </w:tc>
        <w:tc>
          <w:tcPr>
            <w:tcW w:w="0" w:type="dxa"/>
            <w:vAlign w:val="bottom"/>
          </w:tcPr>
          <w:p>
            <w:pPr>
              <w:spacing w:after="0"/>
              <w:rPr>
                <w:sz w:val="1"/>
                <w:szCs w:val="1"/>
                <w:color w:val="auto"/>
              </w:rPr>
            </w:pPr>
          </w:p>
        </w:tc>
      </w:tr>
      <w:tr>
        <w:trPr>
          <w:trHeight w:val="149"/>
        </w:trPr>
        <w:tc>
          <w:tcPr>
            <w:tcW w:w="8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6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8,259</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8,469</w:t>
            </w:r>
          </w:p>
        </w:tc>
        <w:tc>
          <w:tcPr>
            <w:tcW w:w="0" w:type="dxa"/>
            <w:vAlign w:val="bottom"/>
          </w:tcPr>
          <w:p>
            <w:pPr>
              <w:spacing w:after="0"/>
              <w:rPr>
                <w:sz w:val="1"/>
                <w:szCs w:val="1"/>
                <w:color w:val="auto"/>
              </w:rPr>
            </w:pPr>
          </w:p>
        </w:tc>
      </w:tr>
      <w:tr>
        <w:trPr>
          <w:trHeight w:val="149"/>
        </w:trPr>
        <w:tc>
          <w:tcPr>
            <w:tcW w:w="810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178</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6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47</w:t>
            </w:r>
          </w:p>
        </w:tc>
        <w:tc>
          <w:tcPr>
            <w:tcW w:w="0" w:type="dxa"/>
            <w:vAlign w:val="bottom"/>
          </w:tcPr>
          <w:p>
            <w:pPr>
              <w:spacing w:after="0"/>
              <w:rPr>
                <w:sz w:val="1"/>
                <w:szCs w:val="1"/>
                <w:color w:val="auto"/>
              </w:rPr>
            </w:pPr>
          </w:p>
        </w:tc>
      </w:tr>
      <w:tr>
        <w:trPr>
          <w:trHeight w:val="157"/>
        </w:trPr>
        <w:tc>
          <w:tcPr>
            <w:tcW w:w="8100" w:type="dxa"/>
            <w:vAlign w:val="bottom"/>
          </w:tcPr>
          <w:p>
            <w:pPr>
              <w:ind w:left="20"/>
              <w:spacing w:after="0"/>
              <w:rPr>
                <w:sz w:val="20"/>
                <w:szCs w:val="20"/>
                <w:color w:val="auto"/>
              </w:rPr>
            </w:pPr>
            <w:r>
              <w:rPr>
                <w:rFonts w:ascii="Arial" w:cs="Arial" w:eastAsia="Arial" w:hAnsi="Arial"/>
                <w:sz w:val="12"/>
                <w:szCs w:val="12"/>
                <w:color w:val="auto"/>
              </w:rPr>
              <w:t>Earnings (loss) before income taxes and equity in earnings of unconsolidated affiliates</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3"/>
              </w:rPr>
              <w:t>1,536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1,369</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6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363</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308</w:t>
            </w:r>
          </w:p>
        </w:tc>
        <w:tc>
          <w:tcPr>
            <w:tcW w:w="0" w:type="dxa"/>
            <w:vAlign w:val="bottom"/>
          </w:tcPr>
          <w:p>
            <w:pPr>
              <w:spacing w:after="0"/>
              <w:rPr>
                <w:sz w:val="1"/>
                <w:szCs w:val="1"/>
                <w:color w:val="auto"/>
              </w:rPr>
            </w:pPr>
          </w:p>
        </w:tc>
      </w:tr>
      <w:tr>
        <w:trPr>
          <w:trHeight w:val="149"/>
        </w:trPr>
        <w:tc>
          <w:tcPr>
            <w:tcW w:w="8100" w:type="dxa"/>
            <w:vAlign w:val="bottom"/>
          </w:tcPr>
          <w:p>
            <w:pPr>
              <w:ind w:left="20"/>
              <w:spacing w:after="0"/>
              <w:rPr>
                <w:sz w:val="20"/>
                <w:szCs w:val="20"/>
                <w:color w:val="auto"/>
              </w:rPr>
            </w:pPr>
            <w:r>
              <w:rPr>
                <w:rFonts w:ascii="Arial" w:cs="Arial" w:eastAsia="Arial" w:hAnsi="Arial"/>
                <w:sz w:val="12"/>
                <w:szCs w:val="12"/>
                <w:color w:val="auto"/>
              </w:rPr>
              <w:t>Earnings (loss) before equity in earnings of unconsolidated affiliates</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3"/>
              </w:rPr>
              <w:t>1,173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1,061</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6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w:t>
            </w:r>
          </w:p>
        </w:tc>
        <w:tc>
          <w:tcPr>
            <w:tcW w:w="0" w:type="dxa"/>
            <w:vAlign w:val="bottom"/>
          </w:tcPr>
          <w:p>
            <w:pPr>
              <w:spacing w:after="0"/>
              <w:rPr>
                <w:sz w:val="1"/>
                <w:szCs w:val="1"/>
                <w:color w:val="auto"/>
              </w:rPr>
            </w:pPr>
          </w:p>
        </w:tc>
      </w:tr>
      <w:tr>
        <w:trPr>
          <w:trHeight w:val="149"/>
        </w:trPr>
        <w:tc>
          <w:tcPr>
            <w:tcW w:w="8100" w:type="dxa"/>
            <w:vAlign w:val="bottom"/>
          </w:tcPr>
          <w:p>
            <w:pPr>
              <w:ind w:left="20"/>
              <w:spacing w:after="0"/>
              <w:rPr>
                <w:sz w:val="20"/>
                <w:szCs w:val="20"/>
                <w:color w:val="auto"/>
              </w:rPr>
            </w:pPr>
            <w:r>
              <w:rPr>
                <w:rFonts w:ascii="Arial" w:cs="Arial" w:eastAsia="Arial" w:hAnsi="Arial"/>
                <w:sz w:val="12"/>
                <w:szCs w:val="12"/>
                <w:color w:val="auto"/>
              </w:rPr>
              <w:t>Net earnings (loss)</w:t>
            </w:r>
          </w:p>
        </w:tc>
        <w:tc>
          <w:tcPr>
            <w:tcW w:w="6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1,186</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1,076</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0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Assets</w:t>
            </w: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9,071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10,677</w:t>
            </w:r>
          </w:p>
        </w:tc>
        <w:tc>
          <w:tcPr>
            <w:tcW w:w="0" w:type="dxa"/>
            <w:vAlign w:val="bottom"/>
          </w:tcPr>
          <w:p>
            <w:pPr>
              <w:spacing w:after="0"/>
              <w:rPr>
                <w:sz w:val="1"/>
                <w:szCs w:val="1"/>
                <w:color w:val="auto"/>
              </w:rPr>
            </w:pPr>
          </w:p>
        </w:tc>
      </w:tr>
      <w:tr>
        <w:trPr>
          <w:trHeight w:val="157"/>
        </w:trPr>
        <w:tc>
          <w:tcPr>
            <w:tcW w:w="8100" w:type="dxa"/>
            <w:vAlign w:val="bottom"/>
          </w:tcPr>
          <w:p>
            <w:pPr>
              <w:ind w:left="20"/>
              <w:spacing w:after="0"/>
              <w:rPr>
                <w:sz w:val="20"/>
                <w:szCs w:val="20"/>
                <w:color w:val="auto"/>
              </w:rPr>
            </w:pPr>
            <w:r>
              <w:rPr>
                <w:rFonts w:ascii="Arial" w:cs="Arial" w:eastAsia="Arial" w:hAnsi="Arial"/>
                <w:sz w:val="12"/>
                <w:szCs w:val="12"/>
                <w:color w:val="auto"/>
              </w:rPr>
              <w:t>Goodwill</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3"/>
              </w:rPr>
              <w:t>2,462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2,727</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activities in our segments include the following:</w:t>
      </w:r>
    </w:p>
    <w:p>
      <w:pPr>
        <w:spacing w:after="0" w:line="87" w:lineRule="exact"/>
        <w:rPr>
          <w:sz w:val="20"/>
          <w:szCs w:val="20"/>
          <w:color w:val="auto"/>
        </w:rPr>
      </w:pPr>
    </w:p>
    <w:p>
      <w:pPr>
        <w:jc w:val="both"/>
        <w:ind w:left="540" w:hanging="347"/>
        <w:spacing w:after="0" w:line="290" w:lineRule="auto"/>
        <w:tabs>
          <w:tab w:leader="none" w:pos="536" w:val="left"/>
        </w:tabs>
        <w:numPr>
          <w:ilvl w:val="0"/>
          <w:numId w:val="51"/>
        </w:numPr>
        <w:rPr>
          <w:rFonts w:ascii="Arial" w:cs="Arial" w:eastAsia="Arial" w:hAnsi="Arial"/>
          <w:sz w:val="14"/>
          <w:szCs w:val="14"/>
          <w:color w:val="auto"/>
        </w:rPr>
      </w:pPr>
      <w:r>
        <w:rPr>
          <w:rFonts w:ascii="Arial" w:cs="Arial" w:eastAsia="Arial" w:hAnsi="Arial"/>
          <w:sz w:val="14"/>
          <w:szCs w:val="14"/>
          <w:i w:val="1"/>
          <w:iCs w:val="1"/>
          <w:color w:val="auto"/>
        </w:rPr>
        <w:t xml:space="preserve">Title. </w:t>
      </w:r>
      <w:r>
        <w:rPr>
          <w:rFonts w:ascii="Arial" w:cs="Arial" w:eastAsia="Arial" w:hAnsi="Arial"/>
          <w:sz w:val="14"/>
          <w:szCs w:val="14"/>
          <w:color w:val="auto"/>
        </w:rPr>
        <w:t>This segment consists of the operations of our title insurance underwriters and related businesses. This segment provides core title insurance 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92" w:lineRule="exact"/>
        <w:rPr>
          <w:rFonts w:ascii="Arial" w:cs="Arial" w:eastAsia="Arial" w:hAnsi="Arial"/>
          <w:sz w:val="14"/>
          <w:szCs w:val="14"/>
          <w:color w:val="auto"/>
        </w:rPr>
      </w:pPr>
    </w:p>
    <w:p>
      <w:pPr>
        <w:jc w:val="both"/>
        <w:ind w:left="540" w:hanging="347"/>
        <w:spacing w:after="0" w:line="262" w:lineRule="auto"/>
        <w:tabs>
          <w:tab w:leader="none" w:pos="536"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F&amp;G</w:t>
      </w:r>
      <w:r>
        <w:rPr>
          <w:rFonts w:ascii="Arial" w:cs="Arial" w:eastAsia="Arial" w:hAnsi="Arial"/>
          <w:sz w:val="15"/>
          <w:szCs w:val="15"/>
          <w:color w:val="auto"/>
        </w:rPr>
        <w:t>. This segment primarily consists of the operations of our annuities and life insurance related businesses. This segment issues a broad portfolio of annuity and life products,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deferred annuities (fixed indexed and fixed rate annuities), immediate annuities and indexed universal life insurance. This segment also provides funding agreements and pension risk transfer solutions.</w:t>
      </w:r>
    </w:p>
    <w:p>
      <w:pPr>
        <w:spacing w:after="0" w:line="111" w:lineRule="exact"/>
        <w:rPr>
          <w:rFonts w:ascii="Arial" w:cs="Arial" w:eastAsia="Arial" w:hAnsi="Arial"/>
          <w:sz w:val="15"/>
          <w:szCs w:val="15"/>
          <w:color w:val="auto"/>
        </w:rPr>
      </w:pPr>
    </w:p>
    <w:p>
      <w:pPr>
        <w:ind w:left="540" w:hanging="347"/>
        <w:spacing w:after="0" w:line="354" w:lineRule="auto"/>
        <w:tabs>
          <w:tab w:leader="none" w:pos="536"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This segment consists of the operations of the parent holding company, our real estate technology subsidiaries and our remaining real estate brokerage</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businesses. This segment also includes certain other unallocated corporate overhead expenses and eliminations of revenues and expenses between it and our Title segment.</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Refer to Note L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for a description of our accounting for our various revenue streams.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50" w:name="page151"/>
    <w:bookmarkEnd w:id="15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K — Supplemental Cash Flow Information</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supplemental cash flow information is provided with respect to certain cash payment and non-cash investing and financing activities.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53"/>
        </w:trPr>
        <w:tc>
          <w:tcPr>
            <w:tcW w:w="7680" w:type="dxa"/>
            <w:vAlign w:val="bottom"/>
          </w:tcPr>
          <w:p>
            <w:pPr>
              <w:spacing w:after="0"/>
              <w:rPr>
                <w:sz w:val="13"/>
                <w:szCs w:val="13"/>
                <w:color w:val="auto"/>
              </w:rPr>
            </w:pP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r>
      <w:tr>
        <w:trPr>
          <w:trHeight w:val="145"/>
        </w:trPr>
        <w:tc>
          <w:tcPr>
            <w:tcW w:w="7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1"/>
              </w:rPr>
              <w:t>(In millions)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8"/>
        </w:trPr>
        <w:tc>
          <w:tcPr>
            <w:tcW w:w="7680" w:type="dxa"/>
            <w:vAlign w:val="bottom"/>
          </w:tcPr>
          <w:p>
            <w:pPr>
              <w:spacing w:after="0"/>
              <w:rPr>
                <w:sz w:val="20"/>
                <w:szCs w:val="20"/>
                <w:color w:val="auto"/>
              </w:rPr>
            </w:pPr>
            <w:r>
              <w:rPr>
                <w:rFonts w:ascii="Arial" w:cs="Arial" w:eastAsia="Arial" w:hAnsi="Arial"/>
                <w:sz w:val="12"/>
                <w:szCs w:val="12"/>
                <w:color w:val="auto"/>
              </w:rPr>
              <w:t>Cash paid for:</w:t>
            </w: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76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w:t>
            </w: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r>
      <w:tr>
        <w:trPr>
          <w:trHeight w:val="155"/>
        </w:trPr>
        <w:tc>
          <w:tcPr>
            <w:tcW w:w="7680" w:type="dxa"/>
            <w:vAlign w:val="bottom"/>
          </w:tcPr>
          <w:p>
            <w:pPr>
              <w:ind w:left="100"/>
              <w:spacing w:after="0"/>
              <w:rPr>
                <w:sz w:val="20"/>
                <w:szCs w:val="20"/>
                <w:color w:val="auto"/>
              </w:rPr>
            </w:pPr>
            <w:r>
              <w:rPr>
                <w:rFonts w:ascii="Arial" w:cs="Arial" w:eastAsia="Arial" w:hAnsi="Arial"/>
                <w:sz w:val="12"/>
                <w:szCs w:val="12"/>
                <w:color w:val="auto"/>
              </w:rPr>
              <w:t>Income taxes</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653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251</w:t>
            </w:r>
          </w:p>
        </w:tc>
      </w:tr>
      <w:tr>
        <w:trPr>
          <w:trHeight w:val="160"/>
        </w:trPr>
        <w:tc>
          <w:tcPr>
            <w:tcW w:w="76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sales inducements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680" w:type="dxa"/>
            <w:vAlign w:val="bottom"/>
          </w:tcPr>
          <w:p>
            <w:pPr>
              <w:spacing w:after="0"/>
              <w:rPr>
                <w:sz w:val="20"/>
                <w:szCs w:val="20"/>
                <w:color w:val="auto"/>
              </w:rPr>
            </w:pPr>
            <w:r>
              <w:rPr>
                <w:rFonts w:ascii="Arial" w:cs="Arial" w:eastAsia="Arial" w:hAnsi="Arial"/>
                <w:sz w:val="12"/>
                <w:szCs w:val="12"/>
                <w:color w:val="auto"/>
              </w:rPr>
              <w:t>Non-cash investing and financing activities:</w:t>
            </w: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7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Equity financing associated with the acquisition of F&amp;G</w:t>
            </w: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680" w:type="dxa"/>
            <w:vAlign w:val="bottom"/>
          </w:tcPr>
          <w:p>
            <w:pPr>
              <w:ind w:left="200"/>
              <w:spacing w:after="0"/>
              <w:rPr>
                <w:sz w:val="20"/>
                <w:szCs w:val="20"/>
                <w:color w:val="auto"/>
              </w:rPr>
            </w:pPr>
            <w:r>
              <w:rPr>
                <w:rFonts w:ascii="Arial" w:cs="Arial" w:eastAsia="Arial" w:hAnsi="Arial"/>
                <w:sz w:val="12"/>
                <w:szCs w:val="12"/>
                <w:color w:val="auto"/>
              </w:rPr>
              <w:t>Investments received from pension risk transfer premiums</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7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 in proceeds of sales of investments available for sale receivable in period</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5"/>
        </w:trPr>
        <w:tc>
          <w:tcPr>
            <w:tcW w:w="7680" w:type="dxa"/>
            <w:vAlign w:val="bottom"/>
          </w:tcPr>
          <w:p>
            <w:pPr>
              <w:ind w:left="180"/>
              <w:spacing w:after="0"/>
              <w:rPr>
                <w:sz w:val="20"/>
                <w:szCs w:val="20"/>
                <w:color w:val="auto"/>
              </w:rPr>
            </w:pPr>
            <w:r>
              <w:rPr>
                <w:rFonts w:ascii="Arial" w:cs="Arial" w:eastAsia="Arial" w:hAnsi="Arial"/>
                <w:sz w:val="12"/>
                <w:szCs w:val="12"/>
                <w:color w:val="auto"/>
              </w:rPr>
              <w:t>Change in purchases of investments available for sale payable in period</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60"/>
        </w:trPr>
        <w:tc>
          <w:tcPr>
            <w:tcW w:w="7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 in treasury stock purchases payable in period</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5"/>
        </w:trPr>
        <w:tc>
          <w:tcPr>
            <w:tcW w:w="7680" w:type="dxa"/>
            <w:vAlign w:val="bottom"/>
          </w:tcPr>
          <w:p>
            <w:pPr>
              <w:ind w:left="180"/>
              <w:spacing w:after="0"/>
              <w:rPr>
                <w:sz w:val="20"/>
                <w:szCs w:val="20"/>
                <w:color w:val="auto"/>
              </w:rPr>
            </w:pPr>
            <w:r>
              <w:rPr>
                <w:rFonts w:ascii="Arial" w:cs="Arial" w:eastAsia="Arial" w:hAnsi="Arial"/>
                <w:sz w:val="12"/>
                <w:szCs w:val="12"/>
                <w:color w:val="auto"/>
              </w:rPr>
              <w:t>Change in accrued dividends payable in period</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60"/>
        </w:trPr>
        <w:tc>
          <w:tcPr>
            <w:tcW w:w="7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Lease liabilities recognized in exchange for lease right-of-use assets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r>
      <w:tr>
        <w:trPr>
          <w:trHeight w:val="155"/>
        </w:trPr>
        <w:tc>
          <w:tcPr>
            <w:tcW w:w="7680" w:type="dxa"/>
            <w:vAlign w:val="bottom"/>
          </w:tcPr>
          <w:p>
            <w:pPr>
              <w:ind w:left="180"/>
              <w:spacing w:after="0"/>
              <w:rPr>
                <w:sz w:val="20"/>
                <w:szCs w:val="20"/>
                <w:color w:val="auto"/>
              </w:rPr>
            </w:pPr>
            <w:r>
              <w:rPr>
                <w:rFonts w:ascii="Arial" w:cs="Arial" w:eastAsia="Arial" w:hAnsi="Arial"/>
                <w:sz w:val="12"/>
                <w:szCs w:val="12"/>
                <w:color w:val="auto"/>
              </w:rPr>
              <w:t>Remeasurement of lease liabilities</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60"/>
        </w:trPr>
        <w:tc>
          <w:tcPr>
            <w:tcW w:w="76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Liabilities assumed in connection with acquisitions (excluding F&amp;G)(1)</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5"/>
        </w:trPr>
        <w:tc>
          <w:tcPr>
            <w:tcW w:w="7680" w:type="dxa"/>
            <w:vAlign w:val="bottom"/>
          </w:tcPr>
          <w:p>
            <w:pPr>
              <w:ind w:left="180"/>
              <w:spacing w:after="0"/>
              <w:rPr>
                <w:sz w:val="20"/>
                <w:szCs w:val="20"/>
                <w:color w:val="auto"/>
              </w:rPr>
            </w:pPr>
            <w:r>
              <w:rPr>
                <w:rFonts w:ascii="Arial" w:cs="Arial" w:eastAsia="Arial" w:hAnsi="Arial"/>
                <w:sz w:val="12"/>
                <w:szCs w:val="12"/>
                <w:color w:val="auto"/>
              </w:rPr>
              <w:t>Fair value of assets acquired</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60"/>
        </w:trPr>
        <w:tc>
          <w:tcPr>
            <w:tcW w:w="76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Less: Total Purchase price</w:t>
            </w:r>
          </w:p>
        </w:tc>
        <w:tc>
          <w:tcPr>
            <w:tcW w:w="7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49"/>
        </w:trPr>
        <w:tc>
          <w:tcPr>
            <w:tcW w:w="7680" w:type="dxa"/>
            <w:vAlign w:val="bottom"/>
          </w:tcPr>
          <w:p>
            <w:pPr>
              <w:ind w:left="180"/>
              <w:spacing w:after="0"/>
              <w:rPr>
                <w:sz w:val="20"/>
                <w:szCs w:val="20"/>
                <w:color w:val="auto"/>
              </w:rPr>
            </w:pPr>
            <w:r>
              <w:rPr>
                <w:rFonts w:ascii="Arial" w:cs="Arial" w:eastAsia="Arial" w:hAnsi="Arial"/>
                <w:sz w:val="12"/>
                <w:szCs w:val="12"/>
                <w:color w:val="auto"/>
              </w:rPr>
              <w:t>Liabilities and noncontrolling interests assumed</w:t>
            </w:r>
          </w:p>
        </w:tc>
        <w:tc>
          <w:tcPr>
            <w:tcW w:w="760" w:type="dxa"/>
            <w:vAlign w:val="bottom"/>
            <w:tcBorders>
              <w:bottom w:val="single" w:sz="8" w:color="auto"/>
            </w:tcBorders>
          </w:tcPr>
          <w:p>
            <w:pPr>
              <w:jc w:val="right"/>
              <w:ind w:right="647"/>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0"/>
        </w:trPr>
        <w:tc>
          <w:tcPr>
            <w:tcW w:w="76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 xml:space="preserve">(1) For further information related to the acquisition of F&amp;G, refer to Note B </w:t>
            </w:r>
            <w:r>
              <w:rPr>
                <w:rFonts w:ascii="Arial" w:cs="Arial" w:eastAsia="Arial" w:hAnsi="Arial"/>
                <w:sz w:val="12"/>
                <w:szCs w:val="12"/>
                <w:i w:val="1"/>
                <w:iCs w:val="1"/>
                <w:color w:val="auto"/>
              </w:rPr>
              <w:t>Acquisitions</w:t>
            </w:r>
          </w:p>
        </w:tc>
        <w:tc>
          <w:tcPr>
            <w:tcW w:w="7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51" w:name="page152"/>
    <w:bookmarkEnd w:id="15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L — Revenue Recognition</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Disaggregation of Revenue</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revenue consists of: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center"/>
              <w:ind w:left="280"/>
              <w:spacing w:after="0"/>
              <w:rPr>
                <w:sz w:val="20"/>
                <w:szCs w:val="20"/>
                <w:color w:val="auto"/>
              </w:rPr>
            </w:pPr>
            <w:r>
              <w:rPr>
                <w:rFonts w:ascii="Arial" w:cs="Arial" w:eastAsia="Arial" w:hAnsi="Arial"/>
                <w:sz w:val="12"/>
                <w:szCs w:val="12"/>
                <w:b w:val="1"/>
                <w:bCs w:val="1"/>
                <w:color w:val="auto"/>
                <w:w w:val="89"/>
              </w:rPr>
              <w:t>Year Ended December 31,</w:t>
            </w:r>
          </w:p>
        </w:tc>
        <w:tc>
          <w:tcPr>
            <w:tcW w:w="520" w:type="dxa"/>
            <w:vAlign w:val="bottom"/>
            <w:tcBorders>
              <w:bottom w:val="single" w:sz="8" w:color="auto"/>
            </w:tcBorders>
          </w:tcPr>
          <w:p>
            <w:pPr>
              <w:spacing w:after="0"/>
              <w:rPr>
                <w:sz w:val="14"/>
                <w:szCs w:val="14"/>
                <w:color w:val="auto"/>
              </w:rPr>
            </w:pPr>
          </w:p>
        </w:tc>
      </w:tr>
      <w:tr>
        <w:trPr>
          <w:trHeight w:val="145"/>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0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0"/>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200"/>
              <w:spacing w:after="0"/>
              <w:rPr>
                <w:sz w:val="20"/>
                <w:szCs w:val="20"/>
                <w:color w:val="auto"/>
              </w:rPr>
            </w:pPr>
            <w:r>
              <w:rPr>
                <w:rFonts w:ascii="Arial" w:cs="Arial" w:eastAsia="Arial" w:hAnsi="Arial"/>
                <w:sz w:val="12"/>
                <w:szCs w:val="12"/>
                <w:b w:val="1"/>
                <w:bCs w:val="1"/>
                <w:color w:val="auto"/>
                <w:w w:val="89"/>
              </w:rPr>
              <w:t>2019</w:t>
            </w:r>
          </w:p>
        </w:tc>
      </w:tr>
      <w:tr>
        <w:trPr>
          <w:trHeight w:val="162"/>
        </w:trPr>
        <w:tc>
          <w:tcPr>
            <w:tcW w:w="4100" w:type="dxa"/>
            <w:vAlign w:val="bottom"/>
            <w:gridSpan w:val="2"/>
          </w:tcPr>
          <w:p>
            <w:pPr>
              <w:ind w:left="1580"/>
              <w:spacing w:after="0"/>
              <w:rPr>
                <w:sz w:val="20"/>
                <w:szCs w:val="20"/>
                <w:color w:val="auto"/>
              </w:rPr>
            </w:pPr>
            <w:r>
              <w:rPr>
                <w:rFonts w:ascii="Arial" w:cs="Arial" w:eastAsia="Arial" w:hAnsi="Arial"/>
                <w:sz w:val="12"/>
                <w:szCs w:val="12"/>
                <w:b w:val="1"/>
                <w:bCs w:val="1"/>
                <w:color w:val="auto"/>
              </w:rPr>
              <w:t>Revenue Stream</w:t>
            </w:r>
          </w:p>
        </w:tc>
        <w:tc>
          <w:tcPr>
            <w:tcW w:w="2860" w:type="dxa"/>
            <w:vAlign w:val="bottom"/>
            <w:gridSpan w:val="2"/>
          </w:tcPr>
          <w:p>
            <w:pPr>
              <w:ind w:left="560"/>
              <w:spacing w:after="0"/>
              <w:rPr>
                <w:sz w:val="20"/>
                <w:szCs w:val="20"/>
                <w:color w:val="auto"/>
              </w:rPr>
            </w:pPr>
            <w:r>
              <w:rPr>
                <w:rFonts w:ascii="Arial" w:cs="Arial" w:eastAsia="Arial" w:hAnsi="Arial"/>
                <w:sz w:val="12"/>
                <w:szCs w:val="12"/>
                <w:b w:val="1"/>
                <w:bCs w:val="1"/>
                <w:color w:val="auto"/>
              </w:rPr>
              <w:t>Income Statement Classification</w:t>
            </w:r>
          </w:p>
        </w:tc>
        <w:tc>
          <w:tcPr>
            <w:tcW w:w="1860" w:type="dxa"/>
            <w:vAlign w:val="bottom"/>
          </w:tcPr>
          <w:p>
            <w:pPr>
              <w:jc w:val="center"/>
              <w:spacing w:after="0"/>
              <w:rPr>
                <w:sz w:val="20"/>
                <w:szCs w:val="20"/>
                <w:color w:val="auto"/>
              </w:rPr>
            </w:pPr>
            <w:r>
              <w:rPr>
                <w:rFonts w:ascii="Arial" w:cs="Arial" w:eastAsia="Arial" w:hAnsi="Arial"/>
                <w:sz w:val="12"/>
                <w:szCs w:val="12"/>
                <w:b w:val="1"/>
                <w:bCs w:val="1"/>
                <w:color w:val="auto"/>
                <w:w w:val="86"/>
              </w:rPr>
              <w:t>Segment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7"/>
              </w:rPr>
              <w:t>Total Revenue</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51"/>
        </w:trPr>
        <w:tc>
          <w:tcPr>
            <w:tcW w:w="40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Revenue from insurance contracts:</w:t>
            </w:r>
          </w:p>
        </w:tc>
        <w:tc>
          <w:tcPr>
            <w:tcW w:w="80" w:type="dxa"/>
            <w:vAlign w:val="bottom"/>
          </w:tcPr>
          <w:p>
            <w:pPr>
              <w:spacing w:after="0"/>
              <w:rPr>
                <w:sz w:val="13"/>
                <w:szCs w:val="13"/>
                <w:color w:val="auto"/>
              </w:rPr>
            </w:pPr>
          </w:p>
        </w:tc>
        <w:tc>
          <w:tcPr>
            <w:tcW w:w="2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2"/>
                <w:szCs w:val="12"/>
                <w:color w:val="auto"/>
                <w:w w:val="98"/>
              </w:rPr>
              <w:t>(in millions)</w:t>
            </w: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r>
      <w:tr>
        <w:trPr>
          <w:trHeight w:val="160"/>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Direct title insurance premiums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Direct title insurance premiums</w:t>
            </w:r>
          </w:p>
        </w:tc>
        <w:tc>
          <w:tcPr>
            <w:tcW w:w="1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Title</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2,381</w:t>
            </w:r>
          </w:p>
        </w:tc>
      </w:tr>
      <w:tr>
        <w:trPr>
          <w:trHeight w:val="155"/>
        </w:trPr>
        <w:tc>
          <w:tcPr>
            <w:tcW w:w="4100" w:type="dxa"/>
            <w:vAlign w:val="bottom"/>
            <w:gridSpan w:val="2"/>
          </w:tcPr>
          <w:p>
            <w:pPr>
              <w:ind w:left="100"/>
              <w:spacing w:after="0"/>
              <w:rPr>
                <w:sz w:val="20"/>
                <w:szCs w:val="20"/>
                <w:color w:val="auto"/>
              </w:rPr>
            </w:pPr>
            <w:r>
              <w:rPr>
                <w:rFonts w:ascii="Arial" w:cs="Arial" w:eastAsia="Arial" w:hAnsi="Arial"/>
                <w:sz w:val="12"/>
                <w:szCs w:val="12"/>
                <w:color w:val="auto"/>
              </w:rPr>
              <w:t>Agency title insurance premiums</w:t>
            </w:r>
          </w:p>
        </w:tc>
        <w:tc>
          <w:tcPr>
            <w:tcW w:w="2860" w:type="dxa"/>
            <w:vAlign w:val="bottom"/>
            <w:gridSpan w:val="2"/>
          </w:tcPr>
          <w:p>
            <w:pPr>
              <w:ind w:left="20"/>
              <w:spacing w:after="0"/>
              <w:rPr>
                <w:sz w:val="20"/>
                <w:szCs w:val="20"/>
                <w:color w:val="auto"/>
              </w:rPr>
            </w:pPr>
            <w:r>
              <w:rPr>
                <w:rFonts w:ascii="Arial" w:cs="Arial" w:eastAsia="Arial" w:hAnsi="Arial"/>
                <w:sz w:val="12"/>
                <w:szCs w:val="12"/>
                <w:color w:val="auto"/>
              </w:rPr>
              <w:t>Agency title insurance premiums</w:t>
            </w:r>
          </w:p>
        </w:tc>
        <w:tc>
          <w:tcPr>
            <w:tcW w:w="1860" w:type="dxa"/>
            <w:vAlign w:val="bottom"/>
          </w:tcPr>
          <w:p>
            <w:pPr>
              <w:jc w:val="center"/>
              <w:spacing w:after="0"/>
              <w:rPr>
                <w:sz w:val="20"/>
                <w:szCs w:val="20"/>
                <w:color w:val="auto"/>
              </w:rPr>
            </w:pPr>
            <w:r>
              <w:rPr>
                <w:rFonts w:ascii="Arial" w:cs="Arial" w:eastAsia="Arial" w:hAnsi="Arial"/>
                <w:sz w:val="12"/>
                <w:szCs w:val="12"/>
                <w:color w:val="auto"/>
                <w:w w:val="96"/>
              </w:rPr>
              <w:t>Title</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4,982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3,599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2,961</w:t>
            </w:r>
          </w:p>
        </w:tc>
      </w:tr>
      <w:tr>
        <w:trPr>
          <w:trHeight w:val="160"/>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5"/>
              </w:rPr>
              <w:t>Life insurance premiums, insurance and investment product fees, and other (1)</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Escrow, title-related and other fees</w:t>
            </w:r>
          </w:p>
        </w:tc>
        <w:tc>
          <w:tcPr>
            <w:tcW w:w="1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F&amp;G</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410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Home warranty</w:t>
            </w:r>
          </w:p>
        </w:tc>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Escrow, title-related and other fees</w:t>
            </w:r>
          </w:p>
        </w:tc>
        <w:tc>
          <w:tcPr>
            <w:tcW w:w="186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6"/>
              </w:rPr>
              <w:t>Title</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w:t>
            </w:r>
          </w:p>
        </w:tc>
      </w:tr>
      <w:tr>
        <w:trPr>
          <w:trHeight w:val="151"/>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Total revenue from insurance contracts</w:t>
            </w:r>
          </w:p>
        </w:tc>
        <w:tc>
          <w:tcPr>
            <w:tcW w:w="2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10,133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5,519</w:t>
            </w:r>
          </w:p>
        </w:tc>
      </w:tr>
      <w:tr>
        <w:trPr>
          <w:trHeight w:val="155"/>
        </w:trPr>
        <w:tc>
          <w:tcPr>
            <w:tcW w:w="4100" w:type="dxa"/>
            <w:vAlign w:val="bottom"/>
            <w:gridSpan w:val="2"/>
          </w:tcPr>
          <w:p>
            <w:pPr>
              <w:spacing w:after="0"/>
              <w:rPr>
                <w:sz w:val="20"/>
                <w:szCs w:val="20"/>
                <w:color w:val="auto"/>
              </w:rPr>
            </w:pPr>
            <w:r>
              <w:rPr>
                <w:rFonts w:ascii="Arial" w:cs="Arial" w:eastAsia="Arial" w:hAnsi="Arial"/>
                <w:sz w:val="12"/>
                <w:szCs w:val="12"/>
                <w:color w:val="auto"/>
              </w:rPr>
              <w:t>Revenue from contracts with customers:</w:t>
            </w:r>
          </w:p>
        </w:tc>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0"/>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Escrow fees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Escrow, title-related and other fees</w:t>
            </w:r>
          </w:p>
        </w:tc>
        <w:tc>
          <w:tcPr>
            <w:tcW w:w="1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Title</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r>
      <w:tr>
        <w:trPr>
          <w:trHeight w:val="155"/>
        </w:trPr>
        <w:tc>
          <w:tcPr>
            <w:tcW w:w="4100" w:type="dxa"/>
            <w:vAlign w:val="bottom"/>
            <w:gridSpan w:val="2"/>
          </w:tcPr>
          <w:p>
            <w:pPr>
              <w:ind w:left="100"/>
              <w:spacing w:after="0"/>
              <w:rPr>
                <w:sz w:val="20"/>
                <w:szCs w:val="20"/>
                <w:color w:val="auto"/>
              </w:rPr>
            </w:pPr>
            <w:r>
              <w:rPr>
                <w:rFonts w:ascii="Arial" w:cs="Arial" w:eastAsia="Arial" w:hAnsi="Arial"/>
                <w:sz w:val="12"/>
                <w:szCs w:val="12"/>
                <w:color w:val="auto"/>
              </w:rPr>
              <w:t>Other title-related fees and income</w:t>
            </w:r>
          </w:p>
        </w:tc>
        <w:tc>
          <w:tcPr>
            <w:tcW w:w="2860" w:type="dxa"/>
            <w:vAlign w:val="bottom"/>
            <w:gridSpan w:val="2"/>
          </w:tcPr>
          <w:p>
            <w:pPr>
              <w:ind w:left="20"/>
              <w:spacing w:after="0"/>
              <w:rPr>
                <w:sz w:val="20"/>
                <w:szCs w:val="20"/>
                <w:color w:val="auto"/>
              </w:rPr>
            </w:pPr>
            <w:r>
              <w:rPr>
                <w:rFonts w:ascii="Arial" w:cs="Arial" w:eastAsia="Arial" w:hAnsi="Arial"/>
                <w:sz w:val="12"/>
                <w:szCs w:val="12"/>
                <w:color w:val="auto"/>
              </w:rPr>
              <w:t>Escrow, title-related and other fees</w:t>
            </w:r>
          </w:p>
        </w:tc>
        <w:tc>
          <w:tcPr>
            <w:tcW w:w="1860" w:type="dxa"/>
            <w:vAlign w:val="bottom"/>
          </w:tcPr>
          <w:p>
            <w:pPr>
              <w:jc w:val="center"/>
              <w:spacing w:after="0"/>
              <w:rPr>
                <w:sz w:val="20"/>
                <w:szCs w:val="20"/>
                <w:color w:val="auto"/>
              </w:rPr>
            </w:pPr>
            <w:r>
              <w:rPr>
                <w:rFonts w:ascii="Arial" w:cs="Arial" w:eastAsia="Arial" w:hAnsi="Arial"/>
                <w:sz w:val="12"/>
                <w:szCs w:val="12"/>
                <w:color w:val="auto"/>
                <w:w w:val="96"/>
              </w:rPr>
              <w:t>Title</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888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724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639</w:t>
            </w:r>
          </w:p>
        </w:tc>
      </w:tr>
      <w:tr>
        <w:trPr>
          <w:trHeight w:val="160"/>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ServiceLink, excluding title premiums, escrow fees, and subservicing fees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Escrow, title-related and other fees</w:t>
            </w:r>
          </w:p>
        </w:tc>
        <w:tc>
          <w:tcPr>
            <w:tcW w:w="1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Title</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w:t>
            </w:r>
          </w:p>
        </w:tc>
      </w:tr>
      <w:tr>
        <w:trPr>
          <w:trHeight w:val="155"/>
        </w:trPr>
        <w:tc>
          <w:tcPr>
            <w:tcW w:w="4100" w:type="dxa"/>
            <w:vAlign w:val="bottom"/>
            <w:gridSpan w:val="2"/>
          </w:tcPr>
          <w:p>
            <w:pPr>
              <w:ind w:left="100"/>
              <w:spacing w:after="0"/>
              <w:rPr>
                <w:sz w:val="20"/>
                <w:szCs w:val="20"/>
                <w:color w:val="auto"/>
              </w:rPr>
            </w:pPr>
            <w:r>
              <w:rPr>
                <w:rFonts w:ascii="Arial" w:cs="Arial" w:eastAsia="Arial" w:hAnsi="Arial"/>
                <w:sz w:val="12"/>
                <w:szCs w:val="12"/>
                <w:color w:val="auto"/>
              </w:rPr>
              <w:t>Real estate technology</w:t>
            </w:r>
          </w:p>
        </w:tc>
        <w:tc>
          <w:tcPr>
            <w:tcW w:w="2860" w:type="dxa"/>
            <w:vAlign w:val="bottom"/>
            <w:gridSpan w:val="2"/>
          </w:tcPr>
          <w:p>
            <w:pPr>
              <w:ind w:left="20"/>
              <w:spacing w:after="0"/>
              <w:rPr>
                <w:sz w:val="20"/>
                <w:szCs w:val="20"/>
                <w:color w:val="auto"/>
              </w:rPr>
            </w:pPr>
            <w:r>
              <w:rPr>
                <w:rFonts w:ascii="Arial" w:cs="Arial" w:eastAsia="Arial" w:hAnsi="Arial"/>
                <w:sz w:val="12"/>
                <w:szCs w:val="12"/>
                <w:color w:val="auto"/>
              </w:rPr>
              <w:t>Escrow, title-related and other fees</w:t>
            </w:r>
          </w:p>
        </w:tc>
        <w:tc>
          <w:tcPr>
            <w:tcW w:w="1860" w:type="dxa"/>
            <w:vAlign w:val="bottom"/>
          </w:tcPr>
          <w:p>
            <w:pPr>
              <w:jc w:val="center"/>
              <w:spacing w:after="0"/>
              <w:rPr>
                <w:sz w:val="20"/>
                <w:szCs w:val="20"/>
                <w:color w:val="auto"/>
              </w:rPr>
            </w:pPr>
            <w:r>
              <w:rPr>
                <w:rFonts w:ascii="Arial" w:cs="Arial" w:eastAsia="Arial" w:hAnsi="Arial"/>
                <w:sz w:val="12"/>
                <w:szCs w:val="12"/>
                <w:color w:val="auto"/>
                <w:w w:val="89"/>
              </w:rPr>
              <w:t>Corporate and other</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60"/>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Real estate brokerage</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Escrow, title-related and other fees</w:t>
            </w:r>
          </w:p>
        </w:tc>
        <w:tc>
          <w:tcPr>
            <w:tcW w:w="1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Corporate and other</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r>
      <w:tr>
        <w:trPr>
          <w:trHeight w:val="155"/>
        </w:trPr>
        <w:tc>
          <w:tcPr>
            <w:tcW w:w="410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Other</w:t>
            </w:r>
          </w:p>
        </w:tc>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Escrow, title-related and other fees</w:t>
            </w:r>
          </w:p>
        </w:tc>
        <w:tc>
          <w:tcPr>
            <w:tcW w:w="186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89"/>
              </w:rPr>
              <w:t>Corporate and other</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r>
      <w:tr>
        <w:trPr>
          <w:trHeight w:val="151"/>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Total revenue from contracts with customers</w:t>
            </w:r>
          </w:p>
        </w:tc>
        <w:tc>
          <w:tcPr>
            <w:tcW w:w="2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2,122</w:t>
            </w:r>
          </w:p>
        </w:tc>
      </w:tr>
      <w:tr>
        <w:trPr>
          <w:trHeight w:val="155"/>
        </w:trPr>
        <w:tc>
          <w:tcPr>
            <w:tcW w:w="4100" w:type="dxa"/>
            <w:vAlign w:val="bottom"/>
            <w:gridSpan w:val="2"/>
          </w:tcPr>
          <w:p>
            <w:pPr>
              <w:spacing w:after="0"/>
              <w:rPr>
                <w:sz w:val="20"/>
                <w:szCs w:val="20"/>
                <w:color w:val="auto"/>
              </w:rPr>
            </w:pPr>
            <w:r>
              <w:rPr>
                <w:rFonts w:ascii="Arial" w:cs="Arial" w:eastAsia="Arial" w:hAnsi="Arial"/>
                <w:sz w:val="12"/>
                <w:szCs w:val="12"/>
                <w:color w:val="auto"/>
              </w:rPr>
              <w:t>Other revenue:</w:t>
            </w:r>
          </w:p>
        </w:tc>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0"/>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Loan subservicing revenue</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Escrow, title-related and other fees</w:t>
            </w:r>
          </w:p>
        </w:tc>
        <w:tc>
          <w:tcPr>
            <w:tcW w:w="1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Title</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w:t>
            </w:r>
          </w:p>
        </w:tc>
      </w:tr>
      <w:tr>
        <w:trPr>
          <w:trHeight w:val="155"/>
        </w:trPr>
        <w:tc>
          <w:tcPr>
            <w:tcW w:w="4100" w:type="dxa"/>
            <w:vAlign w:val="bottom"/>
            <w:gridSpan w:val="2"/>
          </w:tcPr>
          <w:p>
            <w:pPr>
              <w:ind w:left="100"/>
              <w:spacing w:after="0"/>
              <w:rPr>
                <w:sz w:val="20"/>
                <w:szCs w:val="20"/>
                <w:color w:val="auto"/>
              </w:rPr>
            </w:pPr>
            <w:r>
              <w:rPr>
                <w:rFonts w:ascii="Arial" w:cs="Arial" w:eastAsia="Arial" w:hAnsi="Arial"/>
                <w:sz w:val="12"/>
                <w:szCs w:val="12"/>
                <w:color w:val="auto"/>
              </w:rPr>
              <w:t>Interest and investment income</w:t>
            </w:r>
          </w:p>
        </w:tc>
        <w:tc>
          <w:tcPr>
            <w:tcW w:w="2860" w:type="dxa"/>
            <w:vAlign w:val="bottom"/>
            <w:gridSpan w:val="2"/>
          </w:tcPr>
          <w:p>
            <w:pPr>
              <w:ind w:left="20"/>
              <w:spacing w:after="0"/>
              <w:rPr>
                <w:sz w:val="20"/>
                <w:szCs w:val="20"/>
                <w:color w:val="auto"/>
              </w:rPr>
            </w:pPr>
            <w:r>
              <w:rPr>
                <w:rFonts w:ascii="Arial" w:cs="Arial" w:eastAsia="Arial" w:hAnsi="Arial"/>
                <w:sz w:val="12"/>
                <w:szCs w:val="12"/>
                <w:color w:val="auto"/>
              </w:rPr>
              <w:t>Interest and investment income</w:t>
            </w:r>
          </w:p>
        </w:tc>
        <w:tc>
          <w:tcPr>
            <w:tcW w:w="1860" w:type="dxa"/>
            <w:vAlign w:val="bottom"/>
          </w:tcPr>
          <w:p>
            <w:pPr>
              <w:jc w:val="center"/>
              <w:spacing w:after="0"/>
              <w:rPr>
                <w:sz w:val="20"/>
                <w:szCs w:val="20"/>
                <w:color w:val="auto"/>
              </w:rPr>
            </w:pPr>
            <w:r>
              <w:rPr>
                <w:rFonts w:ascii="Arial" w:cs="Arial" w:eastAsia="Arial" w:hAnsi="Arial"/>
                <w:sz w:val="12"/>
                <w:szCs w:val="12"/>
                <w:color w:val="auto"/>
                <w:w w:val="88"/>
              </w:rPr>
              <w:t>Various</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1,961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225</w:t>
            </w:r>
          </w:p>
        </w:tc>
      </w:tr>
      <w:tr>
        <w:trPr>
          <w:trHeight w:val="158"/>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Recognized gains and losses, net</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Recognized gains and losses, net</w:t>
            </w:r>
          </w:p>
        </w:tc>
        <w:tc>
          <w:tcPr>
            <w:tcW w:w="1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Various</w:t>
            </w: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488</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318</w:t>
            </w:r>
          </w:p>
        </w:tc>
      </w:tr>
      <w:tr>
        <w:trPr>
          <w:trHeight w:val="151"/>
        </w:trPr>
        <w:tc>
          <w:tcPr>
            <w:tcW w:w="4100" w:type="dxa"/>
            <w:vAlign w:val="bottom"/>
            <w:gridSpan w:val="2"/>
          </w:tcPr>
          <w:p>
            <w:pPr>
              <w:ind w:left="280"/>
              <w:spacing w:after="0"/>
              <w:rPr>
                <w:sz w:val="20"/>
                <w:szCs w:val="20"/>
                <w:color w:val="auto"/>
              </w:rPr>
            </w:pPr>
            <w:r>
              <w:rPr>
                <w:rFonts w:ascii="Arial" w:cs="Arial" w:eastAsia="Arial" w:hAnsi="Arial"/>
                <w:sz w:val="12"/>
                <w:szCs w:val="12"/>
                <w:color w:val="auto"/>
              </w:rPr>
              <w:t>Total revenues</w:t>
            </w:r>
          </w:p>
        </w:tc>
        <w:tc>
          <w:tcPr>
            <w:tcW w:w="2860" w:type="dxa"/>
            <w:vAlign w:val="bottom"/>
            <w:gridSpan w:val="2"/>
          </w:tcPr>
          <w:p>
            <w:pPr>
              <w:ind w:left="20"/>
              <w:spacing w:after="0"/>
              <w:rPr>
                <w:sz w:val="20"/>
                <w:szCs w:val="20"/>
                <w:color w:val="auto"/>
              </w:rPr>
            </w:pPr>
            <w:r>
              <w:rPr>
                <w:rFonts w:ascii="Arial" w:cs="Arial" w:eastAsia="Arial" w:hAnsi="Arial"/>
                <w:sz w:val="12"/>
                <w:szCs w:val="12"/>
                <w:color w:val="auto"/>
              </w:rPr>
              <w:t>Total revenues</w:t>
            </w:r>
          </w:p>
        </w:tc>
        <w:tc>
          <w:tcPr>
            <w:tcW w:w="1860" w:type="dxa"/>
            <w:vAlign w:val="bottom"/>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15,643</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10,778</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8,469</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20"/>
        </w:trPr>
        <w:tc>
          <w:tcPr>
            <w:tcW w:w="4100" w:type="dxa"/>
            <w:vAlign w:val="bottom"/>
            <w:gridSpan w:val="2"/>
            <w:shd w:val="clear" w:color="auto" w:fill="CCEEFF"/>
          </w:tcPr>
          <w:p>
            <w:pPr>
              <w:ind w:left="280"/>
              <w:spacing w:after="0" w:line="121" w:lineRule="exact"/>
              <w:rPr>
                <w:sz w:val="20"/>
                <w:szCs w:val="20"/>
                <w:color w:val="auto"/>
              </w:rPr>
            </w:pPr>
            <w:r>
              <w:rPr>
                <w:rFonts w:ascii="Arial" w:cs="Arial" w:eastAsia="Arial" w:hAnsi="Arial"/>
                <w:sz w:val="12"/>
                <w:szCs w:val="12"/>
                <w:color w:val="auto"/>
                <w:w w:val="94"/>
              </w:rPr>
              <w:t>(1) Includes $1,146 of life-contingent pension risk transfer premiums in 2021</w:t>
            </w:r>
          </w:p>
        </w:tc>
        <w:tc>
          <w:tcPr>
            <w:tcW w:w="2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bl>
    <w:p>
      <w:pPr>
        <w:spacing w:after="0" w:line="80"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58"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34"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5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36" w:lineRule="exact"/>
        <w:rPr>
          <w:sz w:val="20"/>
          <w:szCs w:val="20"/>
          <w:color w:val="auto"/>
        </w:rPr>
      </w:pPr>
    </w:p>
    <w:p>
      <w:pPr>
        <w:ind w:right="120" w:firstLine="270"/>
        <w:spacing w:after="0" w:line="259" w:lineRule="auto"/>
        <w:rPr>
          <w:sz w:val="20"/>
          <w:szCs w:val="20"/>
          <w:color w:val="auto"/>
        </w:rPr>
      </w:pPr>
      <w:r>
        <w:rPr>
          <w:rFonts w:ascii="Arial" w:cs="Arial" w:eastAsia="Arial" w:hAnsi="Arial"/>
          <w:sz w:val="15"/>
          <w:szCs w:val="15"/>
          <w:color w:val="auto"/>
        </w:rPr>
        <w:t>Life insurance premiums in our F&amp;G segment reflect premiums for life-contingent PRT, traditional life insurance products and life-contingent immediate annuity products which are recognized as revenue when due from the policyholder. We have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52" w:name="page153"/>
    <w:bookmarkEnd w:id="152"/>
    <w:p>
      <w:pPr>
        <w:ind w:left="10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100" w:right="260"/>
        <w:spacing w:after="0" w:line="273" w:lineRule="auto"/>
        <w:rPr>
          <w:sz w:val="20"/>
          <w:szCs w:val="20"/>
          <w:color w:val="auto"/>
        </w:rPr>
      </w:pPr>
      <w:r>
        <w:rPr>
          <w:rFonts w:ascii="Arial" w:cs="Arial" w:eastAsia="Arial" w:hAnsi="Arial"/>
          <w:sz w:val="14"/>
          <w:szCs w:val="14"/>
          <w:color w:val="auto"/>
        </w:rPr>
        <w:t>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("UREV") on IUL policies, policy rider fees primarily on FIA policies and surrender charges assessed against policy withdrawals in excess of the policyholder's allowable penalty-free amounts.</w:t>
      </w:r>
    </w:p>
    <w:p>
      <w:pPr>
        <w:spacing w:after="0" w:line="59" w:lineRule="exact"/>
        <w:rPr>
          <w:sz w:val="20"/>
          <w:szCs w:val="20"/>
          <w:color w:val="auto"/>
        </w:rPr>
      </w:pPr>
    </w:p>
    <w:p>
      <w:pPr>
        <w:jc w:val="both"/>
        <w:ind w:left="100" w:firstLine="372"/>
        <w:spacing w:after="0"/>
        <w:rPr>
          <w:sz w:val="20"/>
          <w:szCs w:val="20"/>
          <w:color w:val="auto"/>
        </w:rPr>
      </w:pPr>
      <w:r>
        <w:rPr>
          <w:rFonts w:ascii="Arial" w:cs="Arial" w:eastAsia="Arial" w:hAnsi="Arial"/>
          <w:sz w:val="15"/>
          <w:szCs w:val="15"/>
          <w:color w:val="auto"/>
        </w:rPr>
        <w:t>Premium and annuity deposit collections for FIA,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92" w:lineRule="exact"/>
        <w:rPr>
          <w:sz w:val="20"/>
          <w:szCs w:val="20"/>
          <w:color w:val="auto"/>
        </w:rPr>
      </w:pPr>
    </w:p>
    <w:p>
      <w:pPr>
        <w:jc w:val="both"/>
        <w:ind w:left="100" w:firstLine="338"/>
        <w:spacing w:after="0" w:line="252" w:lineRule="auto"/>
        <w:rPr>
          <w:sz w:val="20"/>
          <w:szCs w:val="20"/>
          <w:color w:val="auto"/>
        </w:rPr>
      </w:pPr>
      <w:r>
        <w:rPr>
          <w:rFonts w:ascii="Arial" w:cs="Arial" w:eastAsia="Arial" w:hAnsi="Arial"/>
          <w:sz w:val="15"/>
          <w:szCs w:val="15"/>
          <w:color w:val="auto"/>
        </w:rPr>
        <w:t>Premiums, annuity deposits (net of reinsurance) and funding agreements, which are not included as revenues in the accompanying Consolidated Statements of Earnings, collected by product type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Year ended</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6"/>
              </w:rPr>
              <w:t>Seven months ended</w:t>
            </w:r>
          </w:p>
        </w:tc>
      </w:tr>
      <w:tr>
        <w:trPr>
          <w:trHeight w:val="153"/>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December 31, 2021</w:t>
            </w: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December 31, 2020</w:t>
            </w:r>
          </w:p>
        </w:tc>
      </w:tr>
      <w:tr>
        <w:trPr>
          <w:trHeight w:val="137"/>
        </w:trPr>
        <w:tc>
          <w:tcPr>
            <w:tcW w:w="5040" w:type="dxa"/>
            <w:vAlign w:val="bottom"/>
            <w:gridSpan w:val="2"/>
          </w:tcPr>
          <w:p>
            <w:pPr>
              <w:spacing w:after="0"/>
              <w:rPr>
                <w:sz w:val="20"/>
                <w:szCs w:val="20"/>
                <w:color w:val="auto"/>
              </w:rPr>
            </w:pPr>
            <w:r>
              <w:rPr>
                <w:rFonts w:ascii="Arial" w:cs="Arial" w:eastAsia="Arial" w:hAnsi="Arial"/>
                <w:sz w:val="12"/>
                <w:szCs w:val="12"/>
                <w:b w:val="1"/>
                <w:bCs w:val="1"/>
                <w:color w:val="auto"/>
              </w:rPr>
              <w:t>Product Type</w:t>
            </w:r>
          </w:p>
        </w:tc>
        <w:tc>
          <w:tcPr>
            <w:tcW w:w="3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Fixed indexed annuities</w:t>
            </w:r>
          </w:p>
        </w:tc>
        <w:tc>
          <w:tcPr>
            <w:tcW w:w="34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4,420</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1,966</w:t>
            </w:r>
          </w:p>
        </w:tc>
      </w:tr>
      <w:tr>
        <w:trPr>
          <w:trHeight w:val="153"/>
        </w:trPr>
        <w:tc>
          <w:tcPr>
            <w:tcW w:w="2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Arial" w:cs="Arial" w:eastAsia="Arial" w:hAnsi="Arial"/>
                <w:sz w:val="12"/>
                <w:szCs w:val="12"/>
                <w:color w:val="auto"/>
              </w:rPr>
              <w:t>Fixed rate annuities</w:t>
            </w:r>
          </w:p>
        </w:tc>
        <w:tc>
          <w:tcPr>
            <w:tcW w:w="34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878</w:t>
            </w: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631</w:t>
            </w: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Funding agreements (FABN/FHLB)</w:t>
            </w:r>
          </w:p>
        </w:tc>
        <w:tc>
          <w:tcPr>
            <w:tcW w:w="34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2,658</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155"/>
        </w:trPr>
        <w:tc>
          <w:tcPr>
            <w:tcW w:w="20" w:type="dxa"/>
            <w:vAlign w:val="bottom"/>
          </w:tcPr>
          <w:p>
            <w:pPr>
              <w:spacing w:after="0"/>
              <w:rPr>
                <w:sz w:val="13"/>
                <w:szCs w:val="13"/>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Life insurance and other (a)</w:t>
            </w:r>
          </w:p>
        </w:tc>
        <w:tc>
          <w:tcPr>
            <w:tcW w:w="34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w:t>
            </w: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w:t>
            </w:r>
          </w:p>
        </w:tc>
      </w:tr>
      <w:tr>
        <w:trPr>
          <w:trHeight w:val="176"/>
        </w:trPr>
        <w:tc>
          <w:tcPr>
            <w:tcW w:w="20" w:type="dxa"/>
            <w:vAlign w:val="bottom"/>
          </w:tcPr>
          <w:p>
            <w:pPr>
              <w:spacing w:after="0"/>
              <w:rPr>
                <w:sz w:val="14"/>
                <w:szCs w:val="14"/>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8,285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2,849</w:t>
            </w: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 Life insurance and other primarily includes indexed universal </w:t>
      </w:r>
      <w:r>
        <w:rPr>
          <w:rFonts w:ascii="Arial" w:cs="Arial" w:eastAsia="Arial" w:hAnsi="Arial"/>
          <w:sz w:val="18"/>
          <w:szCs w:val="18"/>
          <w:color w:val="auto"/>
        </w:rPr>
        <w:t>l</w:t>
      </w:r>
      <w:r>
        <w:rPr>
          <w:rFonts w:ascii="Arial" w:cs="Arial" w:eastAsia="Arial" w:hAnsi="Arial"/>
          <w:sz w:val="15"/>
          <w:szCs w:val="15"/>
          <w:color w:val="auto"/>
        </w:rPr>
        <w:t>ife insurance.</w:t>
      </w:r>
    </w:p>
    <w:p>
      <w:pPr>
        <w:spacing w:after="0" w:line="60" w:lineRule="exact"/>
        <w:rPr>
          <w:sz w:val="20"/>
          <w:szCs w:val="20"/>
          <w:color w:val="auto"/>
        </w:rPr>
      </w:pPr>
    </w:p>
    <w:p>
      <w:pPr>
        <w:ind w:left="100" w:right="20" w:firstLine="270"/>
        <w:spacing w:after="0" w:line="274" w:lineRule="auto"/>
        <w:rPr>
          <w:sz w:val="20"/>
          <w:szCs w:val="20"/>
          <w:color w:val="auto"/>
        </w:rPr>
      </w:pPr>
      <w:r>
        <w:rPr>
          <w:rFonts w:ascii="Arial" w:cs="Arial" w:eastAsia="Arial" w:hAnsi="Arial"/>
          <w:sz w:val="15"/>
          <w:szCs w:val="15"/>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46" w:lineRule="exact"/>
        <w:rPr>
          <w:sz w:val="20"/>
          <w:szCs w:val="20"/>
          <w:color w:val="auto"/>
        </w:rPr>
      </w:pPr>
    </w:p>
    <w:p>
      <w:pPr>
        <w:ind w:left="100" w:firstLine="270"/>
        <w:spacing w:after="0" w:line="274" w:lineRule="auto"/>
        <w:rPr>
          <w:sz w:val="20"/>
          <w:szCs w:val="20"/>
          <w:color w:val="auto"/>
        </w:rPr>
      </w:pPr>
      <w:r>
        <w:rPr>
          <w:rFonts w:ascii="Arial" w:cs="Arial" w:eastAsia="Arial" w:hAnsi="Arial"/>
          <w:sz w:val="15"/>
          <w:szCs w:val="15"/>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46" w:lineRule="exact"/>
        <w:rPr>
          <w:sz w:val="20"/>
          <w:szCs w:val="20"/>
          <w:color w:val="auto"/>
        </w:rPr>
      </w:pPr>
    </w:p>
    <w:p>
      <w:pPr>
        <w:ind w:left="100" w:right="20" w:firstLine="270"/>
        <w:spacing w:after="0" w:line="274" w:lineRule="auto"/>
        <w:rPr>
          <w:sz w:val="20"/>
          <w:szCs w:val="20"/>
          <w:color w:val="auto"/>
        </w:rPr>
      </w:pPr>
      <w:r>
        <w:rPr>
          <w:rFonts w:ascii="Arial" w:cs="Arial" w:eastAsia="Arial" w:hAnsi="Arial"/>
          <w:sz w:val="15"/>
          <w:szCs w:val="15"/>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34" w:lineRule="exact"/>
        <w:rPr>
          <w:sz w:val="20"/>
          <w:szCs w:val="20"/>
          <w:color w:val="auto"/>
        </w:rPr>
      </w:pPr>
    </w:p>
    <w:p>
      <w:pPr>
        <w:ind w:left="100" w:firstLine="270"/>
        <w:spacing w:after="0" w:line="274" w:lineRule="auto"/>
        <w:rPr>
          <w:sz w:val="20"/>
          <w:szCs w:val="20"/>
          <w:color w:val="auto"/>
        </w:rPr>
      </w:pPr>
      <w:r>
        <w:rPr>
          <w:rFonts w:ascii="Arial" w:cs="Arial" w:eastAsia="Arial" w:hAnsi="Arial"/>
          <w:sz w:val="15"/>
          <w:szCs w:val="15"/>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46" w:lineRule="exact"/>
        <w:rPr>
          <w:sz w:val="20"/>
          <w:szCs w:val="20"/>
          <w:color w:val="auto"/>
        </w:rPr>
      </w:pPr>
    </w:p>
    <w:p>
      <w:pPr>
        <w:ind w:left="100" w:firstLine="270"/>
        <w:spacing w:after="0" w:line="274" w:lineRule="auto"/>
        <w:rPr>
          <w:sz w:val="20"/>
          <w:szCs w:val="20"/>
          <w:color w:val="auto"/>
        </w:rPr>
      </w:pPr>
      <w:r>
        <w:rPr>
          <w:rFonts w:ascii="Arial" w:cs="Arial" w:eastAsia="Arial" w:hAnsi="Arial"/>
          <w:sz w:val="15"/>
          <w:szCs w:val="15"/>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auto"/>
        </w:rPr>
        <w:t>Contract Balances</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provides information about trade receivables and deferred revenue:</w:t>
      </w:r>
    </w:p>
    <w:p>
      <w:pPr>
        <w:spacing w:after="0" w:line="111"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b w:val="1"/>
                <w:bCs w:val="1"/>
                <w:color w:val="auto"/>
              </w:rPr>
              <w:t>December 31, 2021</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92"/>
              </w:rPr>
              <w:t>December 31, 2020</w:t>
            </w:r>
          </w:p>
        </w:tc>
      </w:tr>
      <w:tr>
        <w:trPr>
          <w:trHeight w:val="149"/>
        </w:trPr>
        <w:tc>
          <w:tcPr>
            <w:tcW w:w="6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auto"/>
              </w:rPr>
              <w:t>(In millions)</w:t>
            </w:r>
          </w:p>
        </w:tc>
        <w:tc>
          <w:tcPr>
            <w:tcW w:w="1480" w:type="dxa"/>
            <w:vAlign w:val="bottom"/>
          </w:tcPr>
          <w:p>
            <w:pPr>
              <w:spacing w:after="0"/>
              <w:rPr>
                <w:sz w:val="12"/>
                <w:szCs w:val="12"/>
                <w:color w:val="auto"/>
              </w:rPr>
            </w:pPr>
          </w:p>
        </w:tc>
      </w:tr>
      <w:tr>
        <w:trPr>
          <w:trHeight w:val="158"/>
        </w:trPr>
        <w:tc>
          <w:tcPr>
            <w:tcW w:w="6100" w:type="dxa"/>
            <w:vAlign w:val="bottom"/>
          </w:tcPr>
          <w:p>
            <w:pPr>
              <w:ind w:left="20"/>
              <w:spacing w:after="0"/>
              <w:rPr>
                <w:sz w:val="20"/>
                <w:szCs w:val="20"/>
                <w:color w:val="auto"/>
              </w:rPr>
            </w:pPr>
            <w:r>
              <w:rPr>
                <w:rFonts w:ascii="Arial" w:cs="Arial" w:eastAsia="Arial" w:hAnsi="Arial"/>
                <w:sz w:val="12"/>
                <w:szCs w:val="12"/>
                <w:color w:val="auto"/>
              </w:rPr>
              <w:t>Trade receivables</w:t>
            </w:r>
          </w:p>
        </w:tc>
        <w:tc>
          <w:tcPr>
            <w:tcW w:w="1360" w:type="dxa"/>
            <w:vAlign w:val="bottom"/>
          </w:tcPr>
          <w:p>
            <w:pPr>
              <w:jc w:val="right"/>
              <w:ind w:right="1245"/>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ind w:right="20"/>
              <w:spacing w:after="0"/>
              <w:rPr>
                <w:sz w:val="20"/>
                <w:szCs w:val="20"/>
                <w:color w:val="auto"/>
              </w:rPr>
            </w:pPr>
            <w:r>
              <w:rPr>
                <w:rFonts w:ascii="Arial" w:cs="Arial" w:eastAsia="Arial" w:hAnsi="Arial"/>
                <w:sz w:val="12"/>
                <w:szCs w:val="12"/>
                <w:color w:val="auto"/>
                <w:w w:val="99"/>
              </w:rPr>
              <w:t>524</w:t>
            </w:r>
          </w:p>
        </w:tc>
        <w:tc>
          <w:tcPr>
            <w:tcW w:w="50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404</w:t>
            </w:r>
          </w:p>
        </w:tc>
      </w:tr>
      <w:tr>
        <w:trPr>
          <w:trHeight w:val="162"/>
        </w:trPr>
        <w:tc>
          <w:tcPr>
            <w:tcW w:w="6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revenue (contract liabilities)</w:t>
            </w:r>
          </w:p>
        </w:tc>
        <w:tc>
          <w:tcPr>
            <w:tcW w:w="13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99"/>
              </w:rPr>
              <w:t>144</w:t>
            </w:r>
          </w:p>
        </w:tc>
        <w:tc>
          <w:tcPr>
            <w:tcW w:w="5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56515</wp:posOffset>
            </wp:positionV>
            <wp:extent cx="718058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360"/>
          </w:cols>
          <w:pgMar w:left="220" w:top="129" w:right="319" w:bottom="1440" w:gutter="0" w:footer="0" w:header="0"/>
        </w:sectPr>
      </w:pPr>
    </w:p>
    <w:bookmarkStart w:id="153" w:name="page154"/>
    <w:bookmarkEnd w:id="15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80" w:firstLine="270"/>
        <w:spacing w:after="0" w:line="321" w:lineRule="auto"/>
        <w:rPr>
          <w:sz w:val="20"/>
          <w:szCs w:val="20"/>
          <w:color w:val="auto"/>
        </w:rPr>
      </w:pPr>
      <w:r>
        <w:rPr>
          <w:rFonts w:ascii="Arial" w:cs="Arial" w:eastAsia="Arial" w:hAnsi="Arial"/>
          <w:sz w:val="13"/>
          <w:szCs w:val="13"/>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Consolidated Balance Sheets. During the years ended December 31, 2021 and 2020, we recognized $106 million and $103 million of revenue, respectively, which was included in deferred revenue at the beginning of the respective period.</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M — Intangibles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summary of the changes in the carrying amounts of our VOBA, DAC and DSI intangible assets are as follows (in millions):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VOBA</w:t>
            </w:r>
          </w:p>
        </w:tc>
        <w:tc>
          <w:tcPr>
            <w:tcW w:w="2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DAC</w:t>
            </w:r>
          </w:p>
        </w:tc>
        <w:tc>
          <w:tcPr>
            <w:tcW w:w="2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DSI</w:t>
            </w:r>
          </w:p>
        </w:tc>
        <w:tc>
          <w:tcPr>
            <w:tcW w:w="200" w:type="dxa"/>
            <w:vAlign w:val="bottom"/>
          </w:tcPr>
          <w:p>
            <w:pPr>
              <w:spacing w:after="0"/>
              <w:rPr>
                <w:sz w:val="14"/>
                <w:szCs w:val="14"/>
                <w:color w:val="auto"/>
              </w:rPr>
            </w:pPr>
          </w:p>
        </w:tc>
        <w:tc>
          <w:tcPr>
            <w:tcW w:w="780" w:type="dxa"/>
            <w:vAlign w:val="bottom"/>
          </w:tcPr>
          <w:p>
            <w:pPr>
              <w:jc w:val="right"/>
              <w:ind w:right="320"/>
              <w:spacing w:after="0"/>
              <w:rPr>
                <w:sz w:val="20"/>
                <w:szCs w:val="20"/>
                <w:color w:val="auto"/>
              </w:rPr>
            </w:pPr>
            <w:r>
              <w:rPr>
                <w:rFonts w:ascii="Arial" w:cs="Arial" w:eastAsia="Arial" w:hAnsi="Arial"/>
                <w:sz w:val="12"/>
                <w:szCs w:val="12"/>
                <w:b w:val="1"/>
                <w:bCs w:val="1"/>
                <w:color w:val="auto"/>
              </w:rPr>
              <w:t>Total</w:t>
            </w:r>
          </w:p>
        </w:tc>
      </w:tr>
      <w:tr>
        <w:trPr>
          <w:trHeight w:val="154"/>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January 1, 2021</w:t>
            </w: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1,724</w:t>
            </w:r>
          </w:p>
        </w:tc>
      </w:tr>
      <w:tr>
        <w:trPr>
          <w:trHeight w:val="155"/>
        </w:trPr>
        <w:tc>
          <w:tcPr>
            <w:tcW w:w="7180" w:type="dxa"/>
            <w:vAlign w:val="bottom"/>
          </w:tcPr>
          <w:p>
            <w:pPr>
              <w:ind w:left="20"/>
              <w:spacing w:after="0"/>
              <w:rPr>
                <w:sz w:val="20"/>
                <w:szCs w:val="20"/>
                <w:color w:val="auto"/>
              </w:rPr>
            </w:pPr>
            <w:r>
              <w:rPr>
                <w:rFonts w:ascii="Arial" w:cs="Arial" w:eastAsia="Arial" w:hAnsi="Arial"/>
                <w:sz w:val="12"/>
                <w:szCs w:val="12"/>
                <w:color w:val="auto"/>
              </w:rPr>
              <w:t>Purchase price allocation adjustments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60"/>
        </w:trPr>
        <w:tc>
          <w:tcPr>
            <w:tcW w:w="7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Deferrals</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r>
      <w:tr>
        <w:trPr>
          <w:trHeight w:val="155"/>
        </w:trPr>
        <w:tc>
          <w:tcPr>
            <w:tcW w:w="7180" w:type="dxa"/>
            <w:vAlign w:val="bottom"/>
          </w:tcPr>
          <w:p>
            <w:pPr>
              <w:ind w:left="20"/>
              <w:spacing w:after="0"/>
              <w:rPr>
                <w:sz w:val="20"/>
                <w:szCs w:val="20"/>
                <w:color w:val="auto"/>
              </w:rPr>
            </w:pPr>
            <w:r>
              <w:rPr>
                <w:rFonts w:ascii="Arial" w:cs="Arial" w:eastAsia="Arial" w:hAnsi="Arial"/>
                <w:sz w:val="12"/>
                <w:szCs w:val="12"/>
                <w:color w:val="auto"/>
              </w:rPr>
              <w:t>Amortization</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(517)</w:t>
            </w:r>
          </w:p>
        </w:tc>
      </w:tr>
      <w:tr>
        <w:trPr>
          <w:trHeight w:val="160"/>
        </w:trPr>
        <w:tc>
          <w:tcPr>
            <w:tcW w:w="7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r>
      <w:tr>
        <w:trPr>
          <w:trHeight w:val="155"/>
        </w:trPr>
        <w:tc>
          <w:tcPr>
            <w:tcW w:w="7180" w:type="dxa"/>
            <w:vAlign w:val="bottom"/>
          </w:tcPr>
          <w:p>
            <w:pPr>
              <w:ind w:left="20"/>
              <w:spacing w:after="0"/>
              <w:rPr>
                <w:sz w:val="20"/>
                <w:szCs w:val="20"/>
                <w:color w:val="auto"/>
              </w:rPr>
            </w:pPr>
            <w:r>
              <w:rPr>
                <w:rFonts w:ascii="Arial" w:cs="Arial" w:eastAsia="Arial" w:hAnsi="Arial"/>
                <w:sz w:val="12"/>
                <w:szCs w:val="12"/>
                <w:color w:val="auto"/>
              </w:rPr>
              <w:t>Unlocking</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58"/>
        </w:trPr>
        <w:tc>
          <w:tcPr>
            <w:tcW w:w="7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 for net unrealized investment losses (gains)</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r>
      <w:tr>
        <w:trPr>
          <w:trHeight w:val="151"/>
        </w:trPr>
        <w:tc>
          <w:tcPr>
            <w:tcW w:w="718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1,185</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761</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2,034</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3"/>
        </w:trPr>
        <w:tc>
          <w:tcPr>
            <w:tcW w:w="7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7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VOBA</w:t>
            </w:r>
          </w:p>
        </w:tc>
        <w:tc>
          <w:tcPr>
            <w:tcW w:w="2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DAC</w:t>
            </w:r>
          </w:p>
        </w:tc>
        <w:tc>
          <w:tcPr>
            <w:tcW w:w="22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DSI</w:t>
            </w:r>
          </w:p>
        </w:tc>
        <w:tc>
          <w:tcPr>
            <w:tcW w:w="200" w:type="dxa"/>
            <w:vAlign w:val="bottom"/>
          </w:tcPr>
          <w:p>
            <w:pPr>
              <w:spacing w:after="0"/>
              <w:rPr>
                <w:sz w:val="13"/>
                <w:szCs w:val="13"/>
                <w:color w:val="auto"/>
              </w:rPr>
            </w:pPr>
          </w:p>
        </w:tc>
        <w:tc>
          <w:tcPr>
            <w:tcW w:w="780" w:type="dxa"/>
            <w:vAlign w:val="bottom"/>
          </w:tcPr>
          <w:p>
            <w:pPr>
              <w:jc w:val="right"/>
              <w:ind w:right="320"/>
              <w:spacing w:after="0"/>
              <w:rPr>
                <w:sz w:val="20"/>
                <w:szCs w:val="20"/>
                <w:color w:val="auto"/>
              </w:rPr>
            </w:pPr>
            <w:r>
              <w:rPr>
                <w:rFonts w:ascii="Arial" w:cs="Arial" w:eastAsia="Arial" w:hAnsi="Arial"/>
                <w:sz w:val="12"/>
                <w:szCs w:val="12"/>
                <w:b w:val="1"/>
                <w:bCs w:val="1"/>
                <w:color w:val="auto"/>
              </w:rPr>
              <w:t>Total</w:t>
            </w:r>
          </w:p>
        </w:tc>
      </w:tr>
      <w:tr>
        <w:trPr>
          <w:trHeight w:val="14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January 1, 2020</w:t>
            </w: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180" w:type="dxa"/>
            <w:vAlign w:val="bottom"/>
          </w:tcPr>
          <w:p>
            <w:pPr>
              <w:ind w:left="20"/>
              <w:spacing w:after="0"/>
              <w:rPr>
                <w:sz w:val="20"/>
                <w:szCs w:val="20"/>
                <w:color w:val="auto"/>
              </w:rPr>
            </w:pPr>
            <w:r>
              <w:rPr>
                <w:rFonts w:ascii="Arial" w:cs="Arial" w:eastAsia="Arial" w:hAnsi="Arial"/>
                <w:sz w:val="12"/>
                <w:szCs w:val="12"/>
                <w:color w:val="auto"/>
              </w:rPr>
              <w:t>F&amp;G acquisition</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1,847</w:t>
            </w:r>
          </w:p>
        </w:tc>
      </w:tr>
      <w:tr>
        <w:trPr>
          <w:trHeight w:val="160"/>
        </w:trPr>
        <w:tc>
          <w:tcPr>
            <w:tcW w:w="7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Deferrals</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w:t>
            </w:r>
          </w:p>
        </w:tc>
      </w:tr>
      <w:tr>
        <w:trPr>
          <w:trHeight w:val="155"/>
        </w:trPr>
        <w:tc>
          <w:tcPr>
            <w:tcW w:w="7180" w:type="dxa"/>
            <w:vAlign w:val="bottom"/>
          </w:tcPr>
          <w:p>
            <w:pPr>
              <w:ind w:left="20"/>
              <w:spacing w:after="0"/>
              <w:rPr>
                <w:sz w:val="20"/>
                <w:szCs w:val="20"/>
                <w:color w:val="auto"/>
              </w:rPr>
            </w:pPr>
            <w:r>
              <w:rPr>
                <w:rFonts w:ascii="Arial" w:cs="Arial" w:eastAsia="Arial" w:hAnsi="Arial"/>
                <w:sz w:val="12"/>
                <w:szCs w:val="12"/>
                <w:color w:val="auto"/>
              </w:rPr>
              <w:t>Amortization</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ind w:left="52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(131)</w:t>
            </w:r>
          </w:p>
        </w:tc>
      </w:tr>
      <w:tr>
        <w:trPr>
          <w:trHeight w:val="160"/>
        </w:trPr>
        <w:tc>
          <w:tcPr>
            <w:tcW w:w="7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55"/>
        </w:trPr>
        <w:tc>
          <w:tcPr>
            <w:tcW w:w="7180" w:type="dxa"/>
            <w:vAlign w:val="bottom"/>
          </w:tcPr>
          <w:p>
            <w:pPr>
              <w:ind w:left="20"/>
              <w:spacing w:after="0"/>
              <w:rPr>
                <w:sz w:val="20"/>
                <w:szCs w:val="20"/>
                <w:color w:val="auto"/>
              </w:rPr>
            </w:pPr>
            <w:r>
              <w:rPr>
                <w:rFonts w:ascii="Arial" w:cs="Arial" w:eastAsia="Arial" w:hAnsi="Arial"/>
                <w:sz w:val="12"/>
                <w:szCs w:val="12"/>
                <w:color w:val="auto"/>
              </w:rPr>
              <w:t>Unlocking</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58"/>
        </w:trPr>
        <w:tc>
          <w:tcPr>
            <w:tcW w:w="7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 for net unrealized investment gains</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(313)</w:t>
            </w:r>
          </w:p>
        </w:tc>
      </w:tr>
      <w:tr>
        <w:trPr>
          <w:trHeight w:val="151"/>
        </w:trPr>
        <w:tc>
          <w:tcPr>
            <w:tcW w:w="718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1,466</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1,724</w:t>
            </w: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right="80" w:firstLine="338"/>
        <w:spacing w:after="0" w:line="277" w:lineRule="auto"/>
        <w:rPr>
          <w:sz w:val="20"/>
          <w:szCs w:val="20"/>
          <w:color w:val="auto"/>
        </w:rPr>
      </w:pPr>
      <w:r>
        <w:rPr>
          <w:rFonts w:ascii="Arial" w:cs="Arial" w:eastAsia="Arial" w:hAnsi="Arial"/>
          <w:sz w:val="14"/>
          <w:szCs w:val="14"/>
          <w:color w:val="auto"/>
        </w:rPr>
        <w:t>Amortization of VOBA, DAC, and DSI is based on the current and future expected gross margins or profits recognized, including investment gains and losses. The interest accrual rate utilized to calculate the accretion of interest on VOBA ranged from 0% to 4.71%. The adjustment for unrealized net investment losses (gains) represents the amount of VOBA, DAC, and DSI that would have been amortized if such unrealized gains and losses had been recognized. This is referred to as the “shadow adjustments” as the additional amortization is reflected in AOCI rather than the Consolidated Statements of Earnings. As of December 31, 2021 and 2020, the VOBA balances included cumulative adjustments for net unrealized investment gains of $232 million and $283 million respectively, the DAC balances included cumulative adjustments for net unrealized investment gains of $39 million and $25 million, respectively, and the DSI balance included net unrealized investment gains of $7 million and $5 million, respectively.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the in-force liabilities as of December 31, 2021, the estimated amortization expense for VOBA in future fiscal periods is as follows (in millions):</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946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Estimated Amortizatio</w:t>
            </w:r>
          </w:p>
        </w:tc>
      </w:tr>
      <w:tr>
        <w:trPr>
          <w:trHeight w:val="157"/>
        </w:trPr>
        <w:tc>
          <w:tcPr>
            <w:tcW w:w="9460" w:type="dxa"/>
            <w:vAlign w:val="bottom"/>
          </w:tcPr>
          <w:p>
            <w:pPr>
              <w:spacing w:after="0"/>
              <w:rPr>
                <w:sz w:val="13"/>
                <w:szCs w:val="13"/>
                <w:color w:val="auto"/>
              </w:rPr>
            </w:pPr>
          </w:p>
        </w:tc>
        <w:tc>
          <w:tcPr>
            <w:tcW w:w="1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Expense</w:t>
            </w:r>
          </w:p>
        </w:tc>
      </w:tr>
      <w:tr>
        <w:trPr>
          <w:trHeight w:val="136"/>
        </w:trPr>
        <w:tc>
          <w:tcPr>
            <w:tcW w:w="9460" w:type="dxa"/>
            <w:vAlign w:val="bottom"/>
          </w:tcPr>
          <w:p>
            <w:pPr>
              <w:ind w:left="360"/>
              <w:spacing w:after="0" w:line="133" w:lineRule="exact"/>
              <w:rPr>
                <w:sz w:val="20"/>
                <w:szCs w:val="20"/>
                <w:color w:val="auto"/>
              </w:rPr>
            </w:pPr>
            <w:r>
              <w:rPr>
                <w:rFonts w:ascii="Arial" w:cs="Arial" w:eastAsia="Arial" w:hAnsi="Arial"/>
                <w:sz w:val="12"/>
                <w:szCs w:val="12"/>
                <w:color w:val="auto"/>
              </w:rPr>
              <w:t>Fiscal Year</w:t>
            </w:r>
          </w:p>
        </w:tc>
        <w:tc>
          <w:tcPr>
            <w:tcW w:w="1560" w:type="dxa"/>
            <w:vAlign w:val="bottom"/>
          </w:tcPr>
          <w:p>
            <w:pPr>
              <w:spacing w:after="0"/>
              <w:rPr>
                <w:sz w:val="11"/>
                <w:szCs w:val="11"/>
                <w:color w:val="auto"/>
              </w:rPr>
            </w:pPr>
          </w:p>
        </w:tc>
      </w:tr>
      <w:tr>
        <w:trPr>
          <w:trHeight w:val="160"/>
        </w:trPr>
        <w:tc>
          <w:tcPr>
            <w:tcW w:w="94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2022</w:t>
            </w:r>
          </w:p>
        </w:tc>
        <w:tc>
          <w:tcPr>
            <w:tcW w:w="156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rPr>
              <w:t>$</w:t>
            </w:r>
          </w:p>
        </w:tc>
      </w:tr>
      <w:tr>
        <w:trPr>
          <w:trHeight w:val="155"/>
        </w:trPr>
        <w:tc>
          <w:tcPr>
            <w:tcW w:w="9460" w:type="dxa"/>
            <w:vAlign w:val="bottom"/>
          </w:tcPr>
          <w:p>
            <w:pPr>
              <w:ind w:left="360"/>
              <w:spacing w:after="0"/>
              <w:rPr>
                <w:sz w:val="20"/>
                <w:szCs w:val="20"/>
                <w:color w:val="auto"/>
              </w:rPr>
            </w:pPr>
            <w:r>
              <w:rPr>
                <w:rFonts w:ascii="Arial" w:cs="Arial" w:eastAsia="Arial" w:hAnsi="Arial"/>
                <w:sz w:val="12"/>
                <w:szCs w:val="12"/>
                <w:color w:val="auto"/>
              </w:rPr>
              <w:t>2023</w:t>
            </w:r>
          </w:p>
        </w:tc>
        <w:tc>
          <w:tcPr>
            <w:tcW w:w="15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60"/>
        </w:trPr>
        <w:tc>
          <w:tcPr>
            <w:tcW w:w="94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2024</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5"/>
        </w:trPr>
        <w:tc>
          <w:tcPr>
            <w:tcW w:w="9460" w:type="dxa"/>
            <w:vAlign w:val="bottom"/>
          </w:tcPr>
          <w:p>
            <w:pPr>
              <w:ind w:left="360"/>
              <w:spacing w:after="0"/>
              <w:rPr>
                <w:sz w:val="20"/>
                <w:szCs w:val="20"/>
                <w:color w:val="auto"/>
              </w:rPr>
            </w:pPr>
            <w:r>
              <w:rPr>
                <w:rFonts w:ascii="Arial" w:cs="Arial" w:eastAsia="Arial" w:hAnsi="Arial"/>
                <w:sz w:val="12"/>
                <w:szCs w:val="12"/>
                <w:color w:val="auto"/>
              </w:rPr>
              <w:t>2025</w:t>
            </w:r>
          </w:p>
        </w:tc>
        <w:tc>
          <w:tcPr>
            <w:tcW w:w="15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60"/>
        </w:trPr>
        <w:tc>
          <w:tcPr>
            <w:tcW w:w="94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2026</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9460" w:type="dxa"/>
            <w:vAlign w:val="bottom"/>
          </w:tcPr>
          <w:p>
            <w:pPr>
              <w:ind w:left="360"/>
              <w:spacing w:after="0"/>
              <w:rPr>
                <w:sz w:val="20"/>
                <w:szCs w:val="20"/>
                <w:color w:val="auto"/>
              </w:rPr>
            </w:pPr>
            <w:r>
              <w:rPr>
                <w:rFonts w:ascii="Arial" w:cs="Arial" w:eastAsia="Arial" w:hAnsi="Arial"/>
                <w:sz w:val="12"/>
                <w:szCs w:val="12"/>
                <w:color w:val="auto"/>
              </w:rPr>
              <w:t>Thereafter</w:t>
            </w:r>
          </w:p>
        </w:tc>
        <w:tc>
          <w:tcPr>
            <w:tcW w:w="1560" w:type="dxa"/>
            <w:vAlign w:val="bottom"/>
          </w:tcPr>
          <w:p>
            <w:pPr>
              <w:jc w:val="right"/>
              <w:spacing w:after="0"/>
              <w:rPr>
                <w:sz w:val="20"/>
                <w:szCs w:val="20"/>
                <w:color w:val="auto"/>
              </w:rPr>
            </w:pPr>
            <w:r>
              <w:rPr>
                <w:rFonts w:ascii="Arial" w:cs="Arial" w:eastAsia="Arial" w:hAnsi="Arial"/>
                <w:sz w:val="12"/>
                <w:szCs w:val="12"/>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154" w:name="page155"/>
    <w:bookmarkEnd w:id="15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Definite and Indefinite Lived Other Intangible Assets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Other intangible assets as of December 31, 2021 consist of the following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rPr>
              <w:t>Cost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9"/>
              </w:rPr>
              <w:t>Accumulated amortization</w:t>
            </w:r>
          </w:p>
        </w:tc>
        <w:tc>
          <w:tcPr>
            <w:tcW w:w="140" w:type="dxa"/>
            <w:vAlign w:val="bottom"/>
          </w:tcPr>
          <w:p>
            <w:pPr>
              <w:spacing w:after="0"/>
              <w:rPr>
                <w:sz w:val="12"/>
                <w:szCs w:val="12"/>
                <w:color w:val="auto"/>
              </w:rPr>
            </w:pPr>
          </w:p>
        </w:tc>
        <w:tc>
          <w:tcPr>
            <w:tcW w:w="132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w w:val="94"/>
              </w:rPr>
              <w:t>Net carrying amount</w:t>
            </w:r>
          </w:p>
        </w:tc>
        <w:tc>
          <w:tcPr>
            <w:tcW w:w="10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88"/>
              </w:rPr>
              <w:t>Weighted average useful life</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91"/>
              </w:rPr>
              <w:t>(years)</w:t>
            </w:r>
          </w:p>
        </w:tc>
        <w:tc>
          <w:tcPr>
            <w:tcW w:w="0" w:type="dxa"/>
            <w:vAlign w:val="bottom"/>
          </w:tcPr>
          <w:p>
            <w:pPr>
              <w:spacing w:after="0"/>
              <w:rPr>
                <w:sz w:val="1"/>
                <w:szCs w:val="1"/>
                <w:color w:val="auto"/>
              </w:rPr>
            </w:pPr>
          </w:p>
        </w:tc>
      </w:tr>
      <w:tr>
        <w:trPr>
          <w:trHeight w:val="147"/>
        </w:trPr>
        <w:tc>
          <w:tcPr>
            <w:tcW w:w="5000" w:type="dxa"/>
            <w:vAlign w:val="bottom"/>
          </w:tcPr>
          <w:p>
            <w:pPr>
              <w:spacing w:after="0"/>
              <w:rPr>
                <w:sz w:val="20"/>
                <w:szCs w:val="20"/>
                <w:color w:val="auto"/>
              </w:rPr>
            </w:pPr>
            <w:r>
              <w:rPr>
                <w:rFonts w:ascii="Arial" w:cs="Arial" w:eastAsia="Arial" w:hAnsi="Arial"/>
                <w:sz w:val="12"/>
                <w:szCs w:val="12"/>
                <w:color w:val="auto"/>
              </w:rPr>
              <w:t>Customer relationships and contracts</w:t>
            </w:r>
          </w:p>
        </w:tc>
        <w:tc>
          <w:tcPr>
            <w:tcW w:w="1040" w:type="dxa"/>
            <w:vAlign w:val="bottom"/>
            <w:tcBorders>
              <w:top w:val="single" w:sz="8" w:color="auto"/>
            </w:tcBorders>
          </w:tcPr>
          <w:p>
            <w:pPr>
              <w:jc w:val="right"/>
              <w:ind w:right="900"/>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803</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ind w:right="485"/>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(651)</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152</w:t>
            </w:r>
          </w:p>
        </w:tc>
        <w:tc>
          <w:tcPr>
            <w:tcW w:w="100" w:type="dxa"/>
            <w:vAlign w:val="bottom"/>
          </w:tcPr>
          <w:p>
            <w:pPr>
              <w:spacing w:after="0"/>
              <w:rPr>
                <w:sz w:val="12"/>
                <w:szCs w:val="12"/>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10</w:t>
            </w:r>
          </w:p>
        </w:tc>
        <w:tc>
          <w:tcPr>
            <w:tcW w:w="0" w:type="dxa"/>
            <w:vAlign w:val="bottom"/>
          </w:tcPr>
          <w:p>
            <w:pPr>
              <w:spacing w:after="0"/>
              <w:rPr>
                <w:sz w:val="1"/>
                <w:szCs w:val="1"/>
                <w:color w:val="auto"/>
              </w:rPr>
            </w:pPr>
          </w:p>
        </w:tc>
      </w:tr>
      <w:tr>
        <w:trPr>
          <w:trHeight w:val="160"/>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Computer software</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488</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 to 10</w:t>
            </w:r>
          </w:p>
        </w:tc>
        <w:tc>
          <w:tcPr>
            <w:tcW w:w="0" w:type="dxa"/>
            <w:vAlign w:val="bottom"/>
          </w:tcPr>
          <w:p>
            <w:pPr>
              <w:spacing w:after="0"/>
              <w:rPr>
                <w:sz w:val="1"/>
                <w:szCs w:val="1"/>
                <w:color w:val="auto"/>
              </w:rPr>
            </w:pPr>
          </w:p>
        </w:tc>
      </w:tr>
      <w:tr>
        <w:trPr>
          <w:trHeight w:val="155"/>
        </w:trPr>
        <w:tc>
          <w:tcPr>
            <w:tcW w:w="5000" w:type="dxa"/>
            <w:vAlign w:val="bottom"/>
          </w:tcPr>
          <w:p>
            <w:pPr>
              <w:spacing w:after="0"/>
              <w:rPr>
                <w:sz w:val="20"/>
                <w:szCs w:val="20"/>
                <w:color w:val="auto"/>
              </w:rPr>
            </w:pPr>
            <w:r>
              <w:rPr>
                <w:rFonts w:ascii="Arial" w:cs="Arial" w:eastAsia="Arial" w:hAnsi="Arial"/>
                <w:sz w:val="12"/>
                <w:szCs w:val="12"/>
                <w:color w:val="auto"/>
              </w:rPr>
              <w:t>Value of distribution asset (VODA)</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115</w:t>
            </w:r>
          </w:p>
        </w:tc>
        <w:tc>
          <w:tcPr>
            <w:tcW w:w="1620" w:type="dxa"/>
            <w:vAlign w:val="bottom"/>
            <w:gridSpan w:val="2"/>
          </w:tcPr>
          <w:p>
            <w:pPr>
              <w:jc w:val="center"/>
              <w:ind w:left="40"/>
              <w:spacing w:after="0"/>
              <w:rPr>
                <w:sz w:val="20"/>
                <w:szCs w:val="20"/>
                <w:color w:val="auto"/>
              </w:rPr>
            </w:pPr>
            <w:r>
              <w:rPr>
                <w:rFonts w:ascii="Arial" w:cs="Arial" w:eastAsia="Arial" w:hAnsi="Arial"/>
                <w:sz w:val="12"/>
                <w:szCs w:val="12"/>
                <w:color w:val="auto"/>
                <w:w w:val="89"/>
              </w:rPr>
              <w:t>15</w:t>
            </w:r>
          </w:p>
        </w:tc>
        <w:tc>
          <w:tcPr>
            <w:tcW w:w="0" w:type="dxa"/>
            <w:vAlign w:val="bottom"/>
          </w:tcPr>
          <w:p>
            <w:pPr>
              <w:spacing w:after="0"/>
              <w:rPr>
                <w:sz w:val="1"/>
                <w:szCs w:val="1"/>
                <w:color w:val="auto"/>
              </w:rPr>
            </w:pPr>
          </w:p>
        </w:tc>
      </w:tr>
      <w:tr>
        <w:trPr>
          <w:trHeight w:val="160"/>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Definite lived trademarks, tradenames, and other</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62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10</w:t>
            </w:r>
          </w:p>
        </w:tc>
        <w:tc>
          <w:tcPr>
            <w:tcW w:w="0" w:type="dxa"/>
            <w:vAlign w:val="bottom"/>
          </w:tcPr>
          <w:p>
            <w:pPr>
              <w:spacing w:after="0"/>
              <w:rPr>
                <w:sz w:val="1"/>
                <w:szCs w:val="1"/>
                <w:color w:val="auto"/>
              </w:rPr>
            </w:pPr>
          </w:p>
        </w:tc>
      </w:tr>
      <w:tr>
        <w:trPr>
          <w:trHeight w:val="155"/>
        </w:trPr>
        <w:tc>
          <w:tcPr>
            <w:tcW w:w="5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Indefinite lived tradenames and other</w:t>
            </w:r>
          </w:p>
        </w:tc>
        <w:tc>
          <w:tcPr>
            <w:tcW w:w="10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59</w:t>
            </w:r>
          </w:p>
        </w:tc>
        <w:tc>
          <w:tcPr>
            <w:tcW w:w="12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gridSpan w:val="2"/>
          </w:tcPr>
          <w:p>
            <w:pPr>
              <w:ind w:left="620"/>
              <w:spacing w:after="0"/>
              <w:rPr>
                <w:sz w:val="20"/>
                <w:szCs w:val="20"/>
                <w:color w:val="auto"/>
              </w:rPr>
            </w:pPr>
            <w:r>
              <w:rPr>
                <w:rFonts w:ascii="Arial" w:cs="Arial" w:eastAsia="Arial" w:hAnsi="Arial"/>
                <w:sz w:val="12"/>
                <w:szCs w:val="12"/>
                <w:color w:val="auto"/>
              </w:rPr>
              <w:t>N/A</w:t>
            </w: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8"/>
              </w:rPr>
              <w:t>Indefinite</w:t>
            </w:r>
          </w:p>
        </w:tc>
        <w:tc>
          <w:tcPr>
            <w:tcW w:w="0" w:type="dxa"/>
            <w:vAlign w:val="bottom"/>
          </w:tcPr>
          <w:p>
            <w:pPr>
              <w:spacing w:after="0"/>
              <w:rPr>
                <w:sz w:val="1"/>
                <w:szCs w:val="1"/>
                <w:color w:val="auto"/>
              </w:rPr>
            </w:pPr>
          </w:p>
        </w:tc>
      </w:tr>
      <w:tr>
        <w:trPr>
          <w:trHeight w:val="199"/>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0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Other intangible assets as of December 31, 2020 consist of the following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128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auto"/>
              </w:rPr>
              <w:t>Cost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b w:val="1"/>
                <w:bCs w:val="1"/>
                <w:color w:val="auto"/>
              </w:rPr>
              <w:t>Accumulated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vMerge w:val="restart"/>
          </w:tcPr>
          <w:p>
            <w:pPr>
              <w:jc w:val="right"/>
              <w:ind w:right="80"/>
              <w:spacing w:after="0"/>
              <w:rPr>
                <w:sz w:val="20"/>
                <w:szCs w:val="20"/>
                <w:color w:val="auto"/>
              </w:rPr>
            </w:pPr>
            <w:r>
              <w:rPr>
                <w:rFonts w:ascii="Arial" w:cs="Arial" w:eastAsia="Arial" w:hAnsi="Arial"/>
                <w:sz w:val="12"/>
                <w:szCs w:val="12"/>
                <w:b w:val="1"/>
                <w:bCs w:val="1"/>
                <w:color w:val="auto"/>
                <w:w w:val="92"/>
              </w:rPr>
              <w:t>Net carrying amount</w:t>
            </w:r>
          </w:p>
        </w:tc>
        <w:tc>
          <w:tcPr>
            <w:tcW w:w="100" w:type="dxa"/>
            <w:vAlign w:val="bottom"/>
          </w:tcPr>
          <w:p>
            <w:pPr>
              <w:spacing w:after="0"/>
              <w:rPr>
                <w:sz w:val="12"/>
                <w:szCs w:val="12"/>
                <w:color w:val="auto"/>
              </w:rPr>
            </w:pPr>
          </w:p>
        </w:tc>
        <w:tc>
          <w:tcPr>
            <w:tcW w:w="1440" w:type="dxa"/>
            <w:vAlign w:val="bottom"/>
          </w:tcPr>
          <w:p>
            <w:pPr>
              <w:jc w:val="center"/>
              <w:ind w:left="280"/>
              <w:spacing w:after="0"/>
              <w:rPr>
                <w:sz w:val="20"/>
                <w:szCs w:val="20"/>
                <w:color w:val="auto"/>
              </w:rPr>
            </w:pPr>
            <w:r>
              <w:rPr>
                <w:rFonts w:ascii="Arial" w:cs="Arial" w:eastAsia="Arial" w:hAnsi="Arial"/>
                <w:sz w:val="12"/>
                <w:szCs w:val="12"/>
                <w:b w:val="1"/>
                <w:bCs w:val="1"/>
                <w:color w:val="auto"/>
                <w:w w:val="87"/>
              </w:rPr>
              <w:t>Weighted average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amortization</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useful life (years)</w:t>
            </w:r>
          </w:p>
        </w:tc>
        <w:tc>
          <w:tcPr>
            <w:tcW w:w="0" w:type="dxa"/>
            <w:vAlign w:val="bottom"/>
          </w:tcPr>
          <w:p>
            <w:pPr>
              <w:spacing w:after="0"/>
              <w:rPr>
                <w:sz w:val="1"/>
                <w:szCs w:val="1"/>
                <w:color w:val="auto"/>
              </w:rPr>
            </w:pPr>
          </w:p>
        </w:tc>
      </w:tr>
      <w:tr>
        <w:trPr>
          <w:trHeight w:val="147"/>
        </w:trPr>
        <w:tc>
          <w:tcPr>
            <w:tcW w:w="4400" w:type="dxa"/>
            <w:vAlign w:val="bottom"/>
          </w:tcPr>
          <w:p>
            <w:pPr>
              <w:ind w:left="340"/>
              <w:spacing w:after="0"/>
              <w:rPr>
                <w:sz w:val="20"/>
                <w:szCs w:val="20"/>
                <w:color w:val="auto"/>
              </w:rPr>
            </w:pPr>
            <w:r>
              <w:rPr>
                <w:rFonts w:ascii="Arial" w:cs="Arial" w:eastAsia="Arial" w:hAnsi="Arial"/>
                <w:sz w:val="12"/>
                <w:szCs w:val="12"/>
                <w:color w:val="auto"/>
              </w:rPr>
              <w:t>Customer relationships and contracts</w:t>
            </w:r>
          </w:p>
        </w:tc>
        <w:tc>
          <w:tcPr>
            <w:tcW w:w="1280" w:type="dxa"/>
            <w:vAlign w:val="bottom"/>
          </w:tcPr>
          <w:p>
            <w:pPr>
              <w:jc w:val="right"/>
              <w:ind w:right="8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783</w:t>
            </w:r>
          </w:p>
        </w:tc>
        <w:tc>
          <w:tcPr>
            <w:tcW w:w="100" w:type="dxa"/>
            <w:vAlign w:val="bottom"/>
          </w:tcPr>
          <w:p>
            <w:pPr>
              <w:spacing w:after="0"/>
              <w:rPr>
                <w:sz w:val="12"/>
                <w:szCs w:val="12"/>
                <w:color w:val="auto"/>
              </w:rPr>
            </w:pPr>
          </w:p>
        </w:tc>
        <w:tc>
          <w:tcPr>
            <w:tcW w:w="1400" w:type="dxa"/>
            <w:vAlign w:val="bottom"/>
          </w:tcPr>
          <w:p>
            <w:pPr>
              <w:jc w:val="right"/>
              <w:ind w:right="94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2"/>
              </w:rPr>
              <w:t>(596)</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187</w:t>
            </w:r>
          </w:p>
        </w:tc>
        <w:tc>
          <w:tcPr>
            <w:tcW w:w="100" w:type="dxa"/>
            <w:vAlign w:val="bottom"/>
          </w:tcPr>
          <w:p>
            <w:pPr>
              <w:spacing w:after="0"/>
              <w:rPr>
                <w:sz w:val="12"/>
                <w:szCs w:val="12"/>
                <w:color w:val="auto"/>
              </w:rPr>
            </w:pPr>
          </w:p>
        </w:tc>
        <w:tc>
          <w:tcPr>
            <w:tcW w:w="1440" w:type="dxa"/>
            <w:vAlign w:val="bottom"/>
          </w:tcPr>
          <w:p>
            <w:pPr>
              <w:jc w:val="center"/>
              <w:ind w:left="260"/>
              <w:spacing w:after="0"/>
              <w:rPr>
                <w:sz w:val="20"/>
                <w:szCs w:val="20"/>
                <w:color w:val="auto"/>
              </w:rPr>
            </w:pPr>
            <w:r>
              <w:rPr>
                <w:rFonts w:ascii="Arial" w:cs="Arial" w:eastAsia="Arial" w:hAnsi="Arial"/>
                <w:sz w:val="12"/>
                <w:szCs w:val="12"/>
                <w:color w:val="auto"/>
                <w:w w:val="89"/>
              </w:rPr>
              <w:t>10</w:t>
            </w:r>
          </w:p>
        </w:tc>
        <w:tc>
          <w:tcPr>
            <w:tcW w:w="0" w:type="dxa"/>
            <w:vAlign w:val="bottom"/>
          </w:tcPr>
          <w:p>
            <w:pPr>
              <w:spacing w:after="0"/>
              <w:rPr>
                <w:sz w:val="1"/>
                <w:szCs w:val="1"/>
                <w:color w:val="auto"/>
              </w:rPr>
            </w:pPr>
          </w:p>
        </w:tc>
      </w:tr>
      <w:tr>
        <w:trPr>
          <w:trHeight w:val="160"/>
        </w:trPr>
        <w:tc>
          <w:tcPr>
            <w:tcW w:w="44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Computer software</w:t>
            </w: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(262)</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92"/>
              </w:rPr>
              <w:t>2 to 10</w:t>
            </w:r>
          </w:p>
        </w:tc>
        <w:tc>
          <w:tcPr>
            <w:tcW w:w="0" w:type="dxa"/>
            <w:vAlign w:val="bottom"/>
          </w:tcPr>
          <w:p>
            <w:pPr>
              <w:spacing w:after="0"/>
              <w:rPr>
                <w:sz w:val="1"/>
                <w:szCs w:val="1"/>
                <w:color w:val="auto"/>
              </w:rPr>
            </w:pPr>
          </w:p>
        </w:tc>
      </w:tr>
      <w:tr>
        <w:trPr>
          <w:trHeight w:val="155"/>
        </w:trPr>
        <w:tc>
          <w:tcPr>
            <w:tcW w:w="4400" w:type="dxa"/>
            <w:vAlign w:val="bottom"/>
          </w:tcPr>
          <w:p>
            <w:pPr>
              <w:ind w:left="340"/>
              <w:spacing w:after="0"/>
              <w:rPr>
                <w:sz w:val="20"/>
                <w:szCs w:val="20"/>
                <w:color w:val="auto"/>
              </w:rPr>
            </w:pPr>
            <w:r>
              <w:rPr>
                <w:rFonts w:ascii="Arial" w:cs="Arial" w:eastAsia="Arial" w:hAnsi="Arial"/>
                <w:sz w:val="12"/>
                <w:szCs w:val="12"/>
                <w:color w:val="auto"/>
              </w:rPr>
              <w:t>Value of distribution Asset (VODA)</w:t>
            </w:r>
          </w:p>
        </w:tc>
        <w:tc>
          <w:tcPr>
            <w:tcW w:w="1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130</w:t>
            </w:r>
          </w:p>
        </w:tc>
        <w:tc>
          <w:tcPr>
            <w:tcW w:w="1540" w:type="dxa"/>
            <w:vAlign w:val="bottom"/>
            <w:gridSpan w:val="2"/>
          </w:tcPr>
          <w:p>
            <w:pPr>
              <w:jc w:val="center"/>
              <w:ind w:left="360"/>
              <w:spacing w:after="0"/>
              <w:rPr>
                <w:sz w:val="20"/>
                <w:szCs w:val="20"/>
                <w:color w:val="auto"/>
              </w:rPr>
            </w:pPr>
            <w:r>
              <w:rPr>
                <w:rFonts w:ascii="Arial" w:cs="Arial" w:eastAsia="Arial" w:hAnsi="Arial"/>
                <w:sz w:val="12"/>
                <w:szCs w:val="12"/>
                <w:color w:val="auto"/>
                <w:w w:val="89"/>
              </w:rPr>
              <w:t>15</w:t>
            </w:r>
          </w:p>
        </w:tc>
        <w:tc>
          <w:tcPr>
            <w:tcW w:w="0" w:type="dxa"/>
            <w:vAlign w:val="bottom"/>
          </w:tcPr>
          <w:p>
            <w:pPr>
              <w:spacing w:after="0"/>
              <w:rPr>
                <w:sz w:val="1"/>
                <w:szCs w:val="1"/>
                <w:color w:val="auto"/>
              </w:rPr>
            </w:pPr>
          </w:p>
        </w:tc>
      </w:tr>
      <w:tr>
        <w:trPr>
          <w:trHeight w:val="160"/>
        </w:trPr>
        <w:tc>
          <w:tcPr>
            <w:tcW w:w="44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Definite lived trademarks, tradenames, and other</w:t>
            </w: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540" w:type="dxa"/>
            <w:vAlign w:val="bottom"/>
            <w:gridSpan w:val="2"/>
            <w:shd w:val="clear" w:color="auto" w:fill="CCEEFF"/>
          </w:tcPr>
          <w:p>
            <w:pPr>
              <w:jc w:val="center"/>
              <w:ind w:left="360"/>
              <w:spacing w:after="0"/>
              <w:rPr>
                <w:sz w:val="20"/>
                <w:szCs w:val="20"/>
                <w:color w:val="auto"/>
              </w:rPr>
            </w:pPr>
            <w:r>
              <w:rPr>
                <w:rFonts w:ascii="Arial" w:cs="Arial" w:eastAsia="Arial" w:hAnsi="Arial"/>
                <w:sz w:val="12"/>
                <w:szCs w:val="12"/>
                <w:color w:val="auto"/>
                <w:w w:val="89"/>
              </w:rPr>
              <w:t>10</w:t>
            </w:r>
          </w:p>
        </w:tc>
        <w:tc>
          <w:tcPr>
            <w:tcW w:w="0" w:type="dxa"/>
            <w:vAlign w:val="bottom"/>
          </w:tcPr>
          <w:p>
            <w:pPr>
              <w:spacing w:after="0"/>
              <w:rPr>
                <w:sz w:val="1"/>
                <w:szCs w:val="1"/>
                <w:color w:val="auto"/>
              </w:rPr>
            </w:pPr>
          </w:p>
        </w:tc>
      </w:tr>
      <w:tr>
        <w:trPr>
          <w:trHeight w:val="155"/>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Indefinite lived tradenames and other</w:t>
            </w:r>
          </w:p>
        </w:tc>
        <w:tc>
          <w:tcPr>
            <w:tcW w:w="12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35</w:t>
            </w:r>
          </w:p>
        </w:tc>
        <w:tc>
          <w:tcPr>
            <w:tcW w:w="10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N/A</w:t>
            </w: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center"/>
              <w:ind w:left="280"/>
              <w:spacing w:after="0"/>
              <w:rPr>
                <w:sz w:val="20"/>
                <w:szCs w:val="20"/>
                <w:color w:val="auto"/>
              </w:rPr>
            </w:pPr>
            <w:r>
              <w:rPr>
                <w:rFonts w:ascii="Arial" w:cs="Arial" w:eastAsia="Arial" w:hAnsi="Arial"/>
                <w:sz w:val="12"/>
                <w:szCs w:val="12"/>
                <w:color w:val="auto"/>
                <w:w w:val="94"/>
              </w:rPr>
              <w:t>Indefinite</w:t>
            </w:r>
          </w:p>
        </w:tc>
        <w:tc>
          <w:tcPr>
            <w:tcW w:w="0" w:type="dxa"/>
            <w:vAlign w:val="bottom"/>
          </w:tcPr>
          <w:p>
            <w:pPr>
              <w:spacing w:after="0"/>
              <w:rPr>
                <w:sz w:val="1"/>
                <w:szCs w:val="1"/>
                <w:color w:val="auto"/>
              </w:rPr>
            </w:pPr>
          </w:p>
        </w:tc>
      </w:tr>
      <w:tr>
        <w:trPr>
          <w:trHeight w:val="176"/>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Total</w:t>
            </w:r>
          </w:p>
        </w:tc>
        <w:tc>
          <w:tcPr>
            <w:tcW w:w="12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540</w:t>
            </w:r>
          </w:p>
        </w:tc>
        <w:tc>
          <w:tcPr>
            <w:tcW w:w="10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Amortization expense for amortizable intangible assets, which consist primarily of VODA, customer relationships and computer software, was $135 million, $138 million, and $131 million for the years ended December 31, 2021, 2020 and 2019, respectively. Estimated amortization expense for the next five years for assets owned at December 31, 2021, is $116 million in 2022, $93 million in 2023, $61 million in 2024, $44 million in 2025 and $34 million in 2026.</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N — Goodwill</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 summary of the changes in Goodwill consists of the following:</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9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Title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F&amp;G</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Corporate and</w:t>
            </w:r>
          </w:p>
        </w:tc>
        <w:tc>
          <w:tcPr>
            <w:tcW w:w="200" w:type="dxa"/>
            <w:vAlign w:val="bottom"/>
          </w:tcPr>
          <w:p>
            <w:pPr>
              <w:spacing w:after="0"/>
              <w:rPr>
                <w:sz w:val="12"/>
                <w:szCs w:val="12"/>
                <w:color w:val="auto"/>
              </w:rPr>
            </w:pPr>
          </w:p>
        </w:tc>
        <w:tc>
          <w:tcPr>
            <w:tcW w:w="780" w:type="dxa"/>
            <w:vAlign w:val="bottom"/>
            <w:vMerge w:val="restart"/>
          </w:tcPr>
          <w:p>
            <w:pPr>
              <w:jc w:val="right"/>
              <w:ind w:right="3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3"/>
              </w:rPr>
              <w:t>Other</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5"/>
          </w:tcPr>
          <w:p>
            <w:pPr>
              <w:ind w:left="80"/>
              <w:spacing w:after="0"/>
              <w:rPr>
                <w:sz w:val="20"/>
                <w:szCs w:val="20"/>
                <w:color w:val="auto"/>
              </w:rPr>
            </w:pPr>
            <w:r>
              <w:rPr>
                <w:rFonts w:ascii="Arial" w:cs="Arial" w:eastAsia="Arial" w:hAnsi="Arial"/>
                <w:sz w:val="12"/>
                <w:szCs w:val="12"/>
                <w:b w:val="1"/>
                <w:bCs w:val="1"/>
                <w:color w:val="auto"/>
              </w:rPr>
              <w:t>(In millions)</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2019</w:t>
            </w: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2,462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07"/>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2,727</w:t>
            </w:r>
          </w:p>
        </w:tc>
        <w:tc>
          <w:tcPr>
            <w:tcW w:w="0" w:type="dxa"/>
            <w:vAlign w:val="bottom"/>
          </w:tcPr>
          <w:p>
            <w:pPr>
              <w:spacing w:after="0"/>
              <w:rPr>
                <w:sz w:val="1"/>
                <w:szCs w:val="1"/>
                <w:color w:val="auto"/>
              </w:rPr>
            </w:pPr>
          </w:p>
        </w:tc>
      </w:tr>
      <w:tr>
        <w:trPr>
          <w:trHeight w:val="15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Goodwill associated with acquisitions</w:t>
            </w: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1,751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1,768</w:t>
            </w:r>
          </w:p>
        </w:tc>
        <w:tc>
          <w:tcPr>
            <w:tcW w:w="0" w:type="dxa"/>
            <w:vAlign w:val="bottom"/>
          </w:tcPr>
          <w:p>
            <w:pPr>
              <w:spacing w:after="0"/>
              <w:rPr>
                <w:sz w:val="1"/>
                <w:szCs w:val="1"/>
                <w:color w:val="auto"/>
              </w:rPr>
            </w:pPr>
          </w:p>
        </w:tc>
      </w:tr>
      <w:tr>
        <w:trPr>
          <w:trHeight w:val="151"/>
        </w:trPr>
        <w:tc>
          <w:tcPr>
            <w:tcW w:w="6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2020</w:t>
            </w: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2,478</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1,751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4,495</w:t>
            </w:r>
          </w:p>
        </w:tc>
        <w:tc>
          <w:tcPr>
            <w:tcW w:w="0" w:type="dxa"/>
            <w:vAlign w:val="bottom"/>
          </w:tcPr>
          <w:p>
            <w:pPr>
              <w:spacing w:after="0"/>
              <w:rPr>
                <w:sz w:val="1"/>
                <w:szCs w:val="1"/>
                <w:color w:val="auto"/>
              </w:rPr>
            </w:pPr>
          </w:p>
        </w:tc>
      </w:tr>
      <w:tr>
        <w:trPr>
          <w:trHeight w:val="155"/>
        </w:trPr>
        <w:tc>
          <w:tcPr>
            <w:tcW w:w="6960" w:type="dxa"/>
            <w:vAlign w:val="bottom"/>
          </w:tcPr>
          <w:p>
            <w:pPr>
              <w:ind w:left="20"/>
              <w:spacing w:after="0"/>
              <w:rPr>
                <w:sz w:val="20"/>
                <w:szCs w:val="20"/>
                <w:color w:val="auto"/>
              </w:rPr>
            </w:pPr>
            <w:r>
              <w:rPr>
                <w:rFonts w:ascii="Arial" w:cs="Arial" w:eastAsia="Arial" w:hAnsi="Arial"/>
                <w:sz w:val="12"/>
                <w:szCs w:val="12"/>
                <w:color w:val="auto"/>
              </w:rPr>
              <w:t>Goodwill associated with acquisitions</w:t>
            </w:r>
          </w:p>
        </w:tc>
        <w:tc>
          <w:tcPr>
            <w:tcW w:w="6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prior year acquisitions</w:t>
            </w: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9"/>
        </w:trPr>
        <w:tc>
          <w:tcPr>
            <w:tcW w:w="6960" w:type="dxa"/>
            <w:vAlign w:val="bottom"/>
          </w:tcPr>
          <w:p>
            <w:pPr>
              <w:ind w:left="20"/>
              <w:spacing w:after="0"/>
              <w:rPr>
                <w:sz w:val="20"/>
                <w:szCs w:val="20"/>
                <w:color w:val="auto"/>
              </w:rPr>
            </w:pPr>
            <w:r>
              <w:rPr>
                <w:rFonts w:ascii="Arial" w:cs="Arial" w:eastAsia="Arial" w:hAnsi="Arial"/>
                <w:sz w:val="12"/>
                <w:szCs w:val="12"/>
                <w:color w:val="auto"/>
              </w:rPr>
              <w:t>Balance, December 31, 2021</w:t>
            </w:r>
          </w:p>
        </w:tc>
        <w:tc>
          <w:tcPr>
            <w:tcW w:w="6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2,517</w:t>
            </w:r>
          </w:p>
        </w:tc>
        <w:tc>
          <w:tcPr>
            <w:tcW w:w="1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1,756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4,539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O — F&amp;G Reinsurance</w:t>
      </w:r>
    </w:p>
    <w:p>
      <w:pPr>
        <w:spacing w:after="0" w:line="57"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4"/>
          <w:szCs w:val="14"/>
          <w:color w:val="auto"/>
        </w:rPr>
        <w:t xml:space="preserve">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limit its exposure to mortality losses and enhance capital management. If the underlying policy being reinsured is an insurance contract, F&amp;G follows reinsurance accounting when there is adequate risk transfer or deposit accounting if there is inadequate risk transfer. If the underlying policy being reinsured is an investment contract, the effects of the agreement are accounted for as a separate investment contract. Refer to Note A - </w:t>
      </w:r>
      <w:r>
        <w:rPr>
          <w:rFonts w:ascii="Arial" w:cs="Arial" w:eastAsia="Arial" w:hAnsi="Arial"/>
          <w:sz w:val="14"/>
          <w:szCs w:val="14"/>
          <w:i w:val="1"/>
          <w:iCs w:val="1"/>
          <w:color w:val="auto"/>
        </w:rPr>
        <w:t>Business and Summary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Significant Accounting Policies </w:t>
      </w:r>
      <w:r>
        <w:rPr>
          <w:rFonts w:ascii="Arial" w:cs="Arial" w:eastAsia="Arial" w:hAnsi="Arial"/>
          <w:sz w:val="14"/>
          <w:szCs w:val="14"/>
          <w:color w:val="auto"/>
        </w:rPr>
        <w:t>for more information over our accounting policy for reinsurance agreements.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55" w:name="page156"/>
    <w:bookmarkEnd w:id="15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effect of reinsurance on net premiums earned and net benefits incurred (benefits paid and reserve changes) for the twelve and seven months ended December 31, 2021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2020 were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2"/>
                <w:szCs w:val="12"/>
                <w:b w:val="1"/>
                <w:bCs w:val="1"/>
                <w:color w:val="auto"/>
                <w:w w:val="87"/>
              </w:rPr>
              <w:t>Twelve months ended</w:t>
            </w:r>
          </w:p>
        </w:tc>
        <w:tc>
          <w:tcPr>
            <w:tcW w:w="284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2"/>
                <w:szCs w:val="12"/>
                <w:b w:val="1"/>
                <w:bCs w:val="1"/>
                <w:color w:val="auto"/>
              </w:rPr>
              <w:t>Seven months ended</w:t>
            </w:r>
          </w:p>
        </w:tc>
      </w:tr>
      <w:tr>
        <w:trPr>
          <w:trHeight w:val="153"/>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90"/>
              </w:rPr>
              <w:t>December 31, 2021</w:t>
            </w:r>
          </w:p>
        </w:tc>
        <w:tc>
          <w:tcPr>
            <w:tcW w:w="2840" w:type="dxa"/>
            <w:vAlign w:val="bottom"/>
            <w:gridSpan w:val="3"/>
          </w:tcPr>
          <w:p>
            <w:pPr>
              <w:jc w:val="right"/>
              <w:ind w:right="880"/>
              <w:spacing w:after="0"/>
              <w:rPr>
                <w:sz w:val="20"/>
                <w:szCs w:val="20"/>
                <w:color w:val="auto"/>
              </w:rPr>
            </w:pPr>
            <w:r>
              <w:rPr>
                <w:rFonts w:ascii="Arial" w:cs="Arial" w:eastAsia="Arial" w:hAnsi="Arial"/>
                <w:sz w:val="12"/>
                <w:szCs w:val="12"/>
                <w:b w:val="1"/>
                <w:bCs w:val="1"/>
                <w:color w:val="auto"/>
              </w:rPr>
              <w:t>December 31, 2020</w:t>
            </w:r>
          </w:p>
        </w:tc>
      </w:tr>
      <w:tr>
        <w:trPr>
          <w:trHeight w:val="149"/>
        </w:trPr>
        <w:tc>
          <w:tcPr>
            <w:tcW w:w="5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Net Premiums Earned</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2"/>
              </w:rPr>
              <w:t>Net Benefits Incurred</w:t>
            </w:r>
          </w:p>
        </w:tc>
        <w:tc>
          <w:tcPr>
            <w:tcW w:w="100" w:type="dxa"/>
            <w:vAlign w:val="bottom"/>
          </w:tcPr>
          <w:p>
            <w:pPr>
              <w:spacing w:after="0"/>
              <w:rPr>
                <w:sz w:val="12"/>
                <w:szCs w:val="12"/>
                <w:color w:val="auto"/>
              </w:rPr>
            </w:pPr>
          </w:p>
        </w:tc>
        <w:tc>
          <w:tcPr>
            <w:tcW w:w="148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Net Premiums Earned</w:t>
            </w:r>
          </w:p>
        </w:tc>
        <w:tc>
          <w:tcPr>
            <w:tcW w:w="13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Net Benefits Incurred</w:t>
            </w:r>
          </w:p>
        </w:tc>
      </w:tr>
      <w:tr>
        <w:trPr>
          <w:trHeight w:val="147"/>
        </w:trPr>
        <w:tc>
          <w:tcPr>
            <w:tcW w:w="5480" w:type="dxa"/>
            <w:vAlign w:val="bottom"/>
          </w:tcPr>
          <w:p>
            <w:pPr>
              <w:spacing w:after="0"/>
              <w:rPr>
                <w:sz w:val="20"/>
                <w:szCs w:val="20"/>
                <w:color w:val="auto"/>
              </w:rPr>
            </w:pPr>
            <w:r>
              <w:rPr>
                <w:rFonts w:ascii="Arial" w:cs="Arial" w:eastAsia="Arial" w:hAnsi="Arial"/>
                <w:sz w:val="12"/>
                <w:szCs w:val="12"/>
                <w:color w:val="auto"/>
              </w:rPr>
              <w:t>Direct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1,314</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3,282</w:t>
            </w:r>
          </w:p>
        </w:tc>
        <w:tc>
          <w:tcPr>
            <w:tcW w:w="100" w:type="dxa"/>
            <w:vAlign w:val="bottom"/>
          </w:tcPr>
          <w:p>
            <w:pPr>
              <w:spacing w:after="0"/>
              <w:rPr>
                <w:sz w:val="12"/>
                <w:szCs w:val="12"/>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2"/>
                <w:szCs w:val="12"/>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976</w:t>
            </w:r>
          </w:p>
        </w:tc>
      </w:tr>
      <w:tr>
        <w:trPr>
          <w:trHeight w:val="160"/>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Assumed</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5"/>
        </w:trPr>
        <w:tc>
          <w:tcPr>
            <w:tcW w:w="54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Ceded</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(1,144)</w:t>
            </w: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w:t>
            </w:r>
          </w:p>
        </w:tc>
        <w:tc>
          <w:tcPr>
            <w:tcW w:w="1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w:t>
            </w:r>
          </w:p>
        </w:tc>
      </w:tr>
      <w:tr>
        <w:trPr>
          <w:trHeight w:val="176"/>
        </w:trPr>
        <w:tc>
          <w:tcPr>
            <w:tcW w:w="5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2,138</w:t>
            </w: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Amounts payable or recoverable for reinsurance on paid and unpaid claims are not subject to periodic or maximum limits. F&amp;G did not write off any significant reinsurance balances during the year ended December 31, 2021 or the seven months ended December 31, 2020. F&amp;G did not commute any ceded reinsurance treaties during the year ended December 31, 2021 or the seven months ended December 31, 2020.</w:t>
      </w:r>
    </w:p>
    <w:p>
      <w:pPr>
        <w:spacing w:after="0" w:line="21" w:lineRule="exact"/>
        <w:rPr>
          <w:sz w:val="20"/>
          <w:szCs w:val="20"/>
          <w:color w:val="auto"/>
        </w:rPr>
      </w:pPr>
    </w:p>
    <w:p>
      <w:pPr>
        <w:jc w:val="both"/>
        <w:ind w:firstLine="338"/>
        <w:spacing w:after="0" w:line="307" w:lineRule="auto"/>
        <w:rPr>
          <w:sz w:val="20"/>
          <w:szCs w:val="20"/>
          <w:color w:val="auto"/>
        </w:rPr>
      </w:pPr>
      <w:r>
        <w:rPr>
          <w:rFonts w:ascii="Arial" w:cs="Arial" w:eastAsia="Arial" w:hAnsi="Arial"/>
          <w:sz w:val="13"/>
          <w:szCs w:val="13"/>
          <w:color w:val="auto"/>
        </w:rPr>
        <w:t>Following the adoption of ASC 326, F&amp;G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As of the June 1, 2020 acquisition of F&amp;G, due to purchase accounting adjustments, our expected credit loss reserve was valued at $0. For the seven months ended December 31, 2020, the expected credit loss reserve increased from $0 to $21 million. During the year ended December 31, 2021, the expected credit loss reserve decreased by $1 million to $20 million.</w:t>
      </w:r>
    </w:p>
    <w:p>
      <w:pPr>
        <w:spacing w:after="0" w:line="1"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No policies issued by F&amp;G have been reinsured with any foreign company, which is controlled, either directly or indirectly, by a party not primarily engaged in the business of insurance.</w:t>
      </w:r>
    </w:p>
    <w:p>
      <w:pPr>
        <w:spacing w:after="0" w:line="12"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5"/>
          <w:szCs w:val="15"/>
          <w:color w:val="auto"/>
        </w:rPr>
        <w:t>F&amp;G has not entered into any reinsurance agreements in which the reinsurer may unilaterally cancel any reinsurance for reasons other than non-payment of premiums or other similar credit issues.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On January 15, 2021, F&amp;G executed a Funds Withheld Coinsurance Agreement with Aspida Re, a Bermuda reinsurer. In accordance with the terms of this agreement, F&amp;G cedes to</w:t>
      </w:r>
    </w:p>
    <w:p>
      <w:pPr>
        <w:spacing w:after="0" w:line="55"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reinsurer, on a fifty percent (50%) funds withheld coinsurance basis, certain multiyear guaranteed annuity business written effective January 1, 2021. The effects of this agreement are accounted for as a separate investment contract.</w:t>
      </w:r>
    </w:p>
    <w:p>
      <w:pPr>
        <w:spacing w:after="0" w:line="12" w:lineRule="exact"/>
        <w:rPr>
          <w:sz w:val="20"/>
          <w:szCs w:val="20"/>
          <w:color w:val="auto"/>
        </w:rPr>
      </w:pPr>
    </w:p>
    <w:p>
      <w:pPr>
        <w:jc w:val="both"/>
        <w:ind w:firstLine="338"/>
        <w:spacing w:after="0" w:line="283" w:lineRule="auto"/>
        <w:rPr>
          <w:sz w:val="20"/>
          <w:szCs w:val="20"/>
          <w:color w:val="auto"/>
        </w:rPr>
      </w:pPr>
      <w:r>
        <w:rPr>
          <w:rFonts w:ascii="Arial" w:cs="Arial" w:eastAsia="Arial" w:hAnsi="Arial"/>
          <w:sz w:val="14"/>
          <w:szCs w:val="14"/>
          <w:color w:val="auto"/>
        </w:rPr>
        <w:t>F&amp;G has an indemnity reinsurance agreement with Hannover Re, a third party reinsurer, to cede a quota share percentage of the net retention of guarantee payments in excess of account value for GMWB and GMDB guarantees associated with an in-force block of its FIA and fixed deferred annuity contracts. The effects of this agreement are not accounted for as reinsurance as it does not satisfy the risk transfer requirements for GAAP; therefore, deposit accounting is applied. F&amp;G incurred risk charge fees of $21 million and $12 million during the year ended December 31, 2021 and the seven months ended December 31, 2020, respectively in relation to this reinsurance agreement.</w:t>
      </w:r>
    </w:p>
    <w:p>
      <w:pPr>
        <w:spacing w:after="0" w:line="7"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4"/>
          <w:szCs w:val="14"/>
          <w:color w:val="auto"/>
        </w:rPr>
        <w:t xml:space="preserve">F&amp;G entered into a reinsurance agreement with Kubera, a third party reinsurer, effective December 31, 2018, to cede certain MYGA and deferred annuity GAAP and statutory reserves on a coinsurance funds withheld basis, net of applicable existing reinsurance. In accordance with the terms of this agreement, F&amp;G cedes a quota share percentage of MYGA and deferred annuity policies for certain issue years to Kubera. Effective October 31, 2021, this agreement was novated from Kubera to Somerset, a certified third party reinsurer. This agreement cedes GAAP and statutory reserves of approximately $1 billion. As the policies ceded to Somerset are investment contracts, there is no significant insurance risk present and therefore the reinsurance agreement is accounted for as a separate investment contract. The presentation of this agreement is similar to other reinsurance agreements that apply reinsurance accounting as discussed in further detail within Note A </w:t>
      </w:r>
      <w:r>
        <w:rPr>
          <w:rFonts w:ascii="Arial" w:cs="Arial" w:eastAsia="Arial" w:hAnsi="Arial"/>
          <w:sz w:val="14"/>
          <w:szCs w:val="14"/>
          <w:i w:val="1"/>
          <w:iCs w:val="1"/>
          <w:color w:val="auto"/>
        </w:rPr>
        <w:t>- Business and Summary of Significant Accounting Policies</w:t>
      </w:r>
      <w:r>
        <w:rPr>
          <w:rFonts w:ascii="Arial" w:cs="Arial" w:eastAsia="Arial" w:hAnsi="Arial"/>
          <w:sz w:val="14"/>
          <w:szCs w:val="14"/>
          <w:color w:val="auto"/>
        </w:rPr>
        <w:t>.</w:t>
      </w:r>
    </w:p>
    <w:p>
      <w:pPr>
        <w:spacing w:after="0" w:line="1"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4"/>
          <w:szCs w:val="14"/>
          <w:color w:val="auto"/>
        </w:rPr>
        <w:t>F&amp;G has a reinsurance agreement with Kubera to cede certain FIA statutory reserves on a coinsurance funds withheld basis, net of applicable existing reinsurance. In accordance with the terms of this agreement, F&amp;G cedes a quota share percentage of FIA policies for certain issue years to Kubera. Effective October 31, 2021, this agreement was amended to increase the ceded reserves from approximately $4 billion to approximately $10 billion. As the policies ceded to Kubera are investment contracts, there is no significant insurance risk present and therefore the reinsurance agreement is accounted for as a separate investment contract. F&amp;G incurred risk charge fees of $5 million and $4 million during the year ended December 31, 2021 and the seven months ended December 31, 2020, respectively, in relation to this reinsurance agreement.</w:t>
      </w:r>
    </w:p>
    <w:p>
      <w:pPr>
        <w:spacing w:after="0" w:line="33"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To enhance Kubera's ability to pay its obligations under the amended reinsurance agreement, F&amp;G entered into a Variable Note Purchase Agreement (the “NPA”), whereby F&amp;G agreed to fund a note to Kubera to be used to ultimately settle with F&amp;G, with principal increases up to a maximum amount of $300 million, to the extent a potential funding shortfall (treaty assets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56" w:name="page157"/>
    <w:bookmarkEnd w:id="15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3"/>
          <w:szCs w:val="13"/>
          <w:color w:val="auto"/>
        </w:rPr>
        <w:t>are less than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At December 31, 2021, the amount funded under the NPA was insignificant.</w:t>
      </w:r>
    </w:p>
    <w:p>
      <w:pPr>
        <w:spacing w:after="0" w:line="14"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5"/>
          <w:szCs w:val="15"/>
          <w:color w:val="auto"/>
        </w:rPr>
        <w:t>Effective May 1, 2020, F&amp;G entered into an indemnity reinsurance agreement with Canada Life Assurance Company United States Branch, a third party reinsurer, to reinsure FIA policies with GMWB. In accordance with the terms of this agreement, F&amp;G cedes a quota share percentage of the net retention of guarantee payments in excess of account value for GMWB. The effects of this agreement are not accounted for as reinsurance as it does not satisfy the risk transfer requirements for GAAP; therefore, deposit accounting is applied. F&amp;G incurred risk charge fees of $2 million and $1 million during the year ended December 31, 2021 and the seven months ended December 31, 2020, respectively, in relation to this reinsurance agreement.</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Concentration of Reinsurance Risk</w:t>
      </w:r>
    </w:p>
    <w:p>
      <w:pPr>
        <w:spacing w:after="0" w:line="75"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5"/>
          <w:szCs w:val="15"/>
          <w:color w:val="auto"/>
        </w:rPr>
        <w:t>F&amp;G has a significant concentration of reinsurance risk with third party reinsurers, Wilton Reassurance Company (“Wilton Re”), Aspida Re, and Somerset that could have a material impact on our financial position in the event that Wilton Re, Aspida Re, or Somerset fail to perform their obligations under the various reinsurance treaties. Wilton Re is a wholly-owned subsidiary of Canada Pension Plan Investment Board ("CPPIB"). CPPIB has an AAA issuer credit rating from Standard &amp; Poor's Ratings Services ("S&amp;P") as of December 31, 2021. Aspida Re has an A- issuer credit rating from AM Best and a BBB issuer credit rating from Fitch as of December 31, 2021, and the risk of non-performance is further mitigated through the funds withheld arrangement. Somerset has an A- issuer credit rating from AM Best and a BBB+ issuer credit rating from S&amp;P as of December 31, 2021, and the risk of non-performance is further mitigated through the funds withheld arrangement. At December 31, 2021, the net amount recoverable from Wilton Re, Aspida Re, and Somerset were $1,269 million, $873 million, and $780 million, respectively. We monitor both the financial condition of individual reinsurers and risk concentration arising from similar activities and economic characteristics of reinsurers to attempt to reduce the risk of default by such reinsurers. We believe that all amounts due from Wilton Re, Aspida Re, and Somerset for periodic treaty settlements are collectible as of December 31, 2021.</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Intercompany Reinsurance Agreements</w:t>
      </w:r>
    </w:p>
    <w:p>
      <w:pPr>
        <w:spacing w:after="0" w:line="75"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4"/>
          <w:szCs w:val="14"/>
          <w:color w:val="auto"/>
        </w:rPr>
        <w:t>F&amp;G has a reinsurance treaty with Raven Reinsurance Company ("Raven Re"), its wholly-owned captive reinsurance company, to cede the Commissioners Annuity Reserve Valuation Method ("CARVM") liability for annuity benefits where surrender charges are waived. In connection with the CARVM reinsurance agreement, FGL Insurance and Raven Re entered into an agreement with Nomura Bank International plc (“NBI”) to establish a reserve financing facility in the form of a letter of credit issued by NBI. The financing facility has $85 million available to draw on as of December 31, 2021. The facility may terminate earlier than the current termination date of October 1, 2022, in accordance with the terms of the Reimbursement Agreement. Under the terms of the reimbursement agreement, in the event the letter of credit is drawn upon, Raven Re is required to repay the amounts utilized, and Fidelity &amp; Guaranty Life Holdings, Inc. ("FGLH") is obligated to repay the amounts utilized if Raven Re fails to make the required reimbursement. FGLH also is required to make capital contributions to Raven Re in the event that Raven Re’s statutory capital and surplus falls below certain defined levels. As of December 31, 2021 and December 31, 2020, Raven Re’s statutory capital and surplus was $62 million and $29 million, respectively, in excess of the minimum level required under the Reimbursement Agreement. As this letter of credit is provided by an unaffiliated financial institution, Raven Re is permitted to carry the letter of credit as an admitted asset on the Raven Re statutory balance sheet.</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P — Regulation and Equity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Regulation</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Title</w:t>
      </w:r>
    </w:p>
    <w:p>
      <w:pPr>
        <w:spacing w:after="0" w:line="7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that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that set rates, to states where individual companies 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57" w:name="page158"/>
    <w:bookmarkEnd w:id="15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associations of companies prepare rate filings that are submitted for approval, to a few states in which rate changes do not need to be filed for approval.</w:t>
      </w:r>
    </w:p>
    <w:p>
      <w:pPr>
        <w:spacing w:after="0" w:line="87"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Since we are regulated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44" w:lineRule="exact"/>
        <w:rPr>
          <w:sz w:val="20"/>
          <w:szCs w:val="20"/>
          <w:color w:val="auto"/>
        </w:rPr>
      </w:pPr>
    </w:p>
    <w:p>
      <w:pPr>
        <w:jc w:val="both"/>
        <w:ind w:firstLine="270"/>
        <w:spacing w:after="0" w:line="305" w:lineRule="auto"/>
        <w:rPr>
          <w:sz w:val="20"/>
          <w:szCs w:val="20"/>
          <w:color w:val="auto"/>
        </w:rPr>
      </w:pPr>
      <w:r>
        <w:rPr>
          <w:rFonts w:ascii="Arial" w:cs="Arial" w:eastAsia="Arial" w:hAnsi="Arial"/>
          <w:sz w:val="13"/>
          <w:szCs w:val="13"/>
          <w:color w:val="auto"/>
        </w:rPr>
        <w:t>Statutory-basis financial statements are prepared in accordance with accounting practices prescribed or permitted by the various state insurance regulatory authorities. The National Association of Insurance Commissioners' (“NAIC”</w:t>
      </w:r>
      <w:r>
        <w:rPr>
          <w:rFonts w:ascii="Arial" w:cs="Arial" w:eastAsia="Arial" w:hAnsi="Arial"/>
          <w:sz w:val="13"/>
          <w:szCs w:val="13"/>
          <w:i w:val="1"/>
          <w:iCs w:val="1"/>
          <w:color w:val="auto"/>
        </w:rPr>
        <w:t>) Accounting Practices and Procedures</w:t>
      </w:r>
      <w:r>
        <w:rPr>
          <w:rFonts w:ascii="Arial" w:cs="Arial" w:eastAsia="Arial" w:hAnsi="Arial"/>
          <w:sz w:val="13"/>
          <w:szCs w:val="13"/>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2021 and 2020 was lower by approximately $29 million and $28 million than if we had reported such amounts in accordance with NAIC SAP.</w:t>
      </w:r>
    </w:p>
    <w:p>
      <w:pPr>
        <w:spacing w:after="0" w:line="30" w:lineRule="exact"/>
        <w:rPr>
          <w:sz w:val="20"/>
          <w:szCs w:val="20"/>
          <w:color w:val="auto"/>
        </w:rPr>
      </w:pPr>
    </w:p>
    <w:p>
      <w:pPr>
        <w:jc w:val="both"/>
        <w:ind w:firstLine="270"/>
        <w:spacing w:after="0" w:line="305" w:lineRule="auto"/>
        <w:rPr>
          <w:sz w:val="20"/>
          <w:szCs w:val="20"/>
          <w:color w:val="auto"/>
        </w:rPr>
      </w:pPr>
      <w:r>
        <w:rPr>
          <w:rFonts w:ascii="Arial" w:cs="Arial" w:eastAsia="Arial" w:hAnsi="Arial"/>
          <w:sz w:val="13"/>
          <w:szCs w:val="13"/>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2021, the combined statutory unearned premium reserve required and reported for our title insurers was $1,742 million. In addition to statutory unearned premium reserves, each of our insurers maintains reserves for known claims and surplus funds for policyholder protection and business operations.</w:t>
      </w:r>
    </w:p>
    <w:p>
      <w:pPr>
        <w:spacing w:after="0" w:line="30"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44"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2021, $2,375 million of our net assets are restricted from dividend payments without prior approval from the Departments of Insurance. During 2022, our title insurers can pay or make distributions to us of approximately $831 million, without prior approval.</w:t>
      </w:r>
    </w:p>
    <w:p>
      <w:pPr>
        <w:spacing w:after="0" w:line="58" w:lineRule="exact"/>
        <w:rPr>
          <w:sz w:val="20"/>
          <w:szCs w:val="20"/>
          <w:color w:val="auto"/>
        </w:rPr>
      </w:pPr>
    </w:p>
    <w:p>
      <w:pPr>
        <w:jc w:val="both"/>
        <w:ind w:firstLine="270"/>
        <w:spacing w:after="0" w:line="352" w:lineRule="auto"/>
        <w:rPr>
          <w:sz w:val="20"/>
          <w:szCs w:val="20"/>
          <w:color w:val="auto"/>
        </w:rPr>
      </w:pPr>
      <w:r>
        <w:rPr>
          <w:rFonts w:ascii="Arial" w:cs="Arial" w:eastAsia="Arial" w:hAnsi="Arial"/>
          <w:sz w:val="13"/>
          <w:szCs w:val="13"/>
          <w:color w:val="auto"/>
        </w:rPr>
        <w:t>The combined statutory capital and surplus of our title insurers was approximately $1,903 million and $1,699 million as of December 31, 2021 and 2020, respectively. The combined statutory net earnings of our title insurance subsidiaries were $936 million, $629 million, and $583 million for the years ended December 31, 2021, 2020, and 2019, respectively.</w:t>
      </w:r>
    </w:p>
    <w:p>
      <w:pPr>
        <w:spacing w:after="0" w:line="1"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4"/>
          <w:szCs w:val="14"/>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11" w:lineRule="exact"/>
        <w:rPr>
          <w:sz w:val="20"/>
          <w:szCs w:val="20"/>
          <w:color w:val="auto"/>
        </w:rPr>
      </w:pPr>
    </w:p>
    <w:p>
      <w:pPr>
        <w:jc w:val="both"/>
        <w:ind w:firstLine="285"/>
        <w:spacing w:after="0" w:line="262" w:lineRule="auto"/>
        <w:rPr>
          <w:sz w:val="20"/>
          <w:szCs w:val="20"/>
          <w:color w:val="auto"/>
        </w:rPr>
      </w:pPr>
      <w:r>
        <w:rPr>
          <w:rFonts w:ascii="Arial" w:cs="Arial" w:eastAsia="Arial" w:hAnsi="Arial"/>
          <w:sz w:val="15"/>
          <w:szCs w:val="15"/>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insurers has complied with the minimum statutory requirements as of December 31, 2021.</w:t>
      </w:r>
    </w:p>
    <w:p>
      <w:pPr>
        <w:spacing w:after="0" w:line="55" w:lineRule="exact"/>
        <w:rPr>
          <w:sz w:val="20"/>
          <w:szCs w:val="20"/>
          <w:color w:val="auto"/>
        </w:rPr>
      </w:pPr>
    </w:p>
    <w:p>
      <w:pPr>
        <w:jc w:val="both"/>
        <w:ind w:firstLine="285"/>
        <w:spacing w:after="0" w:line="262" w:lineRule="auto"/>
        <w:rPr>
          <w:sz w:val="20"/>
          <w:szCs w:val="20"/>
          <w:color w:val="auto"/>
        </w:rPr>
      </w:pPr>
      <w:r>
        <w:rPr>
          <w:rFonts w:ascii="Arial" w:cs="Arial" w:eastAsia="Arial" w:hAnsi="Arial"/>
          <w:sz w:val="15"/>
          <w:szCs w:val="15"/>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2021.</w:t>
      </w:r>
    </w:p>
    <w:p>
      <w:pPr>
        <w:spacing w:after="0" w:line="55"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There are no restrictions on our retained earnings regarding our ability to pay dividends to shareholders although there are limits on the ability of certain subsidiaries to pay dividends to us, as described above.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F&amp;G</w:t>
      </w:r>
    </w:p>
    <w:p>
      <w:pPr>
        <w:spacing w:after="0" w:line="75"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5"/>
          <w:szCs w:val="15"/>
          <w:color w:val="auto"/>
        </w:rPr>
        <w:t>Through our wholly owned F&amp;G subsidiary, our U.S. insurance subsidiaries, FGL NY Insurance, and Raven Re, file financial statements with state insurance regulatory authorities and the NAIC that are prepared in accordance with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DAC, DSI and VOBA,</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58" w:name="page159"/>
    <w:bookmarkEnd w:id="15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some bond portfolios may be carried at amortized cost, assets and liabilities are presented net of reinsurance, contract 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44"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5"/>
          <w:szCs w:val="15"/>
          <w:color w:val="auto"/>
        </w:rPr>
        <w:t>Our principal insurance subsidiaries' statutory (SAP and GAAP) financial statements are based on a December 31 year end. Statutory net income and statutory capital and surplus of our wholly owned insurance subsidiaries were as follows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Subsidiary (state/country of domicile) (a)</w:t>
            </w: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53"/>
        </w:trPr>
        <w:tc>
          <w:tcPr>
            <w:tcW w:w="4960" w:type="dxa"/>
            <w:vAlign w:val="bottom"/>
          </w:tcPr>
          <w:p>
            <w:pPr>
              <w:spacing w:after="0"/>
              <w:rPr>
                <w:sz w:val="13"/>
                <w:szCs w:val="13"/>
                <w:color w:val="auto"/>
              </w:rPr>
            </w:pPr>
          </w:p>
        </w:tc>
        <w:tc>
          <w:tcPr>
            <w:tcW w:w="1620" w:type="dxa"/>
            <w:vAlign w:val="bottom"/>
          </w:tcPr>
          <w:p>
            <w:pPr>
              <w:jc w:val="right"/>
              <w:ind w:right="20"/>
              <w:spacing w:after="0"/>
              <w:rPr>
                <w:sz w:val="20"/>
                <w:szCs w:val="20"/>
                <w:color w:val="auto"/>
              </w:rPr>
            </w:pPr>
            <w:r>
              <w:rPr>
                <w:rFonts w:ascii="Arial" w:cs="Arial" w:eastAsia="Arial" w:hAnsi="Arial"/>
                <w:sz w:val="12"/>
                <w:szCs w:val="12"/>
                <w:b w:val="1"/>
                <w:bCs w:val="1"/>
                <w:color w:val="auto"/>
              </w:rPr>
              <w:t>FGL Insurance (IA)</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FGL NY Insurance (NY)</w:t>
            </w:r>
          </w:p>
        </w:tc>
        <w:tc>
          <w:tcPr>
            <w:tcW w:w="360" w:type="dxa"/>
            <w:vAlign w:val="bottom"/>
          </w:tcPr>
          <w:p>
            <w:pPr>
              <w:spacing w:after="0"/>
              <w:rPr>
                <w:sz w:val="13"/>
                <w:szCs w:val="13"/>
                <w:color w:val="auto"/>
              </w:rPr>
            </w:pPr>
          </w:p>
        </w:tc>
        <w:tc>
          <w:tcPr>
            <w:tcW w:w="1700" w:type="dxa"/>
            <w:vAlign w:val="bottom"/>
          </w:tcPr>
          <w:p>
            <w:pPr>
              <w:jc w:val="right"/>
              <w:ind w:right="580"/>
              <w:spacing w:after="0"/>
              <w:rPr>
                <w:sz w:val="20"/>
                <w:szCs w:val="20"/>
                <w:color w:val="auto"/>
              </w:rPr>
            </w:pPr>
            <w:r>
              <w:rPr>
                <w:rFonts w:ascii="Arial" w:cs="Arial" w:eastAsia="Arial" w:hAnsi="Arial"/>
                <w:sz w:val="12"/>
                <w:szCs w:val="12"/>
                <w:b w:val="1"/>
                <w:bCs w:val="1"/>
                <w:color w:val="auto"/>
              </w:rPr>
              <w:t>Raven Re (VT)</w:t>
            </w:r>
          </w:p>
        </w:tc>
      </w:tr>
      <w:tr>
        <w:trPr>
          <w:trHeight w:val="138"/>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Statutory Net Income (loss):</w:t>
            </w:r>
          </w:p>
        </w:tc>
        <w:tc>
          <w:tcPr>
            <w:tcW w:w="16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r>
      <w:tr>
        <w:trPr>
          <w:trHeight w:val="155"/>
        </w:trPr>
        <w:tc>
          <w:tcPr>
            <w:tcW w:w="4960" w:type="dxa"/>
            <w:vAlign w:val="bottom"/>
          </w:tcPr>
          <w:p>
            <w:pPr>
              <w:spacing w:after="0"/>
              <w:rPr>
                <w:sz w:val="20"/>
                <w:szCs w:val="20"/>
                <w:color w:val="auto"/>
              </w:rPr>
            </w:pPr>
            <w:r>
              <w:rPr>
                <w:rFonts w:ascii="Arial" w:cs="Arial" w:eastAsia="Arial" w:hAnsi="Arial"/>
                <w:sz w:val="12"/>
                <w:szCs w:val="12"/>
                <w:color w:val="auto"/>
              </w:rPr>
              <w:t>Year ended December 31, 2021</w:t>
            </w:r>
          </w:p>
        </w:tc>
        <w:tc>
          <w:tcPr>
            <w:tcW w:w="1620" w:type="dxa"/>
            <w:vAlign w:val="bottom"/>
          </w:tcPr>
          <w:p>
            <w:pPr>
              <w:jc w:val="right"/>
              <w:ind w:right="14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351</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2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228"/>
        </w:trPr>
        <w:tc>
          <w:tcPr>
            <w:tcW w:w="49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157"/>
        </w:trPr>
        <w:tc>
          <w:tcPr>
            <w:tcW w:w="4960" w:type="dxa"/>
            <w:vAlign w:val="bottom"/>
          </w:tcPr>
          <w:p>
            <w:pPr>
              <w:spacing w:after="0"/>
              <w:rPr>
                <w:sz w:val="20"/>
                <w:szCs w:val="20"/>
                <w:color w:val="auto"/>
              </w:rPr>
            </w:pPr>
            <w:r>
              <w:rPr>
                <w:rFonts w:ascii="Arial" w:cs="Arial" w:eastAsia="Arial" w:hAnsi="Arial"/>
                <w:sz w:val="12"/>
                <w:szCs w:val="12"/>
                <w:b w:val="1"/>
                <w:bCs w:val="1"/>
                <w:color w:val="auto"/>
              </w:rPr>
              <w:t>Statutory Capital and Surplus:</w:t>
            </w: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8"/>
        </w:trPr>
        <w:tc>
          <w:tcPr>
            <w:tcW w:w="4960" w:type="dxa"/>
            <w:vAlign w:val="bottom"/>
            <w:shd w:val="clear" w:color="auto" w:fill="CCEEFF"/>
          </w:tcPr>
          <w:p>
            <w:pPr>
              <w:spacing w:after="0"/>
              <w:rPr>
                <w:sz w:val="20"/>
                <w:szCs w:val="20"/>
                <w:color w:val="auto"/>
              </w:rPr>
            </w:pPr>
            <w:r>
              <w:rPr>
                <w:rFonts w:ascii="Arial" w:cs="Arial" w:eastAsia="Arial" w:hAnsi="Arial"/>
                <w:sz w:val="12"/>
                <w:szCs w:val="12"/>
                <w:color w:val="auto"/>
              </w:rPr>
              <w:t>December 31, 2021</w:t>
            </w:r>
          </w:p>
        </w:tc>
        <w:tc>
          <w:tcPr>
            <w:tcW w:w="1620" w:type="dxa"/>
            <w:vAlign w:val="bottom"/>
            <w:shd w:val="clear" w:color="auto" w:fill="CCEEFF"/>
          </w:tcPr>
          <w:p>
            <w:pPr>
              <w:jc w:val="right"/>
              <w:ind w:right="14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r>
      <w:tr>
        <w:trPr>
          <w:trHeight w:val="322"/>
        </w:trPr>
        <w:tc>
          <w:tcPr>
            <w:tcW w:w="496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Subsidiary (state/country of domicile) (a)</w:t>
            </w: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153"/>
        </w:trPr>
        <w:tc>
          <w:tcPr>
            <w:tcW w:w="4960" w:type="dxa"/>
            <w:vAlign w:val="bottom"/>
          </w:tcPr>
          <w:p>
            <w:pPr>
              <w:spacing w:after="0"/>
              <w:rPr>
                <w:sz w:val="13"/>
                <w:szCs w:val="13"/>
                <w:color w:val="auto"/>
              </w:rPr>
            </w:pPr>
          </w:p>
        </w:tc>
        <w:tc>
          <w:tcPr>
            <w:tcW w:w="1620" w:type="dxa"/>
            <w:vAlign w:val="bottom"/>
          </w:tcPr>
          <w:p>
            <w:pPr>
              <w:jc w:val="right"/>
              <w:ind w:right="20"/>
              <w:spacing w:after="0"/>
              <w:rPr>
                <w:sz w:val="20"/>
                <w:szCs w:val="20"/>
                <w:color w:val="auto"/>
              </w:rPr>
            </w:pPr>
            <w:r>
              <w:rPr>
                <w:rFonts w:ascii="Arial" w:cs="Arial" w:eastAsia="Arial" w:hAnsi="Arial"/>
                <w:sz w:val="12"/>
                <w:szCs w:val="12"/>
                <w:b w:val="1"/>
                <w:bCs w:val="1"/>
                <w:color w:val="auto"/>
              </w:rPr>
              <w:t>FGL Insurance (IA)</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FGL NY Insurance (NY)</w:t>
            </w:r>
          </w:p>
        </w:tc>
        <w:tc>
          <w:tcPr>
            <w:tcW w:w="360" w:type="dxa"/>
            <w:vAlign w:val="bottom"/>
          </w:tcPr>
          <w:p>
            <w:pPr>
              <w:spacing w:after="0"/>
              <w:rPr>
                <w:sz w:val="13"/>
                <w:szCs w:val="13"/>
                <w:color w:val="auto"/>
              </w:rPr>
            </w:pPr>
          </w:p>
        </w:tc>
        <w:tc>
          <w:tcPr>
            <w:tcW w:w="1700" w:type="dxa"/>
            <w:vAlign w:val="bottom"/>
          </w:tcPr>
          <w:p>
            <w:pPr>
              <w:jc w:val="right"/>
              <w:ind w:right="580"/>
              <w:spacing w:after="0"/>
              <w:rPr>
                <w:sz w:val="20"/>
                <w:szCs w:val="20"/>
                <w:color w:val="auto"/>
              </w:rPr>
            </w:pPr>
            <w:r>
              <w:rPr>
                <w:rFonts w:ascii="Arial" w:cs="Arial" w:eastAsia="Arial" w:hAnsi="Arial"/>
                <w:sz w:val="12"/>
                <w:szCs w:val="12"/>
                <w:b w:val="1"/>
                <w:bCs w:val="1"/>
                <w:color w:val="auto"/>
              </w:rPr>
              <w:t>Raven Re (VT)</w:t>
            </w:r>
          </w:p>
        </w:tc>
      </w:tr>
      <w:tr>
        <w:trPr>
          <w:trHeight w:val="138"/>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Statutory Net (Loss) income:</w:t>
            </w:r>
          </w:p>
        </w:tc>
        <w:tc>
          <w:tcPr>
            <w:tcW w:w="16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r>
      <w:tr>
        <w:trPr>
          <w:trHeight w:val="155"/>
        </w:trPr>
        <w:tc>
          <w:tcPr>
            <w:tcW w:w="4960" w:type="dxa"/>
            <w:vAlign w:val="bottom"/>
          </w:tcPr>
          <w:p>
            <w:pPr>
              <w:spacing w:after="0"/>
              <w:rPr>
                <w:sz w:val="20"/>
                <w:szCs w:val="20"/>
                <w:color w:val="auto"/>
              </w:rPr>
            </w:pPr>
            <w:r>
              <w:rPr>
                <w:rFonts w:ascii="Arial" w:cs="Arial" w:eastAsia="Arial" w:hAnsi="Arial"/>
                <w:sz w:val="12"/>
                <w:szCs w:val="12"/>
                <w:color w:val="auto"/>
              </w:rPr>
              <w:t>Seven months ended December 31, 2020</w:t>
            </w:r>
          </w:p>
        </w:tc>
        <w:tc>
          <w:tcPr>
            <w:tcW w:w="1620" w:type="dxa"/>
            <w:vAlign w:val="bottom"/>
          </w:tcPr>
          <w:p>
            <w:pPr>
              <w:jc w:val="right"/>
              <w:ind w:right="14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(46)</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2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28"/>
        </w:trPr>
        <w:tc>
          <w:tcPr>
            <w:tcW w:w="49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157"/>
        </w:trPr>
        <w:tc>
          <w:tcPr>
            <w:tcW w:w="4960" w:type="dxa"/>
            <w:vAlign w:val="bottom"/>
          </w:tcPr>
          <w:p>
            <w:pPr>
              <w:spacing w:after="0"/>
              <w:rPr>
                <w:sz w:val="20"/>
                <w:szCs w:val="20"/>
                <w:color w:val="auto"/>
              </w:rPr>
            </w:pPr>
            <w:r>
              <w:rPr>
                <w:rFonts w:ascii="Arial" w:cs="Arial" w:eastAsia="Arial" w:hAnsi="Arial"/>
                <w:sz w:val="12"/>
                <w:szCs w:val="12"/>
                <w:b w:val="1"/>
                <w:bCs w:val="1"/>
                <w:color w:val="auto"/>
              </w:rPr>
              <w:t>Statutory Capital and Surplus:</w:t>
            </w: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8"/>
        </w:trPr>
        <w:tc>
          <w:tcPr>
            <w:tcW w:w="4960" w:type="dxa"/>
            <w:vAlign w:val="bottom"/>
            <w:shd w:val="clear" w:color="auto" w:fill="CCEEFF"/>
          </w:tcPr>
          <w:p>
            <w:pPr>
              <w:spacing w:after="0"/>
              <w:rPr>
                <w:sz w:val="20"/>
                <w:szCs w:val="20"/>
                <w:color w:val="auto"/>
              </w:rPr>
            </w:pPr>
            <w:r>
              <w:rPr>
                <w:rFonts w:ascii="Arial" w:cs="Arial" w:eastAsia="Arial" w:hAnsi="Arial"/>
                <w:sz w:val="12"/>
                <w:szCs w:val="12"/>
                <w:color w:val="auto"/>
              </w:rPr>
              <w:t>December 31, 2020</w:t>
            </w:r>
          </w:p>
        </w:tc>
        <w:tc>
          <w:tcPr>
            <w:tcW w:w="1620" w:type="dxa"/>
            <w:vAlign w:val="bottom"/>
            <w:shd w:val="clear" w:color="auto" w:fill="CCEEFF"/>
          </w:tcPr>
          <w:p>
            <w:pPr>
              <w:jc w:val="right"/>
              <w:ind w:right="14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w:t>
            </w:r>
          </w:p>
        </w:tc>
      </w:tr>
    </w:tbl>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(a) FGL NY Insurance and Raven Re are subsidiaries of FGL Insurance, and the columns should not be added together.</w:t>
      </w:r>
    </w:p>
    <w:p>
      <w:pPr>
        <w:spacing w:after="0" w:line="34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FGL Insurance, FGL NY Insurance and Raven Re's respective statutory capital and surplus satisfies the applicable minimum regulatory requirements.</w:t>
      </w:r>
    </w:p>
    <w:p>
      <w:pPr>
        <w:spacing w:after="0" w:line="75" w:lineRule="exact"/>
        <w:rPr>
          <w:sz w:val="20"/>
          <w:szCs w:val="20"/>
          <w:color w:val="auto"/>
        </w:rPr>
      </w:pPr>
    </w:p>
    <w:p>
      <w:pPr>
        <w:jc w:val="both"/>
        <w:ind w:firstLine="372"/>
        <w:spacing w:after="0" w:line="290" w:lineRule="auto"/>
        <w:rPr>
          <w:sz w:val="20"/>
          <w:szCs w:val="20"/>
          <w:color w:val="auto"/>
        </w:rPr>
      </w:pPr>
      <w:r>
        <w:rPr>
          <w:rFonts w:ascii="Arial" w:cs="Arial" w:eastAsia="Arial" w:hAnsi="Arial"/>
          <w:sz w:val="14"/>
          <w:szCs w:val="14"/>
          <w:color w:val="auto"/>
        </w:rPr>
        <w:t>Life insurance companies domiciled in the U.S. are subject to certain Risk-Based Capital (“RBC”) requirements as specified by the NAIC. The RBC is used to evaluate the adequacy of capital and surplus maintained by an insurance company in relation to risks associated with: (i) asset risk, (ii) insurance risk, (iii) interest rate risk and (iv) business risk. We monitor the RBC of FGLH’s insurance subsidiaries. As of December 31, 2021, each of FGLH's insurance subsidiaries had exceeded the minimum RBC requirements.</w:t>
      </w:r>
    </w:p>
    <w:p>
      <w:pPr>
        <w:spacing w:after="0" w:line="25"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4"/>
          <w:szCs w:val="14"/>
          <w:color w:val="auto"/>
        </w:rPr>
        <w:t>Our insurance subsidiaries domiciled in the U.S. are restricted by state laws and regulations as to the amount of dividends they may pay to their parent, our wholly owned F&amp;G subsidiary, without regulatory approval in any year, the purpose of which is to protect affected insurance policyholders, depositors or investors. Any dividends in excess of limits are deemed “extraordinary” and require regulatory approval. In addition, and pursuant to an order issued by the Iowa Commissioner on November 28, 2017, FGL Insurance may not pay any dividend or other distribution to shareholders prior to November 28, 2020 without the prior approval of the Iowa Commissioner. As of December 31, 2021 and 2020, upon approval by the Iowa Commissioner, FGL Insurance declared and paid extraordinary dividends of $38 million and $151 million to its parent, respectively.</w:t>
      </w:r>
    </w:p>
    <w:p>
      <w:pPr>
        <w:spacing w:after="0" w:line="33"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5"/>
          <w:szCs w:val="15"/>
          <w:color w:val="auto"/>
        </w:rPr>
        <w:t>FGL Insurance applies Iowa-prescribed accounting practices that permit Iowa-domiciled insurers to report equity call options used to economically hedge FIA index credits at amortized cost for statutory accounting purposes and to calculate FIA statutory reserves such that index credit returns will be included in the reserve only after crediting to the annuity contract. This resulted in a $106 million and $144 million decrease to statutory capital and surplus at December 31, 2021 and 2020, respectively.</w:t>
      </w:r>
    </w:p>
    <w:p>
      <w:pPr>
        <w:spacing w:after="0" w:line="44" w:lineRule="exact"/>
        <w:rPr>
          <w:sz w:val="20"/>
          <w:szCs w:val="20"/>
          <w:color w:val="auto"/>
        </w:rPr>
      </w:pPr>
    </w:p>
    <w:p>
      <w:pPr>
        <w:jc w:val="both"/>
        <w:ind w:right="20" w:firstLine="338"/>
        <w:spacing w:after="0" w:line="274" w:lineRule="auto"/>
        <w:rPr>
          <w:sz w:val="20"/>
          <w:szCs w:val="20"/>
          <w:color w:val="auto"/>
        </w:rPr>
      </w:pPr>
      <w:r>
        <w:rPr>
          <w:rFonts w:ascii="Arial" w:cs="Arial" w:eastAsia="Arial" w:hAnsi="Arial"/>
          <w:sz w:val="15"/>
          <w:szCs w:val="15"/>
          <w:color w:val="auto"/>
        </w:rPr>
        <w:t>FGL Insurance’s statutory carrying value of Raven Re reflects the effect of permitted practices Raven Re received to treat the available amount of a letter of credit as an admitted asset which increased Raven Re’s statutory capital and surplus by $85 million at December 31, 2021 and 2020.</w:t>
      </w:r>
    </w:p>
    <w:p>
      <w:pPr>
        <w:spacing w:after="0" w:line="34"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4"/>
          <w:szCs w:val="14"/>
          <w:color w:val="auto"/>
        </w:rPr>
        <w:t>Raven Re is also permitted to follow Iowa prescribed statutory accounting practice for its reserves on reinsurance assumed from FGL Insurance which increased Raven Re’s statutory capital and surplus by $0 million at December 31, 2021 and by $5 million at December 31, 2020. Without such permitted statutory accounting practices, Raven Re’s statutory capital and surplus (deficit) would be $30 million as of December 31, 2021 and would be $(6) million as of December 31, 2020, and its risk-based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59" w:name="page160"/>
    <w:bookmarkEnd w:id="15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capital would fall below the minimum regulatory requirements. The letter of credit facility is collateralized by NAIC 1 rated debt securities. If the permitted practice was revoked, the letter of credit could be replaced by the collateral assets with Nomura’s consent as discussed in Note O F&amp;G Reinsurance. FGL Insurance’s statutory carrying value of Raven Re was $115 million and $84 million at December 31, 2021 and 2020, respectively.</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December 31, 2021, FGL NY Insurance did not follow any prescribed or permitted statutory accounting practices that differ from the NAIC's statutory accounting practices.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prescribed and permitted statutory accounting practices have no impact on our Condensed Consolidated Financial Statements which are prepared in accordance with GAAP.</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Equity</w:t>
      </w:r>
    </w:p>
    <w:p>
      <w:pPr>
        <w:spacing w:after="0" w:line="75"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5"/>
          <w:szCs w:val="15"/>
          <w:color w:val="auto"/>
        </w:rPr>
        <w:t>On August 3, 2021, our Board of Directors approved the 2021 Repurchase Program under which we may purchase up to 25 million shares of our FNF common stock through July 31, 2024, replacing the prior stock repurchase program that expired on July 31, 2021. We may make repurchases from time to time in the open market, in block purchases or in privately negotiated transactions, depending on market conditions and other factors. During the year ended December 31, 2021, we repurchased a total of 10,180,000 FNF common shares for an aggregate of $461 million or an average of $45.22 per share. Subsequent to December 31, 2021 and through market close on February 23, 2022, we repurchased a total of 250,000 shares for $13 million, or an average of $52.60 under this program.</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Q - Leases</w:t>
      </w:r>
    </w:p>
    <w:p>
      <w:pPr>
        <w:spacing w:after="0" w:line="91"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Right-of-use assets and lease liabilities related to operating leases under ASC Topic 842 are recorded when we are party to a contract, which conveys the right for us to control an asset for a specified period of time. Substantially all of our operating lease arrangements relate to rented office space and real estate for our title operations. We generally are not a party to any material contracts considered finance leases. Right-of-use assets and lease liabilities under ASC Topic 842 are recorded as Lease assets and Lease liabilities, respectively, on the Consolidated Balance Sheet as of December 31, 2021.</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operating leases range in term from one to ten years. As of December 31, 2021, the weighted-average remaining lease term of our operating leases was 4.0 years.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lease agreements do not contain material variable lease payments, buyout options, residual value guarantees or restrictive covenants.</w:t>
      </w:r>
    </w:p>
    <w:p>
      <w:pPr>
        <w:spacing w:after="0" w:line="98"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4"/>
          <w:szCs w:val="14"/>
          <w:color w:val="auto"/>
        </w:rPr>
        <w:t>Most of our leases include one or more options to renew, with renewal terms that can extend the lease term by varying amounts. The exercise of lease renewal options is at our sole discretion. We do not include options to renew in our measurement of lease assets and lease liabilities as they are not considered reasonably assured of exercise.</w:t>
      </w:r>
    </w:p>
    <w:p>
      <w:pPr>
        <w:spacing w:after="0" w:line="33"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Our operating lease liability is determined by discounting future lease payments using a discount rate based on our incremental borrowing rate for similar collateralized borrowing. The discount rate is calculated as an average of the current yield on our unsecured notes payable and 140 basis points in excess of the current five year LIBOR swap rate. As of December 31, 2021 the weighted-average discount rate used to determine our operating lease liability was 3.4%.</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do not separate lease components from non-lease components for any of our right-of-use assets.</w:t>
      </w:r>
    </w:p>
    <w:p>
      <w:pPr>
        <w:spacing w:after="0" w:line="98"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15"/>
          <w:szCs w:val="15"/>
          <w:color w:val="auto"/>
        </w:rPr>
        <w:t>Our lease costs are included in Other operating expenses on the Consolidated Statements of Earnings and was $139 million, $150 million and $146 million for the years ended December 31, 2021, 2020 and 2019, respectively. We do not have any material short term lease costs, variable lease costs, or sublease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60" w:name="page161"/>
    <w:bookmarkEnd w:id="16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0" w:type="dxa"/>
            <w:vAlign w:val="bottom"/>
          </w:tcPr>
          <w:p>
            <w:pPr>
              <w:ind w:left="260"/>
              <w:spacing w:after="0"/>
              <w:rPr>
                <w:sz w:val="20"/>
                <w:szCs w:val="20"/>
                <w:color w:val="auto"/>
              </w:rPr>
            </w:pPr>
            <w:r>
              <w:rPr>
                <w:rFonts w:ascii="Arial" w:cs="Arial" w:eastAsia="Arial" w:hAnsi="Arial"/>
                <w:sz w:val="15"/>
                <w:szCs w:val="15"/>
                <w:color w:val="auto"/>
              </w:rPr>
              <w:t>Future payments under operating lease arrangements accounted for under ASC Topic 842 as of December 31, 2021 are as follows (in millions):</w:t>
            </w: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14"/>
        </w:trPr>
        <w:tc>
          <w:tcPr>
            <w:tcW w:w="10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58"/>
        </w:trPr>
        <w:tc>
          <w:tcPr>
            <w:tcW w:w="1000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r>
      <w:tr>
        <w:trPr>
          <w:trHeight w:val="155"/>
        </w:trPr>
        <w:tc>
          <w:tcPr>
            <w:tcW w:w="10000" w:type="dxa"/>
            <w:vAlign w:val="bottom"/>
          </w:tcPr>
          <w:p>
            <w:pPr>
              <w:spacing w:after="0"/>
              <w:rPr>
                <w:sz w:val="20"/>
                <w:szCs w:val="20"/>
                <w:color w:val="auto"/>
              </w:rPr>
            </w:pPr>
            <w:r>
              <w:rPr>
                <w:rFonts w:ascii="Arial" w:cs="Arial" w:eastAsia="Arial" w:hAnsi="Arial"/>
                <w:sz w:val="12"/>
                <w:szCs w:val="12"/>
                <w:color w:val="auto"/>
              </w:rPr>
              <w:t>2023</w:t>
            </w:r>
          </w:p>
        </w:tc>
        <w:tc>
          <w:tcPr>
            <w:tcW w:w="5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116</w:t>
            </w:r>
          </w:p>
        </w:tc>
      </w:tr>
      <w:tr>
        <w:trPr>
          <w:trHeight w:val="160"/>
        </w:trPr>
        <w:tc>
          <w:tcPr>
            <w:tcW w:w="1000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r>
      <w:tr>
        <w:trPr>
          <w:trHeight w:val="155"/>
        </w:trPr>
        <w:tc>
          <w:tcPr>
            <w:tcW w:w="10000" w:type="dxa"/>
            <w:vAlign w:val="bottom"/>
          </w:tcPr>
          <w:p>
            <w:pPr>
              <w:spacing w:after="0"/>
              <w:rPr>
                <w:sz w:val="20"/>
                <w:szCs w:val="20"/>
                <w:color w:val="auto"/>
              </w:rPr>
            </w:pPr>
            <w:r>
              <w:rPr>
                <w:rFonts w:ascii="Arial" w:cs="Arial" w:eastAsia="Arial" w:hAnsi="Arial"/>
                <w:sz w:val="12"/>
                <w:szCs w:val="12"/>
                <w:color w:val="auto"/>
              </w:rPr>
              <w:t>2025</w:t>
            </w:r>
          </w:p>
        </w:tc>
        <w:tc>
          <w:tcPr>
            <w:tcW w:w="5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60"/>
        </w:trPr>
        <w:tc>
          <w:tcPr>
            <w:tcW w:w="1000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r>
      <w:tr>
        <w:trPr>
          <w:trHeight w:val="155"/>
        </w:trPr>
        <w:tc>
          <w:tcPr>
            <w:tcW w:w="10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Thereafter</w:t>
            </w: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r>
      <w:tr>
        <w:trPr>
          <w:trHeight w:val="151"/>
        </w:trPr>
        <w:tc>
          <w:tcPr>
            <w:tcW w:w="10000" w:type="dxa"/>
            <w:vAlign w:val="bottom"/>
            <w:shd w:val="clear" w:color="auto" w:fill="CCEEFF"/>
          </w:tcPr>
          <w:p>
            <w:pPr>
              <w:spacing w:after="0"/>
              <w:rPr>
                <w:sz w:val="20"/>
                <w:szCs w:val="20"/>
                <w:color w:val="auto"/>
              </w:rPr>
            </w:pPr>
            <w:r>
              <w:rPr>
                <w:rFonts w:ascii="Arial" w:cs="Arial" w:eastAsia="Arial" w:hAnsi="Arial"/>
                <w:sz w:val="12"/>
                <w:szCs w:val="12"/>
                <w:color w:val="auto"/>
              </w:rPr>
              <w:t>Total operating lease payments, undiscounted</w:t>
            </w: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441</w:t>
            </w:r>
          </w:p>
        </w:tc>
      </w:tr>
      <w:tr>
        <w:trPr>
          <w:trHeight w:val="147"/>
        </w:trPr>
        <w:tc>
          <w:tcPr>
            <w:tcW w:w="10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present value discount</w:t>
            </w:r>
          </w:p>
        </w:tc>
        <w:tc>
          <w:tcPr>
            <w:tcW w:w="5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r>
      <w:tr>
        <w:trPr>
          <w:trHeight w:val="176"/>
        </w:trPr>
        <w:tc>
          <w:tcPr>
            <w:tcW w:w="10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Lease liability, at present value</w:t>
            </w: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414</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See Note K. </w:t>
      </w:r>
      <w:r>
        <w:rPr>
          <w:rFonts w:ascii="Arial" w:cs="Arial" w:eastAsia="Arial" w:hAnsi="Arial"/>
          <w:sz w:val="15"/>
          <w:szCs w:val="15"/>
          <w:i w:val="1"/>
          <w:iCs w:val="1"/>
          <w:color w:val="auto"/>
        </w:rPr>
        <w:t>Supplementary Cash Flow Information</w:t>
      </w:r>
      <w:r>
        <w:rPr>
          <w:rFonts w:ascii="Arial" w:cs="Arial" w:eastAsia="Arial" w:hAnsi="Arial"/>
          <w:sz w:val="15"/>
          <w:szCs w:val="15"/>
          <w:color w:val="auto"/>
        </w:rPr>
        <w:t xml:space="preserve"> for certain information on noncash investing and financing activities related to our operating lease arrangements.</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R - Property and Equipment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tcPr>
          <w:p>
            <w:pPr>
              <w:ind w:left="180"/>
              <w:spacing w:after="0"/>
              <w:rPr>
                <w:sz w:val="20"/>
                <w:szCs w:val="20"/>
                <w:color w:val="auto"/>
              </w:rPr>
            </w:pPr>
            <w:r>
              <w:rPr>
                <w:rFonts w:ascii="Arial" w:cs="Arial" w:eastAsia="Arial" w:hAnsi="Arial"/>
                <w:sz w:val="12"/>
                <w:szCs w:val="12"/>
                <w:color w:val="auto"/>
              </w:rPr>
              <w:t>Property and equipment consist of the following:</w:t>
            </w: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8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w w:val="97"/>
              </w:rPr>
              <w:t>December 31,</w:t>
            </w:r>
          </w:p>
        </w:tc>
        <w:tc>
          <w:tcPr>
            <w:tcW w:w="760" w:type="dxa"/>
            <w:vAlign w:val="bottom"/>
            <w:tcBorders>
              <w:bottom w:val="single" w:sz="8" w:color="auto"/>
            </w:tcBorders>
          </w:tcPr>
          <w:p>
            <w:pPr>
              <w:spacing w:after="0"/>
              <w:rPr>
                <w:sz w:val="14"/>
                <w:szCs w:val="14"/>
                <w:color w:val="auto"/>
              </w:rPr>
            </w:pPr>
          </w:p>
        </w:tc>
      </w:tr>
      <w:tr>
        <w:trPr>
          <w:trHeight w:val="153"/>
        </w:trPr>
        <w:tc>
          <w:tcPr>
            <w:tcW w:w="8840" w:type="dxa"/>
            <w:vAlign w:val="bottom"/>
          </w:tcPr>
          <w:p>
            <w:pPr>
              <w:spacing w:after="0"/>
              <w:rPr>
                <w:sz w:val="13"/>
                <w:szCs w:val="13"/>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2020</w:t>
            </w:r>
          </w:p>
        </w:tc>
      </w:tr>
      <w:tr>
        <w:trPr>
          <w:trHeight w:val="145"/>
        </w:trPr>
        <w:tc>
          <w:tcPr>
            <w:tcW w:w="8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(In millions)</w:t>
            </w:r>
          </w:p>
        </w:tc>
        <w:tc>
          <w:tcPr>
            <w:tcW w:w="760" w:type="dxa"/>
            <w:vAlign w:val="bottom"/>
          </w:tcPr>
          <w:p>
            <w:pPr>
              <w:spacing w:after="0"/>
              <w:rPr>
                <w:sz w:val="12"/>
                <w:szCs w:val="12"/>
                <w:color w:val="auto"/>
              </w:rPr>
            </w:pPr>
          </w:p>
        </w:tc>
      </w:tr>
      <w:tr>
        <w:trPr>
          <w:trHeight w:val="158"/>
        </w:trPr>
        <w:tc>
          <w:tcPr>
            <w:tcW w:w="8840" w:type="dxa"/>
            <w:vAlign w:val="bottom"/>
          </w:tcPr>
          <w:p>
            <w:pPr>
              <w:spacing w:after="0"/>
              <w:rPr>
                <w:sz w:val="20"/>
                <w:szCs w:val="20"/>
                <w:color w:val="auto"/>
              </w:rPr>
            </w:pPr>
            <w:r>
              <w:rPr>
                <w:rFonts w:ascii="Arial" w:cs="Arial" w:eastAsia="Arial" w:hAnsi="Arial"/>
                <w:sz w:val="12"/>
                <w:szCs w:val="12"/>
                <w:color w:val="auto"/>
              </w:rPr>
              <w:t>Furniture, fixtures and equipment</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239</w:t>
            </w:r>
          </w:p>
        </w:tc>
        <w:tc>
          <w:tcPr>
            <w:tcW w:w="10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230</w:t>
            </w:r>
          </w:p>
        </w:tc>
      </w:tr>
      <w:tr>
        <w:trPr>
          <w:trHeight w:val="16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Data processing equipment</w:t>
            </w: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w:t>
            </w:r>
          </w:p>
        </w:tc>
      </w:tr>
      <w:tr>
        <w:trPr>
          <w:trHeight w:val="155"/>
        </w:trPr>
        <w:tc>
          <w:tcPr>
            <w:tcW w:w="8840" w:type="dxa"/>
            <w:vAlign w:val="bottom"/>
          </w:tcPr>
          <w:p>
            <w:pPr>
              <w:spacing w:after="0"/>
              <w:rPr>
                <w:sz w:val="20"/>
                <w:szCs w:val="20"/>
                <w:color w:val="auto"/>
              </w:rPr>
            </w:pPr>
            <w:r>
              <w:rPr>
                <w:rFonts w:ascii="Arial" w:cs="Arial" w:eastAsia="Arial" w:hAnsi="Arial"/>
                <w:sz w:val="12"/>
                <w:szCs w:val="12"/>
                <w:color w:val="auto"/>
              </w:rPr>
              <w:t>Leasehold improvements</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115</w:t>
            </w:r>
          </w:p>
        </w:tc>
      </w:tr>
      <w:tr>
        <w:trPr>
          <w:trHeight w:val="160"/>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Buildings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55"/>
        </w:trPr>
        <w:tc>
          <w:tcPr>
            <w:tcW w:w="8840" w:type="dxa"/>
            <w:vAlign w:val="bottom"/>
          </w:tcPr>
          <w:p>
            <w:pPr>
              <w:spacing w:after="0"/>
              <w:rPr>
                <w:sz w:val="20"/>
                <w:szCs w:val="20"/>
                <w:color w:val="auto"/>
              </w:rPr>
            </w:pPr>
            <w:r>
              <w:rPr>
                <w:rFonts w:ascii="Arial" w:cs="Arial" w:eastAsia="Arial" w:hAnsi="Arial"/>
                <w:sz w:val="12"/>
                <w:szCs w:val="12"/>
                <w:color w:val="auto"/>
              </w:rPr>
              <w:t>Land</w:t>
            </w: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60"/>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7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r>
      <w:tr>
        <w:trPr>
          <w:trHeight w:val="147"/>
        </w:trPr>
        <w:tc>
          <w:tcPr>
            <w:tcW w:w="8840" w:type="dxa"/>
            <w:vAlign w:val="bottom"/>
          </w:tcPr>
          <w:p>
            <w:pPr>
              <w:ind w:left="100"/>
              <w:spacing w:after="0"/>
              <w:rPr>
                <w:sz w:val="20"/>
                <w:szCs w:val="20"/>
                <w:color w:val="auto"/>
              </w:rPr>
            </w:pPr>
            <w:r>
              <w:rPr>
                <w:rFonts w:ascii="Arial" w:cs="Arial" w:eastAsia="Arial" w:hAnsi="Arial"/>
                <w:sz w:val="12"/>
                <w:szCs w:val="12"/>
                <w:color w:val="auto"/>
              </w:rPr>
              <w:t>Total property and equipment, gross</w:t>
            </w:r>
          </w:p>
        </w:tc>
        <w:tc>
          <w:tcPr>
            <w:tcW w:w="7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668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628</w:t>
            </w:r>
          </w:p>
        </w:tc>
      </w:tr>
      <w:tr>
        <w:trPr>
          <w:trHeight w:val="158"/>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Accumulated depreciation and amortization</w:t>
            </w:r>
          </w:p>
        </w:tc>
        <w:tc>
          <w:tcPr>
            <w:tcW w:w="7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(448)</w:t>
            </w:r>
          </w:p>
        </w:tc>
      </w:tr>
      <w:tr>
        <w:trPr>
          <w:trHeight w:val="151"/>
        </w:trPr>
        <w:tc>
          <w:tcPr>
            <w:tcW w:w="8840" w:type="dxa"/>
            <w:vAlign w:val="bottom"/>
          </w:tcPr>
          <w:p>
            <w:pPr>
              <w:ind w:left="100"/>
              <w:spacing w:after="0"/>
              <w:rPr>
                <w:sz w:val="20"/>
                <w:szCs w:val="20"/>
                <w:color w:val="auto"/>
              </w:rPr>
            </w:pPr>
            <w:r>
              <w:rPr>
                <w:rFonts w:ascii="Arial" w:cs="Arial" w:eastAsia="Arial" w:hAnsi="Arial"/>
                <w:sz w:val="12"/>
                <w:szCs w:val="12"/>
                <w:color w:val="auto"/>
              </w:rPr>
              <w:t>Total property and equipment, net</w:t>
            </w:r>
          </w:p>
        </w:tc>
        <w:tc>
          <w:tcPr>
            <w:tcW w:w="76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w:t>
            </w:r>
          </w:p>
        </w:tc>
      </w:tr>
      <w:tr>
        <w:trPr>
          <w:trHeight w:val="20"/>
        </w:trPr>
        <w:tc>
          <w:tcPr>
            <w:tcW w:w="8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Depreciation expense on property and equipment was $45 million, $48 million, and $42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1" w:name="page162"/>
    <w:bookmarkEnd w:id="16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S - Accounts Payable and Other Accrued Liabilities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Accounts payable and other accrued liabilities consist of the following:</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December 31,</w:t>
            </w:r>
          </w:p>
        </w:tc>
        <w:tc>
          <w:tcPr>
            <w:tcW w:w="900" w:type="dxa"/>
            <w:vAlign w:val="bottom"/>
            <w:tcBorders>
              <w:bottom w:val="single" w:sz="8" w:color="auto"/>
            </w:tcBorders>
          </w:tcPr>
          <w:p>
            <w:pPr>
              <w:spacing w:after="0"/>
              <w:rPr>
                <w:sz w:val="14"/>
                <w:szCs w:val="14"/>
                <w:color w:val="auto"/>
              </w:rPr>
            </w:pPr>
          </w:p>
        </w:tc>
      </w:tr>
      <w:tr>
        <w:trPr>
          <w:trHeight w:val="153"/>
        </w:trPr>
        <w:tc>
          <w:tcPr>
            <w:tcW w:w="8500" w:type="dxa"/>
            <w:vAlign w:val="bottom"/>
          </w:tcPr>
          <w:p>
            <w:pPr>
              <w:spacing w:after="0"/>
              <w:rPr>
                <w:sz w:val="13"/>
                <w:szCs w:val="13"/>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2020</w:t>
            </w:r>
          </w:p>
        </w:tc>
      </w:tr>
      <w:tr>
        <w:trPr>
          <w:trHeight w:val="149"/>
        </w:trPr>
        <w:tc>
          <w:tcPr>
            <w:tcW w:w="8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(In millions)</w:t>
            </w:r>
          </w:p>
        </w:tc>
        <w:tc>
          <w:tcPr>
            <w:tcW w:w="900" w:type="dxa"/>
            <w:vAlign w:val="bottom"/>
          </w:tcPr>
          <w:p>
            <w:pPr>
              <w:spacing w:after="0"/>
              <w:rPr>
                <w:sz w:val="12"/>
                <w:szCs w:val="12"/>
                <w:color w:val="auto"/>
              </w:rPr>
            </w:pP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Salaries and incentives</w:t>
            </w:r>
          </w:p>
        </w:tc>
        <w:tc>
          <w:tcPr>
            <w:tcW w:w="880" w:type="dxa"/>
            <w:vAlign w:val="bottom"/>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w:t>
            </w:r>
          </w:p>
        </w:tc>
      </w:tr>
      <w:tr>
        <w:trPr>
          <w:trHeight w:val="155"/>
        </w:trPr>
        <w:tc>
          <w:tcPr>
            <w:tcW w:w="8500" w:type="dxa"/>
            <w:vAlign w:val="bottom"/>
          </w:tcPr>
          <w:p>
            <w:pPr>
              <w:spacing w:after="0"/>
              <w:rPr>
                <w:sz w:val="20"/>
                <w:szCs w:val="20"/>
                <w:color w:val="auto"/>
              </w:rPr>
            </w:pPr>
            <w:r>
              <w:rPr>
                <w:rFonts w:ascii="Arial" w:cs="Arial" w:eastAsia="Arial" w:hAnsi="Arial"/>
                <w:sz w:val="12"/>
                <w:szCs w:val="12"/>
                <w:color w:val="auto"/>
              </w:rPr>
              <w:t>Accrued benefits</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447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373</w:t>
            </w:r>
          </w:p>
        </w:tc>
      </w:tr>
      <w:tr>
        <w:trPr>
          <w:trHeight w:val="160"/>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r>
      <w:tr>
        <w:trPr>
          <w:trHeight w:val="155"/>
        </w:trPr>
        <w:tc>
          <w:tcPr>
            <w:tcW w:w="8500" w:type="dxa"/>
            <w:vAlign w:val="bottom"/>
          </w:tcPr>
          <w:p>
            <w:pPr>
              <w:spacing w:after="0"/>
              <w:rPr>
                <w:sz w:val="20"/>
                <w:szCs w:val="20"/>
                <w:color w:val="auto"/>
              </w:rPr>
            </w:pPr>
            <w:r>
              <w:rPr>
                <w:rFonts w:ascii="Arial" w:cs="Arial" w:eastAsia="Arial" w:hAnsi="Arial"/>
                <w:sz w:val="12"/>
                <w:szCs w:val="12"/>
                <w:color w:val="auto"/>
              </w:rPr>
              <w:t>Contingent consideration - acquisitions</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60"/>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Trade accounts payable</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r>
      <w:tr>
        <w:trPr>
          <w:trHeight w:val="155"/>
        </w:trPr>
        <w:tc>
          <w:tcPr>
            <w:tcW w:w="8500" w:type="dxa"/>
            <w:vAlign w:val="bottom"/>
          </w:tcPr>
          <w:p>
            <w:pPr>
              <w:spacing w:after="0"/>
              <w:rPr>
                <w:sz w:val="20"/>
                <w:szCs w:val="20"/>
                <w:color w:val="auto"/>
              </w:rPr>
            </w:pPr>
            <w:r>
              <w:rPr>
                <w:rFonts w:ascii="Arial" w:cs="Arial" w:eastAsia="Arial" w:hAnsi="Arial"/>
                <w:sz w:val="12"/>
                <w:szCs w:val="12"/>
                <w:color w:val="auto"/>
              </w:rPr>
              <w:t>Accrued recording fees and transfer taxes</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60"/>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Accrued premium taxes</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r>
      <w:tr>
        <w:trPr>
          <w:trHeight w:val="155"/>
        </w:trPr>
        <w:tc>
          <w:tcPr>
            <w:tcW w:w="8500" w:type="dxa"/>
            <w:vAlign w:val="bottom"/>
          </w:tcPr>
          <w:p>
            <w:pPr>
              <w:spacing w:after="0"/>
              <w:rPr>
                <w:sz w:val="20"/>
                <w:szCs w:val="20"/>
                <w:color w:val="auto"/>
              </w:rPr>
            </w:pPr>
            <w:r>
              <w:rPr>
                <w:rFonts w:ascii="Arial" w:cs="Arial" w:eastAsia="Arial" w:hAnsi="Arial"/>
                <w:sz w:val="12"/>
                <w:szCs w:val="12"/>
                <w:color w:val="auto"/>
              </w:rPr>
              <w:t>Liability for policy and contract claims</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60"/>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Retained asset account</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r>
      <w:tr>
        <w:trPr>
          <w:trHeight w:val="155"/>
        </w:trPr>
        <w:tc>
          <w:tcPr>
            <w:tcW w:w="8500" w:type="dxa"/>
            <w:vAlign w:val="bottom"/>
          </w:tcPr>
          <w:p>
            <w:pPr>
              <w:spacing w:after="0"/>
              <w:rPr>
                <w:sz w:val="20"/>
                <w:szCs w:val="20"/>
                <w:color w:val="auto"/>
              </w:rPr>
            </w:pPr>
            <w:r>
              <w:rPr>
                <w:rFonts w:ascii="Arial" w:cs="Arial" w:eastAsia="Arial" w:hAnsi="Arial"/>
                <w:sz w:val="12"/>
                <w:szCs w:val="12"/>
                <w:color w:val="auto"/>
              </w:rPr>
              <w:t>Remittances and items not allocated</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158</w:t>
            </w:r>
          </w:p>
        </w:tc>
      </w:tr>
      <w:tr>
        <w:trPr>
          <w:trHeight w:val="160"/>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Option collateral liabilities</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w:t>
            </w:r>
          </w:p>
        </w:tc>
      </w:tr>
      <w:tr>
        <w:trPr>
          <w:trHeight w:val="155"/>
        </w:trPr>
        <w:tc>
          <w:tcPr>
            <w:tcW w:w="8500" w:type="dxa"/>
            <w:vAlign w:val="bottom"/>
          </w:tcPr>
          <w:p>
            <w:pPr>
              <w:spacing w:after="0"/>
              <w:rPr>
                <w:sz w:val="20"/>
                <w:szCs w:val="20"/>
                <w:color w:val="auto"/>
              </w:rPr>
            </w:pPr>
            <w:r>
              <w:rPr>
                <w:rFonts w:ascii="Arial" w:cs="Arial" w:eastAsia="Arial" w:hAnsi="Arial"/>
                <w:sz w:val="12"/>
                <w:szCs w:val="12"/>
                <w:color w:val="auto"/>
              </w:rPr>
              <w:t>Funds withheld embedded derivative</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Other accrued liabilities</w:t>
            </w:r>
          </w:p>
        </w:tc>
        <w:tc>
          <w:tcPr>
            <w:tcW w:w="8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391</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w:t>
            </w:r>
          </w:p>
        </w:tc>
      </w:tr>
      <w:tr>
        <w:trPr>
          <w:trHeight w:val="149"/>
        </w:trPr>
        <w:tc>
          <w:tcPr>
            <w:tcW w:w="8500" w:type="dxa"/>
            <w:vAlign w:val="bottom"/>
          </w:tcPr>
          <w:p>
            <w:pPr>
              <w:spacing w:after="0"/>
              <w:rPr>
                <w:sz w:val="12"/>
                <w:szCs w:val="12"/>
                <w:color w:val="auto"/>
              </w:rPr>
            </w:pPr>
          </w:p>
        </w:tc>
        <w:tc>
          <w:tcPr>
            <w:tcW w:w="88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2,696</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2,402</w:t>
            </w:r>
          </w:p>
        </w:tc>
      </w:tr>
      <w:tr>
        <w:trPr>
          <w:trHeight w:val="20"/>
        </w:trPr>
        <w:tc>
          <w:tcPr>
            <w:tcW w:w="8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2" w:name="page163"/>
    <w:bookmarkEnd w:id="16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T — Income Taxes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Income tax expense (benefit) on continuing operations consists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2"/>
                <w:szCs w:val="12"/>
                <w:b w:val="1"/>
                <w:bCs w:val="1"/>
                <w:color w:val="auto"/>
                <w:w w:val="90"/>
              </w:rPr>
              <w:t>Year Ended December 31,</w:t>
            </w:r>
          </w:p>
        </w:tc>
        <w:tc>
          <w:tcPr>
            <w:tcW w:w="840" w:type="dxa"/>
            <w:vAlign w:val="bottom"/>
            <w:tcBorders>
              <w:bottom w:val="single" w:sz="8" w:color="auto"/>
            </w:tcBorders>
          </w:tcPr>
          <w:p>
            <w:pPr>
              <w:spacing w:after="0"/>
              <w:rPr>
                <w:sz w:val="14"/>
                <w:szCs w:val="14"/>
                <w:color w:val="auto"/>
              </w:rPr>
            </w:pPr>
          </w:p>
        </w:tc>
      </w:tr>
      <w:tr>
        <w:trPr>
          <w:trHeight w:val="153"/>
        </w:trPr>
        <w:tc>
          <w:tcPr>
            <w:tcW w:w="7760" w:type="dxa"/>
            <w:vAlign w:val="bottom"/>
          </w:tcPr>
          <w:p>
            <w:pPr>
              <w:spacing w:after="0"/>
              <w:rPr>
                <w:sz w:val="13"/>
                <w:szCs w:val="13"/>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2019</w:t>
            </w:r>
          </w:p>
        </w:tc>
      </w:tr>
      <w:tr>
        <w:trPr>
          <w:trHeight w:val="149"/>
        </w:trPr>
        <w:tc>
          <w:tcPr>
            <w:tcW w:w="7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(In millions)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8"/>
        </w:trPr>
        <w:tc>
          <w:tcPr>
            <w:tcW w:w="7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w:t>
            </w:r>
          </w:p>
        </w:tc>
        <w:tc>
          <w:tcPr>
            <w:tcW w:w="76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2"/>
                <w:szCs w:val="12"/>
                <w:color w:val="auto"/>
              </w:rPr>
              <w:t>379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w:t>
            </w:r>
          </w:p>
        </w:tc>
      </w:tr>
      <w:tr>
        <w:trPr>
          <w:trHeight w:val="155"/>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Deferred</w:t>
            </w:r>
          </w:p>
        </w:tc>
        <w:tc>
          <w:tcPr>
            <w:tcW w:w="7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2"/>
                <w:szCs w:val="12"/>
                <w:color w:val="auto"/>
              </w:rPr>
              <w:t>(57)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r>
      <w:tr>
        <w:trPr>
          <w:trHeight w:val="174"/>
        </w:trPr>
        <w:tc>
          <w:tcPr>
            <w:tcW w:w="77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713</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rPr>
              <w:t>322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Total income tax expense was allocated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2"/>
                <w:szCs w:val="12"/>
                <w:b w:val="1"/>
                <w:bCs w:val="1"/>
                <w:color w:val="auto"/>
                <w:w w:val="90"/>
              </w:rPr>
              <w:t>Year Ended December 31,</w:t>
            </w:r>
          </w:p>
        </w:tc>
        <w:tc>
          <w:tcPr>
            <w:tcW w:w="840" w:type="dxa"/>
            <w:vAlign w:val="bottom"/>
            <w:tcBorders>
              <w:bottom w:val="single" w:sz="8" w:color="auto"/>
            </w:tcBorders>
          </w:tcPr>
          <w:p>
            <w:pPr>
              <w:spacing w:after="0"/>
              <w:rPr>
                <w:sz w:val="14"/>
                <w:szCs w:val="14"/>
                <w:color w:val="auto"/>
              </w:rPr>
            </w:pPr>
          </w:p>
        </w:tc>
      </w:tr>
      <w:tr>
        <w:trPr>
          <w:trHeight w:val="145"/>
        </w:trPr>
        <w:tc>
          <w:tcPr>
            <w:tcW w:w="77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60"/>
              <w:spacing w:after="0"/>
              <w:rPr>
                <w:sz w:val="20"/>
                <w:szCs w:val="20"/>
                <w:color w:val="auto"/>
              </w:rPr>
            </w:pPr>
            <w:r>
              <w:rPr>
                <w:rFonts w:ascii="Arial" w:cs="Arial" w:eastAsia="Arial" w:hAnsi="Arial"/>
                <w:sz w:val="12"/>
                <w:szCs w:val="12"/>
                <w:b w:val="1"/>
                <w:bCs w:val="1"/>
                <w:color w:val="auto"/>
              </w:rPr>
              <w:t>2019</w:t>
            </w:r>
          </w:p>
        </w:tc>
      </w:tr>
      <w:tr>
        <w:trPr>
          <w:trHeight w:val="162"/>
        </w:trPr>
        <w:tc>
          <w:tcPr>
            <w:tcW w:w="7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(In millions)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7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earnings from continuing operations</w:t>
            </w: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w:t>
            </w:r>
          </w:p>
        </w:tc>
      </w:tr>
      <w:tr>
        <w:trPr>
          <w:trHeight w:val="155"/>
        </w:trPr>
        <w:tc>
          <w:tcPr>
            <w:tcW w:w="7760" w:type="dxa"/>
            <w:vAlign w:val="bottom"/>
          </w:tcPr>
          <w:p>
            <w:pPr>
              <w:ind w:left="20"/>
              <w:spacing w:after="0"/>
              <w:rPr>
                <w:sz w:val="20"/>
                <w:szCs w:val="20"/>
                <w:color w:val="auto"/>
              </w:rPr>
            </w:pPr>
            <w:r>
              <w:rPr>
                <w:rFonts w:ascii="Arial" w:cs="Arial" w:eastAsia="Arial" w:hAnsi="Arial"/>
                <w:sz w:val="12"/>
                <w:szCs w:val="12"/>
                <w:color w:val="auto"/>
              </w:rPr>
              <w:t>Other comprehensive (loss) earnings:</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0"/>
        </w:trPr>
        <w:tc>
          <w:tcPr>
            <w:tcW w:w="7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Unrealized (loss) gain on investments and other financial instruments</w:t>
            </w: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r>
        <w:trPr>
          <w:trHeight w:val="155"/>
        </w:trPr>
        <w:tc>
          <w:tcPr>
            <w:tcW w:w="7760" w:type="dxa"/>
            <w:vAlign w:val="bottom"/>
          </w:tcPr>
          <w:p>
            <w:pPr>
              <w:ind w:left="180"/>
              <w:spacing w:after="0"/>
              <w:rPr>
                <w:sz w:val="20"/>
                <w:szCs w:val="20"/>
                <w:color w:val="auto"/>
              </w:rPr>
            </w:pPr>
            <w:r>
              <w:rPr>
                <w:rFonts w:ascii="Arial" w:cs="Arial" w:eastAsia="Arial" w:hAnsi="Arial"/>
                <w:sz w:val="12"/>
                <w:szCs w:val="12"/>
                <w:color w:val="auto"/>
              </w:rPr>
              <w:t>Unrealized gain on foreign currency translation and cash flow hedging</w:t>
            </w:r>
          </w:p>
        </w:tc>
        <w:tc>
          <w:tcPr>
            <w:tcW w:w="7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60"/>
        </w:trPr>
        <w:tc>
          <w:tcPr>
            <w:tcW w:w="7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Minimum pension liability adjustment</w:t>
            </w:r>
          </w:p>
        </w:tc>
        <w:tc>
          <w:tcPr>
            <w:tcW w:w="7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7760" w:type="dxa"/>
            <w:vAlign w:val="bottom"/>
          </w:tcPr>
          <w:p>
            <w:pPr>
              <w:ind w:left="20"/>
              <w:spacing w:after="0"/>
              <w:rPr>
                <w:sz w:val="20"/>
                <w:szCs w:val="20"/>
                <w:color w:val="auto"/>
              </w:rPr>
            </w:pPr>
            <w:r>
              <w:rPr>
                <w:rFonts w:ascii="Arial" w:cs="Arial" w:eastAsia="Arial" w:hAnsi="Arial"/>
                <w:sz w:val="12"/>
                <w:szCs w:val="12"/>
                <w:color w:val="auto"/>
              </w:rPr>
              <w:t>Total income tax (benefit) expense allocated to other comprehensive earnings</w:t>
            </w:r>
          </w:p>
        </w:tc>
        <w:tc>
          <w:tcPr>
            <w:tcW w:w="7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(143)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80"/>
        </w:trPr>
        <w:tc>
          <w:tcPr>
            <w:tcW w:w="7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income taxes</w:t>
            </w: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 reconciliation of the federal statutory rate to our effective tax rate is as follows:</w:t>
      </w:r>
    </w:p>
    <w:p>
      <w:pPr>
        <w:spacing w:after="0" w:line="33" w:lineRule="exact"/>
        <w:rPr>
          <w:sz w:val="20"/>
          <w:szCs w:val="20"/>
          <w:color w:val="auto"/>
        </w:rPr>
      </w:pPr>
    </w:p>
    <w:p>
      <w:pPr>
        <w:ind w:left="8700"/>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2019</w:t>
            </w:r>
          </w:p>
        </w:tc>
      </w:tr>
      <w:tr>
        <w:trPr>
          <w:trHeight w:val="149"/>
        </w:trPr>
        <w:tc>
          <w:tcPr>
            <w:tcW w:w="7520" w:type="dxa"/>
            <w:vAlign w:val="bottom"/>
            <w:shd w:val="clear" w:color="auto" w:fill="CCEEFF"/>
          </w:tcPr>
          <w:p>
            <w:pPr>
              <w:spacing w:after="0"/>
              <w:rPr>
                <w:sz w:val="20"/>
                <w:szCs w:val="20"/>
                <w:color w:val="auto"/>
              </w:rPr>
            </w:pPr>
            <w:r>
              <w:rPr>
                <w:rFonts w:ascii="Arial" w:cs="Arial" w:eastAsia="Arial" w:hAnsi="Arial"/>
                <w:sz w:val="12"/>
                <w:szCs w:val="12"/>
                <w:color w:val="auto"/>
              </w:rPr>
              <w:t>Federal statutory rate</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r>
      <w:tr>
        <w:trPr>
          <w:trHeight w:val="155"/>
        </w:trPr>
        <w:tc>
          <w:tcPr>
            <w:tcW w:w="8280" w:type="dxa"/>
            <w:vAlign w:val="bottom"/>
            <w:gridSpan w:val="2"/>
          </w:tcPr>
          <w:p>
            <w:pPr>
              <w:spacing w:after="0"/>
              <w:rPr>
                <w:sz w:val="20"/>
                <w:szCs w:val="20"/>
                <w:color w:val="auto"/>
              </w:rPr>
            </w:pPr>
            <w:r>
              <w:rPr>
                <w:rFonts w:ascii="Arial" w:cs="Arial" w:eastAsia="Arial" w:hAnsi="Arial"/>
                <w:sz w:val="12"/>
                <w:szCs w:val="12"/>
                <w:color w:val="auto"/>
              </w:rPr>
              <w:t>State income taxes, net of federal benefit</w:t>
            </w: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1.7</w:t>
            </w:r>
          </w:p>
        </w:tc>
      </w:tr>
      <w:tr>
        <w:trPr>
          <w:trHeight w:val="160"/>
        </w:trPr>
        <w:tc>
          <w:tcPr>
            <w:tcW w:w="8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 compensation</w:t>
            </w: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(0.8)</w:t>
            </w:r>
          </w:p>
        </w:tc>
      </w:tr>
      <w:tr>
        <w:trPr>
          <w:trHeight w:val="155"/>
        </w:trPr>
        <w:tc>
          <w:tcPr>
            <w:tcW w:w="8280" w:type="dxa"/>
            <w:vAlign w:val="bottom"/>
            <w:gridSpan w:val="2"/>
          </w:tcPr>
          <w:p>
            <w:pPr>
              <w:spacing w:after="0"/>
              <w:rPr>
                <w:sz w:val="20"/>
                <w:szCs w:val="20"/>
                <w:color w:val="auto"/>
              </w:rPr>
            </w:pPr>
            <w:r>
              <w:rPr>
                <w:rFonts w:ascii="Arial" w:cs="Arial" w:eastAsia="Arial" w:hAnsi="Arial"/>
                <w:sz w:val="12"/>
                <w:szCs w:val="12"/>
                <w:color w:val="auto"/>
              </w:rPr>
              <w:t>Tax credits</w:t>
            </w: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3"/>
                <w:szCs w:val="13"/>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3"/>
                <w:szCs w:val="13"/>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(0.1)</w:t>
            </w:r>
          </w:p>
        </w:tc>
      </w:tr>
      <w:tr>
        <w:trPr>
          <w:trHeight w:val="160"/>
        </w:trPr>
        <w:tc>
          <w:tcPr>
            <w:tcW w:w="8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Consolidated partnerships</w:t>
            </w: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(0.2)</w:t>
            </w:r>
          </w:p>
        </w:tc>
      </w:tr>
      <w:tr>
        <w:trPr>
          <w:trHeight w:val="155"/>
        </w:trPr>
        <w:tc>
          <w:tcPr>
            <w:tcW w:w="8280" w:type="dxa"/>
            <w:vAlign w:val="bottom"/>
            <w:gridSpan w:val="2"/>
          </w:tcPr>
          <w:p>
            <w:pPr>
              <w:spacing w:after="0"/>
              <w:rPr>
                <w:sz w:val="20"/>
                <w:szCs w:val="20"/>
                <w:color w:val="auto"/>
              </w:rPr>
            </w:pPr>
            <w:r>
              <w:rPr>
                <w:rFonts w:ascii="Arial" w:cs="Arial" w:eastAsia="Arial" w:hAnsi="Arial"/>
                <w:sz w:val="12"/>
                <w:szCs w:val="12"/>
                <w:color w:val="auto"/>
              </w:rPr>
              <w:t>Tax gain on parent shares held</w:t>
            </w: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60"/>
        </w:trPr>
        <w:tc>
          <w:tcPr>
            <w:tcW w:w="8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Valuation allowance for deferred tax assets</w:t>
            </w: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5"/>
        </w:trPr>
        <w:tc>
          <w:tcPr>
            <w:tcW w:w="8280" w:type="dxa"/>
            <w:vAlign w:val="bottom"/>
            <w:gridSpan w:val="2"/>
          </w:tcPr>
          <w:p>
            <w:pPr>
              <w:spacing w:after="0"/>
              <w:rPr>
                <w:sz w:val="20"/>
                <w:szCs w:val="20"/>
                <w:color w:val="auto"/>
              </w:rPr>
            </w:pPr>
            <w:r>
              <w:rPr>
                <w:rFonts w:ascii="Arial" w:cs="Arial" w:eastAsia="Arial" w:hAnsi="Arial"/>
                <w:sz w:val="12"/>
                <w:szCs w:val="12"/>
                <w:color w:val="auto"/>
              </w:rPr>
              <w:t>Change in tax status benefit</w:t>
            </w:r>
          </w:p>
        </w:tc>
        <w:tc>
          <w:tcPr>
            <w:tcW w:w="5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58"/>
        </w:trPr>
        <w:tc>
          <w:tcPr>
            <w:tcW w:w="7520" w:type="dxa"/>
            <w:vAlign w:val="bottom"/>
            <w:shd w:val="clear" w:color="auto" w:fill="CCEEFF"/>
          </w:tcPr>
          <w:p>
            <w:pPr>
              <w:spacing w:after="0"/>
              <w:rPr>
                <w:sz w:val="20"/>
                <w:szCs w:val="20"/>
                <w:color w:val="auto"/>
              </w:rPr>
            </w:pPr>
            <w:r>
              <w:rPr>
                <w:rFonts w:ascii="Arial" w:cs="Arial" w:eastAsia="Arial" w:hAnsi="Arial"/>
                <w:sz w:val="12"/>
                <w:szCs w:val="12"/>
                <w:color w:val="auto"/>
              </w:rPr>
              <w:t>Non-deductible expenses and other, net</w:t>
            </w:r>
          </w:p>
        </w:tc>
        <w:tc>
          <w:tcPr>
            <w:tcW w:w="7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0.8</w:t>
            </w:r>
          </w:p>
        </w:tc>
        <w:tc>
          <w:tcPr>
            <w:tcW w:w="12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0.9</w:t>
            </w:r>
          </w:p>
        </w:tc>
      </w:tr>
      <w:tr>
        <w:trPr>
          <w:trHeight w:val="151"/>
        </w:trPr>
        <w:tc>
          <w:tcPr>
            <w:tcW w:w="8280" w:type="dxa"/>
            <w:vAlign w:val="bottom"/>
            <w:gridSpan w:val="2"/>
          </w:tcPr>
          <w:p>
            <w:pPr>
              <w:ind w:left="100"/>
              <w:spacing w:after="0"/>
              <w:rPr>
                <w:sz w:val="20"/>
                <w:szCs w:val="20"/>
                <w:color w:val="auto"/>
              </w:rPr>
            </w:pPr>
            <w:r>
              <w:rPr>
                <w:rFonts w:ascii="Arial" w:cs="Arial" w:eastAsia="Arial" w:hAnsi="Arial"/>
                <w:sz w:val="12"/>
                <w:szCs w:val="12"/>
                <w:color w:val="auto"/>
              </w:rPr>
              <w:t>Effective tax rate</w:t>
            </w:r>
          </w:p>
        </w:tc>
        <w:tc>
          <w:tcPr>
            <w:tcW w:w="400" w:type="dxa"/>
            <w:vAlign w:val="bottom"/>
          </w:tcPr>
          <w:p>
            <w:pPr>
              <w:jc w:val="right"/>
              <w:spacing w:after="0"/>
              <w:rPr>
                <w:sz w:val="20"/>
                <w:szCs w:val="20"/>
                <w:color w:val="auto"/>
              </w:rPr>
            </w:pPr>
            <w:r>
              <w:rPr>
                <w:rFonts w:ascii="Arial" w:cs="Arial" w:eastAsia="Arial" w:hAnsi="Arial"/>
                <w:sz w:val="12"/>
                <w:szCs w:val="12"/>
                <w:color w:val="auto"/>
              </w:rPr>
              <w:t>23.1 %</w:t>
            </w: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18.0 %</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22.5 %</w:t>
            </w:r>
          </w:p>
        </w:tc>
      </w:tr>
      <w:tr>
        <w:trPr>
          <w:trHeight w:val="20"/>
        </w:trPr>
        <w:tc>
          <w:tcPr>
            <w:tcW w:w="7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3" w:name="page164"/>
    <w:bookmarkEnd w:id="16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significant components of deferred tax assets and liabilities consist of the following:</w:t>
      </w:r>
    </w:p>
    <w:p>
      <w:pPr>
        <w:spacing w:after="0" w:line="3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December 31,</w:t>
            </w:r>
          </w:p>
        </w:tc>
        <w:tc>
          <w:tcPr>
            <w:tcW w:w="560" w:type="dxa"/>
            <w:vAlign w:val="bottom"/>
            <w:tcBorders>
              <w:bottom w:val="single" w:sz="8" w:color="auto"/>
            </w:tcBorders>
          </w:tcPr>
          <w:p>
            <w:pPr>
              <w:spacing w:after="0"/>
              <w:rPr>
                <w:sz w:val="14"/>
                <w:szCs w:val="14"/>
                <w:color w:val="auto"/>
              </w:rPr>
            </w:pPr>
          </w:p>
        </w:tc>
      </w:tr>
      <w:tr>
        <w:trPr>
          <w:trHeight w:val="153"/>
        </w:trPr>
        <w:tc>
          <w:tcPr>
            <w:tcW w:w="85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2020</w:t>
            </w:r>
          </w:p>
        </w:tc>
      </w:tr>
      <w:tr>
        <w:trPr>
          <w:trHeight w:val="149"/>
        </w:trPr>
        <w:tc>
          <w:tcPr>
            <w:tcW w:w="8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(In millions)</w:t>
            </w:r>
          </w:p>
        </w:tc>
        <w:tc>
          <w:tcPr>
            <w:tcW w:w="560" w:type="dxa"/>
            <w:vAlign w:val="bottom"/>
          </w:tcPr>
          <w:p>
            <w:pPr>
              <w:spacing w:after="0"/>
              <w:rPr>
                <w:sz w:val="12"/>
                <w:szCs w:val="12"/>
                <w:color w:val="auto"/>
              </w:rPr>
            </w:pPr>
          </w:p>
        </w:tc>
      </w:tr>
      <w:tr>
        <w:trPr>
          <w:trHeight w:val="158"/>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Deferred Tax Assets:</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Employee benefit accruals</w:t>
            </w:r>
          </w:p>
        </w:tc>
        <w:tc>
          <w:tcPr>
            <w:tcW w:w="90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3"/>
                <w:szCs w:val="13"/>
                <w:color w:val="auto"/>
              </w:rPr>
            </w:pPr>
          </w:p>
        </w:tc>
        <w:tc>
          <w:tcPr>
            <w:tcW w:w="56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Net operating loss carryforwards</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Accrued liabilities</w:t>
            </w: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Allowance for uncollectible accounts receivable</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Pension plan</w:t>
            </w: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Tax credits</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State income taxes</w:t>
            </w: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Capital loss carryover</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Basis difference held-for-sale</w:t>
            </w:r>
          </w:p>
        </w:tc>
        <w:tc>
          <w:tcPr>
            <w:tcW w:w="90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Life insurance and claim related adjustments</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Funds held under reinsurance agreements</w:t>
            </w: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w:t>
            </w:r>
          </w:p>
        </w:tc>
        <w:tc>
          <w:tcPr>
            <w:tcW w:w="9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r>
      <w:tr>
        <w:trPr>
          <w:trHeight w:val="147"/>
        </w:trPr>
        <w:tc>
          <w:tcPr>
            <w:tcW w:w="8580" w:type="dxa"/>
            <w:vAlign w:val="bottom"/>
          </w:tcPr>
          <w:p>
            <w:pPr>
              <w:ind w:left="460"/>
              <w:spacing w:after="0"/>
              <w:rPr>
                <w:sz w:val="20"/>
                <w:szCs w:val="20"/>
                <w:color w:val="auto"/>
              </w:rPr>
            </w:pPr>
            <w:r>
              <w:rPr>
                <w:rFonts w:ascii="Arial" w:cs="Arial" w:eastAsia="Arial" w:hAnsi="Arial"/>
                <w:sz w:val="12"/>
                <w:szCs w:val="12"/>
                <w:color w:val="auto"/>
              </w:rPr>
              <w:t>Total gross deferred tax asset</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9"/>
              </w:rPr>
              <w:t>1,211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60"/>
        </w:trPr>
        <w:tc>
          <w:tcPr>
            <w:tcW w:w="85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Less: valuation allowance</w:t>
            </w:r>
          </w:p>
        </w:tc>
        <w:tc>
          <w:tcPr>
            <w:tcW w:w="9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r>
      <w:tr>
        <w:trPr>
          <w:trHeight w:val="147"/>
        </w:trPr>
        <w:tc>
          <w:tcPr>
            <w:tcW w:w="858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Total deferred tax asset</w:t>
            </w:r>
          </w:p>
        </w:tc>
        <w:tc>
          <w:tcPr>
            <w:tcW w:w="9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1,178</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r>
      <w:tr>
        <w:trPr>
          <w:trHeight w:val="151"/>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Deferred Tax Liabilities:</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Title plant</w:t>
            </w:r>
          </w:p>
        </w:tc>
        <w:tc>
          <w:tcPr>
            <w:tcW w:w="90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c>
          <w:tcPr>
            <w:tcW w:w="56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Amortization of goodwill and intangible assets</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Other investments</w:t>
            </w:r>
          </w:p>
        </w:tc>
        <w:tc>
          <w:tcPr>
            <w:tcW w:w="90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Investment securities</w:t>
            </w: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(401)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Depreciation</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Partnerships</w:t>
            </w: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(182)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Value of business acquired</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Derivatives</w:t>
            </w: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Deferred acquisition costs</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5"/>
        </w:trPr>
        <w:tc>
          <w:tcPr>
            <w:tcW w:w="8580" w:type="dxa"/>
            <w:vAlign w:val="bottom"/>
          </w:tcPr>
          <w:p>
            <w:pPr>
              <w:ind w:left="280"/>
              <w:spacing w:after="0"/>
              <w:rPr>
                <w:sz w:val="20"/>
                <w:szCs w:val="20"/>
                <w:color w:val="auto"/>
              </w:rPr>
            </w:pPr>
            <w:r>
              <w:rPr>
                <w:rFonts w:ascii="Arial" w:cs="Arial" w:eastAsia="Arial" w:hAnsi="Arial"/>
                <w:sz w:val="12"/>
                <w:szCs w:val="12"/>
                <w:color w:val="auto"/>
              </w:rPr>
              <w:t>Transition reserve on new reserve method</w:t>
            </w: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Funds held under reinsurance agreements</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Title Insurance reserve discounting</w:t>
            </w:r>
          </w:p>
        </w:tc>
        <w:tc>
          <w:tcPr>
            <w:tcW w:w="9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9"/>
        </w:trPr>
        <w:tc>
          <w:tcPr>
            <w:tcW w:w="85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deferred tax liability</w:t>
            </w:r>
          </w:p>
        </w:tc>
        <w:tc>
          <w:tcPr>
            <w:tcW w:w="90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(1,383)</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51"/>
        </w:trPr>
        <w:tc>
          <w:tcPr>
            <w:tcW w:w="8580" w:type="dxa"/>
            <w:vAlign w:val="bottom"/>
          </w:tcPr>
          <w:p>
            <w:pPr>
              <w:ind w:left="460"/>
              <w:spacing w:after="0"/>
              <w:rPr>
                <w:sz w:val="20"/>
                <w:szCs w:val="20"/>
                <w:color w:val="auto"/>
              </w:rPr>
            </w:pPr>
            <w:r>
              <w:rPr>
                <w:rFonts w:ascii="Arial" w:cs="Arial" w:eastAsia="Arial" w:hAnsi="Arial"/>
                <w:sz w:val="12"/>
                <w:szCs w:val="12"/>
                <w:color w:val="auto"/>
              </w:rPr>
              <w:t>Net deferred tax liability</w:t>
            </w:r>
          </w:p>
        </w:tc>
        <w:tc>
          <w:tcPr>
            <w:tcW w:w="9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right="80" w:firstLine="270"/>
        <w:spacing w:after="0" w:line="253" w:lineRule="auto"/>
        <w:rPr>
          <w:sz w:val="20"/>
          <w:szCs w:val="20"/>
          <w:color w:val="auto"/>
        </w:rPr>
      </w:pPr>
      <w:r>
        <w:rPr>
          <w:rFonts w:ascii="Arial" w:cs="Arial" w:eastAsia="Arial" w:hAnsi="Arial"/>
          <w:sz w:val="15"/>
          <w:szCs w:val="15"/>
          <w:color w:val="auto"/>
        </w:rPr>
        <w:t>Our net deferred tax liability was $205 million and $292 million as of December 31, 2021 and 2020, respectively. The significant changes in the deferred taxes are as follows: the deferred tax liability for investment securities decreased by $200 million primarily due to unrealized losses recorded on investment securities, of which $97 million was related to unrealized losses in our Title segment and $103 million was related to unrealized losses in our F&amp;G segment's life insurance business. The deferred tax liability relating to partnerships increased by $99 million, primarily due to increased investments in higher yield partnerships by F&amp;G and the related unrealized gains. The F&amp;G segment's life insurance business’ deferred tax liability relating to VOBA decreased by $59 million due to GAAP amortization. The deferred tax liability related to deferred acquisition costs increased by $96 million, which is consistent with the growth in sales in our F&amp;G segment. The deferred tax liability relating to derivatives in our F&amp;G segment increased by $30 million due to unrealized gains on call options. The deferred tax asset related to credit carryovers increased by $18 million, of which $11 million related to our F&amp;G segment's life insurance business and $7 million related to Title segment. The deferred tax asset for basis differences held-for-sale was reduced by $19 million due to the sale of an F&amp;G entity. The reinsurance receivable deferred tax asset decreased by $33 million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164" w:name="page165"/>
    <w:bookmarkEnd w:id="16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and the reinsurance receivable deferred tax liability increased by $16 million, both due to unrealized gains in the funds withheld portfolios within our F&amp;G segment.</w:t>
      </w:r>
    </w:p>
    <w:p>
      <w:pPr>
        <w:spacing w:after="0" w:line="8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As of December 31, 2021, we have net operating losses ("NOLs") on a pretax basis of $129 million, of which $53 million related to our Title segment and $76 million related to our F&amp;G segment's life insurance business, which are available to carryforward and offset future federal taxable income. The NOLs are U.S. federal NOLs arising from acquisitions made since 2012, including Buyers Protection Group, Inc., Digital Insurance Holdings, Inc., ServiceLink/THL Corporations and F&amp;G. Most of the NOLs are subject to an annual Internal Revenue Code Section 382 limitation. These losses will begin to expire in year 2023 and we fully anticipate utilizing these losses prior to expiration with the exception of $24 million of gross net operating losses that are offset by a $24 million valuation allowance in the title segment.</w:t>
      </w:r>
    </w:p>
    <w:p>
      <w:pPr>
        <w:spacing w:after="0" w:line="49"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5"/>
          <w:szCs w:val="15"/>
          <w:color w:val="auto"/>
        </w:rPr>
        <w:t>As of December 31, 2021 and 2020, we had $77 million and $59 million of tax credits, respectively, which expire between 2025 and 2041. The credits primarily consist of general business credits from historical acquisitions, including $32 million associated with our F&amp;G segment's life insurance business. We anticipate that these credits will be utilized prior to expiration after a valuation allowance of $28 million on the general business credits in our title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25400"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400" cy="32385"/>
                    </a:xfrm>
                    <a:prstGeom prst="rect">
                      <a:avLst/>
                    </a:prstGeom>
                    <a:noFill/>
                  </pic:spPr>
                </pic:pic>
              </a:graphicData>
            </a:graphic>
          </wp:anchor>
        </w:drawing>
      </w:r>
    </w:p>
    <w:p>
      <w:pPr>
        <w:spacing w:after="0" w:line="46"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As of December 31, 2021 and 2020, the balance of unrecognized tax benefits which would, if recognized, favorably affect our effective tax rate was $24 million and $28 million, respectively. Interest and penalties accrued on income tax uncertainties are recorded as a component of income tax expense and were $1 million as of December 31, 2021 and 2020. It is reasonably possible that as a result of the carryback request and approval of the Joint Committee of Taxation, unrecognized tax benefits could decrease as much as $58 million within the next 12 months. This reserve relates to a timing difference.</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 reconciliation of the beginning and ending unrecognized tax benefits is as follows (in millions):</w:t>
      </w:r>
    </w:p>
    <w:p>
      <w:pPr>
        <w:spacing w:after="0" w:line="100"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r>
      <w:tr>
        <w:trPr>
          <w:trHeight w:val="153"/>
        </w:trPr>
        <w:tc>
          <w:tcPr>
            <w:tcW w:w="7520" w:type="dxa"/>
            <w:vAlign w:val="bottom"/>
          </w:tcPr>
          <w:p>
            <w:pPr>
              <w:spacing w:after="0"/>
              <w:rPr>
                <w:sz w:val="13"/>
                <w:szCs w:val="13"/>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3"/>
                <w:szCs w:val="13"/>
                <w:color w:val="auto"/>
              </w:rPr>
            </w:pPr>
          </w:p>
        </w:tc>
      </w:tr>
      <w:tr>
        <w:trPr>
          <w:trHeight w:val="147"/>
        </w:trPr>
        <w:tc>
          <w:tcPr>
            <w:tcW w:w="7520" w:type="dxa"/>
            <w:vAlign w:val="bottom"/>
          </w:tcPr>
          <w:p>
            <w:pPr>
              <w:ind w:left="280"/>
              <w:spacing w:after="0"/>
              <w:rPr>
                <w:sz w:val="20"/>
                <w:szCs w:val="20"/>
                <w:color w:val="auto"/>
              </w:rPr>
            </w:pPr>
            <w:r>
              <w:rPr>
                <w:rFonts w:ascii="Arial" w:cs="Arial" w:eastAsia="Arial" w:hAnsi="Arial"/>
                <w:sz w:val="12"/>
                <w:szCs w:val="12"/>
                <w:color w:val="auto"/>
              </w:rPr>
              <w:t>Beginning balance</w:t>
            </w:r>
          </w:p>
        </w:tc>
        <w:tc>
          <w:tcPr>
            <w:tcW w:w="108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320" w:type="dxa"/>
            <w:vAlign w:val="bottom"/>
          </w:tcPr>
          <w:p>
            <w:pPr>
              <w:ind w:left="140"/>
              <w:spacing w:after="0"/>
              <w:rPr>
                <w:sz w:val="20"/>
                <w:szCs w:val="20"/>
                <w:color w:val="auto"/>
              </w:rPr>
            </w:pPr>
            <w:r>
              <w:rPr>
                <w:rFonts w:ascii="Arial" w:cs="Arial" w:eastAsia="Arial" w:hAnsi="Arial"/>
                <w:sz w:val="12"/>
                <w:szCs w:val="12"/>
                <w:color w:val="auto"/>
              </w:rPr>
              <w:t>64</w:t>
            </w:r>
          </w:p>
        </w:tc>
        <w:tc>
          <w:tcPr>
            <w:tcW w:w="80" w:type="dxa"/>
            <w:vAlign w:val="bottom"/>
          </w:tcPr>
          <w:p>
            <w:pPr>
              <w:spacing w:after="0"/>
              <w:rPr>
                <w:sz w:val="12"/>
                <w:szCs w:val="12"/>
                <w:color w:val="auto"/>
              </w:rPr>
            </w:pPr>
          </w:p>
        </w:tc>
        <w:tc>
          <w:tcPr>
            <w:tcW w:w="108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60"/>
        </w:trPr>
        <w:tc>
          <w:tcPr>
            <w:tcW w:w="75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Additions based on positions taken in current year</w:t>
            </w:r>
          </w:p>
        </w:tc>
        <w:tc>
          <w:tcPr>
            <w:tcW w:w="10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r>
      <w:tr>
        <w:trPr>
          <w:trHeight w:val="155"/>
        </w:trPr>
        <w:tc>
          <w:tcPr>
            <w:tcW w:w="752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Reductions related to statute of limitation lapses and audit payments</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95"/>
              </w:rPr>
              <w:t>(4)</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76"/>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Ending balance</w:t>
            </w:r>
          </w:p>
        </w:tc>
        <w:tc>
          <w:tcPr>
            <w:tcW w:w="108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60</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F&amp;G's life insurance subsidiaries, as well as certain F&amp;G non-life subsidiaries file separate tax returns from the FNF consolidated group. Prepaid expenses and other assets in the accompanying Consolidated Balance Sheets as of December 31, 2021 includes $52 million of tax receivables related to F&amp;G subsidiaries that file separate tax returns. Prepaid expenses and other assets in the accompanying Consolidated Balance Sheets as of December 31, 2020 includes $20 million of tax receivables and $8 million in deferred tax assets related to F&amp;G subsidiaries who file separate tax returns.</w:t>
      </w:r>
    </w:p>
    <w:p>
      <w:pPr>
        <w:spacing w:after="0" w:line="47"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color w:val="auto"/>
        </w:rPr>
        <w:t>The Internal Revenue Service (“IRS”) has selected us to participate in the Compliance Assurance Program that is a real-time audit. We are currently under audit by the IRS for the 2021 through 2022 tax years. We file income tax returns in various foreign and US state jurisdictions. Our state income tax returns for the 2017 through 2021 tax years remain subject to examination by state jurisdictions. The F&amp;G life insurance group files a separate consolidated return with the IRS. F&amp;G is not currently under examination by the IRS.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U - Employee Benefit Plans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Stock Purchase Plan</w:t>
      </w:r>
    </w:p>
    <w:p>
      <w:pPr>
        <w:spacing w:after="0" w:line="8" w:lineRule="exact"/>
        <w:rPr>
          <w:sz w:val="20"/>
          <w:szCs w:val="20"/>
          <w:color w:val="auto"/>
        </w:rPr>
      </w:pPr>
    </w:p>
    <w:p>
      <w:pPr>
        <w:jc w:val="both"/>
        <w:ind w:right="20" w:firstLine="270"/>
        <w:spacing w:after="0" w:line="336" w:lineRule="auto"/>
        <w:rPr>
          <w:sz w:val="20"/>
          <w:szCs w:val="20"/>
          <w:color w:val="auto"/>
        </w:rPr>
      </w:pPr>
      <w:r>
        <w:rPr>
          <w:rFonts w:ascii="Arial" w:cs="Arial" w:eastAsia="Arial" w:hAnsi="Arial"/>
          <w:sz w:val="13"/>
          <w:szCs w:val="13"/>
          <w:color w:val="auto"/>
        </w:rPr>
        <w:t>During the three-year period ended December 31, 2021, our eligible employees could voluntarily participate in our employee stock purchase plan (“ESPP”) sponsored by us. Pursuant to the ESPP, employees may contribute an amount between 3% and 15% of their base salary and certain commissions. We contribute varying amounts as specified in the ESPP.</w:t>
      </w:r>
    </w:p>
    <w:p>
      <w:pPr>
        <w:jc w:val="both"/>
        <w:ind w:firstLine="270"/>
        <w:spacing w:after="0" w:line="274" w:lineRule="auto"/>
        <w:rPr>
          <w:sz w:val="20"/>
          <w:szCs w:val="20"/>
          <w:color w:val="auto"/>
        </w:rPr>
      </w:pPr>
      <w:r>
        <w:rPr>
          <w:rFonts w:ascii="Arial" w:cs="Arial" w:eastAsia="Arial" w:hAnsi="Arial"/>
          <w:sz w:val="15"/>
          <w:szCs w:val="15"/>
          <w:color w:val="auto"/>
        </w:rPr>
        <w:t>We contributed $24 million, $30 million, and $28 million to the ESPP in the years ended December 31, 2021, 2020, and 2019, respectively, in accordance with our matching contribution.</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FNF 401(k) Profit Sharing Plan</w:t>
      </w:r>
    </w:p>
    <w:p>
      <w:pPr>
        <w:spacing w:after="0" w:line="8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During the three-year period ended December 31, 2021, we have offered our employees the opportunity to participate in our 401(k) profit sharing plan (the “401(k) Plan”), a qualified voluntary contributory savings plan that is available to substantially all of our employees. Eligible employees may contribute up to 40% of their pre-tax annual compensation, up to the amount allowed pursuant to the Internal Revenue Code. We make an employer match on the 401(k) Plan of $0.375 on each $1.00 contributed up to the first 6% of eligible earnings contributed to the 401(k) Plan by employees. The employer match was $36 million, $31 million, and $29 million for the years ended December 31, 2021, 2020, and 2019, respectively, and was credited based on the participant's individual investment elections in the FNF 401(k)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65" w:name="page166"/>
    <w:bookmarkEnd w:id="16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Omnibus Incentive Plan</w:t>
      </w:r>
    </w:p>
    <w:p>
      <w:pPr>
        <w:spacing w:after="0" w:line="87"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5"/>
          <w:szCs w:val="15"/>
          <w:color w:val="auto"/>
        </w:rPr>
        <w:t>In 2005, we established the FNT 2005 Omnibus Incentive Plan (as amended and restated, the “Omnibus Plan”) authorizing the issuance of up to 8 million shares of common stock, subject to the terms of the Omnibus Plan. On October 23, 2006; May 29, 2008; May 25, 2011; May 22, 2013; and June 15, 2016 the shareholders of FNF approved amendments to increase the number of shares for issuance under the Omnibus Plan by 16 million, 11 million, 6 million, 6 million and 10 million shares, respectively. The primary purpose of the increases were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2021, there were 1,639,226 shares of restricted stock and 996,113 stock options outstanding under the Omnibus Plan. Awards granted are approved by the Compensation Committee of the Board of Directors. Options vest over a 3 year period and have a contractual life of 7 years. The exercise price for options granted equals the market price of the underlying stock on the grant date. Stock option grants vest according to certain time based and operating performance criteria. Option exercises by participants are settled on the open market.</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F&amp;G Omnibus Incentive Plan</w:t>
      </w:r>
    </w:p>
    <w:p>
      <w:pPr>
        <w:spacing w:after="0" w:line="87" w:lineRule="exact"/>
        <w:rPr>
          <w:sz w:val="20"/>
          <w:szCs w:val="20"/>
          <w:color w:val="auto"/>
        </w:rPr>
      </w:pPr>
    </w:p>
    <w:p>
      <w:pPr>
        <w:jc w:val="both"/>
        <w:ind w:firstLine="270"/>
        <w:spacing w:after="0" w:line="260" w:lineRule="auto"/>
        <w:rPr>
          <w:sz w:val="20"/>
          <w:szCs w:val="20"/>
          <w:color w:val="auto"/>
        </w:rPr>
      </w:pPr>
      <w:r>
        <w:rPr>
          <w:rFonts w:ascii="Arial" w:cs="Arial" w:eastAsia="Arial" w:hAnsi="Arial"/>
          <w:sz w:val="14"/>
          <w:szCs w:val="14"/>
          <w:color w:val="auto"/>
        </w:rPr>
        <w:t>On June 1, 2020, in connection with the acquisition of F&amp;G, we assumed the shares that remained available for future awards under the FGL Holdings 2017 Omnibus Incentive Plan, as amended and restated (the “F&amp;G Omnibus Plan”) and converted such shares into 2,096,429 shares of FNF common stock that may be issued pursuant to future awards granted under the F&amp;G Omnibus Plan and 2,411,585 shares of FNF common stock that may be issued pursuant to outstanding stock options under the F&amp;G Omnibus Plan. Each unvested stock option assumed under the F&amp;G Omnibus Plan was converted into an FNF stock option and vests solely on the passage of time without any ongoing performance-vesting conditions. The options vest over a 3 year period, based on the option's initial grant date, and have a contractual life of 7 years. As of December 31, 2021, there were 718,641 shares of restricted stock and 1,527,936 stock options outstanding under the F&amp;G Omnibus Plan.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FNF stock option transactions under the Omnibus Plan for 2021, 2020, and 2019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160" w:type="dxa"/>
            <w:vAlign w:val="bottom"/>
          </w:tcPr>
          <w:p>
            <w:pPr>
              <w:spacing w:after="0"/>
              <w:rPr>
                <w:sz w:val="12"/>
                <w:szCs w:val="12"/>
                <w:color w:val="auto"/>
              </w:rPr>
            </w:pPr>
          </w:p>
        </w:tc>
        <w:tc>
          <w:tcPr>
            <w:tcW w:w="140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Options</w:t>
            </w:r>
          </w:p>
        </w:tc>
        <w:tc>
          <w:tcPr>
            <w:tcW w:w="120" w:type="dxa"/>
            <w:vAlign w:val="bottom"/>
          </w:tcPr>
          <w:p>
            <w:pPr>
              <w:spacing w:after="0"/>
              <w:rPr>
                <w:sz w:val="12"/>
                <w:szCs w:val="12"/>
                <w:color w:val="auto"/>
              </w:rPr>
            </w:pPr>
          </w:p>
        </w:tc>
        <w:tc>
          <w:tcPr>
            <w:tcW w:w="1140" w:type="dxa"/>
            <w:vAlign w:val="bottom"/>
          </w:tcPr>
          <w:p>
            <w:pPr>
              <w:jc w:val="right"/>
              <w:ind w:right="100"/>
              <w:spacing w:after="0"/>
              <w:rPr>
                <w:sz w:val="20"/>
                <w:szCs w:val="20"/>
                <w:color w:val="auto"/>
              </w:rPr>
            </w:pPr>
            <w:r>
              <w:rPr>
                <w:rFonts w:ascii="Arial" w:cs="Arial" w:eastAsia="Arial" w:hAnsi="Arial"/>
                <w:sz w:val="12"/>
                <w:szCs w:val="12"/>
                <w:b w:val="1"/>
                <w:bCs w:val="1"/>
                <w:color w:val="auto"/>
                <w:w w:val="91"/>
              </w:rPr>
              <w:t>Weighted Average</w:t>
            </w:r>
          </w:p>
        </w:tc>
        <w:tc>
          <w:tcPr>
            <w:tcW w:w="1400" w:type="dxa"/>
            <w:vAlign w:val="bottom"/>
            <w:vMerge w:val="restart"/>
          </w:tcPr>
          <w:p>
            <w:pPr>
              <w:jc w:val="right"/>
              <w:ind w:right="280"/>
              <w:spacing w:after="0"/>
              <w:rPr>
                <w:sz w:val="20"/>
                <w:szCs w:val="20"/>
                <w:color w:val="auto"/>
              </w:rPr>
            </w:pPr>
            <w:r>
              <w:rPr>
                <w:rFonts w:ascii="Arial" w:cs="Arial" w:eastAsia="Arial" w:hAnsi="Arial"/>
                <w:sz w:val="12"/>
                <w:szCs w:val="12"/>
                <w:b w:val="1"/>
                <w:bCs w:val="1"/>
                <w:color w:val="auto"/>
              </w:rPr>
              <w:t>Exercisable</w:t>
            </w:r>
          </w:p>
        </w:tc>
        <w:tc>
          <w:tcPr>
            <w:tcW w:w="0" w:type="dxa"/>
            <w:vAlign w:val="bottom"/>
          </w:tcPr>
          <w:p>
            <w:pPr>
              <w:spacing w:after="0"/>
              <w:rPr>
                <w:sz w:val="1"/>
                <w:szCs w:val="1"/>
                <w:color w:val="auto"/>
              </w:rPr>
            </w:pPr>
          </w:p>
        </w:tc>
      </w:tr>
      <w:tr>
        <w:trPr>
          <w:trHeight w:val="157"/>
        </w:trPr>
        <w:tc>
          <w:tcPr>
            <w:tcW w:w="7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00"/>
              <w:spacing w:after="0"/>
              <w:rPr>
                <w:sz w:val="20"/>
                <w:szCs w:val="20"/>
                <w:color w:val="auto"/>
              </w:rPr>
            </w:pPr>
            <w:r>
              <w:rPr>
                <w:rFonts w:ascii="Arial" w:cs="Arial" w:eastAsia="Arial" w:hAnsi="Arial"/>
                <w:sz w:val="12"/>
                <w:szCs w:val="12"/>
                <w:b w:val="1"/>
                <w:bCs w:val="1"/>
                <w:color w:val="auto"/>
              </w:rPr>
              <w:t>Exercise Price</w:t>
            </w: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160" w:type="dxa"/>
            <w:vAlign w:val="bottom"/>
          </w:tcPr>
          <w:p>
            <w:pPr>
              <w:spacing w:after="0"/>
              <w:rPr>
                <w:sz w:val="20"/>
                <w:szCs w:val="20"/>
                <w:color w:val="auto"/>
              </w:rPr>
            </w:pPr>
            <w:r>
              <w:rPr>
                <w:rFonts w:ascii="Arial" w:cs="Arial" w:eastAsia="Arial" w:hAnsi="Arial"/>
                <w:sz w:val="12"/>
                <w:szCs w:val="12"/>
                <w:color w:val="auto"/>
              </w:rPr>
              <w:t>Balance, January 1, 2019</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7,543,787</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20.55</w:t>
            </w:r>
          </w:p>
        </w:tc>
        <w:tc>
          <w:tcPr>
            <w:tcW w:w="1400" w:type="dxa"/>
            <w:vAlign w:val="bottom"/>
          </w:tcPr>
          <w:p>
            <w:pPr>
              <w:jc w:val="right"/>
              <w:spacing w:after="0"/>
              <w:rPr>
                <w:sz w:val="20"/>
                <w:szCs w:val="20"/>
                <w:color w:val="auto"/>
              </w:rPr>
            </w:pPr>
            <w:r>
              <w:rPr>
                <w:rFonts w:ascii="Arial" w:cs="Arial" w:eastAsia="Arial" w:hAnsi="Arial"/>
                <w:sz w:val="12"/>
                <w:szCs w:val="12"/>
                <w:color w:val="auto"/>
              </w:rPr>
              <w:t>7,530,137</w:t>
            </w:r>
          </w:p>
        </w:tc>
        <w:tc>
          <w:tcPr>
            <w:tcW w:w="0" w:type="dxa"/>
            <w:vAlign w:val="bottom"/>
          </w:tcPr>
          <w:p>
            <w:pPr>
              <w:spacing w:after="0"/>
              <w:rPr>
                <w:sz w:val="1"/>
                <w:szCs w:val="1"/>
                <w:color w:val="auto"/>
              </w:rPr>
            </w:pPr>
          </w:p>
        </w:tc>
      </w:tr>
      <w:tr>
        <w:trPr>
          <w:trHeight w:val="160"/>
        </w:trPr>
        <w:tc>
          <w:tcPr>
            <w:tcW w:w="7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(2,009,112)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w:t>
            </w: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Canceled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(4,550)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25.34</w:t>
            </w:r>
          </w:p>
        </w:tc>
        <w:tc>
          <w:tcPr>
            <w:tcW w:w="14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16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2019</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5,530,125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20.88</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5,530,125</w:t>
            </w:r>
          </w:p>
        </w:tc>
        <w:tc>
          <w:tcPr>
            <w:tcW w:w="0" w:type="dxa"/>
            <w:vAlign w:val="bottom"/>
          </w:tcPr>
          <w:p>
            <w:pPr>
              <w:spacing w:after="0"/>
              <w:rPr>
                <w:sz w:val="1"/>
                <w:szCs w:val="1"/>
                <w:color w:val="auto"/>
              </w:rPr>
            </w:pPr>
          </w:p>
        </w:tc>
      </w:tr>
      <w:tr>
        <w:trPr>
          <w:trHeight w:val="155"/>
        </w:trPr>
        <w:tc>
          <w:tcPr>
            <w:tcW w:w="71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Exercised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(3,208,712)</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18.45</w:t>
            </w:r>
          </w:p>
        </w:tc>
        <w:tc>
          <w:tcPr>
            <w:tcW w:w="14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16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2,321,413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24.24</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2,321,413</w:t>
            </w:r>
          </w:p>
        </w:tc>
        <w:tc>
          <w:tcPr>
            <w:tcW w:w="0" w:type="dxa"/>
            <w:vAlign w:val="bottom"/>
          </w:tcPr>
          <w:p>
            <w:pPr>
              <w:spacing w:after="0"/>
              <w:rPr>
                <w:sz w:val="1"/>
                <w:szCs w:val="1"/>
                <w:color w:val="auto"/>
              </w:rPr>
            </w:pPr>
          </w:p>
        </w:tc>
      </w:tr>
      <w:tr>
        <w:trPr>
          <w:trHeight w:val="155"/>
        </w:trPr>
        <w:tc>
          <w:tcPr>
            <w:tcW w:w="71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Exercised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(1,325,300)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23.28</w:t>
            </w:r>
          </w:p>
        </w:tc>
        <w:tc>
          <w:tcPr>
            <w:tcW w:w="14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December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996,113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996,113</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FNF stock option transactions under the F&amp;G Omnibus Plan for 2021 and 2020 are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160" w:type="dxa"/>
            <w:vAlign w:val="bottom"/>
          </w:tcPr>
          <w:p>
            <w:pPr>
              <w:spacing w:after="0"/>
              <w:rPr>
                <w:sz w:val="12"/>
                <w:szCs w:val="12"/>
                <w:color w:val="auto"/>
              </w:rPr>
            </w:pPr>
          </w:p>
        </w:tc>
        <w:tc>
          <w:tcPr>
            <w:tcW w:w="140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Options</w:t>
            </w:r>
          </w:p>
        </w:tc>
        <w:tc>
          <w:tcPr>
            <w:tcW w:w="120" w:type="dxa"/>
            <w:vAlign w:val="bottom"/>
          </w:tcPr>
          <w:p>
            <w:pPr>
              <w:spacing w:after="0"/>
              <w:rPr>
                <w:sz w:val="12"/>
                <w:szCs w:val="12"/>
                <w:color w:val="auto"/>
              </w:rPr>
            </w:pPr>
          </w:p>
        </w:tc>
        <w:tc>
          <w:tcPr>
            <w:tcW w:w="1140" w:type="dxa"/>
            <w:vAlign w:val="bottom"/>
          </w:tcPr>
          <w:p>
            <w:pPr>
              <w:jc w:val="right"/>
              <w:ind w:right="100"/>
              <w:spacing w:after="0"/>
              <w:rPr>
                <w:sz w:val="20"/>
                <w:szCs w:val="20"/>
                <w:color w:val="auto"/>
              </w:rPr>
            </w:pPr>
            <w:r>
              <w:rPr>
                <w:rFonts w:ascii="Arial" w:cs="Arial" w:eastAsia="Arial" w:hAnsi="Arial"/>
                <w:sz w:val="12"/>
                <w:szCs w:val="12"/>
                <w:b w:val="1"/>
                <w:bCs w:val="1"/>
                <w:color w:val="auto"/>
                <w:w w:val="91"/>
              </w:rPr>
              <w:t>Weighted Average</w:t>
            </w:r>
          </w:p>
        </w:tc>
        <w:tc>
          <w:tcPr>
            <w:tcW w:w="100" w:type="dxa"/>
            <w:vAlign w:val="bottom"/>
          </w:tcPr>
          <w:p>
            <w:pPr>
              <w:spacing w:after="0"/>
              <w:rPr>
                <w:sz w:val="12"/>
                <w:szCs w:val="12"/>
                <w:color w:val="auto"/>
              </w:rPr>
            </w:pPr>
          </w:p>
        </w:tc>
        <w:tc>
          <w:tcPr>
            <w:tcW w:w="1300" w:type="dxa"/>
            <w:vAlign w:val="bottom"/>
            <w:vMerge w:val="restart"/>
          </w:tcPr>
          <w:p>
            <w:pPr>
              <w:jc w:val="right"/>
              <w:ind w:right="280"/>
              <w:spacing w:after="0"/>
              <w:rPr>
                <w:sz w:val="20"/>
                <w:szCs w:val="20"/>
                <w:color w:val="auto"/>
              </w:rPr>
            </w:pPr>
            <w:r>
              <w:rPr>
                <w:rFonts w:ascii="Arial" w:cs="Arial" w:eastAsia="Arial" w:hAnsi="Arial"/>
                <w:sz w:val="12"/>
                <w:szCs w:val="12"/>
                <w:b w:val="1"/>
                <w:bCs w:val="1"/>
                <w:color w:val="auto"/>
              </w:rPr>
              <w:t>Exercisable</w:t>
            </w:r>
          </w:p>
        </w:tc>
        <w:tc>
          <w:tcPr>
            <w:tcW w:w="0" w:type="dxa"/>
            <w:vAlign w:val="bottom"/>
          </w:tcPr>
          <w:p>
            <w:pPr>
              <w:spacing w:after="0"/>
              <w:rPr>
                <w:sz w:val="1"/>
                <w:szCs w:val="1"/>
                <w:color w:val="auto"/>
              </w:rPr>
            </w:pPr>
          </w:p>
        </w:tc>
      </w:tr>
      <w:tr>
        <w:trPr>
          <w:trHeight w:val="157"/>
        </w:trPr>
        <w:tc>
          <w:tcPr>
            <w:tcW w:w="7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00"/>
              <w:spacing w:after="0"/>
              <w:rPr>
                <w:sz w:val="20"/>
                <w:szCs w:val="20"/>
                <w:color w:val="auto"/>
              </w:rPr>
            </w:pPr>
            <w:r>
              <w:rPr>
                <w:rFonts w:ascii="Arial" w:cs="Arial" w:eastAsia="Arial" w:hAnsi="Arial"/>
                <w:sz w:val="12"/>
                <w:szCs w:val="12"/>
                <w:b w:val="1"/>
                <w:bCs w:val="1"/>
                <w:color w:val="auto"/>
              </w:rPr>
              <w:t>Exercise Price</w:t>
            </w:r>
          </w:p>
        </w:tc>
        <w:tc>
          <w:tcPr>
            <w:tcW w:w="1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January 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7160" w:type="dxa"/>
            <w:vAlign w:val="bottom"/>
          </w:tcPr>
          <w:p>
            <w:pPr>
              <w:ind w:left="180"/>
              <w:spacing w:after="0"/>
              <w:rPr>
                <w:sz w:val="20"/>
                <w:szCs w:val="20"/>
                <w:color w:val="auto"/>
              </w:rPr>
            </w:pPr>
            <w:r>
              <w:rPr>
                <w:rFonts w:ascii="Arial" w:cs="Arial" w:eastAsia="Arial" w:hAnsi="Arial"/>
                <w:sz w:val="12"/>
                <w:szCs w:val="12"/>
                <w:color w:val="auto"/>
              </w:rPr>
              <w:t>Options assumed in connection with the F&amp;G acquisition</w:t>
            </w:r>
          </w:p>
        </w:tc>
        <w:tc>
          <w:tcPr>
            <w:tcW w:w="1300" w:type="dxa"/>
            <w:vAlign w:val="bottom"/>
          </w:tcPr>
          <w:p>
            <w:pPr>
              <w:jc w:val="right"/>
              <w:spacing w:after="0"/>
              <w:rPr>
                <w:sz w:val="20"/>
                <w:szCs w:val="20"/>
                <w:color w:val="auto"/>
              </w:rPr>
            </w:pPr>
            <w:r>
              <w:rPr>
                <w:rFonts w:ascii="Arial" w:cs="Arial" w:eastAsia="Arial" w:hAnsi="Arial"/>
                <w:sz w:val="12"/>
                <w:szCs w:val="12"/>
                <w:color w:val="auto"/>
              </w:rPr>
              <w:t>2,411,585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36.04</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(109,159)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27.64</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Canceled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(299,736)</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38.41</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16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2,002,690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1,021,671</w:t>
            </w:r>
          </w:p>
        </w:tc>
        <w:tc>
          <w:tcPr>
            <w:tcW w:w="0" w:type="dxa"/>
            <w:vAlign w:val="bottom"/>
          </w:tcPr>
          <w:p>
            <w:pPr>
              <w:spacing w:after="0"/>
              <w:rPr>
                <w:sz w:val="1"/>
                <w:szCs w:val="1"/>
                <w:color w:val="auto"/>
              </w:rPr>
            </w:pPr>
          </w:p>
        </w:tc>
      </w:tr>
      <w:tr>
        <w:trPr>
          <w:trHeight w:val="155"/>
        </w:trPr>
        <w:tc>
          <w:tcPr>
            <w:tcW w:w="7160" w:type="dxa"/>
            <w:vAlign w:val="bottom"/>
          </w:tcPr>
          <w:p>
            <w:pPr>
              <w:ind w:left="180"/>
              <w:spacing w:after="0"/>
              <w:rPr>
                <w:sz w:val="20"/>
                <w:szCs w:val="20"/>
                <w:color w:val="auto"/>
              </w:rPr>
            </w:pPr>
            <w:r>
              <w:rPr>
                <w:rFonts w:ascii="Arial" w:cs="Arial" w:eastAsia="Arial" w:hAnsi="Arial"/>
                <w:sz w:val="12"/>
                <w:szCs w:val="12"/>
                <w:color w:val="auto"/>
              </w:rPr>
              <w:t>Exercised</w:t>
            </w:r>
          </w:p>
        </w:tc>
        <w:tc>
          <w:tcPr>
            <w:tcW w:w="1300" w:type="dxa"/>
            <w:vAlign w:val="bottom"/>
          </w:tcPr>
          <w:p>
            <w:pPr>
              <w:jc w:val="right"/>
              <w:spacing w:after="0"/>
              <w:rPr>
                <w:sz w:val="20"/>
                <w:szCs w:val="20"/>
                <w:color w:val="auto"/>
              </w:rPr>
            </w:pPr>
            <w:r>
              <w:rPr>
                <w:rFonts w:ascii="Arial" w:cs="Arial" w:eastAsia="Arial" w:hAnsi="Arial"/>
                <w:sz w:val="12"/>
                <w:szCs w:val="12"/>
                <w:color w:val="auto"/>
              </w:rPr>
              <w:t>(474,754)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36.68</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Canceled</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160" w:type="dxa"/>
            <w:vAlign w:val="bottom"/>
          </w:tcPr>
          <w:p>
            <w:pPr>
              <w:spacing w:after="0"/>
              <w:rPr>
                <w:sz w:val="20"/>
                <w:szCs w:val="20"/>
                <w:color w:val="auto"/>
              </w:rPr>
            </w:pPr>
            <w:r>
              <w:rPr>
                <w:rFonts w:ascii="Arial" w:cs="Arial" w:eastAsia="Arial" w:hAnsi="Arial"/>
                <w:sz w:val="12"/>
                <w:szCs w:val="12"/>
                <w:color w:val="auto"/>
              </w:rPr>
              <w:t>Balance, December 31, 2021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1,527,936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35.97</w:t>
            </w:r>
          </w:p>
        </w:tc>
        <w:tc>
          <w:tcPr>
            <w:tcW w:w="1400" w:type="dxa"/>
            <w:vAlign w:val="bottom"/>
            <w:gridSpan w:val="2"/>
          </w:tcPr>
          <w:p>
            <w:pPr>
              <w:jc w:val="right"/>
              <w:spacing w:after="0"/>
              <w:rPr>
                <w:sz w:val="20"/>
                <w:szCs w:val="20"/>
                <w:color w:val="auto"/>
              </w:rPr>
            </w:pPr>
            <w:r>
              <w:rPr>
                <w:rFonts w:ascii="Arial" w:cs="Arial" w:eastAsia="Arial" w:hAnsi="Arial"/>
                <w:sz w:val="12"/>
                <w:szCs w:val="12"/>
                <w:color w:val="auto"/>
              </w:rPr>
              <w:t>1,072,584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66" w:name="page167"/>
    <w:bookmarkEnd w:id="16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FNF restricted stock transactions under the Omnibus Plan in 2021, 2020, and 2019 are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740" w:type="dxa"/>
            <w:vAlign w:val="bottom"/>
          </w:tcPr>
          <w:p>
            <w:pPr>
              <w:spacing w:after="0"/>
              <w:rPr>
                <w:sz w:val="12"/>
                <w:szCs w:val="12"/>
                <w:color w:val="auto"/>
              </w:rPr>
            </w:pPr>
          </w:p>
        </w:tc>
        <w:tc>
          <w:tcPr>
            <w:tcW w:w="130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b w:val="1"/>
                <w:bCs w:val="1"/>
                <w:color w:val="auto"/>
                <w:w w:val="89"/>
              </w:rPr>
              <w:t>Weighted Average</w:t>
            </w:r>
          </w:p>
        </w:tc>
        <w:tc>
          <w:tcPr>
            <w:tcW w:w="0" w:type="dxa"/>
            <w:vAlign w:val="bottom"/>
          </w:tcPr>
          <w:p>
            <w:pPr>
              <w:spacing w:after="0"/>
              <w:rPr>
                <w:sz w:val="1"/>
                <w:szCs w:val="1"/>
                <w:color w:val="auto"/>
              </w:rPr>
            </w:pPr>
          </w:p>
        </w:tc>
      </w:tr>
      <w:tr>
        <w:trPr>
          <w:trHeight w:val="157"/>
        </w:trPr>
        <w:tc>
          <w:tcPr>
            <w:tcW w:w="87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Grant Date Fair Value</w:t>
            </w:r>
          </w:p>
        </w:tc>
        <w:tc>
          <w:tcPr>
            <w:tcW w:w="0" w:type="dxa"/>
            <w:vAlign w:val="bottom"/>
          </w:tcPr>
          <w:p>
            <w:pPr>
              <w:spacing w:after="0"/>
              <w:rPr>
                <w:sz w:val="1"/>
                <w:szCs w:val="1"/>
                <w:color w:val="auto"/>
              </w:rPr>
            </w:pPr>
          </w:p>
        </w:tc>
      </w:tr>
      <w:tr>
        <w:trPr>
          <w:trHeight w:val="147"/>
        </w:trPr>
        <w:tc>
          <w:tcPr>
            <w:tcW w:w="8740" w:type="dxa"/>
            <w:vAlign w:val="bottom"/>
          </w:tcPr>
          <w:p>
            <w:pPr>
              <w:spacing w:after="0"/>
              <w:rPr>
                <w:sz w:val="20"/>
                <w:szCs w:val="20"/>
                <w:color w:val="auto"/>
              </w:rPr>
            </w:pPr>
            <w:r>
              <w:rPr>
                <w:rFonts w:ascii="Arial" w:cs="Arial" w:eastAsia="Arial" w:hAnsi="Arial"/>
                <w:sz w:val="12"/>
                <w:szCs w:val="12"/>
                <w:color w:val="auto"/>
              </w:rPr>
              <w:t>Balance, December 31, 2018</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1,821,238</w:t>
            </w:r>
          </w:p>
        </w:tc>
        <w:tc>
          <w:tcPr>
            <w:tcW w:w="10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32.35</w:t>
            </w:r>
          </w:p>
        </w:tc>
        <w:tc>
          <w:tcPr>
            <w:tcW w:w="0" w:type="dxa"/>
            <w:vAlign w:val="bottom"/>
          </w:tcPr>
          <w:p>
            <w:pPr>
              <w:spacing w:after="0"/>
              <w:rPr>
                <w:sz w:val="1"/>
                <w:szCs w:val="1"/>
                <w:color w:val="auto"/>
              </w:rPr>
            </w:pPr>
          </w:p>
        </w:tc>
      </w:tr>
      <w:tr>
        <w:trPr>
          <w:trHeight w:val="160"/>
        </w:trPr>
        <w:tc>
          <w:tcPr>
            <w:tcW w:w="8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640,698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45.84</w:t>
            </w:r>
          </w:p>
        </w:tc>
        <w:tc>
          <w:tcPr>
            <w:tcW w:w="0" w:type="dxa"/>
            <w:vAlign w:val="bottom"/>
          </w:tcPr>
          <w:p>
            <w:pPr>
              <w:spacing w:after="0"/>
              <w:rPr>
                <w:sz w:val="1"/>
                <w:szCs w:val="1"/>
                <w:color w:val="auto"/>
              </w:rPr>
            </w:pPr>
          </w:p>
        </w:tc>
      </w:tr>
      <w:tr>
        <w:trPr>
          <w:trHeight w:val="155"/>
        </w:trPr>
        <w:tc>
          <w:tcPr>
            <w:tcW w:w="8740" w:type="dxa"/>
            <w:vAlign w:val="bottom"/>
          </w:tcPr>
          <w:p>
            <w:pPr>
              <w:ind w:left="180"/>
              <w:spacing w:after="0"/>
              <w:rPr>
                <w:sz w:val="20"/>
                <w:szCs w:val="20"/>
                <w:color w:val="auto"/>
              </w:rPr>
            </w:pPr>
            <w:r>
              <w:rPr>
                <w:rFonts w:ascii="Arial" w:cs="Arial" w:eastAsia="Arial" w:hAnsi="Arial"/>
                <w:sz w:val="12"/>
                <w:szCs w:val="12"/>
                <w:color w:val="auto"/>
              </w:rPr>
              <w:t>Canceled</w:t>
            </w:r>
          </w:p>
        </w:tc>
        <w:tc>
          <w:tcPr>
            <w:tcW w:w="1200" w:type="dxa"/>
            <w:vAlign w:val="bottom"/>
          </w:tcPr>
          <w:p>
            <w:pPr>
              <w:jc w:val="right"/>
              <w:spacing w:after="0"/>
              <w:rPr>
                <w:sz w:val="20"/>
                <w:szCs w:val="20"/>
                <w:color w:val="auto"/>
              </w:rPr>
            </w:pPr>
            <w:r>
              <w:rPr>
                <w:rFonts w:ascii="Arial" w:cs="Arial" w:eastAsia="Arial" w:hAnsi="Arial"/>
                <w:sz w:val="12"/>
                <w:szCs w:val="12"/>
                <w:color w:val="auto"/>
              </w:rPr>
              <w:t>(14,937)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31.94</w:t>
            </w:r>
          </w:p>
        </w:tc>
        <w:tc>
          <w:tcPr>
            <w:tcW w:w="0" w:type="dxa"/>
            <w:vAlign w:val="bottom"/>
          </w:tcPr>
          <w:p>
            <w:pPr>
              <w:spacing w:after="0"/>
              <w:rPr>
                <w:sz w:val="1"/>
                <w:szCs w:val="1"/>
                <w:color w:val="auto"/>
              </w:rPr>
            </w:pPr>
          </w:p>
        </w:tc>
      </w:tr>
      <w:tr>
        <w:trPr>
          <w:trHeight w:val="160"/>
        </w:trPr>
        <w:tc>
          <w:tcPr>
            <w:tcW w:w="8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(929,823)</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30.98</w:t>
            </w:r>
          </w:p>
        </w:tc>
        <w:tc>
          <w:tcPr>
            <w:tcW w:w="0" w:type="dxa"/>
            <w:vAlign w:val="bottom"/>
          </w:tcPr>
          <w:p>
            <w:pPr>
              <w:spacing w:after="0"/>
              <w:rPr>
                <w:sz w:val="1"/>
                <w:szCs w:val="1"/>
                <w:color w:val="auto"/>
              </w:rPr>
            </w:pPr>
          </w:p>
        </w:tc>
      </w:tr>
      <w:tr>
        <w:trPr>
          <w:trHeight w:val="147"/>
        </w:trPr>
        <w:tc>
          <w:tcPr>
            <w:tcW w:w="8740" w:type="dxa"/>
            <w:vAlign w:val="bottom"/>
          </w:tcPr>
          <w:p>
            <w:pPr>
              <w:spacing w:after="0"/>
              <w:rPr>
                <w:sz w:val="20"/>
                <w:szCs w:val="20"/>
                <w:color w:val="auto"/>
              </w:rPr>
            </w:pPr>
            <w:r>
              <w:rPr>
                <w:rFonts w:ascii="Arial" w:cs="Arial" w:eastAsia="Arial" w:hAnsi="Arial"/>
                <w:sz w:val="12"/>
                <w:szCs w:val="12"/>
                <w:color w:val="auto"/>
              </w:rPr>
              <w:t>Balance, December 31, 2019</w:t>
            </w:r>
          </w:p>
        </w:tc>
        <w:tc>
          <w:tcPr>
            <w:tcW w:w="1200" w:type="dxa"/>
            <w:vAlign w:val="bottom"/>
          </w:tcPr>
          <w:p>
            <w:pPr>
              <w:jc w:val="right"/>
              <w:spacing w:after="0"/>
              <w:rPr>
                <w:sz w:val="20"/>
                <w:szCs w:val="20"/>
                <w:color w:val="auto"/>
              </w:rPr>
            </w:pPr>
            <w:r>
              <w:rPr>
                <w:rFonts w:ascii="Arial" w:cs="Arial" w:eastAsia="Arial" w:hAnsi="Arial"/>
                <w:sz w:val="12"/>
                <w:szCs w:val="12"/>
                <w:color w:val="auto"/>
              </w:rPr>
              <w:t>1,517,176</w:t>
            </w:r>
          </w:p>
        </w:tc>
        <w:tc>
          <w:tcPr>
            <w:tcW w:w="10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38.90</w:t>
            </w:r>
          </w:p>
        </w:tc>
        <w:tc>
          <w:tcPr>
            <w:tcW w:w="0" w:type="dxa"/>
            <w:vAlign w:val="bottom"/>
          </w:tcPr>
          <w:p>
            <w:pPr>
              <w:spacing w:after="0"/>
              <w:rPr>
                <w:sz w:val="1"/>
                <w:szCs w:val="1"/>
                <w:color w:val="auto"/>
              </w:rPr>
            </w:pPr>
          </w:p>
        </w:tc>
      </w:tr>
      <w:tr>
        <w:trPr>
          <w:trHeight w:val="160"/>
        </w:trPr>
        <w:tc>
          <w:tcPr>
            <w:tcW w:w="8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1,006,058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33.40</w:t>
            </w:r>
          </w:p>
        </w:tc>
        <w:tc>
          <w:tcPr>
            <w:tcW w:w="0" w:type="dxa"/>
            <w:vAlign w:val="bottom"/>
          </w:tcPr>
          <w:p>
            <w:pPr>
              <w:spacing w:after="0"/>
              <w:rPr>
                <w:sz w:val="1"/>
                <w:szCs w:val="1"/>
                <w:color w:val="auto"/>
              </w:rPr>
            </w:pPr>
          </w:p>
        </w:tc>
      </w:tr>
      <w:tr>
        <w:trPr>
          <w:trHeight w:val="155"/>
        </w:trPr>
        <w:tc>
          <w:tcPr>
            <w:tcW w:w="8740" w:type="dxa"/>
            <w:vAlign w:val="bottom"/>
          </w:tcPr>
          <w:p>
            <w:pPr>
              <w:ind w:left="180"/>
              <w:spacing w:after="0"/>
              <w:rPr>
                <w:sz w:val="20"/>
                <w:szCs w:val="20"/>
                <w:color w:val="auto"/>
              </w:rPr>
            </w:pPr>
            <w:r>
              <w:rPr>
                <w:rFonts w:ascii="Arial" w:cs="Arial" w:eastAsia="Arial" w:hAnsi="Arial"/>
                <w:sz w:val="12"/>
                <w:szCs w:val="12"/>
                <w:color w:val="auto"/>
              </w:rPr>
              <w:t>Canceled</w:t>
            </w:r>
          </w:p>
        </w:tc>
        <w:tc>
          <w:tcPr>
            <w:tcW w:w="1200" w:type="dxa"/>
            <w:vAlign w:val="bottom"/>
          </w:tcPr>
          <w:p>
            <w:pPr>
              <w:jc w:val="right"/>
              <w:spacing w:after="0"/>
              <w:rPr>
                <w:sz w:val="20"/>
                <w:szCs w:val="20"/>
                <w:color w:val="auto"/>
              </w:rPr>
            </w:pPr>
            <w:r>
              <w:rPr>
                <w:rFonts w:ascii="Arial" w:cs="Arial" w:eastAsia="Arial" w:hAnsi="Arial"/>
                <w:sz w:val="12"/>
                <w:szCs w:val="12"/>
                <w:color w:val="auto"/>
              </w:rPr>
              <w:t>(11,604)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38.93</w:t>
            </w:r>
          </w:p>
        </w:tc>
        <w:tc>
          <w:tcPr>
            <w:tcW w:w="0" w:type="dxa"/>
            <w:vAlign w:val="bottom"/>
          </w:tcPr>
          <w:p>
            <w:pPr>
              <w:spacing w:after="0"/>
              <w:rPr>
                <w:sz w:val="1"/>
                <w:szCs w:val="1"/>
                <w:color w:val="auto"/>
              </w:rPr>
            </w:pPr>
          </w:p>
        </w:tc>
      </w:tr>
      <w:tr>
        <w:trPr>
          <w:trHeight w:val="160"/>
        </w:trPr>
        <w:tc>
          <w:tcPr>
            <w:tcW w:w="8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(795,075)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37.60</w:t>
            </w:r>
          </w:p>
        </w:tc>
        <w:tc>
          <w:tcPr>
            <w:tcW w:w="0" w:type="dxa"/>
            <w:vAlign w:val="bottom"/>
          </w:tcPr>
          <w:p>
            <w:pPr>
              <w:spacing w:after="0"/>
              <w:rPr>
                <w:sz w:val="1"/>
                <w:szCs w:val="1"/>
                <w:color w:val="auto"/>
              </w:rPr>
            </w:pPr>
          </w:p>
        </w:tc>
      </w:tr>
      <w:tr>
        <w:trPr>
          <w:trHeight w:val="147"/>
        </w:trPr>
        <w:tc>
          <w:tcPr>
            <w:tcW w:w="8740" w:type="dxa"/>
            <w:vAlign w:val="bottom"/>
          </w:tcPr>
          <w:p>
            <w:pPr>
              <w:spacing w:after="0"/>
              <w:rPr>
                <w:sz w:val="20"/>
                <w:szCs w:val="20"/>
                <w:color w:val="auto"/>
              </w:rPr>
            </w:pPr>
            <w:r>
              <w:rPr>
                <w:rFonts w:ascii="Arial" w:cs="Arial" w:eastAsia="Arial" w:hAnsi="Arial"/>
                <w:sz w:val="12"/>
                <w:szCs w:val="12"/>
                <w:color w:val="auto"/>
              </w:rPr>
              <w:t>Balance, December 31, 2020</w:t>
            </w:r>
          </w:p>
        </w:tc>
        <w:tc>
          <w:tcPr>
            <w:tcW w:w="1200" w:type="dxa"/>
            <w:vAlign w:val="bottom"/>
          </w:tcPr>
          <w:p>
            <w:pPr>
              <w:jc w:val="right"/>
              <w:spacing w:after="0"/>
              <w:rPr>
                <w:sz w:val="20"/>
                <w:szCs w:val="20"/>
                <w:color w:val="auto"/>
              </w:rPr>
            </w:pPr>
            <w:r>
              <w:rPr>
                <w:rFonts w:ascii="Arial" w:cs="Arial" w:eastAsia="Arial" w:hAnsi="Arial"/>
                <w:sz w:val="12"/>
                <w:szCs w:val="12"/>
                <w:color w:val="auto"/>
              </w:rPr>
              <w:t>1,716,555</w:t>
            </w:r>
          </w:p>
        </w:tc>
        <w:tc>
          <w:tcPr>
            <w:tcW w:w="10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36.26</w:t>
            </w:r>
          </w:p>
        </w:tc>
        <w:tc>
          <w:tcPr>
            <w:tcW w:w="0" w:type="dxa"/>
            <w:vAlign w:val="bottom"/>
          </w:tcPr>
          <w:p>
            <w:pPr>
              <w:spacing w:after="0"/>
              <w:rPr>
                <w:sz w:val="1"/>
                <w:szCs w:val="1"/>
                <w:color w:val="auto"/>
              </w:rPr>
            </w:pPr>
          </w:p>
        </w:tc>
      </w:tr>
      <w:tr>
        <w:trPr>
          <w:trHeight w:val="160"/>
        </w:trPr>
        <w:tc>
          <w:tcPr>
            <w:tcW w:w="8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772,189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48.27</w:t>
            </w:r>
          </w:p>
        </w:tc>
        <w:tc>
          <w:tcPr>
            <w:tcW w:w="0" w:type="dxa"/>
            <w:vAlign w:val="bottom"/>
          </w:tcPr>
          <w:p>
            <w:pPr>
              <w:spacing w:after="0"/>
              <w:rPr>
                <w:sz w:val="1"/>
                <w:szCs w:val="1"/>
                <w:color w:val="auto"/>
              </w:rPr>
            </w:pPr>
          </w:p>
        </w:tc>
      </w:tr>
      <w:tr>
        <w:trPr>
          <w:trHeight w:val="155"/>
        </w:trPr>
        <w:tc>
          <w:tcPr>
            <w:tcW w:w="8740" w:type="dxa"/>
            <w:vAlign w:val="bottom"/>
          </w:tcPr>
          <w:p>
            <w:pPr>
              <w:ind w:left="180"/>
              <w:spacing w:after="0"/>
              <w:rPr>
                <w:sz w:val="20"/>
                <w:szCs w:val="20"/>
                <w:color w:val="auto"/>
              </w:rPr>
            </w:pPr>
            <w:r>
              <w:rPr>
                <w:rFonts w:ascii="Arial" w:cs="Arial" w:eastAsia="Arial" w:hAnsi="Arial"/>
                <w:sz w:val="12"/>
                <w:szCs w:val="12"/>
                <w:color w:val="auto"/>
              </w:rPr>
              <w:t>Canceled</w:t>
            </w:r>
          </w:p>
        </w:tc>
        <w:tc>
          <w:tcPr>
            <w:tcW w:w="1200" w:type="dxa"/>
            <w:vAlign w:val="bottom"/>
          </w:tcPr>
          <w:p>
            <w:pPr>
              <w:jc w:val="right"/>
              <w:spacing w:after="0"/>
              <w:rPr>
                <w:sz w:val="20"/>
                <w:szCs w:val="20"/>
                <w:color w:val="auto"/>
              </w:rPr>
            </w:pPr>
            <w:r>
              <w:rPr>
                <w:rFonts w:ascii="Arial" w:cs="Arial" w:eastAsia="Arial" w:hAnsi="Arial"/>
                <w:sz w:val="12"/>
                <w:szCs w:val="12"/>
                <w:color w:val="auto"/>
              </w:rPr>
              <w:t>(7,577)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37.20</w:t>
            </w:r>
          </w:p>
        </w:tc>
        <w:tc>
          <w:tcPr>
            <w:tcW w:w="0" w:type="dxa"/>
            <w:vAlign w:val="bottom"/>
          </w:tcPr>
          <w:p>
            <w:pPr>
              <w:spacing w:after="0"/>
              <w:rPr>
                <w:sz w:val="1"/>
                <w:szCs w:val="1"/>
                <w:color w:val="auto"/>
              </w:rPr>
            </w:pPr>
          </w:p>
        </w:tc>
      </w:tr>
      <w:tr>
        <w:trPr>
          <w:trHeight w:val="158"/>
        </w:trPr>
        <w:tc>
          <w:tcPr>
            <w:tcW w:w="8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(841,941)</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36.15</w:t>
            </w:r>
          </w:p>
        </w:tc>
        <w:tc>
          <w:tcPr>
            <w:tcW w:w="0" w:type="dxa"/>
            <w:vAlign w:val="bottom"/>
          </w:tcPr>
          <w:p>
            <w:pPr>
              <w:spacing w:after="0"/>
              <w:rPr>
                <w:sz w:val="1"/>
                <w:szCs w:val="1"/>
                <w:color w:val="auto"/>
              </w:rPr>
            </w:pPr>
          </w:p>
        </w:tc>
      </w:tr>
      <w:tr>
        <w:trPr>
          <w:trHeight w:val="151"/>
        </w:trPr>
        <w:tc>
          <w:tcPr>
            <w:tcW w:w="8740" w:type="dxa"/>
            <w:vAlign w:val="bottom"/>
          </w:tcPr>
          <w:p>
            <w:pPr>
              <w:spacing w:after="0"/>
              <w:rPr>
                <w:sz w:val="20"/>
                <w:szCs w:val="20"/>
                <w:color w:val="auto"/>
              </w:rPr>
            </w:pPr>
            <w:r>
              <w:rPr>
                <w:rFonts w:ascii="Arial" w:cs="Arial" w:eastAsia="Arial" w:hAnsi="Arial"/>
                <w:sz w:val="12"/>
                <w:szCs w:val="12"/>
                <w:color w:val="auto"/>
              </w:rPr>
              <w:t>Balance, December 31, 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1,639,226</w:t>
            </w:r>
          </w:p>
        </w:tc>
        <w:tc>
          <w:tcPr>
            <w:tcW w:w="10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41.97</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FNF restricted stock transactions under the F&amp;G Omnibus Plan in 2021 and 2020 are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740" w:type="dxa"/>
            <w:vAlign w:val="bottom"/>
          </w:tcPr>
          <w:p>
            <w:pPr>
              <w:spacing w:after="0"/>
              <w:rPr>
                <w:sz w:val="12"/>
                <w:szCs w:val="12"/>
                <w:color w:val="auto"/>
              </w:rPr>
            </w:pPr>
          </w:p>
        </w:tc>
        <w:tc>
          <w:tcPr>
            <w:tcW w:w="130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b w:val="1"/>
                <w:bCs w:val="1"/>
                <w:color w:val="auto"/>
                <w:w w:val="89"/>
              </w:rPr>
              <w:t>Weighted Average</w:t>
            </w:r>
          </w:p>
        </w:tc>
        <w:tc>
          <w:tcPr>
            <w:tcW w:w="0" w:type="dxa"/>
            <w:vAlign w:val="bottom"/>
          </w:tcPr>
          <w:p>
            <w:pPr>
              <w:spacing w:after="0"/>
              <w:rPr>
                <w:sz w:val="1"/>
                <w:szCs w:val="1"/>
                <w:color w:val="auto"/>
              </w:rPr>
            </w:pPr>
          </w:p>
        </w:tc>
      </w:tr>
      <w:tr>
        <w:trPr>
          <w:trHeight w:val="157"/>
        </w:trPr>
        <w:tc>
          <w:tcPr>
            <w:tcW w:w="87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Grant Date Fair Value</w:t>
            </w:r>
          </w:p>
        </w:tc>
        <w:tc>
          <w:tcPr>
            <w:tcW w:w="0" w:type="dxa"/>
            <w:vAlign w:val="bottom"/>
          </w:tcPr>
          <w:p>
            <w:pPr>
              <w:spacing w:after="0"/>
              <w:rPr>
                <w:sz w:val="1"/>
                <w:szCs w:val="1"/>
                <w:color w:val="auto"/>
              </w:rPr>
            </w:pPr>
          </w:p>
        </w:tc>
      </w:tr>
      <w:tr>
        <w:trPr>
          <w:trHeight w:val="147"/>
        </w:trPr>
        <w:tc>
          <w:tcPr>
            <w:tcW w:w="8740" w:type="dxa"/>
            <w:vAlign w:val="bottom"/>
          </w:tcPr>
          <w:p>
            <w:pPr>
              <w:spacing w:after="0"/>
              <w:rPr>
                <w:sz w:val="20"/>
                <w:szCs w:val="20"/>
                <w:color w:val="auto"/>
              </w:rPr>
            </w:pPr>
            <w:r>
              <w:rPr>
                <w:rFonts w:ascii="Arial" w:cs="Arial" w:eastAsia="Arial" w:hAnsi="Arial"/>
                <w:sz w:val="12"/>
                <w:szCs w:val="12"/>
                <w:color w:val="auto"/>
              </w:rPr>
              <w:t>Balance, December 31, 2019</w:t>
            </w:r>
          </w:p>
        </w:tc>
        <w:tc>
          <w:tcPr>
            <w:tcW w:w="1200" w:type="dxa"/>
            <w:vAlign w:val="bottom"/>
            <w:tcBorders>
              <w:top w:val="single" w:sz="8" w:color="auto"/>
            </w:tcBorders>
          </w:tcPr>
          <w:p>
            <w:pPr>
              <w:ind w:left="10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8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Granted</w:t>
            </w:r>
          </w:p>
        </w:tc>
        <w:tc>
          <w:tcPr>
            <w:tcW w:w="1200" w:type="dxa"/>
            <w:vAlign w:val="bottom"/>
            <w:shd w:val="clear" w:color="auto" w:fill="CCEEFF"/>
          </w:tcPr>
          <w:p>
            <w:pPr>
              <w:ind w:left="760"/>
              <w:spacing w:after="0"/>
              <w:rPr>
                <w:sz w:val="20"/>
                <w:szCs w:val="20"/>
                <w:color w:val="auto"/>
              </w:rPr>
            </w:pPr>
            <w:r>
              <w:rPr>
                <w:rFonts w:ascii="Arial" w:cs="Arial" w:eastAsia="Arial" w:hAnsi="Arial"/>
                <w:sz w:val="12"/>
                <w:szCs w:val="12"/>
                <w:color w:val="auto"/>
                <w:w w:val="96"/>
              </w:rPr>
              <w:t>474,025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34.13</w:t>
            </w:r>
          </w:p>
        </w:tc>
        <w:tc>
          <w:tcPr>
            <w:tcW w:w="0" w:type="dxa"/>
            <w:vAlign w:val="bottom"/>
          </w:tcPr>
          <w:p>
            <w:pPr>
              <w:spacing w:after="0"/>
              <w:rPr>
                <w:sz w:val="1"/>
                <w:szCs w:val="1"/>
                <w:color w:val="auto"/>
              </w:rPr>
            </w:pPr>
          </w:p>
        </w:tc>
      </w:tr>
      <w:tr>
        <w:trPr>
          <w:trHeight w:val="155"/>
        </w:trPr>
        <w:tc>
          <w:tcPr>
            <w:tcW w:w="87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Canceled</w:t>
            </w:r>
          </w:p>
        </w:tc>
        <w:tc>
          <w:tcPr>
            <w:tcW w:w="1200" w:type="dxa"/>
            <w:vAlign w:val="bottom"/>
            <w:tcBorders>
              <w:bottom w:val="single" w:sz="8" w:color="auto"/>
            </w:tcBorders>
          </w:tcPr>
          <w:p>
            <w:pPr>
              <w:ind w:left="760"/>
              <w:spacing w:after="0"/>
              <w:rPr>
                <w:sz w:val="20"/>
                <w:szCs w:val="20"/>
                <w:color w:val="auto"/>
              </w:rPr>
            </w:pPr>
            <w:r>
              <w:rPr>
                <w:rFonts w:ascii="Arial" w:cs="Arial" w:eastAsia="Arial" w:hAnsi="Arial"/>
                <w:sz w:val="12"/>
                <w:szCs w:val="12"/>
                <w:color w:val="auto"/>
                <w:w w:val="93"/>
              </w:rPr>
              <w:t>(24,155)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34.47</w:t>
            </w:r>
          </w:p>
        </w:tc>
        <w:tc>
          <w:tcPr>
            <w:tcW w:w="0" w:type="dxa"/>
            <w:vAlign w:val="bottom"/>
          </w:tcPr>
          <w:p>
            <w:pPr>
              <w:spacing w:after="0"/>
              <w:rPr>
                <w:sz w:val="1"/>
                <w:szCs w:val="1"/>
                <w:color w:val="auto"/>
              </w:rPr>
            </w:pPr>
          </w:p>
        </w:tc>
      </w:tr>
      <w:tr>
        <w:trPr>
          <w:trHeight w:val="151"/>
        </w:trPr>
        <w:tc>
          <w:tcPr>
            <w:tcW w:w="874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2020</w:t>
            </w:r>
          </w:p>
        </w:tc>
        <w:tc>
          <w:tcPr>
            <w:tcW w:w="1200" w:type="dxa"/>
            <w:vAlign w:val="bottom"/>
            <w:shd w:val="clear" w:color="auto" w:fill="CCEEFF"/>
          </w:tcPr>
          <w:p>
            <w:pPr>
              <w:ind w:left="760"/>
              <w:spacing w:after="0"/>
              <w:rPr>
                <w:sz w:val="20"/>
                <w:szCs w:val="20"/>
                <w:color w:val="auto"/>
              </w:rPr>
            </w:pPr>
            <w:r>
              <w:rPr>
                <w:rFonts w:ascii="Arial" w:cs="Arial" w:eastAsia="Arial" w:hAnsi="Arial"/>
                <w:sz w:val="12"/>
                <w:szCs w:val="12"/>
                <w:color w:val="auto"/>
                <w:w w:val="96"/>
              </w:rPr>
              <w:t>449,870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34.11</w:t>
            </w:r>
          </w:p>
        </w:tc>
        <w:tc>
          <w:tcPr>
            <w:tcW w:w="0" w:type="dxa"/>
            <w:vAlign w:val="bottom"/>
          </w:tcPr>
          <w:p>
            <w:pPr>
              <w:spacing w:after="0"/>
              <w:rPr>
                <w:sz w:val="1"/>
                <w:szCs w:val="1"/>
                <w:color w:val="auto"/>
              </w:rPr>
            </w:pPr>
          </w:p>
        </w:tc>
      </w:tr>
      <w:tr>
        <w:trPr>
          <w:trHeight w:val="155"/>
        </w:trPr>
        <w:tc>
          <w:tcPr>
            <w:tcW w:w="8740" w:type="dxa"/>
            <w:vAlign w:val="bottom"/>
          </w:tcPr>
          <w:p>
            <w:pPr>
              <w:ind w:left="180"/>
              <w:spacing w:after="0"/>
              <w:rPr>
                <w:sz w:val="20"/>
                <w:szCs w:val="20"/>
                <w:color w:val="auto"/>
              </w:rPr>
            </w:pPr>
            <w:r>
              <w:rPr>
                <w:rFonts w:ascii="Arial" w:cs="Arial" w:eastAsia="Arial" w:hAnsi="Arial"/>
                <w:sz w:val="12"/>
                <w:szCs w:val="12"/>
                <w:color w:val="auto"/>
              </w:rPr>
              <w:t>Granted</w:t>
            </w:r>
          </w:p>
        </w:tc>
        <w:tc>
          <w:tcPr>
            <w:tcW w:w="1200" w:type="dxa"/>
            <w:vAlign w:val="bottom"/>
          </w:tcPr>
          <w:p>
            <w:pPr>
              <w:ind w:left="760"/>
              <w:spacing w:after="0"/>
              <w:rPr>
                <w:sz w:val="20"/>
                <w:szCs w:val="20"/>
                <w:color w:val="auto"/>
              </w:rPr>
            </w:pPr>
            <w:r>
              <w:rPr>
                <w:rFonts w:ascii="Arial" w:cs="Arial" w:eastAsia="Arial" w:hAnsi="Arial"/>
                <w:sz w:val="12"/>
                <w:szCs w:val="12"/>
                <w:color w:val="auto"/>
                <w:w w:val="96"/>
              </w:rPr>
              <w:t>311,081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48.28</w:t>
            </w:r>
          </w:p>
        </w:tc>
        <w:tc>
          <w:tcPr>
            <w:tcW w:w="0" w:type="dxa"/>
            <w:vAlign w:val="bottom"/>
          </w:tcPr>
          <w:p>
            <w:pPr>
              <w:spacing w:after="0"/>
              <w:rPr>
                <w:sz w:val="1"/>
                <w:szCs w:val="1"/>
                <w:color w:val="auto"/>
              </w:rPr>
            </w:pPr>
          </w:p>
        </w:tc>
      </w:tr>
      <w:tr>
        <w:trPr>
          <w:trHeight w:val="160"/>
        </w:trPr>
        <w:tc>
          <w:tcPr>
            <w:tcW w:w="8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Canceled</w:t>
            </w:r>
          </w:p>
        </w:tc>
        <w:tc>
          <w:tcPr>
            <w:tcW w:w="1200" w:type="dxa"/>
            <w:vAlign w:val="bottom"/>
            <w:shd w:val="clear" w:color="auto" w:fill="CCEEFF"/>
          </w:tcPr>
          <w:p>
            <w:pPr>
              <w:ind w:left="760"/>
              <w:spacing w:after="0"/>
              <w:rPr>
                <w:sz w:val="20"/>
                <w:szCs w:val="20"/>
                <w:color w:val="auto"/>
              </w:rPr>
            </w:pPr>
            <w:r>
              <w:rPr>
                <w:rFonts w:ascii="Arial" w:cs="Arial" w:eastAsia="Arial" w:hAnsi="Arial"/>
                <w:sz w:val="12"/>
                <w:szCs w:val="12"/>
                <w:color w:val="auto"/>
                <w:w w:val="93"/>
              </w:rPr>
              <w:t>(12,437)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33.40</w:t>
            </w:r>
          </w:p>
        </w:tc>
        <w:tc>
          <w:tcPr>
            <w:tcW w:w="0" w:type="dxa"/>
            <w:vAlign w:val="bottom"/>
          </w:tcPr>
          <w:p>
            <w:pPr>
              <w:spacing w:after="0"/>
              <w:rPr>
                <w:sz w:val="1"/>
                <w:szCs w:val="1"/>
                <w:color w:val="auto"/>
              </w:rPr>
            </w:pPr>
          </w:p>
        </w:tc>
      </w:tr>
      <w:tr>
        <w:trPr>
          <w:trHeight w:val="155"/>
        </w:trPr>
        <w:tc>
          <w:tcPr>
            <w:tcW w:w="87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Vested</w:t>
            </w:r>
          </w:p>
        </w:tc>
        <w:tc>
          <w:tcPr>
            <w:tcW w:w="1200" w:type="dxa"/>
            <w:vAlign w:val="bottom"/>
            <w:tcBorders>
              <w:bottom w:val="single" w:sz="8" w:color="auto"/>
            </w:tcBorders>
          </w:tcPr>
          <w:p>
            <w:pPr>
              <w:ind w:left="760"/>
              <w:spacing w:after="0"/>
              <w:rPr>
                <w:sz w:val="20"/>
                <w:szCs w:val="20"/>
                <w:color w:val="auto"/>
              </w:rPr>
            </w:pPr>
            <w:r>
              <w:rPr>
                <w:rFonts w:ascii="Arial" w:cs="Arial" w:eastAsia="Arial" w:hAnsi="Arial"/>
                <w:sz w:val="12"/>
                <w:szCs w:val="12"/>
                <w:color w:val="auto"/>
                <w:w w:val="93"/>
              </w:rPr>
              <w:t>(29,873)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34.59</w:t>
            </w:r>
          </w:p>
        </w:tc>
        <w:tc>
          <w:tcPr>
            <w:tcW w:w="0" w:type="dxa"/>
            <w:vAlign w:val="bottom"/>
          </w:tcPr>
          <w:p>
            <w:pPr>
              <w:spacing w:after="0"/>
              <w:rPr>
                <w:sz w:val="1"/>
                <w:szCs w:val="1"/>
                <w:color w:val="auto"/>
              </w:rPr>
            </w:pPr>
          </w:p>
        </w:tc>
      </w:tr>
      <w:tr>
        <w:trPr>
          <w:trHeight w:val="176"/>
        </w:trPr>
        <w:tc>
          <w:tcPr>
            <w:tcW w:w="8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December 31, 2021</w:t>
            </w:r>
          </w:p>
        </w:tc>
        <w:tc>
          <w:tcPr>
            <w:tcW w:w="12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2"/>
                <w:szCs w:val="12"/>
                <w:color w:val="auto"/>
                <w:w w:val="96"/>
              </w:rPr>
              <w:t>718,641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40.24</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summarizes information related to stock options outstanding and exercisable as of December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440"/>
              <w:spacing w:after="0"/>
              <w:rPr>
                <w:sz w:val="20"/>
                <w:szCs w:val="20"/>
                <w:color w:val="auto"/>
              </w:rPr>
            </w:pPr>
            <w:r>
              <w:rPr>
                <w:rFonts w:ascii="Arial" w:cs="Arial" w:eastAsia="Arial" w:hAnsi="Arial"/>
                <w:sz w:val="12"/>
                <w:szCs w:val="12"/>
                <w:b w:val="1"/>
                <w:bCs w:val="1"/>
                <w:color w:val="auto"/>
              </w:rPr>
              <w:t>Options Outstanding</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500"/>
              <w:spacing w:after="0"/>
              <w:rPr>
                <w:sz w:val="20"/>
                <w:szCs w:val="20"/>
                <w:color w:val="auto"/>
              </w:rPr>
            </w:pPr>
            <w:r>
              <w:rPr>
                <w:rFonts w:ascii="Arial" w:cs="Arial" w:eastAsia="Arial" w:hAnsi="Arial"/>
                <w:sz w:val="12"/>
                <w:szCs w:val="12"/>
                <w:b w:val="1"/>
                <w:bCs w:val="1"/>
                <w:color w:val="auto"/>
              </w:rPr>
              <w:t>Options Exercisable</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5"/>
        </w:trPr>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Weighted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Weighted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7"/>
        </w:trPr>
        <w:tc>
          <w:tcPr>
            <w:tcW w:w="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Average</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Weighted</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Average</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Weighted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8"/>
        </w:trPr>
        <w:tc>
          <w:tcPr>
            <w:tcW w:w="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Remaining</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Average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Remaining</w:t>
            </w:r>
          </w:p>
        </w:tc>
        <w:tc>
          <w:tcPr>
            <w:tcW w:w="14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Average</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8"/>
        </w:trPr>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Range of</w:t>
            </w:r>
          </w:p>
        </w:tc>
        <w:tc>
          <w:tcPr>
            <w:tcW w:w="1060" w:type="dxa"/>
            <w:vAlign w:val="bottom"/>
          </w:tcPr>
          <w:p>
            <w:pPr>
              <w:jc w:val="right"/>
              <w:ind w:right="200"/>
              <w:spacing w:after="0"/>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Contractual</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Exercise</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Intrinsic</w:t>
            </w:r>
          </w:p>
        </w:tc>
        <w:tc>
          <w:tcPr>
            <w:tcW w:w="1020" w:type="dxa"/>
            <w:vAlign w:val="bottom"/>
          </w:tcPr>
          <w:p>
            <w:pPr>
              <w:jc w:val="right"/>
              <w:ind w:right="180"/>
              <w:spacing w:after="0"/>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Contractual</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Exercise</w:t>
            </w:r>
          </w:p>
        </w:tc>
        <w:tc>
          <w:tcPr>
            <w:tcW w:w="140" w:type="dxa"/>
            <w:vAlign w:val="bottom"/>
          </w:tcPr>
          <w:p>
            <w:pPr>
              <w:spacing w:after="0"/>
              <w:rPr>
                <w:sz w:val="13"/>
                <w:szCs w:val="13"/>
                <w:color w:val="auto"/>
              </w:rPr>
            </w:pPr>
          </w:p>
        </w:tc>
        <w:tc>
          <w:tcPr>
            <w:tcW w:w="900" w:type="dxa"/>
            <w:vAlign w:val="bottom"/>
          </w:tcPr>
          <w:p>
            <w:pPr>
              <w:jc w:val="center"/>
              <w:ind w:right="80"/>
              <w:spacing w:after="0"/>
              <w:rPr>
                <w:sz w:val="20"/>
                <w:szCs w:val="20"/>
                <w:color w:val="auto"/>
              </w:rPr>
            </w:pPr>
            <w:r>
              <w:rPr>
                <w:rFonts w:ascii="Arial" w:cs="Arial" w:eastAsia="Arial" w:hAnsi="Arial"/>
                <w:sz w:val="12"/>
                <w:szCs w:val="12"/>
                <w:b w:val="1"/>
                <w:bCs w:val="1"/>
                <w:color w:val="auto"/>
                <w:w w:val="94"/>
              </w:rPr>
              <w:t>Intrinsic</w:t>
            </w:r>
          </w:p>
        </w:tc>
      </w:tr>
      <w:tr>
        <w:trPr>
          <w:trHeight w:val="133"/>
        </w:trPr>
        <w:tc>
          <w:tcPr>
            <w:tcW w:w="2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Exercise Prices</w:t>
            </w:r>
          </w:p>
        </w:tc>
        <w:tc>
          <w:tcPr>
            <w:tcW w:w="1060" w:type="dxa"/>
            <w:vAlign w:val="bottom"/>
          </w:tcPr>
          <w:p>
            <w:pPr>
              <w:jc w:val="right"/>
              <w:ind w:right="280"/>
              <w:spacing w:after="0" w:line="133" w:lineRule="exact"/>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Life</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88"/>
              </w:rPr>
              <w:t>Price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87"/>
              </w:rPr>
              <w:t>Value</w:t>
            </w:r>
          </w:p>
        </w:tc>
        <w:tc>
          <w:tcPr>
            <w:tcW w:w="1020" w:type="dxa"/>
            <w:vAlign w:val="bottom"/>
          </w:tcPr>
          <w:p>
            <w:pPr>
              <w:jc w:val="right"/>
              <w:ind w:right="260"/>
              <w:spacing w:after="0" w:line="133" w:lineRule="exact"/>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Life</w:t>
            </w:r>
          </w:p>
        </w:tc>
        <w:tc>
          <w:tcPr>
            <w:tcW w:w="140" w:type="dxa"/>
            <w:vAlign w:val="bottom"/>
          </w:tcPr>
          <w:p>
            <w:pPr>
              <w:spacing w:after="0"/>
              <w:rPr>
                <w:sz w:val="11"/>
                <w:szCs w:val="11"/>
                <w:color w:val="auto"/>
              </w:rPr>
            </w:pPr>
          </w:p>
        </w:tc>
        <w:tc>
          <w:tcPr>
            <w:tcW w:w="84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88"/>
              </w:rPr>
              <w:t>Price</w:t>
            </w:r>
          </w:p>
        </w:tc>
        <w:tc>
          <w:tcPr>
            <w:tcW w:w="140" w:type="dxa"/>
            <w:vAlign w:val="bottom"/>
          </w:tcPr>
          <w:p>
            <w:pPr>
              <w:spacing w:after="0"/>
              <w:rPr>
                <w:sz w:val="11"/>
                <w:szCs w:val="11"/>
                <w:color w:val="auto"/>
              </w:rPr>
            </w:pPr>
          </w:p>
        </w:tc>
        <w:tc>
          <w:tcPr>
            <w:tcW w:w="900" w:type="dxa"/>
            <w:vAlign w:val="bottom"/>
          </w:tcPr>
          <w:p>
            <w:pPr>
              <w:jc w:val="center"/>
              <w:ind w:right="80"/>
              <w:spacing w:after="0" w:line="133" w:lineRule="exact"/>
              <w:rPr>
                <w:sz w:val="20"/>
                <w:szCs w:val="20"/>
                <w:color w:val="auto"/>
              </w:rPr>
            </w:pPr>
            <w:r>
              <w:rPr>
                <w:rFonts w:ascii="Arial" w:cs="Arial" w:eastAsia="Arial" w:hAnsi="Arial"/>
                <w:sz w:val="12"/>
                <w:szCs w:val="12"/>
                <w:b w:val="1"/>
                <w:bCs w:val="1"/>
                <w:color w:val="auto"/>
                <w:w w:val="87"/>
              </w:rPr>
              <w:t>Value</w:t>
            </w: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2"/>
        </w:trPr>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3"/>
              </w:rPr>
              <w:t>(In years)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0"/>
              <w:spacing w:after="0"/>
              <w:rPr>
                <w:sz w:val="20"/>
                <w:szCs w:val="20"/>
                <w:color w:val="auto"/>
              </w:rPr>
            </w:pPr>
            <w:r>
              <w:rPr>
                <w:rFonts w:ascii="Arial" w:cs="Arial" w:eastAsia="Arial" w:hAnsi="Arial"/>
                <w:sz w:val="12"/>
                <w:szCs w:val="12"/>
                <w:b w:val="1"/>
                <w:bCs w:val="1"/>
                <w:color w:val="auto"/>
                <w:w w:val="94"/>
              </w:rPr>
              <w:t>(In millions)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3"/>
              </w:rPr>
              <w:t>(In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80"/>
              <w:spacing w:after="0"/>
              <w:rPr>
                <w:sz w:val="20"/>
                <w:szCs w:val="20"/>
                <w:color w:val="auto"/>
              </w:rPr>
            </w:pPr>
            <w:r>
              <w:rPr>
                <w:rFonts w:ascii="Arial" w:cs="Arial" w:eastAsia="Arial" w:hAnsi="Arial"/>
                <w:sz w:val="12"/>
                <w:szCs w:val="12"/>
                <w:b w:val="1"/>
                <w:bCs w:val="1"/>
                <w:color w:val="auto"/>
                <w:w w:val="94"/>
              </w:rPr>
              <w:t>(In millions)</w:t>
            </w:r>
          </w:p>
        </w:tc>
      </w:tr>
      <w:tr>
        <w:trPr>
          <w:trHeight w:val="158"/>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w w:val="98"/>
              </w:rPr>
              <w:t>$0.00 - $25.53</w:t>
            </w:r>
          </w:p>
        </w:tc>
        <w:tc>
          <w:tcPr>
            <w:tcW w:w="15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996,113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0.83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996,113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0.83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55"/>
        </w:trPr>
        <w:tc>
          <w:tcPr>
            <w:tcW w:w="780" w:type="dxa"/>
            <w:vAlign w:val="bottom"/>
          </w:tcPr>
          <w:p>
            <w:pPr>
              <w:spacing w:after="0"/>
              <w:rPr>
                <w:sz w:val="20"/>
                <w:szCs w:val="20"/>
                <w:color w:val="auto"/>
              </w:rPr>
            </w:pPr>
            <w:r>
              <w:rPr>
                <w:rFonts w:ascii="Arial" w:cs="Arial" w:eastAsia="Arial" w:hAnsi="Arial"/>
                <w:sz w:val="12"/>
                <w:szCs w:val="12"/>
                <w:color w:val="auto"/>
                <w:w w:val="90"/>
              </w:rPr>
              <w:t>$25.54 - $27.53</w:t>
            </w:r>
          </w:p>
        </w:tc>
        <w:tc>
          <w:tcPr>
            <w:tcW w:w="15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359,510</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3.98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27.53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292,101</w:t>
            </w: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3.98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27.53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60"/>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w w:val="90"/>
              </w:rPr>
              <w:t>$27.54 - $28.00</w:t>
            </w:r>
          </w:p>
        </w:tc>
        <w:tc>
          <w:tcPr>
            <w:tcW w:w="15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45,734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5"/>
        </w:trPr>
        <w:tc>
          <w:tcPr>
            <w:tcW w:w="780" w:type="dxa"/>
            <w:vAlign w:val="bottom"/>
          </w:tcPr>
          <w:p>
            <w:pPr>
              <w:spacing w:after="0"/>
              <w:rPr>
                <w:sz w:val="20"/>
                <w:szCs w:val="20"/>
                <w:color w:val="auto"/>
              </w:rPr>
            </w:pPr>
            <w:r>
              <w:rPr>
                <w:rFonts w:ascii="Arial" w:cs="Arial" w:eastAsia="Arial" w:hAnsi="Arial"/>
                <w:sz w:val="12"/>
                <w:szCs w:val="12"/>
                <w:color w:val="auto"/>
                <w:w w:val="90"/>
              </w:rPr>
              <w:t>$28.01 - $35.89</w:t>
            </w:r>
          </w:p>
        </w:tc>
        <w:tc>
          <w:tcPr>
            <w:tcW w:w="15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34,106</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4.87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6,821</w:t>
            </w: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4.87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w w:val="90"/>
              </w:rPr>
              <w:t>$35.90 - $39.10</w:t>
            </w:r>
          </w:p>
        </w:tc>
        <w:tc>
          <w:tcPr>
            <w:tcW w:w="15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1,088,586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748,808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r>
      <w:tr>
        <w:trPr>
          <w:trHeight w:val="155"/>
        </w:trPr>
        <w:tc>
          <w:tcPr>
            <w:tcW w:w="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2,524,049</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2,068,697</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r>
      <w:tr>
        <w:trPr>
          <w:trHeight w:val="20"/>
        </w:trPr>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67" w:name="page168"/>
    <w:bookmarkEnd w:id="16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4"/>
          <w:szCs w:val="14"/>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Fair value of restricted stock awards and units is based on the grant date value of the underlying stock derived from quoted market prices. The total fair value of restricted stock awards granted in the years ended December 31, 2021, 2020 and 2019 was $52 million, $50 million, and $29 million, respectively. The total fair value of restricted stock awards, which vested in the years ended December 31, 2021, 2020 and 2019 was $43 million, $25 million, and $42 million, respectively. Option awards are measured at fair value on the grant date using the Black Scholes Option Pricing Model. The intrinsic value of options exercised in the years ended December 31, 2021, 2020 and 2019 was $32 million, $50 million, and $48 million, respectively. Net earnings attributable to FNF Shareholders reflects stock-based compensation expense amounts of $43 million for the year ended December 31, 2021, $39 million for the year ended December 31, 2020, and $38 million for the year ended December 31, 2019, which are included in personnel costs in the reported financial results of each period.</w:t>
      </w:r>
    </w:p>
    <w:p>
      <w:pPr>
        <w:spacing w:after="0" w:line="47"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At December 31, 2021, the total unrecognized compensation cost related to non-vested stock option grants and restricted stock grants is $71 million, which is expected to be recognized in pre-tax income over a weighted average period of 1.75 years.</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Pension Plan</w:t>
      </w:r>
    </w:p>
    <w:p>
      <w:pPr>
        <w:spacing w:after="0" w:line="17" w:lineRule="exact"/>
        <w:rPr>
          <w:sz w:val="20"/>
          <w:szCs w:val="20"/>
          <w:color w:val="auto"/>
        </w:rPr>
      </w:pPr>
    </w:p>
    <w:p>
      <w:pPr>
        <w:jc w:val="both"/>
        <w:ind w:firstLine="270"/>
        <w:spacing w:after="0" w:line="301" w:lineRule="auto"/>
        <w:rPr>
          <w:sz w:val="20"/>
          <w:szCs w:val="20"/>
          <w:color w:val="auto"/>
        </w:rPr>
      </w:pPr>
      <w:r>
        <w:rPr>
          <w:rFonts w:ascii="Arial" w:cs="Arial" w:eastAsia="Arial" w:hAnsi="Arial"/>
          <w:sz w:val="13"/>
          <w:szCs w:val="13"/>
          <w:color w:val="auto"/>
        </w:rPr>
        <w:t>In 2000, FNF merged with Chicago Title Corporation ("CTC"). In connection with the merger, we assumed CTC’s noncontributory defined contribution plan and noncontributory defined benefit pension plan (the “Pension Plan”). The Pension Plan covers certain CTC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GAAP on employers’ accounting for defined benefit pension and other post retirement plans, the measurement date is December 31.</w:t>
      </w:r>
    </w:p>
    <w:p>
      <w:pPr>
        <w:spacing w:after="0" w:line="33"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color w:val="auto"/>
        </w:rPr>
        <w:t>The discount rate used to determine the benefit obligation as of December 31, 2021 and 2020 was 2.35% and 1.85%, respectively. As of December 31, 2021 and 2020, the projected benefit obligation was $154 million and $153 million, respectively, and the fair value of plan assets was $145 million and $157 million, respectively. The net pension liability and net periodic expense included in our financial position and results of operations relating to the Pension Plan is not considered material for any period presented.</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V - Financial Instruments with Off-Balance Sheet Risk and Concentration of Risk</w:t>
      </w:r>
    </w:p>
    <w:p>
      <w:pPr>
        <w:spacing w:after="0" w:line="21" w:lineRule="exact"/>
        <w:rPr>
          <w:sz w:val="20"/>
          <w:szCs w:val="20"/>
          <w:color w:val="auto"/>
        </w:rPr>
      </w:pPr>
    </w:p>
    <w:p>
      <w:pPr>
        <w:jc w:val="both"/>
        <w:ind w:firstLine="308"/>
        <w:spacing w:after="0" w:line="261" w:lineRule="auto"/>
        <w:rPr>
          <w:sz w:val="20"/>
          <w:szCs w:val="20"/>
          <w:color w:val="auto"/>
        </w:rPr>
      </w:pPr>
      <w:r>
        <w:rPr>
          <w:rFonts w:ascii="Arial" w:cs="Arial" w:eastAsia="Arial" w:hAnsi="Arial"/>
          <w:sz w:val="15"/>
          <w:szCs w:val="15"/>
          <w:color w:val="auto"/>
        </w:rPr>
        <w:t>In the normal course of business, we and certain of our subsidiaries enter into off-balance sheet credit arrangements associated with certain aspects of the title insurance business and other activities.</w:t>
      </w:r>
    </w:p>
    <w:p>
      <w:pPr>
        <w:spacing w:after="0" w:line="55"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5"/>
          <w:szCs w:val="15"/>
          <w:color w:val="auto"/>
        </w:rPr>
        <w:t>We generate a significant amount of title insurance premiums in Texas, California, Florida, Pennsylvania and Illinois. Title insurance premiums as a percentage of the total title insurance premiums written from those five states are detailed as follows:</w:t>
      </w:r>
    </w:p>
    <w:tbl>
      <w:tblPr>
        <w:tblLayout w:type="fixed"/>
        <w:tblInd w:w="0" w:type="dxa"/>
        <w:tblCellMar>
          <w:top w:w="0" w:type="dxa"/>
          <w:left w:w="0" w:type="dxa"/>
          <w:bottom w:w="0" w:type="dxa"/>
          <w:right w:w="0" w:type="dxa"/>
        </w:tblCellMar>
      </w:tblPr>
      <w:tr>
        <w:trPr>
          <w:trHeight w:val="162"/>
        </w:trPr>
        <w:tc>
          <w:tcPr>
            <w:tcW w:w="8280" w:type="dxa"/>
            <w:vAlign w:val="bottom"/>
            <w:gridSpan w:val="2"/>
          </w:tcPr>
          <w:p>
            <w:pPr>
              <w:ind w:left="7980"/>
              <w:spacing w:after="0"/>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40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4"/>
                <w:szCs w:val="14"/>
                <w:color w:val="auto"/>
              </w:rPr>
            </w:pPr>
          </w:p>
        </w:tc>
        <w:tc>
          <w:tcPr>
            <w:tcW w:w="1180" w:type="dxa"/>
            <w:vAlign w:val="bottom"/>
          </w:tcPr>
          <w:p>
            <w:pPr>
              <w:jc w:val="right"/>
              <w:ind w:right="420"/>
              <w:spacing w:after="0"/>
              <w:rPr>
                <w:sz w:val="20"/>
                <w:szCs w:val="20"/>
                <w:color w:val="auto"/>
              </w:rPr>
            </w:pPr>
            <w:r>
              <w:rPr>
                <w:rFonts w:ascii="Arial" w:cs="Arial" w:eastAsia="Arial" w:hAnsi="Arial"/>
                <w:sz w:val="12"/>
                <w:szCs w:val="12"/>
                <w:b w:val="1"/>
                <w:bCs w:val="1"/>
                <w:color w:val="auto"/>
              </w:rPr>
              <w:t>2019</w:t>
            </w:r>
          </w:p>
        </w:tc>
      </w:tr>
      <w:tr>
        <w:trPr>
          <w:trHeight w:val="154"/>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California</w:t>
            </w:r>
          </w:p>
        </w:tc>
        <w:tc>
          <w:tcPr>
            <w:tcW w:w="7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14.6 %</w:t>
            </w: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15.2 %</w:t>
            </w: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14.3 %</w:t>
            </w:r>
          </w:p>
        </w:tc>
      </w:tr>
      <w:tr>
        <w:trPr>
          <w:trHeight w:val="155"/>
        </w:trPr>
        <w:tc>
          <w:tcPr>
            <w:tcW w:w="8280" w:type="dxa"/>
            <w:vAlign w:val="bottom"/>
            <w:gridSpan w:val="2"/>
          </w:tcPr>
          <w:p>
            <w:pPr>
              <w:spacing w:after="0"/>
              <w:rPr>
                <w:sz w:val="20"/>
                <w:szCs w:val="20"/>
                <w:color w:val="auto"/>
              </w:rPr>
            </w:pPr>
            <w:r>
              <w:rPr>
                <w:rFonts w:ascii="Arial" w:cs="Arial" w:eastAsia="Arial" w:hAnsi="Arial"/>
                <w:sz w:val="12"/>
                <w:szCs w:val="12"/>
                <w:color w:val="auto"/>
              </w:rPr>
              <w:t>Texas</w:t>
            </w:r>
          </w:p>
        </w:tc>
        <w:tc>
          <w:tcPr>
            <w:tcW w:w="400" w:type="dxa"/>
            <w:vAlign w:val="bottom"/>
          </w:tcPr>
          <w:p>
            <w:pPr>
              <w:jc w:val="right"/>
              <w:spacing w:after="0"/>
              <w:rPr>
                <w:sz w:val="20"/>
                <w:szCs w:val="20"/>
                <w:color w:val="auto"/>
              </w:rPr>
            </w:pPr>
            <w:r>
              <w:rPr>
                <w:rFonts w:ascii="Arial" w:cs="Arial" w:eastAsia="Arial" w:hAnsi="Arial"/>
                <w:sz w:val="12"/>
                <w:szCs w:val="12"/>
                <w:color w:val="auto"/>
              </w:rPr>
              <w:t>13.0 %</w:t>
            </w: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12.3 %</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13.8 %</w:t>
            </w:r>
          </w:p>
        </w:tc>
      </w:tr>
      <w:tr>
        <w:trPr>
          <w:trHeight w:val="160"/>
        </w:trPr>
        <w:tc>
          <w:tcPr>
            <w:tcW w:w="8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Florida</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9.3 %</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8.6 %</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9.2 %</w:t>
            </w:r>
          </w:p>
        </w:tc>
      </w:tr>
      <w:tr>
        <w:trPr>
          <w:trHeight w:val="155"/>
        </w:trPr>
        <w:tc>
          <w:tcPr>
            <w:tcW w:w="8280" w:type="dxa"/>
            <w:vAlign w:val="bottom"/>
            <w:gridSpan w:val="2"/>
          </w:tcPr>
          <w:p>
            <w:pPr>
              <w:spacing w:after="0"/>
              <w:rPr>
                <w:sz w:val="20"/>
                <w:szCs w:val="20"/>
                <w:color w:val="auto"/>
              </w:rPr>
            </w:pPr>
            <w:r>
              <w:rPr>
                <w:rFonts w:ascii="Arial" w:cs="Arial" w:eastAsia="Arial" w:hAnsi="Arial"/>
                <w:sz w:val="12"/>
                <w:szCs w:val="12"/>
                <w:color w:val="auto"/>
              </w:rPr>
              <w:t>Pennsylvania</w:t>
            </w:r>
          </w:p>
        </w:tc>
        <w:tc>
          <w:tcPr>
            <w:tcW w:w="400" w:type="dxa"/>
            <w:vAlign w:val="bottom"/>
          </w:tcPr>
          <w:p>
            <w:pPr>
              <w:jc w:val="right"/>
              <w:spacing w:after="0"/>
              <w:rPr>
                <w:sz w:val="20"/>
                <w:szCs w:val="20"/>
                <w:color w:val="auto"/>
              </w:rPr>
            </w:pPr>
            <w:r>
              <w:rPr>
                <w:rFonts w:ascii="Arial" w:cs="Arial" w:eastAsia="Arial" w:hAnsi="Arial"/>
                <w:sz w:val="12"/>
                <w:szCs w:val="12"/>
                <w:color w:val="auto"/>
              </w:rPr>
              <w:t>5.1 %</w:t>
            </w: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4.8 %</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4.7 %</w:t>
            </w:r>
          </w:p>
        </w:tc>
      </w:tr>
      <w:tr>
        <w:trPr>
          <w:trHeight w:val="160"/>
        </w:trPr>
        <w:tc>
          <w:tcPr>
            <w:tcW w:w="8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Illinois</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5.1 %</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5.0 %</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5.1 %</w:t>
            </w:r>
          </w:p>
        </w:tc>
      </w:tr>
    </w:tbl>
    <w:p>
      <w:pPr>
        <w:spacing w:after="0" w:line="8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Financial instruments that potentially subject us to concentrations of credit risk consist primarily of cash equivalents, short-term investments, and trade receivables.</w:t>
      </w:r>
    </w:p>
    <w:p>
      <w:pPr>
        <w:spacing w:after="0" w:line="75"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46"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68" w:name="page169"/>
    <w:bookmarkEnd w:id="16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W - Recent Accounting Pronouncements</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Adopted Pronouncements</w:t>
      </w:r>
    </w:p>
    <w:p>
      <w:pPr>
        <w:spacing w:after="0" w:line="17"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3"/>
          <w:szCs w:val="13"/>
          <w:color w:val="auto"/>
        </w:rPr>
        <w:t xml:space="preserve">In June 2016, the FASB issued ASU No. 2016-13 Financial Instruments - Credit Losses: Measurement of Credit Losses on Financial Instruments (Topic 326).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The method used to measure estimated credit losses for fixed maturity available-for-sale securities will be unchanged from current GAAP; however, the amendments require credit losses to be recognized through an allowance rather than as a reduction to the amortized cost of those securities. We adopted ASC 326 using the modified retrospective method for all financial assets measured at amortized cost. Results for reporting period beginning after December 15, 2019 are presented under ASC 326 while prior period amounts continue to be reported in accordance with previously applicable Generally Accepted Accounting Principles. We adopted this standard using the prospective transition approach for debt securities for which other than temporary impairment had been recognized prior to January 1, 2020. As a result, the amortized cost basis remains the same before and after the effective date of ASC 326. The effective interest rate on these debt securities was not changed. Amounts previously recognized in accumulated other comprehensive income as of January 1, 2020 relating to improvements in cash flows expected to be collected will be accreted into income over the remaining life of the asset. Recoveries of amounts previously written off relating to improvements in cash flows after January 1, 2020 will be recorded in earnings when received. See Note E </w:t>
      </w:r>
      <w:r>
        <w:rPr>
          <w:rFonts w:ascii="Arial" w:cs="Arial" w:eastAsia="Arial" w:hAnsi="Arial"/>
          <w:sz w:val="13"/>
          <w:szCs w:val="13"/>
          <w:i w:val="1"/>
          <w:iCs w:val="1"/>
          <w:color w:val="auto"/>
        </w:rPr>
        <w:t>Investments</w:t>
      </w:r>
      <w:r>
        <w:rPr>
          <w:rFonts w:ascii="Arial" w:cs="Arial" w:eastAsia="Arial" w:hAnsi="Arial"/>
          <w:sz w:val="13"/>
          <w:szCs w:val="13"/>
          <w:color w:val="auto"/>
        </w:rPr>
        <w:t xml:space="preserve"> for further discussion of the adoption as it relates to our fixed maturity securities available for sale.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January 2017, the FASB issued ASU 2017-04 Intangibles - Goodwill and Other (Topic 350): Simplifying the Test for Goodwill Impairment.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We adopted this standard as of January 1, 2020 and are applying this guidance on a prospective basis. The overall effect of Topic 350 had no impact to the Consolidated Financial Statements upon adoption.</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August 2018, the FASB issued ASU 2018-13, Fair Value Measurement (Topic 820), Disclosure Framework-Changes to the Disclosure Requirements for Fair Value Measurement, effective for fiscal years beginning after December 15, 2019 including interim periods within those fiscal years. The new guidance introduces the following requirements: for investments in certain entities that calculate net asset value, investors are required to disclose the timing of liquidation of an investee's assets and the date when restrictions from redemption might lapse if the investee has communicated timing to the entity or announced timing publicly; entities should use the measurement uncertainty disclosure to communicate information about the uncertainty in measurement as of the reporting date; entities must disclose changes in unrealized gains and losses included in other comprehensive income for recurring Level 3 fair value measurements, as well as the range and weighted average of significant unobservable inputs used to develop Level 3 fair value measurements, or other quantitative information in lieu of weighted average if the entity determines such information would be more reasonable and rational; and entities are no longer required to disclose the amounts and reasons for transfers between Level 1 and Level 2 of the fair value hierarchy, the policy for timing of transfers between levels, and the valuation processes for Level 3 fair value measurements. We adopted this standard on June 1, 2020 as a result of our acquisition of F&amp;G, and the overall effect of Topic 820 on our Consolidated Financial Statements was not material upon adoption.</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October 2018, the FASB issued ASU 2018-17, Consolidation (Topic 810), Targeted Improvements to Related Party Guidance for Variable Interest Entities, effective for fiscal years beginning after December 15, 2019 including interim periods within those fiscal years. Under this update, entities must consider indirect interests held through related parties under common control on a proportional basis to determine whether a decision-making fee is a variable interest. We adopted this standard on June 1, 2020 as a result of our acquisition of F&amp;G, and it did not have an impact on our Consolidated Financial Statements.</w:t>
      </w:r>
    </w:p>
    <w:p>
      <w:pPr>
        <w:spacing w:after="0" w:line="70"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5"/>
          <w:szCs w:val="15"/>
          <w:color w:val="auto"/>
        </w:rPr>
        <w:t>In December 2019, the FASB issued ASU 2019-12 Income Taxes - Simplifying the Accounting for Income Taxes (Topic 740),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We adopted this standard as of January 1, 2021, and it had no impact on our Consolidated Financial Statements upon adoption.</w:t>
      </w:r>
    </w:p>
    <w:p>
      <w:pPr>
        <w:spacing w:after="0" w:line="70" w:lineRule="exact"/>
        <w:rPr>
          <w:sz w:val="20"/>
          <w:szCs w:val="20"/>
          <w:color w:val="auto"/>
        </w:rPr>
      </w:pPr>
    </w:p>
    <w:p>
      <w:pPr>
        <w:jc w:val="both"/>
        <w:ind w:firstLine="270"/>
        <w:spacing w:after="0" w:line="354" w:lineRule="auto"/>
        <w:rPr>
          <w:sz w:val="20"/>
          <w:szCs w:val="20"/>
          <w:color w:val="auto"/>
        </w:rPr>
      </w:pPr>
      <w:r>
        <w:rPr>
          <w:rFonts w:ascii="Arial" w:cs="Arial" w:eastAsia="Arial" w:hAnsi="Arial"/>
          <w:sz w:val="13"/>
          <w:szCs w:val="13"/>
          <w:color w:val="auto"/>
        </w:rPr>
        <w:t>In October 2020, the FASB issued ASU 2020-08, Codification Improvements to Subtopic 310-20, Receivables - Nonrefundable Fees and Other Costs. The amendments in this update clarify that callable debt securities should be re-evaluated each reporting period to determine if the amortized cost exceeds the amount repayable by the issuer at the next earliest call date,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69" w:name="page170"/>
    <w:bookmarkEnd w:id="16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and, if so, the excess should be amortized to the next call date. We adopted this standard as of January 1, 2021 and are applying this guidance on a prospective basis. This standard had no impact on our Consolidated Financial Statements upon adoption.</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Pronouncements Not Yet Adopted</w:t>
      </w:r>
    </w:p>
    <w:p>
      <w:pPr>
        <w:spacing w:after="0" w:line="98" w:lineRule="exact"/>
        <w:rPr>
          <w:sz w:val="20"/>
          <w:szCs w:val="20"/>
          <w:color w:val="auto"/>
        </w:rPr>
      </w:pPr>
    </w:p>
    <w:p>
      <w:pPr>
        <w:jc w:val="both"/>
        <w:ind w:firstLine="270"/>
        <w:spacing w:after="0" w:line="296" w:lineRule="auto"/>
        <w:rPr>
          <w:sz w:val="20"/>
          <w:szCs w:val="20"/>
          <w:color w:val="auto"/>
        </w:rPr>
      </w:pPr>
      <w:r>
        <w:rPr>
          <w:rFonts w:ascii="Arial" w:cs="Arial" w:eastAsia="Arial" w:hAnsi="Arial"/>
          <w:sz w:val="13"/>
          <w:szCs w:val="13"/>
          <w:color w:val="auto"/>
        </w:rPr>
        <w:t>In August 2018, the FASB issued ASU 2018-12, Financial Services-Insurance (Topic 944), Targeted Improvements to the Accounting for Long-Duration Contracts, effective for fiscal years beginning after December 15, 2022 including interim periods within those fiscal years. In June of 2020, the FASB deferred the effective date of ASU 2018-12 for one-year in response to implementation challenges resulting from COVID-19. This update introduced the following requirements: assumptions used to measure cash flows for traditional and limited-payment contracts must be reviewed at least annually with the effect of changes in those assumptions being recognized in the statement of operations; the discount rate applied to measure the liability for future policy benefits and limited-payment contracts must be updated at each reporting date with the effect of changes in the rate being recognized in other comprehensive income; market risk benefits associated with deposit contracts must be measured at fair value, with the effect of the change in the fair value attributable to a change in the instrument-specific credit risk being recognized in other comprehensive income; deferred acquisition costs are required to be amortized in proportion to premiums, gross profits, or gross margins and those balances must be amortized on a constant level basis over the expected term of the related contracts; deferred acquisition costs must be written off for unexpected contract terminations; and disaggregated rollforwards of beginning to ending balances of the liability for future policy benefits, policyholder account balances, market risk benefits, separate account liabilities and deferred acquisition costs, as well as information about significant inputs, judgments, assumptions, and methods used in measurement are required to be disclosed.</w:t>
      </w:r>
    </w:p>
    <w:p>
      <w:pPr>
        <w:spacing w:after="0" w:line="4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color w:val="auto"/>
        </w:rPr>
        <w:t>The amendments in this ASU may be early adopted as of the beginning of an annual reporting period for which financial statements have not yet been issued, including interim financial statements. We do not currently expect to early adopt this standard. We have identified specific areas that will be impacted by the new guidance and are in the process of assessing the accounting, reporting and/or process changes that will be required to comply as well as the impact of the new guidance on our consolidated financial statements.</w:t>
      </w:r>
    </w:p>
    <w:p>
      <w:pPr>
        <w:spacing w:after="0" w:line="47"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In December 2021, the FASB issued ASU 2021-10, Financial Services-Insurance (Topic 944), Government Assistance Requires Disclosures, effective for fiscal years beginning after December 15, 2022 including interim periods within those fiscal years.</w:t>
      </w:r>
    </w:p>
    <w:p>
      <w:pPr>
        <w:spacing w:after="0" w:line="57"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4"/>
          <w:szCs w:val="14"/>
          <w:color w:val="auto"/>
        </w:rPr>
        <w:t>The amendments in this ASU may be early adopted as of the beginning of an annual reporting period for which financial statements have not yet been issued, including interim financial statements. We do not currently expect to early adopt this standard. We have identified specific areas that will be impacted by the new guidance and are in the process of assessing the accounting, reporting and/or process changes that will be required to comply as well as the impact of the new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70" w:name="page171"/>
    <w:bookmarkEnd w:id="170"/>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3"/>
          <w:szCs w:val="13"/>
          <w:b w:val="1"/>
          <w:bCs w:val="1"/>
          <w:i w:val="1"/>
          <w:iCs w:val="1"/>
          <w:color w:val="auto"/>
        </w:rPr>
        <w:t>Changes in and Disagreements with Accountants on Accounting and Financial Disclosure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None.</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10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5"/>
          <w:szCs w:val="15"/>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ensure that information required to be disclosed by us in the reports that we file or submit under the Exchange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2"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 xml:space="preserve">We completed the F&amp;G acquisition on June 1, 2020 (see Note B </w:t>
      </w:r>
      <w:r>
        <w:rPr>
          <w:rFonts w:ascii="Arial" w:cs="Arial" w:eastAsia="Arial" w:hAnsi="Arial"/>
          <w:sz w:val="15"/>
          <w:szCs w:val="15"/>
          <w:i w:val="1"/>
          <w:iCs w:val="1"/>
          <w:color w:val="auto"/>
        </w:rPr>
        <w:t>Acquisitions</w:t>
      </w:r>
      <w:r>
        <w:rPr>
          <w:rFonts w:ascii="Arial" w:cs="Arial" w:eastAsia="Arial" w:hAnsi="Arial"/>
          <w:sz w:val="15"/>
          <w:szCs w:val="15"/>
          <w:color w:val="auto"/>
        </w:rPr>
        <w:t xml:space="preserve"> to the Consolidated Financial Statements). F&amp;G has been fully integrated into the assessment of internal control reporting as of December 31, 2021.</w:t>
      </w:r>
    </w:p>
    <w:p>
      <w:pPr>
        <w:spacing w:after="0" w:line="57"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Other than the F&amp;G acquisition, there were no changes in our internal control over financial reporting that occurred during the year ended December 31, 2021 that have materially affected, or are reasonably likely to materially affect, our internal control over financial reporting.</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102"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color w:val="auto"/>
        </w:rPr>
        <w:t xml:space="preserve">Management is responsible for establishing and maintaining adequate internal control over financial reporting, as such term is defined in Exchange Act Rules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(COSO). Based on our evaluation under this framework, our management concluded that our internal control over financial reporting was effective as of December 31, 2021.</w:t>
      </w:r>
    </w:p>
    <w:p>
      <w:pPr>
        <w:spacing w:after="0" w:line="72"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5"/>
          <w:szCs w:val="15"/>
          <w:color w:val="auto"/>
        </w:rPr>
        <w:t>The effectiveness of our internal control over financial reporting as of December 31, 2021 has been audited by Ernst &amp; Young LLP, an independent registered public accounting firm, as stated in their report, which is included herein.</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73"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9C.</w:t>
      </w:r>
      <w:r>
        <w:rPr>
          <w:sz w:val="20"/>
          <w:szCs w:val="20"/>
          <w:color w:val="auto"/>
        </w:rPr>
        <w:tab/>
      </w:r>
      <w:r>
        <w:rPr>
          <w:rFonts w:ascii="Arial" w:cs="Arial" w:eastAsia="Arial" w:hAnsi="Arial"/>
          <w:sz w:val="13"/>
          <w:szCs w:val="13"/>
          <w:b w:val="1"/>
          <w:bCs w:val="1"/>
          <w:i w:val="1"/>
          <w:iCs w:val="1"/>
          <w:color w:val="auto"/>
        </w:rPr>
        <w:t>Disclosure Regarding Foreign Jurisdictions that Prevent Inspections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Not applicable.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Items 10-14.</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Within 120 days after the close of our fiscal year, we intend to file with the Securities and Exchange Commission the matters required by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71" w:name="page172"/>
    <w:bookmarkEnd w:id="17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PART IV</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i w:val="1"/>
          <w:iCs w:val="1"/>
          <w:color w:val="auto"/>
        </w:rPr>
        <w:t>Exhibits and Financial Statement Schedules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(a) (1) </w:t>
      </w:r>
      <w:r>
        <w:rPr>
          <w:rFonts w:ascii="Arial" w:cs="Arial" w:eastAsia="Arial" w:hAnsi="Arial"/>
          <w:sz w:val="14"/>
          <w:szCs w:val="14"/>
          <w:i w:val="1"/>
          <w:iCs w:val="1"/>
          <w:color w:val="auto"/>
        </w:rPr>
        <w:t>Financial Statements.</w:t>
      </w:r>
      <w:r>
        <w:rPr>
          <w:rFonts w:ascii="Arial" w:cs="Arial" w:eastAsia="Arial" w:hAnsi="Arial"/>
          <w:sz w:val="14"/>
          <w:szCs w:val="14"/>
          <w:color w:val="auto"/>
        </w:rPr>
        <w:t xml:space="preserve"> The following is a list of the Consolidated Financial Statements of Fidelity National Financial, Inc. and its subsidiaries included in Item 8 of Part II:</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60" w:type="dxa"/>
            <w:vAlign w:val="bottom"/>
            <w:gridSpan w:val="11"/>
          </w:tcPr>
          <w:p>
            <w:pPr>
              <w:spacing w:after="0"/>
              <w:rPr>
                <w:rFonts w:ascii="Arial" w:cs="Arial" w:eastAsia="Arial" w:hAnsi="Arial"/>
                <w:sz w:val="15"/>
                <w:szCs w:val="15"/>
                <w:color w:val="0000FF"/>
                <w:w w:val="91"/>
              </w:rPr>
            </w:pPr>
            <w:hyperlink w:anchor="page93">
              <w:r>
                <w:rPr>
                  <w:rFonts w:ascii="Arial" w:cs="Arial" w:eastAsia="Arial" w:hAnsi="Arial"/>
                  <w:sz w:val="15"/>
                  <w:szCs w:val="15"/>
                  <w:color w:val="0000FF"/>
                  <w:w w:val="91"/>
                </w:rPr>
                <w:t>Report of Independent Registered Public Accounting Firm on Effectiveness of Internal Control over Financial Reporting</w:t>
              </w:r>
            </w:hyperlink>
          </w:p>
        </w:tc>
        <w:tc>
          <w:tcPr>
            <w:tcW w:w="3720" w:type="dxa"/>
            <w:vAlign w:val="bottom"/>
          </w:tcPr>
          <w:p>
            <w:pPr>
              <w:spacing w:after="0"/>
              <w:rPr>
                <w:sz w:val="14"/>
                <w:szCs w:val="14"/>
                <w:color w:val="auto"/>
              </w:rPr>
            </w:pPr>
          </w:p>
        </w:tc>
        <w:tc>
          <w:tcPr>
            <w:tcW w:w="220" w:type="dxa"/>
            <w:vAlign w:val="bottom"/>
            <w:gridSpan w:val="2"/>
          </w:tcPr>
          <w:p>
            <w:pPr>
              <w:jc w:val="right"/>
              <w:spacing w:after="0"/>
              <w:rPr>
                <w:rFonts w:ascii="Arial" w:cs="Arial" w:eastAsia="Arial" w:hAnsi="Arial"/>
                <w:sz w:val="15"/>
                <w:szCs w:val="15"/>
                <w:color w:val="0000FF"/>
              </w:rPr>
            </w:pPr>
            <w:hyperlink w:anchor="page93">
              <w:r>
                <w:rPr>
                  <w:rFonts w:ascii="Arial" w:cs="Arial" w:eastAsia="Arial" w:hAnsi="Arial"/>
                  <w:sz w:val="15"/>
                  <w:szCs w:val="15"/>
                  <w:color w:val="0000FF"/>
                </w:rPr>
                <w:t>91</w:t>
              </w:r>
            </w:hyperlink>
          </w:p>
        </w:tc>
      </w:tr>
      <w:tr>
        <w:trPr>
          <w:trHeight w:val="20"/>
        </w:trPr>
        <w:tc>
          <w:tcPr>
            <w:tcW w:w="1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72"/>
        </w:trPr>
        <w:tc>
          <w:tcPr>
            <w:tcW w:w="7260" w:type="dxa"/>
            <w:vAlign w:val="bottom"/>
            <w:gridSpan w:val="11"/>
          </w:tcPr>
          <w:p>
            <w:pPr>
              <w:spacing w:after="0"/>
              <w:rPr>
                <w:rFonts w:ascii="Arial" w:cs="Arial" w:eastAsia="Arial" w:hAnsi="Arial"/>
                <w:sz w:val="15"/>
                <w:szCs w:val="15"/>
                <w:color w:val="0000FF"/>
              </w:rPr>
            </w:pPr>
            <w:hyperlink w:anchor="page94">
              <w:r>
                <w:rPr>
                  <w:rFonts w:ascii="Arial" w:cs="Arial" w:eastAsia="Arial" w:hAnsi="Arial"/>
                  <w:sz w:val="15"/>
                  <w:szCs w:val="15"/>
                  <w:color w:val="0000FF"/>
                </w:rPr>
                <w:t>Report of Independent Registered Public Accounting Firm on Financial Statements</w:t>
              </w:r>
            </w:hyperlink>
          </w:p>
        </w:tc>
        <w:tc>
          <w:tcPr>
            <w:tcW w:w="3720" w:type="dxa"/>
            <w:vAlign w:val="bottom"/>
          </w:tcPr>
          <w:p>
            <w:pPr>
              <w:spacing w:after="0"/>
              <w:rPr>
                <w:sz w:val="14"/>
                <w:szCs w:val="14"/>
                <w:color w:val="auto"/>
              </w:rPr>
            </w:pPr>
          </w:p>
        </w:tc>
        <w:tc>
          <w:tcPr>
            <w:tcW w:w="220" w:type="dxa"/>
            <w:vAlign w:val="bottom"/>
            <w:gridSpan w:val="2"/>
          </w:tcPr>
          <w:p>
            <w:pPr>
              <w:jc w:val="right"/>
              <w:spacing w:after="0"/>
              <w:rPr>
                <w:rFonts w:ascii="Arial" w:cs="Arial" w:eastAsia="Arial" w:hAnsi="Arial"/>
                <w:sz w:val="15"/>
                <w:szCs w:val="15"/>
                <w:color w:val="0000FF"/>
              </w:rPr>
            </w:pPr>
            <w:hyperlink w:anchor="page94">
              <w:r>
                <w:rPr>
                  <w:rFonts w:ascii="Arial" w:cs="Arial" w:eastAsia="Arial" w:hAnsi="Arial"/>
                  <w:sz w:val="15"/>
                  <w:szCs w:val="15"/>
                  <w:color w:val="0000FF"/>
                </w:rPr>
                <w:t>92</w:t>
              </w:r>
            </w:hyperlink>
          </w:p>
        </w:tc>
      </w:tr>
      <w:tr>
        <w:trPr>
          <w:trHeight w:val="20"/>
        </w:trPr>
        <w:tc>
          <w:tcPr>
            <w:tcW w:w="1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72"/>
        </w:trPr>
        <w:tc>
          <w:tcPr>
            <w:tcW w:w="5000" w:type="dxa"/>
            <w:vAlign w:val="bottom"/>
            <w:gridSpan w:val="5"/>
          </w:tcPr>
          <w:p>
            <w:pPr>
              <w:spacing w:after="0"/>
              <w:rPr>
                <w:rFonts w:ascii="Arial" w:cs="Arial" w:eastAsia="Arial" w:hAnsi="Arial"/>
                <w:sz w:val="15"/>
                <w:szCs w:val="15"/>
                <w:color w:val="3051F2"/>
              </w:rPr>
            </w:pPr>
            <w:hyperlink w:anchor="page97">
              <w:r>
                <w:rPr>
                  <w:rFonts w:ascii="Arial" w:cs="Arial" w:eastAsia="Arial" w:hAnsi="Arial"/>
                  <w:sz w:val="15"/>
                  <w:szCs w:val="15"/>
                  <w:color w:val="3051F2"/>
                </w:rPr>
                <w:t xml:space="preserve">Consolidated Balance Sheets as of December 31, 2021 and </w:t>
              </w:r>
            </w:hyperlink>
            <w:r>
              <w:rPr>
                <w:rFonts w:ascii="Arial" w:cs="Arial" w:eastAsia="Arial" w:hAnsi="Arial"/>
                <w:sz w:val="15"/>
                <w:szCs w:val="15"/>
                <w:color w:val="3051F2"/>
              </w:rPr>
              <w:t>2020</w:t>
            </w:r>
          </w:p>
        </w:tc>
        <w:tc>
          <w:tcPr>
            <w:tcW w:w="5980" w:type="dxa"/>
            <w:vAlign w:val="bottom"/>
            <w:gridSpan w:val="7"/>
          </w:tcPr>
          <w:p>
            <w:pPr>
              <w:spacing w:after="0"/>
              <w:rPr>
                <w:sz w:val="14"/>
                <w:szCs w:val="14"/>
                <w:color w:val="auto"/>
              </w:rPr>
            </w:pPr>
          </w:p>
        </w:tc>
        <w:tc>
          <w:tcPr>
            <w:tcW w:w="220" w:type="dxa"/>
            <w:vAlign w:val="bottom"/>
            <w:gridSpan w:val="2"/>
          </w:tcPr>
          <w:p>
            <w:pPr>
              <w:jc w:val="right"/>
              <w:spacing w:after="0"/>
              <w:rPr>
                <w:rFonts w:ascii="Arial" w:cs="Arial" w:eastAsia="Arial" w:hAnsi="Arial"/>
                <w:sz w:val="15"/>
                <w:szCs w:val="15"/>
                <w:color w:val="0000FF"/>
              </w:rPr>
            </w:pPr>
            <w:hyperlink w:anchor="page97">
              <w:r>
                <w:rPr>
                  <w:rFonts w:ascii="Arial" w:cs="Arial" w:eastAsia="Arial" w:hAnsi="Arial"/>
                  <w:sz w:val="15"/>
                  <w:szCs w:val="15"/>
                  <w:color w:val="0000FF"/>
                </w:rPr>
                <w:t>96</w:t>
              </w:r>
            </w:hyperlink>
          </w:p>
        </w:tc>
      </w:tr>
      <w:tr>
        <w:trPr>
          <w:trHeight w:val="20"/>
        </w:trPr>
        <w:tc>
          <w:tcPr>
            <w:tcW w:w="1900" w:type="dxa"/>
            <w:vAlign w:val="bottom"/>
            <w:shd w:val="clear" w:color="auto" w:fill="3051F2"/>
          </w:tcPr>
          <w:p>
            <w:pPr>
              <w:spacing w:after="0" w:line="20" w:lineRule="exact"/>
              <w:rPr>
                <w:sz w:val="1"/>
                <w:szCs w:val="1"/>
                <w:color w:val="auto"/>
              </w:rPr>
            </w:pPr>
          </w:p>
        </w:tc>
        <w:tc>
          <w:tcPr>
            <w:tcW w:w="740" w:type="dxa"/>
            <w:vAlign w:val="bottom"/>
            <w:shd w:val="clear" w:color="auto" w:fill="3051F2"/>
          </w:tcPr>
          <w:p>
            <w:pPr>
              <w:spacing w:after="0" w:line="20" w:lineRule="exact"/>
              <w:rPr>
                <w:sz w:val="1"/>
                <w:szCs w:val="1"/>
                <w:color w:val="auto"/>
              </w:rPr>
            </w:pPr>
          </w:p>
        </w:tc>
        <w:tc>
          <w:tcPr>
            <w:tcW w:w="82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72"/>
        </w:trPr>
        <w:tc>
          <w:tcPr>
            <w:tcW w:w="5600" w:type="dxa"/>
            <w:vAlign w:val="bottom"/>
            <w:gridSpan w:val="8"/>
          </w:tcPr>
          <w:p>
            <w:pPr>
              <w:spacing w:after="0"/>
              <w:rPr>
                <w:rFonts w:ascii="Arial" w:cs="Arial" w:eastAsia="Arial" w:hAnsi="Arial"/>
                <w:sz w:val="15"/>
                <w:szCs w:val="15"/>
                <w:color w:val="0000FF"/>
                <w:w w:val="89"/>
              </w:rPr>
            </w:pPr>
            <w:hyperlink w:anchor="page98">
              <w:r>
                <w:rPr>
                  <w:rFonts w:ascii="Arial" w:cs="Arial" w:eastAsia="Arial" w:hAnsi="Arial"/>
                  <w:sz w:val="15"/>
                  <w:szCs w:val="15"/>
                  <w:color w:val="0000FF"/>
                  <w:w w:val="89"/>
                </w:rPr>
                <w:t xml:space="preserve">Consolidated Statements of Earnings for the years ended December 31, </w:t>
              </w:r>
            </w:hyperlink>
            <w:r>
              <w:rPr>
                <w:rFonts w:ascii="Arial" w:cs="Arial" w:eastAsia="Arial" w:hAnsi="Arial"/>
                <w:sz w:val="15"/>
                <w:szCs w:val="15"/>
                <w:color w:val="0000FF"/>
                <w:w w:val="89"/>
              </w:rPr>
              <w:t xml:space="preserve">2021, 2020 </w:t>
            </w:r>
            <w:hyperlink w:anchor="page98">
              <w:r>
                <w:rPr>
                  <w:rFonts w:ascii="Arial" w:cs="Arial" w:eastAsia="Arial" w:hAnsi="Arial"/>
                  <w:sz w:val="15"/>
                  <w:szCs w:val="15"/>
                  <w:color w:val="0000FF"/>
                  <w:w w:val="89"/>
                </w:rPr>
                <w:t>and 2019</w:t>
              </w:r>
            </w:hyperlink>
          </w:p>
        </w:tc>
        <w:tc>
          <w:tcPr>
            <w:tcW w:w="5380" w:type="dxa"/>
            <w:vAlign w:val="bottom"/>
            <w:gridSpan w:val="4"/>
          </w:tcPr>
          <w:p>
            <w:pPr>
              <w:spacing w:after="0"/>
              <w:rPr>
                <w:sz w:val="14"/>
                <w:szCs w:val="14"/>
                <w:color w:val="auto"/>
              </w:rPr>
            </w:pPr>
          </w:p>
        </w:tc>
        <w:tc>
          <w:tcPr>
            <w:tcW w:w="220" w:type="dxa"/>
            <w:vAlign w:val="bottom"/>
            <w:gridSpan w:val="2"/>
          </w:tcPr>
          <w:p>
            <w:pPr>
              <w:jc w:val="right"/>
              <w:spacing w:after="0"/>
              <w:rPr>
                <w:rFonts w:ascii="Arial" w:cs="Arial" w:eastAsia="Arial" w:hAnsi="Arial"/>
                <w:sz w:val="15"/>
                <w:szCs w:val="15"/>
                <w:color w:val="0E32E1"/>
              </w:rPr>
            </w:pPr>
            <w:hyperlink w:anchor="page98">
              <w:r>
                <w:rPr>
                  <w:rFonts w:ascii="Arial" w:cs="Arial" w:eastAsia="Arial" w:hAnsi="Arial"/>
                  <w:sz w:val="15"/>
                  <w:szCs w:val="15"/>
                  <w:color w:val="0E32E1"/>
                </w:rPr>
                <w:t>97</w:t>
              </w:r>
            </w:hyperlink>
          </w:p>
        </w:tc>
      </w:tr>
      <w:tr>
        <w:trPr>
          <w:trHeight w:val="20"/>
        </w:trPr>
        <w:tc>
          <w:tcPr>
            <w:tcW w:w="1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r>
      <w:tr>
        <w:trPr>
          <w:trHeight w:val="172"/>
        </w:trPr>
        <w:tc>
          <w:tcPr>
            <w:tcW w:w="6580" w:type="dxa"/>
            <w:vAlign w:val="bottom"/>
            <w:gridSpan w:val="10"/>
          </w:tcPr>
          <w:p>
            <w:pPr>
              <w:spacing w:after="0"/>
              <w:rPr>
                <w:rFonts w:ascii="Arial" w:cs="Arial" w:eastAsia="Arial" w:hAnsi="Arial"/>
                <w:sz w:val="15"/>
                <w:szCs w:val="15"/>
                <w:color w:val="0000FF"/>
                <w:w w:val="89"/>
              </w:rPr>
            </w:pPr>
            <w:hyperlink w:anchor="page99">
              <w:r>
                <w:rPr>
                  <w:rFonts w:ascii="Arial" w:cs="Arial" w:eastAsia="Arial" w:hAnsi="Arial"/>
                  <w:sz w:val="15"/>
                  <w:szCs w:val="15"/>
                  <w:color w:val="0000FF"/>
                  <w:w w:val="89"/>
                </w:rPr>
                <w:t xml:space="preserve">Consolidated Statements of Comprehensive Earnings for the years ended December 31, </w:t>
              </w:r>
            </w:hyperlink>
            <w:r>
              <w:rPr>
                <w:rFonts w:ascii="Arial" w:cs="Arial" w:eastAsia="Arial" w:hAnsi="Arial"/>
                <w:sz w:val="15"/>
                <w:szCs w:val="15"/>
                <w:color w:val="0000FF"/>
                <w:w w:val="89"/>
              </w:rPr>
              <w:t xml:space="preserve">2021, 2020 </w:t>
            </w:r>
            <w:hyperlink w:anchor="page99">
              <w:r>
                <w:rPr>
                  <w:rFonts w:ascii="Arial" w:cs="Arial" w:eastAsia="Arial" w:hAnsi="Arial"/>
                  <w:sz w:val="15"/>
                  <w:szCs w:val="15"/>
                  <w:color w:val="0000FF"/>
                  <w:w w:val="89"/>
                </w:rPr>
                <w:t>and 2019</w:t>
              </w:r>
            </w:hyperlink>
          </w:p>
        </w:tc>
        <w:tc>
          <w:tcPr>
            <w:tcW w:w="4400" w:type="dxa"/>
            <w:vAlign w:val="bottom"/>
            <w:gridSpan w:val="2"/>
          </w:tcPr>
          <w:p>
            <w:pPr>
              <w:spacing w:after="0"/>
              <w:rPr>
                <w:sz w:val="14"/>
                <w:szCs w:val="14"/>
                <w:color w:val="auto"/>
              </w:rPr>
            </w:pPr>
          </w:p>
        </w:tc>
        <w:tc>
          <w:tcPr>
            <w:tcW w:w="220" w:type="dxa"/>
            <w:vAlign w:val="bottom"/>
            <w:gridSpan w:val="2"/>
          </w:tcPr>
          <w:p>
            <w:pPr>
              <w:jc w:val="right"/>
              <w:spacing w:after="0"/>
              <w:rPr>
                <w:rFonts w:ascii="Arial" w:cs="Arial" w:eastAsia="Arial" w:hAnsi="Arial"/>
                <w:sz w:val="15"/>
                <w:szCs w:val="15"/>
                <w:color w:val="0E32E1"/>
              </w:rPr>
            </w:pPr>
            <w:hyperlink w:anchor="page99">
              <w:r>
                <w:rPr>
                  <w:rFonts w:ascii="Arial" w:cs="Arial" w:eastAsia="Arial" w:hAnsi="Arial"/>
                  <w:sz w:val="15"/>
                  <w:szCs w:val="15"/>
                  <w:color w:val="0E32E1"/>
                </w:rPr>
                <w:t>98</w:t>
              </w:r>
            </w:hyperlink>
          </w:p>
        </w:tc>
      </w:tr>
      <w:tr>
        <w:trPr>
          <w:trHeight w:val="20"/>
        </w:trPr>
        <w:tc>
          <w:tcPr>
            <w:tcW w:w="1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r>
      <w:tr>
        <w:trPr>
          <w:trHeight w:val="172"/>
        </w:trPr>
        <w:tc>
          <w:tcPr>
            <w:tcW w:w="6580" w:type="dxa"/>
            <w:vAlign w:val="bottom"/>
            <w:gridSpan w:val="10"/>
          </w:tcPr>
          <w:p>
            <w:pPr>
              <w:spacing w:after="0"/>
              <w:rPr>
                <w:rFonts w:ascii="Arial" w:cs="Arial" w:eastAsia="Arial" w:hAnsi="Arial"/>
                <w:sz w:val="15"/>
                <w:szCs w:val="15"/>
                <w:color w:val="0000FF"/>
              </w:rPr>
            </w:pPr>
            <w:hyperlink w:anchor="page101">
              <w:r>
                <w:rPr>
                  <w:rFonts w:ascii="Arial" w:cs="Arial" w:eastAsia="Arial" w:hAnsi="Arial"/>
                  <w:sz w:val="15"/>
                  <w:szCs w:val="15"/>
                  <w:color w:val="0000FF"/>
                </w:rPr>
                <w:t xml:space="preserve">Consolidated Statements of Equity for the years ended December 31, </w:t>
              </w:r>
            </w:hyperlink>
            <w:r>
              <w:rPr>
                <w:rFonts w:ascii="Arial" w:cs="Arial" w:eastAsia="Arial" w:hAnsi="Arial"/>
                <w:sz w:val="15"/>
                <w:szCs w:val="15"/>
                <w:color w:val="0000FF"/>
              </w:rPr>
              <w:t xml:space="preserve">2021, 2020 </w:t>
            </w:r>
            <w:hyperlink w:anchor="page101">
              <w:r>
                <w:rPr>
                  <w:rFonts w:ascii="Arial" w:cs="Arial" w:eastAsia="Arial" w:hAnsi="Arial"/>
                  <w:sz w:val="15"/>
                  <w:szCs w:val="15"/>
                  <w:color w:val="0000FF"/>
                </w:rPr>
                <w:t>and 2019</w:t>
              </w:r>
            </w:hyperlink>
          </w:p>
        </w:tc>
        <w:tc>
          <w:tcPr>
            <w:tcW w:w="4400" w:type="dxa"/>
            <w:vAlign w:val="bottom"/>
            <w:gridSpan w:val="2"/>
          </w:tcPr>
          <w:p>
            <w:pPr>
              <w:spacing w:after="0"/>
              <w:rPr>
                <w:sz w:val="14"/>
                <w:szCs w:val="14"/>
                <w:color w:val="auto"/>
              </w:rPr>
            </w:pPr>
          </w:p>
        </w:tc>
        <w:tc>
          <w:tcPr>
            <w:tcW w:w="220" w:type="dxa"/>
            <w:vAlign w:val="bottom"/>
            <w:gridSpan w:val="2"/>
          </w:tcPr>
          <w:p>
            <w:pPr>
              <w:jc w:val="right"/>
              <w:spacing w:after="0"/>
              <w:rPr>
                <w:rFonts w:ascii="Arial" w:cs="Arial" w:eastAsia="Arial" w:hAnsi="Arial"/>
                <w:sz w:val="15"/>
                <w:szCs w:val="15"/>
                <w:color w:val="0E32E1"/>
              </w:rPr>
            </w:pPr>
            <w:hyperlink w:anchor="page101">
              <w:r>
                <w:rPr>
                  <w:rFonts w:ascii="Arial" w:cs="Arial" w:eastAsia="Arial" w:hAnsi="Arial"/>
                  <w:sz w:val="15"/>
                  <w:szCs w:val="15"/>
                  <w:color w:val="0E32E1"/>
                </w:rPr>
                <w:t>99</w:t>
              </w:r>
            </w:hyperlink>
          </w:p>
        </w:tc>
      </w:tr>
      <w:tr>
        <w:trPr>
          <w:trHeight w:val="20"/>
        </w:trPr>
        <w:tc>
          <w:tcPr>
            <w:tcW w:w="1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r>
      <w:tr>
        <w:trPr>
          <w:trHeight w:val="172"/>
        </w:trPr>
        <w:tc>
          <w:tcPr>
            <w:tcW w:w="10980" w:type="dxa"/>
            <w:vAlign w:val="bottom"/>
            <w:gridSpan w:val="12"/>
          </w:tcPr>
          <w:p>
            <w:pPr>
              <w:spacing w:after="0"/>
              <w:rPr>
                <w:rFonts w:ascii="Arial" w:cs="Arial" w:eastAsia="Arial" w:hAnsi="Arial"/>
                <w:sz w:val="15"/>
                <w:szCs w:val="15"/>
                <w:color w:val="0000FF"/>
              </w:rPr>
            </w:pPr>
            <w:hyperlink w:anchor="page102">
              <w:r>
                <w:rPr>
                  <w:rFonts w:ascii="Arial" w:cs="Arial" w:eastAsia="Arial" w:hAnsi="Arial"/>
                  <w:sz w:val="15"/>
                  <w:szCs w:val="15"/>
                  <w:color w:val="0000FF"/>
                </w:rPr>
                <w:t xml:space="preserve">Consolidated Statements of Cash Flows for the years ended December 31, </w:t>
              </w:r>
            </w:hyperlink>
            <w:r>
              <w:rPr>
                <w:rFonts w:ascii="Arial" w:cs="Arial" w:eastAsia="Arial" w:hAnsi="Arial"/>
                <w:sz w:val="15"/>
                <w:szCs w:val="15"/>
                <w:color w:val="0000FF"/>
              </w:rPr>
              <w:t xml:space="preserve">2021, 2020 </w:t>
            </w:r>
            <w:hyperlink w:anchor="page102">
              <w:r>
                <w:rPr>
                  <w:rFonts w:ascii="Arial" w:cs="Arial" w:eastAsia="Arial" w:hAnsi="Arial"/>
                  <w:sz w:val="15"/>
                  <w:szCs w:val="15"/>
                  <w:color w:val="0000FF"/>
                </w:rPr>
                <w:t>and 2019</w:t>
              </w:r>
            </w:hyperlink>
          </w:p>
        </w:tc>
        <w:tc>
          <w:tcPr>
            <w:tcW w:w="220" w:type="dxa"/>
            <w:vAlign w:val="bottom"/>
            <w:gridSpan w:val="2"/>
          </w:tcPr>
          <w:p>
            <w:pPr>
              <w:jc w:val="right"/>
              <w:spacing w:after="0"/>
              <w:rPr>
                <w:rFonts w:ascii="Arial" w:cs="Arial" w:eastAsia="Arial" w:hAnsi="Arial"/>
                <w:sz w:val="15"/>
                <w:szCs w:val="15"/>
                <w:color w:val="0E32E1"/>
                <w:w w:val="79"/>
              </w:rPr>
            </w:pPr>
            <w:hyperlink w:anchor="page102">
              <w:r>
                <w:rPr>
                  <w:rFonts w:ascii="Arial" w:cs="Arial" w:eastAsia="Arial" w:hAnsi="Arial"/>
                  <w:sz w:val="15"/>
                  <w:szCs w:val="15"/>
                  <w:color w:val="0E32E1"/>
                  <w:w w:val="79"/>
                </w:rPr>
                <w:t>101</w:t>
              </w:r>
            </w:hyperlink>
          </w:p>
        </w:tc>
      </w:tr>
      <w:tr>
        <w:trPr>
          <w:trHeight w:val="172"/>
        </w:trPr>
        <w:tc>
          <w:tcPr>
            <w:tcW w:w="2640" w:type="dxa"/>
            <w:vAlign w:val="bottom"/>
            <w:tcBorders>
              <w:top w:val="single" w:sz="8" w:color="0000FF"/>
              <w:bottom w:val="single" w:sz="8" w:color="0000FF"/>
            </w:tcBorders>
            <w:gridSpan w:val="2"/>
          </w:tcPr>
          <w:p>
            <w:pPr>
              <w:spacing w:after="0"/>
              <w:rPr>
                <w:rFonts w:ascii="Arial" w:cs="Arial" w:eastAsia="Arial" w:hAnsi="Arial"/>
                <w:sz w:val="15"/>
                <w:szCs w:val="15"/>
                <w:color w:val="0000FF"/>
                <w:w w:val="89"/>
              </w:rPr>
            </w:pPr>
            <w:hyperlink w:anchor="page104">
              <w:r>
                <w:rPr>
                  <w:rFonts w:ascii="Arial" w:cs="Arial" w:eastAsia="Arial" w:hAnsi="Arial"/>
                  <w:sz w:val="15"/>
                  <w:szCs w:val="15"/>
                  <w:color w:val="0000FF"/>
                  <w:w w:val="89"/>
                </w:rPr>
                <w:t>Notes to Consolidated Financial Statements</w:t>
              </w:r>
            </w:hyperlink>
          </w:p>
        </w:tc>
        <w:tc>
          <w:tcPr>
            <w:tcW w:w="3120" w:type="dxa"/>
            <w:vAlign w:val="bottom"/>
            <w:tcBorders>
              <w:top w:val="single" w:sz="8" w:color="0000FF"/>
            </w:tcBorders>
            <w:gridSpan w:val="7"/>
          </w:tcPr>
          <w:p>
            <w:pPr>
              <w:spacing w:after="0"/>
              <w:rPr>
                <w:sz w:val="14"/>
                <w:szCs w:val="14"/>
                <w:color w:val="auto"/>
              </w:rPr>
            </w:pPr>
          </w:p>
        </w:tc>
        <w:tc>
          <w:tcPr>
            <w:tcW w:w="5220" w:type="dxa"/>
            <w:vAlign w:val="bottom"/>
            <w:gridSpan w:val="3"/>
          </w:tcPr>
          <w:p>
            <w:pPr>
              <w:spacing w:after="0"/>
              <w:rPr>
                <w:sz w:val="14"/>
                <w:szCs w:val="14"/>
                <w:color w:val="auto"/>
              </w:rPr>
            </w:pPr>
          </w:p>
        </w:tc>
        <w:tc>
          <w:tcPr>
            <w:tcW w:w="220" w:type="dxa"/>
            <w:vAlign w:val="bottom"/>
            <w:tcBorders>
              <w:top w:val="single" w:sz="8" w:color="0E32E1"/>
              <w:bottom w:val="single" w:sz="8" w:color="0E32E1"/>
            </w:tcBorders>
            <w:gridSpan w:val="2"/>
          </w:tcPr>
          <w:p>
            <w:pPr>
              <w:jc w:val="right"/>
              <w:spacing w:after="0"/>
              <w:rPr>
                <w:rFonts w:ascii="Arial" w:cs="Arial" w:eastAsia="Arial" w:hAnsi="Arial"/>
                <w:sz w:val="15"/>
                <w:szCs w:val="15"/>
                <w:color w:val="0E32E1"/>
                <w:w w:val="79"/>
              </w:rPr>
            </w:pPr>
            <w:hyperlink w:anchor="page104">
              <w:r>
                <w:rPr>
                  <w:rFonts w:ascii="Arial" w:cs="Arial" w:eastAsia="Arial" w:hAnsi="Arial"/>
                  <w:sz w:val="15"/>
                  <w:szCs w:val="15"/>
                  <w:color w:val="0E32E1"/>
                  <w:w w:val="79"/>
                </w:rPr>
                <w:t>103</w:t>
              </w:r>
            </w:hyperlink>
          </w:p>
        </w:tc>
      </w:tr>
      <w:tr>
        <w:trPr>
          <w:trHeight w:val="283"/>
        </w:trPr>
        <w:tc>
          <w:tcPr>
            <w:tcW w:w="10980" w:type="dxa"/>
            <w:vAlign w:val="bottom"/>
            <w:gridSpan w:val="12"/>
          </w:tcPr>
          <w:p>
            <w:pPr>
              <w:ind w:left="260"/>
              <w:spacing w:after="0"/>
              <w:rPr>
                <w:sz w:val="20"/>
                <w:szCs w:val="20"/>
                <w:color w:val="auto"/>
              </w:rPr>
            </w:pPr>
            <w:r>
              <w:rPr>
                <w:rFonts w:ascii="Arial" w:cs="Arial" w:eastAsia="Arial" w:hAnsi="Arial"/>
                <w:sz w:val="15"/>
                <w:szCs w:val="15"/>
                <w:color w:val="auto"/>
              </w:rPr>
              <w:t xml:space="preserve">(a) (2) </w:t>
            </w:r>
            <w:r>
              <w:rPr>
                <w:rFonts w:ascii="Arial" w:cs="Arial" w:eastAsia="Arial" w:hAnsi="Arial"/>
                <w:sz w:val="15"/>
                <w:szCs w:val="15"/>
                <w:i w:val="1"/>
                <w:iCs w:val="1"/>
                <w:color w:val="auto"/>
              </w:rPr>
              <w:t>Financial Statement Schedules.</w:t>
            </w:r>
            <w:r>
              <w:rPr>
                <w:rFonts w:ascii="Arial" w:cs="Arial" w:eastAsia="Arial" w:hAnsi="Arial"/>
                <w:sz w:val="15"/>
                <w:szCs w:val="15"/>
                <w:color w:val="auto"/>
              </w:rPr>
              <w:t xml:space="preserve">  The following is a list of financial statement schedules filed as part of this annual report on Form 10-K: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0"/>
        </w:trPr>
        <w:tc>
          <w:tcPr>
            <w:tcW w:w="5140" w:type="dxa"/>
            <w:vAlign w:val="bottom"/>
            <w:tcBorders>
              <w:bottom w:val="single" w:sz="8" w:color="0000FF"/>
            </w:tcBorders>
            <w:gridSpan w:val="6"/>
          </w:tcPr>
          <w:p>
            <w:pPr>
              <w:spacing w:after="0"/>
              <w:rPr>
                <w:rFonts w:ascii="Arial" w:cs="Arial" w:eastAsia="Arial" w:hAnsi="Arial"/>
                <w:sz w:val="15"/>
                <w:szCs w:val="15"/>
                <w:i w:val="1"/>
                <w:iCs w:val="1"/>
                <w:color w:val="0000FF"/>
                <w:w w:val="91"/>
              </w:rPr>
            </w:pPr>
            <w:hyperlink w:anchor="page177">
              <w:r>
                <w:rPr>
                  <w:rFonts w:ascii="Arial" w:cs="Arial" w:eastAsia="Arial" w:hAnsi="Arial"/>
                  <w:sz w:val="15"/>
                  <w:szCs w:val="15"/>
                  <w:i w:val="1"/>
                  <w:iCs w:val="1"/>
                  <w:color w:val="0000FF"/>
                  <w:w w:val="91"/>
                </w:rPr>
                <w:t xml:space="preserve">Schedule II: </w:t>
              </w:r>
              <w:r>
                <w:rPr>
                  <w:rFonts w:ascii="Arial" w:cs="Arial" w:eastAsia="Arial" w:hAnsi="Arial"/>
                  <w:sz w:val="15"/>
                  <w:szCs w:val="15"/>
                  <w:color w:val="0000FF"/>
                  <w:w w:val="91"/>
                </w:rPr>
                <w:t>Fidelity National Financial, Inc. (Parent Company Financial Statements)</w:t>
              </w:r>
            </w:hyperlink>
          </w:p>
        </w:tc>
        <w:tc>
          <w:tcPr>
            <w:tcW w:w="5840" w:type="dxa"/>
            <w:vAlign w:val="bottom"/>
            <w:gridSpan w:val="6"/>
          </w:tcPr>
          <w:p>
            <w:pPr>
              <w:spacing w:after="0"/>
              <w:rPr>
                <w:sz w:val="22"/>
                <w:szCs w:val="22"/>
                <w:color w:val="auto"/>
              </w:rPr>
            </w:pPr>
          </w:p>
        </w:tc>
        <w:tc>
          <w:tcPr>
            <w:tcW w:w="220" w:type="dxa"/>
            <w:vAlign w:val="bottom"/>
            <w:tcBorders>
              <w:bottom w:val="single" w:sz="8" w:color="3051F2"/>
            </w:tcBorders>
            <w:gridSpan w:val="2"/>
          </w:tcPr>
          <w:p>
            <w:pPr>
              <w:jc w:val="right"/>
              <w:spacing w:after="0"/>
              <w:rPr>
                <w:rFonts w:ascii="Arial" w:cs="Arial" w:eastAsia="Arial" w:hAnsi="Arial"/>
                <w:sz w:val="15"/>
                <w:szCs w:val="15"/>
                <w:color w:val="3051F2"/>
                <w:w w:val="79"/>
              </w:rPr>
            </w:pPr>
            <w:hyperlink w:anchor="page177">
              <w:r>
                <w:rPr>
                  <w:rFonts w:ascii="Arial" w:cs="Arial" w:eastAsia="Arial" w:hAnsi="Arial"/>
                  <w:sz w:val="15"/>
                  <w:szCs w:val="15"/>
                  <w:color w:val="3051F2"/>
                  <w:w w:val="79"/>
                </w:rPr>
                <w:t>176</w:t>
              </w:r>
            </w:hyperlink>
          </w:p>
        </w:tc>
      </w:tr>
      <w:tr>
        <w:trPr>
          <w:trHeight w:val="172"/>
        </w:trPr>
        <w:tc>
          <w:tcPr>
            <w:tcW w:w="3460" w:type="dxa"/>
            <w:vAlign w:val="bottom"/>
            <w:tcBorders>
              <w:bottom w:val="single" w:sz="8" w:color="0000FF"/>
            </w:tcBorders>
            <w:gridSpan w:val="3"/>
          </w:tcPr>
          <w:p>
            <w:pPr>
              <w:spacing w:after="0"/>
              <w:rPr>
                <w:rFonts w:ascii="Arial" w:cs="Arial" w:eastAsia="Arial" w:hAnsi="Arial"/>
                <w:sz w:val="15"/>
                <w:szCs w:val="15"/>
                <w:i w:val="1"/>
                <w:iCs w:val="1"/>
                <w:color w:val="0000FF"/>
                <w:w w:val="92"/>
              </w:rPr>
            </w:pPr>
            <w:hyperlink w:anchor="page181">
              <w:r>
                <w:rPr>
                  <w:rFonts w:ascii="Arial" w:cs="Arial" w:eastAsia="Arial" w:hAnsi="Arial"/>
                  <w:sz w:val="15"/>
                  <w:szCs w:val="15"/>
                  <w:i w:val="1"/>
                  <w:iCs w:val="1"/>
                  <w:color w:val="0000FF"/>
                  <w:w w:val="92"/>
                </w:rPr>
                <w:t xml:space="preserve">Schedule III: </w:t>
              </w:r>
              <w:r>
                <w:rPr>
                  <w:rFonts w:ascii="Arial" w:cs="Arial" w:eastAsia="Arial" w:hAnsi="Arial"/>
                  <w:sz w:val="15"/>
                  <w:szCs w:val="15"/>
                  <w:color w:val="0000FF"/>
                  <w:w w:val="92"/>
                </w:rPr>
                <w:t>F&amp;G Supplementary Insurance Information</w:t>
              </w:r>
            </w:hyperlink>
          </w:p>
        </w:tc>
        <w:tc>
          <w:tcPr>
            <w:tcW w:w="7520" w:type="dxa"/>
            <w:vAlign w:val="bottom"/>
            <w:gridSpan w:val="9"/>
          </w:tcPr>
          <w:p>
            <w:pPr>
              <w:spacing w:after="0"/>
              <w:rPr>
                <w:sz w:val="14"/>
                <w:szCs w:val="14"/>
                <w:color w:val="auto"/>
              </w:rPr>
            </w:pPr>
          </w:p>
        </w:tc>
        <w:tc>
          <w:tcPr>
            <w:tcW w:w="220" w:type="dxa"/>
            <w:vAlign w:val="bottom"/>
            <w:tcBorders>
              <w:bottom w:val="single" w:sz="8" w:color="3051F2"/>
            </w:tcBorders>
            <w:gridSpan w:val="2"/>
          </w:tcPr>
          <w:p>
            <w:pPr>
              <w:jc w:val="right"/>
              <w:spacing w:after="0"/>
              <w:rPr>
                <w:rFonts w:ascii="Arial" w:cs="Arial" w:eastAsia="Arial" w:hAnsi="Arial"/>
                <w:sz w:val="15"/>
                <w:szCs w:val="15"/>
                <w:color w:val="3051F2"/>
                <w:w w:val="79"/>
              </w:rPr>
            </w:pPr>
            <w:hyperlink w:anchor="page181">
              <w:r>
                <w:rPr>
                  <w:rFonts w:ascii="Arial" w:cs="Arial" w:eastAsia="Arial" w:hAnsi="Arial"/>
                  <w:sz w:val="15"/>
                  <w:szCs w:val="15"/>
                  <w:color w:val="3051F2"/>
                  <w:w w:val="79"/>
                </w:rPr>
                <w:t>180</w:t>
              </w:r>
            </w:hyperlink>
          </w:p>
        </w:tc>
      </w:tr>
      <w:tr>
        <w:trPr>
          <w:trHeight w:val="172"/>
        </w:trPr>
        <w:tc>
          <w:tcPr>
            <w:tcW w:w="1900" w:type="dxa"/>
            <w:vAlign w:val="bottom"/>
            <w:tcBorders>
              <w:bottom w:val="single" w:sz="8" w:color="0000FF"/>
            </w:tcBorders>
          </w:tcPr>
          <w:p>
            <w:pPr>
              <w:spacing w:after="0"/>
              <w:rPr>
                <w:rFonts w:ascii="Arial" w:cs="Arial" w:eastAsia="Arial" w:hAnsi="Arial"/>
                <w:sz w:val="15"/>
                <w:szCs w:val="15"/>
                <w:i w:val="1"/>
                <w:iCs w:val="1"/>
                <w:color w:val="0000FF"/>
                <w:w w:val="90"/>
              </w:rPr>
            </w:pPr>
            <w:hyperlink w:anchor="page183">
              <w:r>
                <w:rPr>
                  <w:rFonts w:ascii="Arial" w:cs="Arial" w:eastAsia="Arial" w:hAnsi="Arial"/>
                  <w:sz w:val="15"/>
                  <w:szCs w:val="15"/>
                  <w:i w:val="1"/>
                  <w:iCs w:val="1"/>
                  <w:color w:val="0000FF"/>
                  <w:w w:val="90"/>
                </w:rPr>
                <w:t xml:space="preserve">Schedule IV: </w:t>
              </w:r>
              <w:r>
                <w:rPr>
                  <w:rFonts w:ascii="Arial" w:cs="Arial" w:eastAsia="Arial" w:hAnsi="Arial"/>
                  <w:sz w:val="15"/>
                  <w:szCs w:val="15"/>
                  <w:color w:val="0000FF"/>
                  <w:w w:val="90"/>
                </w:rPr>
                <w:t>F&amp;G Reinsurance</w:t>
              </w:r>
            </w:hyperlink>
          </w:p>
        </w:tc>
        <w:tc>
          <w:tcPr>
            <w:tcW w:w="9080" w:type="dxa"/>
            <w:vAlign w:val="bottom"/>
            <w:gridSpan w:val="11"/>
          </w:tcPr>
          <w:p>
            <w:pPr>
              <w:spacing w:after="0"/>
              <w:rPr>
                <w:sz w:val="14"/>
                <w:szCs w:val="14"/>
                <w:color w:val="auto"/>
              </w:rPr>
            </w:pPr>
          </w:p>
        </w:tc>
        <w:tc>
          <w:tcPr>
            <w:tcW w:w="220" w:type="dxa"/>
            <w:vAlign w:val="bottom"/>
            <w:tcBorders>
              <w:bottom w:val="single" w:sz="8" w:color="3051F2"/>
            </w:tcBorders>
            <w:gridSpan w:val="2"/>
          </w:tcPr>
          <w:p>
            <w:pPr>
              <w:jc w:val="right"/>
              <w:spacing w:after="0"/>
              <w:rPr>
                <w:rFonts w:ascii="Arial" w:cs="Arial" w:eastAsia="Arial" w:hAnsi="Arial"/>
                <w:sz w:val="15"/>
                <w:szCs w:val="15"/>
                <w:color w:val="3051F2"/>
                <w:w w:val="79"/>
              </w:rPr>
            </w:pPr>
            <w:hyperlink w:anchor="page183">
              <w:r>
                <w:rPr>
                  <w:rFonts w:ascii="Arial" w:cs="Arial" w:eastAsia="Arial" w:hAnsi="Arial"/>
                  <w:sz w:val="15"/>
                  <w:szCs w:val="15"/>
                  <w:color w:val="3051F2"/>
                  <w:w w:val="79"/>
                </w:rPr>
                <w:t>181</w:t>
              </w:r>
            </w:hyperlink>
          </w:p>
        </w:tc>
      </w:tr>
    </w:tbl>
    <w:p>
      <w:pPr>
        <w:spacing w:after="0" w:line="102" w:lineRule="exact"/>
        <w:rPr>
          <w:sz w:val="20"/>
          <w:szCs w:val="20"/>
          <w:color w:val="auto"/>
        </w:rPr>
      </w:pPr>
    </w:p>
    <w:p>
      <w:pPr>
        <w:ind w:right="300" w:firstLine="270"/>
        <w:spacing w:after="0" w:line="274" w:lineRule="auto"/>
        <w:rPr>
          <w:sz w:val="20"/>
          <w:szCs w:val="20"/>
          <w:color w:val="auto"/>
        </w:rPr>
      </w:pPr>
      <w:r>
        <w:rPr>
          <w:rFonts w:ascii="Arial" w:cs="Arial" w:eastAsia="Arial" w:hAnsi="Arial"/>
          <w:sz w:val="15"/>
          <w:szCs w:val="15"/>
          <w:color w:val="auto"/>
        </w:rPr>
        <w:t>All other schedules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172" w:name="page173"/>
    <w:bookmarkEnd w:id="17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 (3) The following exhibits are incorporated by reference or are set forth on pages to this Form 10-K:</w:t>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6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Exhibit</w:t>
            </w:r>
          </w:p>
        </w:tc>
        <w:tc>
          <w:tcPr>
            <w:tcW w:w="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0" w:type="dxa"/>
            <w:vAlign w:val="bottom"/>
            <w:gridSpan w:val="25"/>
            <w:vMerge w:val="restart"/>
          </w:tcPr>
          <w:p>
            <w:pPr>
              <w:ind w:left="8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24"/>
        </w:trPr>
        <w:tc>
          <w:tcPr>
            <w:tcW w:w="620" w:type="dxa"/>
            <w:vAlign w:val="bottom"/>
            <w:gridSpan w:val="2"/>
          </w:tcPr>
          <w:p>
            <w:pPr>
              <w:jc w:val="center"/>
              <w:ind w:right="200"/>
              <w:spacing w:after="0" w:line="124" w:lineRule="exact"/>
              <w:rPr>
                <w:sz w:val="20"/>
                <w:szCs w:val="20"/>
                <w:color w:val="auto"/>
              </w:rPr>
            </w:pPr>
            <w:r>
              <w:rPr>
                <w:rFonts w:ascii="Arial" w:cs="Arial" w:eastAsia="Arial" w:hAnsi="Arial"/>
                <w:sz w:val="12"/>
                <w:szCs w:val="12"/>
                <w:b w:val="1"/>
                <w:bCs w:val="1"/>
                <w:color w:val="auto"/>
                <w:w w:val="92"/>
              </w:rPr>
              <w:t>Number</w:t>
            </w:r>
          </w:p>
        </w:tc>
        <w:tc>
          <w:tcPr>
            <w:tcW w:w="6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0" w:type="dxa"/>
            <w:vAlign w:val="bottom"/>
            <w:gridSpan w:val="2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86"/>
              </w:rPr>
              <w:t>2.1</w:t>
            </w:r>
          </w:p>
        </w:tc>
        <w:tc>
          <w:tcPr>
            <w:tcW w:w="200" w:type="dxa"/>
            <w:vAlign w:val="bottom"/>
          </w:tcPr>
          <w:p>
            <w:pPr>
              <w:spacing w:after="0"/>
              <w:rPr>
                <w:sz w:val="14"/>
                <w:szCs w:val="14"/>
                <w:color w:val="auto"/>
              </w:rPr>
            </w:pPr>
          </w:p>
        </w:tc>
        <w:tc>
          <w:tcPr>
            <w:tcW w:w="10660" w:type="dxa"/>
            <w:vAlign w:val="bottom"/>
            <w:gridSpan w:val="33"/>
          </w:tcPr>
          <w:p>
            <w:pPr>
              <w:spacing w:after="0"/>
              <w:rPr>
                <w:rFonts w:ascii="Arial" w:cs="Arial" w:eastAsia="Arial" w:hAnsi="Arial"/>
                <w:sz w:val="15"/>
                <w:szCs w:val="15"/>
                <w:color w:val="0000FF"/>
                <w:w w:val="92"/>
              </w:rPr>
            </w:pPr>
            <w:hyperlink r:id="rId224">
              <w:r>
                <w:rPr>
                  <w:rFonts w:ascii="Arial" w:cs="Arial" w:eastAsia="Arial" w:hAnsi="Arial"/>
                  <w:sz w:val="15"/>
                  <w:szCs w:val="15"/>
                  <w:color w:val="0000FF"/>
                  <w:w w:val="92"/>
                </w:rPr>
                <w:t>Reorganization Agreement, dated as of November 17, 2017, by and between Fidelity National Financial, Inc. and Cannae Holdings, Inc. (incorporated by reference to Exhibit</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60" w:type="dxa"/>
            <w:vAlign w:val="bottom"/>
            <w:tcBorders>
              <w:top w:val="single" w:sz="8" w:color="0000FF"/>
              <w:bottom w:val="single" w:sz="8" w:color="0000FF"/>
            </w:tcBorders>
            <w:gridSpan w:val="8"/>
          </w:tcPr>
          <w:p>
            <w:pPr>
              <w:spacing w:after="0" w:line="127" w:lineRule="exact"/>
              <w:rPr>
                <w:rFonts w:ascii="Arial" w:cs="Arial" w:eastAsia="Arial" w:hAnsi="Arial"/>
                <w:sz w:val="14"/>
                <w:szCs w:val="14"/>
                <w:color w:val="0000FF"/>
                <w:w w:val="97"/>
              </w:rPr>
            </w:pPr>
            <w:hyperlink r:id="rId224">
              <w:r>
                <w:rPr>
                  <w:rFonts w:ascii="Arial" w:cs="Arial" w:eastAsia="Arial" w:hAnsi="Arial"/>
                  <w:sz w:val="14"/>
                  <w:szCs w:val="14"/>
                  <w:color w:val="0000FF"/>
                  <w:w w:val="97"/>
                </w:rPr>
                <w:t>2.</w:t>
              </w:r>
              <w:r>
                <w:rPr>
                  <w:rFonts w:ascii="Arial" w:cs="Arial" w:eastAsia="Arial" w:hAnsi="Arial"/>
                  <w:sz w:val="14"/>
                  <w:szCs w:val="14"/>
                  <w:u w:val="single" w:color="auto"/>
                  <w:color w:val="0000FF"/>
                  <w:w w:val="97"/>
                </w:rPr>
                <w:t>1</w:t>
              </w:r>
              <w:r>
                <w:rPr>
                  <w:rFonts w:ascii="Arial" w:cs="Arial" w:eastAsia="Arial" w:hAnsi="Arial"/>
                  <w:sz w:val="14"/>
                  <w:szCs w:val="14"/>
                  <w:color w:val="0000FF"/>
                  <w:w w:val="97"/>
                </w:rPr>
                <w:t xml:space="preserve"> to the Registrant’s Current Report on Form 8-K filed on November 20, 2017)</w:t>
              </w:r>
            </w:hyperlink>
          </w:p>
        </w:tc>
        <w:tc>
          <w:tcPr>
            <w:tcW w:w="564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86"/>
              </w:rPr>
              <w:t>2.2</w:t>
            </w:r>
          </w:p>
        </w:tc>
        <w:tc>
          <w:tcPr>
            <w:tcW w:w="200" w:type="dxa"/>
            <w:vAlign w:val="bottom"/>
          </w:tcPr>
          <w:p>
            <w:pPr>
              <w:spacing w:after="0"/>
              <w:rPr>
                <w:sz w:val="14"/>
                <w:szCs w:val="14"/>
                <w:color w:val="auto"/>
              </w:rPr>
            </w:pPr>
          </w:p>
        </w:tc>
        <w:tc>
          <w:tcPr>
            <w:tcW w:w="10660" w:type="dxa"/>
            <w:vAlign w:val="bottom"/>
            <w:gridSpan w:val="33"/>
          </w:tcPr>
          <w:p>
            <w:pPr>
              <w:spacing w:after="0"/>
              <w:rPr>
                <w:rFonts w:ascii="Arial" w:cs="Arial" w:eastAsia="Arial" w:hAnsi="Arial"/>
                <w:sz w:val="15"/>
                <w:szCs w:val="15"/>
                <w:color w:val="0000FF"/>
                <w:w w:val="94"/>
              </w:rPr>
            </w:pPr>
            <w:hyperlink r:id="rId225">
              <w:r>
                <w:rPr>
                  <w:rFonts w:ascii="Arial" w:cs="Arial" w:eastAsia="Arial" w:hAnsi="Arial"/>
                  <w:sz w:val="15"/>
                  <w:szCs w:val="15"/>
                  <w:color w:val="0000FF"/>
                  <w:w w:val="94"/>
                </w:rPr>
                <w:t>Agreement and Plan of Merger, dated February 7, 2020, by and between FGL Holdings, Fidelity National Financial, Inc., F Corp I and F Corp II. (incorporated by reference</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320" w:type="dxa"/>
            <w:vAlign w:val="bottom"/>
            <w:tcBorders>
              <w:top w:val="single" w:sz="8" w:color="0000FF"/>
              <w:bottom w:val="single" w:sz="8" w:color="0000FF"/>
            </w:tcBorders>
            <w:gridSpan w:val="11"/>
          </w:tcPr>
          <w:p>
            <w:pPr>
              <w:spacing w:after="0" w:line="127" w:lineRule="exact"/>
              <w:rPr>
                <w:rFonts w:ascii="Arial" w:cs="Arial" w:eastAsia="Arial" w:hAnsi="Arial"/>
                <w:sz w:val="14"/>
                <w:szCs w:val="14"/>
                <w:color w:val="0000FF"/>
                <w:w w:val="98"/>
              </w:rPr>
            </w:pPr>
            <w:hyperlink r:id="rId225">
              <w:r>
                <w:rPr>
                  <w:rFonts w:ascii="Arial" w:cs="Arial" w:eastAsia="Arial" w:hAnsi="Arial"/>
                  <w:sz w:val="14"/>
                  <w:szCs w:val="14"/>
                  <w:color w:val="0000FF"/>
                  <w:w w:val="98"/>
                </w:rPr>
                <w:t>to Exhibit 2.1 to the Registrant's Current Report on Form 8-K filed on February 7, 2020)</w:t>
              </w:r>
            </w:hyperlink>
          </w:p>
        </w:tc>
        <w:tc>
          <w:tcPr>
            <w:tcW w:w="5020" w:type="dxa"/>
            <w:vAlign w:val="bottom"/>
            <w:tcBorders>
              <w:top w:val="single" w:sz="8" w:color="0000FF"/>
            </w:tcBorders>
            <w:gridSpan w:val="9"/>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86"/>
              </w:rPr>
              <w:t>2.3</w:t>
            </w:r>
          </w:p>
        </w:tc>
        <w:tc>
          <w:tcPr>
            <w:tcW w:w="200" w:type="dxa"/>
            <w:vAlign w:val="bottom"/>
          </w:tcPr>
          <w:p>
            <w:pPr>
              <w:spacing w:after="0"/>
              <w:rPr>
                <w:sz w:val="14"/>
                <w:szCs w:val="14"/>
                <w:color w:val="auto"/>
              </w:rPr>
            </w:pPr>
          </w:p>
        </w:tc>
        <w:tc>
          <w:tcPr>
            <w:tcW w:w="10660" w:type="dxa"/>
            <w:vAlign w:val="bottom"/>
            <w:gridSpan w:val="33"/>
          </w:tcPr>
          <w:p>
            <w:pPr>
              <w:spacing w:after="0"/>
              <w:rPr>
                <w:rFonts w:ascii="Arial" w:cs="Arial" w:eastAsia="Arial" w:hAnsi="Arial"/>
                <w:sz w:val="15"/>
                <w:szCs w:val="15"/>
                <w:color w:val="0000FF"/>
                <w:w w:val="93"/>
              </w:rPr>
            </w:pPr>
            <w:hyperlink r:id="rId226">
              <w:r>
                <w:rPr>
                  <w:rFonts w:ascii="Arial" w:cs="Arial" w:eastAsia="Arial" w:hAnsi="Arial"/>
                  <w:sz w:val="15"/>
                  <w:szCs w:val="15"/>
                  <w:color w:val="0000FF"/>
                  <w:w w:val="93"/>
                </w:rPr>
                <w:t>First Amendment to the Agreement and Plan of Merger, dated as of April 24, 2020, by and between Fidelity National Financial, Inc., F I Corp., F II Corp., and FGL Holdings</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0" w:type="dxa"/>
            <w:vAlign w:val="bottom"/>
            <w:tcBorders>
              <w:top w:val="single" w:sz="8" w:color="0000FF"/>
              <w:bottom w:val="single" w:sz="8" w:color="0000FF"/>
            </w:tcBorders>
            <w:gridSpan w:val="13"/>
          </w:tcPr>
          <w:p>
            <w:pPr>
              <w:spacing w:after="0" w:line="127" w:lineRule="exact"/>
              <w:rPr>
                <w:rFonts w:ascii="Arial" w:cs="Arial" w:eastAsia="Arial" w:hAnsi="Arial"/>
                <w:sz w:val="14"/>
                <w:szCs w:val="14"/>
                <w:color w:val="0000FF"/>
                <w:w w:val="98"/>
              </w:rPr>
            </w:pPr>
            <w:hyperlink r:id="rId226">
              <w:r>
                <w:rPr>
                  <w:rFonts w:ascii="Arial" w:cs="Arial" w:eastAsia="Arial" w:hAnsi="Arial"/>
                  <w:sz w:val="14"/>
                  <w:szCs w:val="14"/>
                  <w:color w:val="0000FF"/>
                  <w:w w:val="98"/>
                </w:rPr>
                <w:t>(incorporated by reference to Exhibit 2.2 to the Registrant’s Registration Statement on Form S-4/A filed on April 24, 2020)</w:t>
              </w:r>
            </w:hyperlink>
          </w:p>
        </w:tc>
        <w:tc>
          <w:tcPr>
            <w:tcW w:w="304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20" w:type="dxa"/>
            <w:vAlign w:val="bottom"/>
          </w:tcPr>
          <w:p>
            <w:pPr>
              <w:jc w:val="center"/>
              <w:spacing w:after="0"/>
              <w:rPr>
                <w:sz w:val="20"/>
                <w:szCs w:val="20"/>
                <w:color w:val="auto"/>
              </w:rPr>
            </w:pPr>
            <w:r>
              <w:rPr>
                <w:rFonts w:ascii="Arial" w:cs="Arial" w:eastAsia="Arial" w:hAnsi="Arial"/>
                <w:sz w:val="15"/>
                <w:szCs w:val="15"/>
                <w:color w:val="auto"/>
                <w:w w:val="86"/>
              </w:rPr>
              <w:t>3.1</w:t>
            </w:r>
          </w:p>
        </w:tc>
        <w:tc>
          <w:tcPr>
            <w:tcW w:w="200" w:type="dxa"/>
            <w:vAlign w:val="bottom"/>
          </w:tcPr>
          <w:p>
            <w:pPr>
              <w:spacing w:after="0"/>
              <w:rPr>
                <w:sz w:val="16"/>
                <w:szCs w:val="16"/>
                <w:color w:val="auto"/>
              </w:rPr>
            </w:pPr>
          </w:p>
        </w:tc>
        <w:tc>
          <w:tcPr>
            <w:tcW w:w="10660" w:type="dxa"/>
            <w:vAlign w:val="bottom"/>
            <w:gridSpan w:val="33"/>
          </w:tcPr>
          <w:p>
            <w:pPr>
              <w:spacing w:after="0"/>
              <w:rPr>
                <w:rFonts w:ascii="Arial" w:cs="Arial" w:eastAsia="Arial" w:hAnsi="Arial"/>
                <w:sz w:val="15"/>
                <w:szCs w:val="15"/>
                <w:color w:val="0000FF"/>
                <w:w w:val="95"/>
              </w:rPr>
            </w:pPr>
            <w:hyperlink r:id="rId227">
              <w:r>
                <w:rPr>
                  <w:rFonts w:ascii="Arial" w:cs="Arial" w:eastAsia="Arial" w:hAnsi="Arial"/>
                  <w:sz w:val="15"/>
                  <w:szCs w:val="15"/>
                  <w:color w:val="0000FF"/>
                  <w:w w:val="95"/>
                </w:rPr>
                <w:t>Fifth Amended and Restated Certificate of Incorporation (incorporated by reference to Exhibit 3.1 to the Company's Current Report on Form 8-K filed on June 13, 2018)</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0" w:type="dxa"/>
            <w:vAlign w:val="bottom"/>
          </w:tcPr>
          <w:p>
            <w:pPr>
              <w:jc w:val="center"/>
              <w:spacing w:after="0"/>
              <w:rPr>
                <w:sz w:val="20"/>
                <w:szCs w:val="20"/>
                <w:color w:val="auto"/>
              </w:rPr>
            </w:pPr>
            <w:r>
              <w:rPr>
                <w:rFonts w:ascii="Arial" w:cs="Arial" w:eastAsia="Arial" w:hAnsi="Arial"/>
                <w:sz w:val="15"/>
                <w:szCs w:val="15"/>
                <w:color w:val="auto"/>
                <w:w w:val="86"/>
              </w:rPr>
              <w:t>3.2</w:t>
            </w:r>
          </w:p>
        </w:tc>
        <w:tc>
          <w:tcPr>
            <w:tcW w:w="200" w:type="dxa"/>
            <w:vAlign w:val="bottom"/>
          </w:tcPr>
          <w:p>
            <w:pPr>
              <w:spacing w:after="0"/>
              <w:rPr>
                <w:sz w:val="17"/>
                <w:szCs w:val="17"/>
                <w:color w:val="auto"/>
              </w:rPr>
            </w:pPr>
          </w:p>
        </w:tc>
        <w:tc>
          <w:tcPr>
            <w:tcW w:w="10660" w:type="dxa"/>
            <w:vAlign w:val="bottom"/>
            <w:gridSpan w:val="33"/>
          </w:tcPr>
          <w:p>
            <w:pPr>
              <w:spacing w:after="0"/>
              <w:rPr>
                <w:rFonts w:ascii="Arial" w:cs="Arial" w:eastAsia="Arial" w:hAnsi="Arial"/>
                <w:sz w:val="15"/>
                <w:szCs w:val="15"/>
                <w:color w:val="0000FF"/>
                <w:w w:val="94"/>
              </w:rPr>
            </w:pPr>
            <w:hyperlink r:id="rId228">
              <w:r>
                <w:rPr>
                  <w:rFonts w:ascii="Arial" w:cs="Arial" w:eastAsia="Arial" w:hAnsi="Arial"/>
                  <w:sz w:val="15"/>
                  <w:szCs w:val="15"/>
                  <w:color w:val="0000FF"/>
                  <w:w w:val="94"/>
                </w:rPr>
                <w:t>Fifth Amended and Restated Bylaws of Fidelity National Financial, Inc., dated January 5, 2022 (incorporated by reference to Exhibit 3.2 to the Registrant’s Current Report</w:t>
              </w:r>
            </w:hyperlink>
          </w:p>
        </w:tc>
        <w:tc>
          <w:tcPr>
            <w:tcW w:w="0" w:type="dxa"/>
            <w:vAlign w:val="bottom"/>
          </w:tcPr>
          <w:p>
            <w:pPr>
              <w:spacing w:after="0"/>
              <w:rPr>
                <w:sz w:val="1"/>
                <w:szCs w:val="1"/>
                <w:color w:val="auto"/>
              </w:rPr>
            </w:pPr>
          </w:p>
        </w:tc>
      </w:tr>
      <w:tr>
        <w:trPr>
          <w:trHeight w:val="138"/>
        </w:trPr>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tcBorders>
              <w:top w:val="single" w:sz="8" w:color="0000FF"/>
              <w:bottom w:val="single" w:sz="8" w:color="0000FF"/>
            </w:tcBorders>
            <w:gridSpan w:val="2"/>
          </w:tcPr>
          <w:p>
            <w:pPr>
              <w:spacing w:after="0" w:line="138" w:lineRule="exact"/>
              <w:rPr>
                <w:rFonts w:ascii="Arial" w:cs="Arial" w:eastAsia="Arial" w:hAnsi="Arial"/>
                <w:sz w:val="15"/>
                <w:szCs w:val="15"/>
                <w:color w:val="0000FF"/>
                <w:w w:val="91"/>
              </w:rPr>
            </w:pPr>
            <w:hyperlink r:id="rId228">
              <w:r>
                <w:rPr>
                  <w:rFonts w:ascii="Arial" w:cs="Arial" w:eastAsia="Arial" w:hAnsi="Arial"/>
                  <w:sz w:val="15"/>
                  <w:szCs w:val="15"/>
                  <w:color w:val="0000FF"/>
                  <w:w w:val="91"/>
                </w:rPr>
                <w:t>on Form 8-K filed on January 5, 2022)</w:t>
              </w:r>
            </w:hyperlink>
          </w:p>
        </w:tc>
        <w:tc>
          <w:tcPr>
            <w:tcW w:w="7960" w:type="dxa"/>
            <w:vAlign w:val="bottom"/>
            <w:tcBorders>
              <w:top w:val="single" w:sz="8" w:color="0000FF"/>
            </w:tcBorders>
            <w:gridSpan w:val="17"/>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20" w:type="dxa"/>
            <w:vAlign w:val="bottom"/>
          </w:tcPr>
          <w:p>
            <w:pPr>
              <w:jc w:val="center"/>
              <w:spacing w:after="0"/>
              <w:rPr>
                <w:sz w:val="20"/>
                <w:szCs w:val="20"/>
                <w:color w:val="auto"/>
              </w:rPr>
            </w:pPr>
            <w:r>
              <w:rPr>
                <w:rFonts w:ascii="Arial" w:cs="Arial" w:eastAsia="Arial" w:hAnsi="Arial"/>
                <w:sz w:val="15"/>
                <w:szCs w:val="15"/>
                <w:color w:val="auto"/>
                <w:w w:val="86"/>
              </w:rPr>
              <w:t>4.1</w:t>
            </w:r>
          </w:p>
        </w:tc>
        <w:tc>
          <w:tcPr>
            <w:tcW w:w="200" w:type="dxa"/>
            <w:vAlign w:val="bottom"/>
          </w:tcPr>
          <w:p>
            <w:pPr>
              <w:spacing w:after="0"/>
              <w:rPr>
                <w:sz w:val="15"/>
                <w:szCs w:val="15"/>
                <w:color w:val="auto"/>
              </w:rPr>
            </w:pPr>
          </w:p>
        </w:tc>
        <w:tc>
          <w:tcPr>
            <w:tcW w:w="10660" w:type="dxa"/>
            <w:vAlign w:val="bottom"/>
            <w:gridSpan w:val="33"/>
          </w:tcPr>
          <w:p>
            <w:pPr>
              <w:spacing w:after="0"/>
              <w:rPr>
                <w:rFonts w:ascii="Arial" w:cs="Arial" w:eastAsia="Arial" w:hAnsi="Arial"/>
                <w:sz w:val="15"/>
                <w:szCs w:val="15"/>
                <w:color w:val="0000FF"/>
                <w:w w:val="95"/>
              </w:rPr>
            </w:pPr>
            <w:hyperlink r:id="rId229">
              <w:r>
                <w:rPr>
                  <w:rFonts w:ascii="Arial" w:cs="Arial" w:eastAsia="Arial" w:hAnsi="Arial"/>
                  <w:sz w:val="15"/>
                  <w:szCs w:val="15"/>
                  <w:color w:val="0000FF"/>
                  <w:w w:val="95"/>
                </w:rPr>
                <w:t>Indenture between the Registrant and The Bank of New York Trust Company, N.A., dated December 8, 2005 (incorporated by reference to Exhibit 4.1 to the Registrant’s</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180" w:type="dxa"/>
            <w:vAlign w:val="bottom"/>
            <w:tcBorders>
              <w:top w:val="single" w:sz="8" w:color="0000FF"/>
              <w:bottom w:val="single" w:sz="8" w:color="0000FF"/>
            </w:tcBorders>
            <w:gridSpan w:val="6"/>
          </w:tcPr>
          <w:p>
            <w:pPr>
              <w:spacing w:after="0" w:line="127" w:lineRule="exact"/>
              <w:rPr>
                <w:rFonts w:ascii="Arial" w:cs="Arial" w:eastAsia="Arial" w:hAnsi="Arial"/>
                <w:sz w:val="14"/>
                <w:szCs w:val="14"/>
                <w:color w:val="0000FF"/>
                <w:w w:val="97"/>
              </w:rPr>
            </w:pPr>
            <w:hyperlink r:id="rId229">
              <w:r>
                <w:rPr>
                  <w:rFonts w:ascii="Arial" w:cs="Arial" w:eastAsia="Arial" w:hAnsi="Arial"/>
                  <w:sz w:val="14"/>
                  <w:szCs w:val="14"/>
                  <w:color w:val="0000FF"/>
                  <w:w w:val="97"/>
                </w:rPr>
                <w:t>Annual Report on Form 10-K for the year ended December 31, 2005)</w:t>
              </w:r>
            </w:hyperlink>
          </w:p>
        </w:tc>
        <w:tc>
          <w:tcPr>
            <w:tcW w:w="634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86"/>
              </w:rPr>
              <w:t>4.2</w:t>
            </w:r>
          </w:p>
        </w:tc>
        <w:tc>
          <w:tcPr>
            <w:tcW w:w="200" w:type="dxa"/>
            <w:vAlign w:val="bottom"/>
          </w:tcPr>
          <w:p>
            <w:pPr>
              <w:spacing w:after="0"/>
              <w:rPr>
                <w:sz w:val="14"/>
                <w:szCs w:val="14"/>
                <w:color w:val="auto"/>
              </w:rPr>
            </w:pPr>
          </w:p>
        </w:tc>
        <w:tc>
          <w:tcPr>
            <w:tcW w:w="10660" w:type="dxa"/>
            <w:vAlign w:val="bottom"/>
            <w:gridSpan w:val="33"/>
          </w:tcPr>
          <w:p>
            <w:pPr>
              <w:spacing w:after="0"/>
              <w:rPr>
                <w:rFonts w:ascii="Arial" w:cs="Arial" w:eastAsia="Arial" w:hAnsi="Arial"/>
                <w:sz w:val="15"/>
                <w:szCs w:val="15"/>
                <w:color w:val="0000FF"/>
                <w:w w:val="93"/>
              </w:rPr>
            </w:pPr>
            <w:hyperlink r:id="rId230">
              <w:r>
                <w:rPr>
                  <w:rFonts w:ascii="Arial" w:cs="Arial" w:eastAsia="Arial" w:hAnsi="Arial"/>
                  <w:sz w:val="15"/>
                  <w:szCs w:val="15"/>
                  <w:color w:val="0000FF"/>
                  <w:w w:val="93"/>
                </w:rPr>
                <w:t>First Supplemental Indenture between the Registrant and the Bank of New York Trust Company, N.A., dated as of January 6, 2006 (incorporated by reference to Exhibit 4.1</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0" w:type="dxa"/>
            <w:vAlign w:val="bottom"/>
            <w:tcBorders>
              <w:top w:val="single" w:sz="8" w:color="0000FF"/>
            </w:tcBorders>
            <w:gridSpan w:val="30"/>
          </w:tcPr>
          <w:p>
            <w:pPr>
              <w:spacing w:after="0" w:line="127" w:lineRule="exact"/>
              <w:rPr>
                <w:rFonts w:ascii="Arial" w:cs="Arial" w:eastAsia="Arial" w:hAnsi="Arial"/>
                <w:sz w:val="14"/>
                <w:szCs w:val="14"/>
                <w:color w:val="0000FF"/>
              </w:rPr>
            </w:pPr>
            <w:hyperlink r:id="rId230">
              <w:r>
                <w:rPr>
                  <w:rFonts w:ascii="Arial" w:cs="Arial" w:eastAsia="Arial" w:hAnsi="Arial"/>
                  <w:sz w:val="14"/>
                  <w:szCs w:val="14"/>
                  <w:color w:val="0000FF"/>
                </w:rPr>
                <w:t>to the Registrant’s Current Report on Form 8-K filed on January 24, 2006)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86"/>
              </w:rPr>
              <w:t>4.3</w:t>
            </w:r>
          </w:p>
        </w:tc>
        <w:tc>
          <w:tcPr>
            <w:tcW w:w="200" w:type="dxa"/>
            <w:vAlign w:val="bottom"/>
          </w:tcPr>
          <w:p>
            <w:pPr>
              <w:spacing w:after="0"/>
              <w:rPr>
                <w:sz w:val="14"/>
                <w:szCs w:val="14"/>
                <w:color w:val="auto"/>
              </w:rPr>
            </w:pPr>
          </w:p>
        </w:tc>
        <w:tc>
          <w:tcPr>
            <w:tcW w:w="10660" w:type="dxa"/>
            <w:vAlign w:val="bottom"/>
            <w:gridSpan w:val="33"/>
          </w:tcPr>
          <w:p>
            <w:pPr>
              <w:spacing w:after="0"/>
              <w:rPr>
                <w:rFonts w:ascii="Arial" w:cs="Arial" w:eastAsia="Arial" w:hAnsi="Arial"/>
                <w:sz w:val="15"/>
                <w:szCs w:val="15"/>
                <w:color w:val="0000FF"/>
                <w:w w:val="94"/>
              </w:rPr>
            </w:pPr>
            <w:hyperlink r:id="rId231">
              <w:r>
                <w:rPr>
                  <w:rFonts w:ascii="Arial" w:cs="Arial" w:eastAsia="Arial" w:hAnsi="Arial"/>
                  <w:sz w:val="15"/>
                  <w:szCs w:val="15"/>
                  <w:color w:val="0000FF"/>
                  <w:w w:val="94"/>
                </w:rPr>
                <w:t>Second Supplemental Indenture, dated May 5, 2010, between the Registrant and The Bank of New York Mellon Trust Company, N.A. (incorporated by reference to Exhibit</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60" w:type="dxa"/>
            <w:vAlign w:val="bottom"/>
            <w:tcBorders>
              <w:top w:val="single" w:sz="8" w:color="0000FF"/>
              <w:bottom w:val="single" w:sz="8" w:color="0000FF"/>
            </w:tcBorders>
            <w:gridSpan w:val="7"/>
          </w:tcPr>
          <w:p>
            <w:pPr>
              <w:spacing w:after="0" w:line="127" w:lineRule="exact"/>
              <w:rPr>
                <w:rFonts w:ascii="Arial" w:cs="Arial" w:eastAsia="Arial" w:hAnsi="Arial"/>
                <w:sz w:val="14"/>
                <w:szCs w:val="14"/>
                <w:color w:val="0000FF"/>
                <w:w w:val="98"/>
              </w:rPr>
            </w:pPr>
            <w:hyperlink r:id="rId231">
              <w:r>
                <w:rPr>
                  <w:rFonts w:ascii="Arial" w:cs="Arial" w:eastAsia="Arial" w:hAnsi="Arial"/>
                  <w:sz w:val="14"/>
                  <w:szCs w:val="14"/>
                  <w:color w:val="0000FF"/>
                  <w:w w:val="98"/>
                </w:rPr>
                <w:t>4.</w:t>
              </w:r>
              <w:r>
                <w:rPr>
                  <w:rFonts w:ascii="Arial" w:cs="Arial" w:eastAsia="Arial" w:hAnsi="Arial"/>
                  <w:sz w:val="14"/>
                  <w:szCs w:val="14"/>
                  <w:u w:val="single" w:color="auto"/>
                  <w:color w:val="0000FF"/>
                  <w:w w:val="98"/>
                </w:rPr>
                <w:t>1</w:t>
              </w:r>
              <w:r>
                <w:rPr>
                  <w:rFonts w:ascii="Arial" w:cs="Arial" w:eastAsia="Arial" w:hAnsi="Arial"/>
                  <w:sz w:val="14"/>
                  <w:szCs w:val="14"/>
                  <w:color w:val="0000FF"/>
                  <w:w w:val="98"/>
                </w:rPr>
                <w:t xml:space="preserve"> to the Registrant's Current Report on Form 8-K filed on May 5, 2010)</w:t>
              </w:r>
            </w:hyperlink>
          </w:p>
        </w:tc>
        <w:tc>
          <w:tcPr>
            <w:tcW w:w="6020" w:type="dxa"/>
            <w:vAlign w:val="bottom"/>
            <w:tcBorders>
              <w:top w:val="single" w:sz="8" w:color="0000FF"/>
            </w:tcBorders>
            <w:gridSpan w:val="17"/>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86"/>
              </w:rPr>
              <w:t>4.4</w:t>
            </w:r>
          </w:p>
        </w:tc>
        <w:tc>
          <w:tcPr>
            <w:tcW w:w="200" w:type="dxa"/>
            <w:vAlign w:val="bottom"/>
          </w:tcPr>
          <w:p>
            <w:pPr>
              <w:spacing w:after="0"/>
              <w:rPr>
                <w:sz w:val="14"/>
                <w:szCs w:val="14"/>
                <w:color w:val="auto"/>
              </w:rPr>
            </w:pPr>
          </w:p>
        </w:tc>
        <w:tc>
          <w:tcPr>
            <w:tcW w:w="10660" w:type="dxa"/>
            <w:vAlign w:val="bottom"/>
            <w:gridSpan w:val="33"/>
          </w:tcPr>
          <w:p>
            <w:pPr>
              <w:spacing w:after="0"/>
              <w:rPr>
                <w:rFonts w:ascii="Arial" w:cs="Arial" w:eastAsia="Arial" w:hAnsi="Arial"/>
                <w:sz w:val="15"/>
                <w:szCs w:val="15"/>
                <w:color w:val="0000FF"/>
                <w:w w:val="92"/>
              </w:rPr>
            </w:pPr>
            <w:hyperlink r:id="rId232">
              <w:r>
                <w:rPr>
                  <w:rFonts w:ascii="Arial" w:cs="Arial" w:eastAsia="Arial" w:hAnsi="Arial"/>
                  <w:sz w:val="15"/>
                  <w:szCs w:val="15"/>
                  <w:color w:val="0000FF"/>
                  <w:w w:val="92"/>
                </w:rPr>
                <w:t>Officers’ Certificate, dated August 28, 2012, pursuant to the Indenture dated December 8, 2005, as supplemented by the First Supplemental Indenture dated as of January 6,</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40" w:type="dxa"/>
            <w:vAlign w:val="bottom"/>
            <w:tcBorders>
              <w:top w:val="single" w:sz="8" w:color="0000FF"/>
              <w:bottom w:val="single" w:sz="8" w:color="0000FF"/>
            </w:tcBorders>
            <w:gridSpan w:val="27"/>
          </w:tcPr>
          <w:p>
            <w:pPr>
              <w:spacing w:after="0" w:line="127" w:lineRule="exact"/>
              <w:rPr>
                <w:rFonts w:ascii="Arial" w:cs="Arial" w:eastAsia="Arial" w:hAnsi="Arial"/>
                <w:sz w:val="14"/>
                <w:szCs w:val="14"/>
                <w:color w:val="0000FF"/>
                <w:w w:val="97"/>
              </w:rPr>
            </w:pPr>
            <w:hyperlink r:id="rId232">
              <w:r>
                <w:rPr>
                  <w:rFonts w:ascii="Arial" w:cs="Arial" w:eastAsia="Arial" w:hAnsi="Arial"/>
                  <w:sz w:val="14"/>
                  <w:szCs w:val="14"/>
                  <w:color w:val="0000FF"/>
                  <w:w w:val="97"/>
                </w:rPr>
                <w:t>2006 and as further supplemented by the Second Supplemental Indenture dated as of May 5, 2010 (incorporated by reference to Exhibit 4.1 to the Registrant's Current Report</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20" w:type="dxa"/>
            <w:vAlign w:val="bottom"/>
            <w:gridSpan w:val="31"/>
          </w:tcPr>
          <w:p>
            <w:pPr>
              <w:spacing w:after="0" w:line="127" w:lineRule="exact"/>
              <w:rPr>
                <w:rFonts w:ascii="Arial" w:cs="Arial" w:eastAsia="Arial" w:hAnsi="Arial"/>
                <w:sz w:val="14"/>
                <w:szCs w:val="14"/>
                <w:color w:val="0000FF"/>
              </w:rPr>
            </w:pPr>
            <w:hyperlink r:id="rId232">
              <w:r>
                <w:rPr>
                  <w:rFonts w:ascii="Arial" w:cs="Arial" w:eastAsia="Arial" w:hAnsi="Arial"/>
                  <w:sz w:val="14"/>
                  <w:szCs w:val="14"/>
                  <w:color w:val="0000FF"/>
                </w:rPr>
                <w:t>on Form 8-K filed on August 28, 2012)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86"/>
              </w:rPr>
              <w:t>4.5</w:t>
            </w:r>
          </w:p>
        </w:tc>
        <w:tc>
          <w:tcPr>
            <w:tcW w:w="200" w:type="dxa"/>
            <w:vAlign w:val="bottom"/>
          </w:tcPr>
          <w:p>
            <w:pPr>
              <w:spacing w:after="0"/>
              <w:rPr>
                <w:sz w:val="14"/>
                <w:szCs w:val="14"/>
                <w:color w:val="auto"/>
              </w:rPr>
            </w:pPr>
          </w:p>
        </w:tc>
        <w:tc>
          <w:tcPr>
            <w:tcW w:w="10660" w:type="dxa"/>
            <w:vAlign w:val="bottom"/>
            <w:gridSpan w:val="33"/>
          </w:tcPr>
          <w:p>
            <w:pPr>
              <w:spacing w:after="0"/>
              <w:rPr>
                <w:rFonts w:ascii="Arial" w:cs="Arial" w:eastAsia="Arial" w:hAnsi="Arial"/>
                <w:sz w:val="15"/>
                <w:szCs w:val="15"/>
                <w:color w:val="0000FF"/>
                <w:w w:val="95"/>
              </w:rPr>
            </w:pPr>
            <w:hyperlink r:id="rId233">
              <w:r>
                <w:rPr>
                  <w:rFonts w:ascii="Arial" w:cs="Arial" w:eastAsia="Arial" w:hAnsi="Arial"/>
                  <w:sz w:val="15"/>
                  <w:szCs w:val="15"/>
                  <w:color w:val="0000FF"/>
                  <w:w w:val="95"/>
                </w:rPr>
                <w:t>Form of Subordinated Indenture between the Registrant and the Bank of New York Trust Company, N.A. (incorporated by reference to Exhibit 4.2 (A) to the Registrant’s</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60" w:type="dxa"/>
            <w:vAlign w:val="bottom"/>
            <w:tcBorders>
              <w:top w:val="single" w:sz="8" w:color="0000FF"/>
            </w:tcBorders>
            <w:gridSpan w:val="23"/>
          </w:tcPr>
          <w:p>
            <w:pPr>
              <w:spacing w:after="0" w:line="127" w:lineRule="exact"/>
              <w:rPr>
                <w:rFonts w:ascii="Arial" w:cs="Arial" w:eastAsia="Arial" w:hAnsi="Arial"/>
                <w:sz w:val="14"/>
                <w:szCs w:val="14"/>
                <w:color w:val="0000FF"/>
              </w:rPr>
            </w:pPr>
            <w:hyperlink r:id="rId233">
              <w:r>
                <w:rPr>
                  <w:rFonts w:ascii="Arial" w:cs="Arial" w:eastAsia="Arial" w:hAnsi="Arial"/>
                  <w:sz w:val="14"/>
                  <w:szCs w:val="14"/>
                  <w:color w:val="0000FF"/>
                </w:rPr>
                <w:t>Registration Statement on Form S-3 filed on November 14, 2007)</w:t>
              </w:r>
            </w:hyperlink>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86"/>
              </w:rPr>
              <w:t>4.6</w:t>
            </w:r>
          </w:p>
        </w:tc>
        <w:tc>
          <w:tcPr>
            <w:tcW w:w="200" w:type="dxa"/>
            <w:vAlign w:val="bottom"/>
          </w:tcPr>
          <w:p>
            <w:pPr>
              <w:spacing w:after="0"/>
              <w:rPr>
                <w:sz w:val="14"/>
                <w:szCs w:val="14"/>
                <w:color w:val="auto"/>
              </w:rPr>
            </w:pPr>
          </w:p>
        </w:tc>
        <w:tc>
          <w:tcPr>
            <w:tcW w:w="10660" w:type="dxa"/>
            <w:vAlign w:val="bottom"/>
            <w:gridSpan w:val="33"/>
          </w:tcPr>
          <w:p>
            <w:pPr>
              <w:spacing w:after="0"/>
              <w:rPr>
                <w:rFonts w:ascii="Arial" w:cs="Arial" w:eastAsia="Arial" w:hAnsi="Arial"/>
                <w:sz w:val="15"/>
                <w:szCs w:val="15"/>
                <w:color w:val="0000FF"/>
                <w:w w:val="96"/>
              </w:rPr>
            </w:pPr>
            <w:hyperlink r:id="rId234">
              <w:r>
                <w:rPr>
                  <w:rFonts w:ascii="Arial" w:cs="Arial" w:eastAsia="Arial" w:hAnsi="Arial"/>
                  <w:sz w:val="15"/>
                  <w:szCs w:val="15"/>
                  <w:color w:val="0000FF"/>
                  <w:w w:val="96"/>
                </w:rPr>
                <w:t>Fourth Supplemental Indenture, dated August 13, 2018, between the Registrant and The Bank of New York Mellon Trust Company, N.A. (incorporated by reference to</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80" w:type="dxa"/>
            <w:vAlign w:val="bottom"/>
            <w:tcBorders>
              <w:top w:val="single" w:sz="8" w:color="0000FF"/>
            </w:tcBorders>
            <w:gridSpan w:val="29"/>
          </w:tcPr>
          <w:p>
            <w:pPr>
              <w:spacing w:after="0" w:line="127" w:lineRule="exact"/>
              <w:rPr>
                <w:rFonts w:ascii="Arial" w:cs="Arial" w:eastAsia="Arial" w:hAnsi="Arial"/>
                <w:sz w:val="14"/>
                <w:szCs w:val="14"/>
                <w:color w:val="0000FF"/>
              </w:rPr>
            </w:pPr>
            <w:hyperlink r:id="rId234">
              <w:r>
                <w:rPr>
                  <w:rFonts w:ascii="Arial" w:cs="Arial" w:eastAsia="Arial" w:hAnsi="Arial"/>
                  <w:sz w:val="14"/>
                  <w:szCs w:val="14"/>
                  <w:color w:val="0000FF"/>
                </w:rPr>
                <w:t>Exhibit 4.4 to the Registrant's Current Report on Form 8-K filed on August 13, 2018)</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center"/>
              <w:spacing w:after="0"/>
              <w:rPr>
                <w:sz w:val="20"/>
                <w:szCs w:val="20"/>
                <w:color w:val="auto"/>
              </w:rPr>
            </w:pPr>
            <w:r>
              <w:rPr>
                <w:rFonts w:ascii="Arial" w:cs="Arial" w:eastAsia="Arial" w:hAnsi="Arial"/>
                <w:sz w:val="15"/>
                <w:szCs w:val="15"/>
                <w:color w:val="auto"/>
                <w:w w:val="86"/>
              </w:rPr>
              <w:t>4.7</w:t>
            </w: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60" w:type="dxa"/>
            <w:vAlign w:val="bottom"/>
            <w:gridSpan w:val="33"/>
          </w:tcPr>
          <w:p>
            <w:pPr>
              <w:spacing w:after="0"/>
              <w:rPr>
                <w:rFonts w:ascii="Arial" w:cs="Arial" w:eastAsia="Arial" w:hAnsi="Arial"/>
                <w:sz w:val="15"/>
                <w:szCs w:val="15"/>
                <w:color w:val="0000FF"/>
                <w:w w:val="93"/>
              </w:rPr>
            </w:pPr>
            <w:hyperlink r:id="rId234">
              <w:r>
                <w:rPr>
                  <w:rFonts w:ascii="Arial" w:cs="Arial" w:eastAsia="Arial" w:hAnsi="Arial"/>
                  <w:sz w:val="15"/>
                  <w:szCs w:val="15"/>
                  <w:color w:val="0000FF"/>
                  <w:w w:val="93"/>
                </w:rPr>
                <w:t>Form of 4.50% Senior Note of the Registrant due 2028 (incorporated by reference to Exhibit A to Exhibit 4.4 to the Registrant's Current Report on Form 8-K filed on August</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20" w:type="dxa"/>
            <w:vAlign w:val="bottom"/>
            <w:tcBorders>
              <w:top w:val="single" w:sz="8" w:color="0000FF"/>
            </w:tcBorders>
            <w:gridSpan w:val="2"/>
          </w:tcPr>
          <w:p>
            <w:pPr>
              <w:spacing w:after="0" w:line="127" w:lineRule="exact"/>
              <w:rPr>
                <w:rFonts w:ascii="Arial" w:cs="Arial" w:eastAsia="Arial" w:hAnsi="Arial"/>
                <w:sz w:val="14"/>
                <w:szCs w:val="14"/>
                <w:color w:val="0000FF"/>
              </w:rPr>
            </w:pPr>
            <w:hyperlink r:id="rId234">
              <w:r>
                <w:rPr>
                  <w:rFonts w:ascii="Arial" w:cs="Arial" w:eastAsia="Arial" w:hAnsi="Arial"/>
                  <w:sz w:val="14"/>
                  <w:szCs w:val="14"/>
                  <w:color w:val="0000FF"/>
                </w:rPr>
                <w:t>13, 2018).</w:t>
              </w:r>
            </w:hyperlink>
          </w:p>
        </w:tc>
        <w:tc>
          <w:tcPr>
            <w:tcW w:w="4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8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10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44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0" w:type="dxa"/>
            <w:vAlign w:val="bottom"/>
          </w:tcPr>
          <w:p>
            <w:pPr>
              <w:jc w:val="center"/>
              <w:spacing w:after="0"/>
              <w:rPr>
                <w:sz w:val="20"/>
                <w:szCs w:val="20"/>
                <w:color w:val="auto"/>
              </w:rPr>
            </w:pPr>
            <w:r>
              <w:rPr>
                <w:rFonts w:ascii="Arial" w:cs="Arial" w:eastAsia="Arial" w:hAnsi="Arial"/>
                <w:sz w:val="15"/>
                <w:szCs w:val="15"/>
                <w:color w:val="auto"/>
                <w:w w:val="86"/>
              </w:rPr>
              <w:t>4.8</w:t>
            </w:r>
          </w:p>
        </w:tc>
        <w:tc>
          <w:tcPr>
            <w:tcW w:w="200" w:type="dxa"/>
            <w:vAlign w:val="bottom"/>
          </w:tcPr>
          <w:p>
            <w:pPr>
              <w:spacing w:after="0"/>
              <w:rPr>
                <w:sz w:val="17"/>
                <w:szCs w:val="17"/>
                <w:color w:val="auto"/>
              </w:rPr>
            </w:pPr>
          </w:p>
        </w:tc>
        <w:tc>
          <w:tcPr>
            <w:tcW w:w="10660" w:type="dxa"/>
            <w:vAlign w:val="bottom"/>
            <w:gridSpan w:val="33"/>
          </w:tcPr>
          <w:p>
            <w:pPr>
              <w:spacing w:after="0"/>
              <w:rPr>
                <w:rFonts w:ascii="Arial" w:cs="Arial" w:eastAsia="Arial" w:hAnsi="Arial"/>
                <w:sz w:val="15"/>
                <w:szCs w:val="15"/>
                <w:color w:val="0000FF"/>
                <w:w w:val="96"/>
              </w:rPr>
            </w:pPr>
            <w:hyperlink r:id="rId235">
              <w:r>
                <w:rPr>
                  <w:rFonts w:ascii="Arial" w:cs="Arial" w:eastAsia="Arial" w:hAnsi="Arial"/>
                  <w:sz w:val="15"/>
                  <w:szCs w:val="15"/>
                  <w:color w:val="0000FF"/>
                  <w:w w:val="96"/>
                </w:rPr>
                <w:t xml:space="preserve">Specimen certificate for shares of the Registrant’s FNF Group common stock, par value </w:t>
              </w:r>
              <w:r>
                <w:rPr>
                  <w:rFonts w:ascii="Arial" w:cs="Arial" w:eastAsia="Arial" w:hAnsi="Arial"/>
                  <w:sz w:val="15"/>
                  <w:szCs w:val="15"/>
                  <w:u w:val="single" w:color="auto"/>
                  <w:color w:val="0000FF"/>
                  <w:w w:val="96"/>
                </w:rPr>
                <w:t>$</w:t>
              </w:r>
              <w:r>
                <w:rPr>
                  <w:rFonts w:ascii="Arial" w:cs="Arial" w:eastAsia="Arial" w:hAnsi="Arial"/>
                  <w:sz w:val="15"/>
                  <w:szCs w:val="15"/>
                  <w:color w:val="0000FF"/>
                  <w:w w:val="96"/>
                </w:rPr>
                <w:t>0.0001 per Share (incorporated by reference to Exhibit 4.1 to the Registrant’s</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60" w:type="dxa"/>
            <w:vAlign w:val="bottom"/>
            <w:tcBorders>
              <w:top w:val="single" w:sz="8" w:color="0000FF"/>
            </w:tcBorders>
            <w:gridSpan w:val="28"/>
          </w:tcPr>
          <w:p>
            <w:pPr>
              <w:spacing w:after="0" w:line="127" w:lineRule="exact"/>
              <w:rPr>
                <w:rFonts w:ascii="Arial" w:cs="Arial" w:eastAsia="Arial" w:hAnsi="Arial"/>
                <w:sz w:val="14"/>
                <w:szCs w:val="14"/>
                <w:color w:val="0000FF"/>
              </w:rPr>
            </w:pPr>
            <w:hyperlink r:id="rId235">
              <w:r>
                <w:rPr>
                  <w:rFonts w:ascii="Arial" w:cs="Arial" w:eastAsia="Arial" w:hAnsi="Arial"/>
                  <w:sz w:val="14"/>
                  <w:szCs w:val="14"/>
                  <w:color w:val="0000FF"/>
                </w:rPr>
                <w:t>Registration Statement on Form S-4/A filed on May 5, 2014)</w:t>
              </w:r>
            </w:hyperlink>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444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86"/>
              </w:rPr>
              <w:t>4.9</w:t>
            </w:r>
          </w:p>
        </w:tc>
        <w:tc>
          <w:tcPr>
            <w:tcW w:w="200" w:type="dxa"/>
            <w:vAlign w:val="bottom"/>
          </w:tcPr>
          <w:p>
            <w:pPr>
              <w:spacing w:after="0"/>
              <w:rPr>
                <w:sz w:val="14"/>
                <w:szCs w:val="14"/>
                <w:color w:val="auto"/>
              </w:rPr>
            </w:pPr>
          </w:p>
        </w:tc>
        <w:tc>
          <w:tcPr>
            <w:tcW w:w="9980" w:type="dxa"/>
            <w:vAlign w:val="bottom"/>
            <w:tcBorders>
              <w:bottom w:val="single" w:sz="8" w:color="0000FF"/>
            </w:tcBorders>
            <w:gridSpan w:val="16"/>
          </w:tcPr>
          <w:p>
            <w:pPr>
              <w:spacing w:after="0"/>
              <w:rPr>
                <w:rFonts w:ascii="Arial" w:cs="Arial" w:eastAsia="Arial" w:hAnsi="Arial"/>
                <w:sz w:val="15"/>
                <w:szCs w:val="15"/>
                <w:color w:val="0000FF"/>
                <w:w w:val="91"/>
              </w:rPr>
            </w:pPr>
            <w:hyperlink r:id="rId236">
              <w:r>
                <w:rPr>
                  <w:rFonts w:ascii="Arial" w:cs="Arial" w:eastAsia="Arial" w:hAnsi="Arial"/>
                  <w:sz w:val="15"/>
                  <w:szCs w:val="15"/>
                  <w:color w:val="0000FF"/>
                  <w:w w:val="91"/>
                </w:rPr>
                <w:t>Description of FNF Common Stock (incorporated by reference to Exhibit 4.9 to the Registrant’s Annual Report on Form 10-K for the year ended December 31, 2019)</w:t>
              </w:r>
            </w:hyperlink>
          </w:p>
        </w:tc>
        <w:tc>
          <w:tcPr>
            <w:tcW w:w="68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88"/>
              </w:rPr>
              <w:t>4.10</w:t>
            </w:r>
          </w:p>
        </w:tc>
        <w:tc>
          <w:tcPr>
            <w:tcW w:w="200" w:type="dxa"/>
            <w:vAlign w:val="bottom"/>
          </w:tcPr>
          <w:p>
            <w:pPr>
              <w:spacing w:after="0"/>
              <w:rPr>
                <w:sz w:val="14"/>
                <w:szCs w:val="14"/>
                <w:color w:val="auto"/>
              </w:rPr>
            </w:pPr>
          </w:p>
        </w:tc>
        <w:tc>
          <w:tcPr>
            <w:tcW w:w="10660" w:type="dxa"/>
            <w:vAlign w:val="bottom"/>
            <w:gridSpan w:val="33"/>
          </w:tcPr>
          <w:p>
            <w:pPr>
              <w:spacing w:after="0"/>
              <w:rPr>
                <w:rFonts w:ascii="Arial" w:cs="Arial" w:eastAsia="Arial" w:hAnsi="Arial"/>
                <w:sz w:val="15"/>
                <w:szCs w:val="15"/>
                <w:color w:val="0000FF"/>
                <w:w w:val="94"/>
              </w:rPr>
            </w:pPr>
            <w:hyperlink r:id="rId237">
              <w:r>
                <w:rPr>
                  <w:rFonts w:ascii="Arial" w:cs="Arial" w:eastAsia="Arial" w:hAnsi="Arial"/>
                  <w:sz w:val="15"/>
                  <w:szCs w:val="15"/>
                  <w:color w:val="0000FF"/>
                  <w:w w:val="94"/>
                </w:rPr>
                <w:t>Supplemental Indenture, dated as of June 1, 2020, by and among Fidelity &amp; Guaranty Life Holdings, Inc., Fidelity National Financial, Inc., and Wells Fargo Bank, National</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100" w:type="dxa"/>
            <w:vAlign w:val="bottom"/>
            <w:tcBorders>
              <w:top w:val="single" w:sz="8" w:color="0000FF"/>
              <w:bottom w:val="single" w:sz="8" w:color="0000FF"/>
            </w:tcBorders>
            <w:gridSpan w:val="14"/>
          </w:tcPr>
          <w:p>
            <w:pPr>
              <w:spacing w:after="0" w:line="127" w:lineRule="exact"/>
              <w:rPr>
                <w:rFonts w:ascii="Arial" w:cs="Arial" w:eastAsia="Arial" w:hAnsi="Arial"/>
                <w:sz w:val="14"/>
                <w:szCs w:val="14"/>
                <w:color w:val="0000FF"/>
                <w:w w:val="97"/>
              </w:rPr>
            </w:pPr>
            <w:hyperlink r:id="rId237">
              <w:r>
                <w:rPr>
                  <w:rFonts w:ascii="Arial" w:cs="Arial" w:eastAsia="Arial" w:hAnsi="Arial"/>
                  <w:sz w:val="14"/>
                  <w:szCs w:val="14"/>
                  <w:color w:val="0000FF"/>
                  <w:w w:val="97"/>
                </w:rPr>
                <w:t>Association, as trustee (incorporated by reference to Exhibit 4.1 to the Registrant's Current Report on Form 8-K filed on June 1, 2020).</w:t>
              </w:r>
            </w:hyperlink>
          </w:p>
        </w:tc>
        <w:tc>
          <w:tcPr>
            <w:tcW w:w="254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20" w:type="dxa"/>
            <w:vAlign w:val="bottom"/>
          </w:tcPr>
          <w:p>
            <w:pPr>
              <w:jc w:val="center"/>
              <w:spacing w:after="0"/>
              <w:rPr>
                <w:sz w:val="20"/>
                <w:szCs w:val="20"/>
                <w:color w:val="auto"/>
              </w:rPr>
            </w:pPr>
            <w:r>
              <w:rPr>
                <w:rFonts w:ascii="Arial" w:cs="Arial" w:eastAsia="Arial" w:hAnsi="Arial"/>
                <w:sz w:val="15"/>
                <w:szCs w:val="15"/>
                <w:color w:val="auto"/>
                <w:w w:val="88"/>
              </w:rPr>
              <w:t>4.11</w:t>
            </w:r>
          </w:p>
        </w:tc>
        <w:tc>
          <w:tcPr>
            <w:tcW w:w="200" w:type="dxa"/>
            <w:vAlign w:val="bottom"/>
          </w:tcPr>
          <w:p>
            <w:pPr>
              <w:spacing w:after="0"/>
              <w:rPr>
                <w:sz w:val="15"/>
                <w:szCs w:val="15"/>
                <w:color w:val="auto"/>
              </w:rPr>
            </w:pPr>
          </w:p>
        </w:tc>
        <w:tc>
          <w:tcPr>
            <w:tcW w:w="10220" w:type="dxa"/>
            <w:vAlign w:val="bottom"/>
            <w:tcBorders>
              <w:bottom w:val="single" w:sz="8" w:color="0000FF"/>
            </w:tcBorders>
            <w:gridSpan w:val="18"/>
          </w:tcPr>
          <w:p>
            <w:pPr>
              <w:spacing w:after="0"/>
              <w:rPr>
                <w:rFonts w:ascii="Arial" w:cs="Arial" w:eastAsia="Arial" w:hAnsi="Arial"/>
                <w:sz w:val="15"/>
                <w:szCs w:val="15"/>
                <w:color w:val="0000FF"/>
                <w:w w:val="91"/>
              </w:rPr>
            </w:pPr>
            <w:hyperlink r:id="rId238">
              <w:r>
                <w:rPr>
                  <w:rFonts w:ascii="Arial" w:cs="Arial" w:eastAsia="Arial" w:hAnsi="Arial"/>
                  <w:sz w:val="15"/>
                  <w:szCs w:val="15"/>
                  <w:color w:val="0000FF"/>
                  <w:w w:val="91"/>
                </w:rPr>
                <w:t>Indenture, dated as of April 20, 2018, by and among Fidelity &amp; Guaranty Life Holdings, Inc., the guarantors party thereto and Wells Fargo Bank, National Association, as</w:t>
              </w:r>
            </w:hyperlink>
          </w:p>
        </w:tc>
        <w:tc>
          <w:tcPr>
            <w:tcW w:w="44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60" w:type="dxa"/>
            <w:vAlign w:val="bottom"/>
            <w:gridSpan w:val="33"/>
          </w:tcPr>
          <w:p>
            <w:pPr>
              <w:spacing w:after="0" w:line="149" w:lineRule="exact"/>
              <w:rPr>
                <w:rFonts w:ascii="Arial" w:cs="Arial" w:eastAsia="Arial" w:hAnsi="Arial"/>
                <w:sz w:val="15"/>
                <w:szCs w:val="15"/>
                <w:color w:val="0000FF"/>
              </w:rPr>
            </w:pPr>
            <w:hyperlink r:id="rId238">
              <w:r>
                <w:rPr>
                  <w:rFonts w:ascii="Arial" w:cs="Arial" w:eastAsia="Arial" w:hAnsi="Arial"/>
                  <w:sz w:val="15"/>
                  <w:szCs w:val="15"/>
                  <w:color w:val="0000FF"/>
                </w:rPr>
                <w:t>trustee (incorporated by reference to Exhibit 4.1 to the Current Report on Form 8-K filed by FGL Holdings (File No. 001-37779) on April 25, 2018).</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73" w:name="page174"/>
    <w:bookmarkEnd w:id="173"/>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Exhibit</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20" w:type="dxa"/>
            <w:vAlign w:val="bottom"/>
            <w:gridSpan w:val="25"/>
            <w:vMerge w:val="restart"/>
          </w:tcPr>
          <w:p>
            <w:pPr>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24"/>
        </w:trPr>
        <w:tc>
          <w:tcPr>
            <w:tcW w:w="780" w:type="dxa"/>
            <w:vAlign w:val="bottom"/>
            <w:gridSpan w:val="3"/>
          </w:tcPr>
          <w:p>
            <w:pPr>
              <w:jc w:val="center"/>
              <w:ind w:right="40"/>
              <w:spacing w:after="0" w:line="124" w:lineRule="exact"/>
              <w:rPr>
                <w:sz w:val="20"/>
                <w:szCs w:val="20"/>
                <w:color w:val="auto"/>
              </w:rPr>
            </w:pPr>
            <w:r>
              <w:rPr>
                <w:rFonts w:ascii="Arial" w:cs="Arial" w:eastAsia="Arial" w:hAnsi="Arial"/>
                <w:sz w:val="12"/>
                <w:szCs w:val="12"/>
                <w:b w:val="1"/>
                <w:bCs w:val="1"/>
                <w:color w:val="auto"/>
                <w:w w:val="92"/>
              </w:rPr>
              <w:t>Number</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20" w:type="dxa"/>
            <w:vAlign w:val="bottom"/>
            <w:gridSpan w:val="2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5"/>
                <w:szCs w:val="15"/>
                <w:color w:val="auto"/>
                <w:w w:val="88"/>
              </w:rPr>
              <w:t>4.12</w:t>
            </w:r>
          </w:p>
        </w:tc>
        <w:tc>
          <w:tcPr>
            <w:tcW w:w="200" w:type="dxa"/>
            <w:vAlign w:val="bottom"/>
          </w:tcPr>
          <w:p>
            <w:pPr>
              <w:spacing w:after="0"/>
              <w:rPr>
                <w:sz w:val="15"/>
                <w:szCs w:val="15"/>
                <w:color w:val="auto"/>
              </w:rPr>
            </w:pPr>
          </w:p>
        </w:tc>
        <w:tc>
          <w:tcPr>
            <w:tcW w:w="10680" w:type="dxa"/>
            <w:vAlign w:val="bottom"/>
            <w:gridSpan w:val="34"/>
          </w:tcPr>
          <w:p>
            <w:pPr>
              <w:spacing w:after="0"/>
              <w:rPr>
                <w:rFonts w:ascii="Arial" w:cs="Arial" w:eastAsia="Arial" w:hAnsi="Arial"/>
                <w:sz w:val="15"/>
                <w:szCs w:val="15"/>
                <w:color w:val="0000FF"/>
                <w:w w:val="93"/>
              </w:rPr>
            </w:pPr>
            <w:hyperlink r:id="rId240">
              <w:r>
                <w:rPr>
                  <w:rFonts w:ascii="Arial" w:cs="Arial" w:eastAsia="Arial" w:hAnsi="Arial"/>
                  <w:sz w:val="15"/>
                  <w:szCs w:val="15"/>
                  <w:color w:val="0000FF"/>
                  <w:w w:val="93"/>
                </w:rPr>
                <w:t>Fifth Supplemental Indenture, dated as of June 12, 2020, between Fidelity National Financial, Inc. and The Bank of New York Mellon Trust Company, N.A. (incorporated by</w:t>
              </w:r>
            </w:hyperlink>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760" w:type="dxa"/>
            <w:vAlign w:val="bottom"/>
            <w:tcBorders>
              <w:top w:val="single" w:sz="8" w:color="0000FF"/>
              <w:bottom w:val="single" w:sz="8" w:color="0000FF"/>
            </w:tcBorders>
            <w:gridSpan w:val="13"/>
          </w:tcPr>
          <w:p>
            <w:pPr>
              <w:spacing w:after="0" w:line="149" w:lineRule="exact"/>
              <w:rPr>
                <w:rFonts w:ascii="Arial" w:cs="Arial" w:eastAsia="Arial" w:hAnsi="Arial"/>
                <w:sz w:val="15"/>
                <w:szCs w:val="15"/>
                <w:color w:val="0000FF"/>
                <w:w w:val="91"/>
              </w:rPr>
            </w:pPr>
            <w:hyperlink r:id="rId240">
              <w:r>
                <w:rPr>
                  <w:rFonts w:ascii="Arial" w:cs="Arial" w:eastAsia="Arial" w:hAnsi="Arial"/>
                  <w:sz w:val="15"/>
                  <w:szCs w:val="15"/>
                  <w:color w:val="0000FF"/>
                  <w:w w:val="91"/>
                </w:rPr>
                <w:t>reference to Exhibit 4.1 to the Registrant's Current Report on Form 8-K filed on June 12, 2020).</w:t>
              </w:r>
            </w:hyperlink>
          </w:p>
        </w:tc>
        <w:tc>
          <w:tcPr>
            <w:tcW w:w="4660" w:type="dxa"/>
            <w:vAlign w:val="bottom"/>
            <w:tcBorders>
              <w:top w:val="single" w:sz="8" w:color="0000FF"/>
            </w:tcBorders>
            <w:gridSpan w:val="8"/>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4.13</w:t>
            </w:r>
          </w:p>
        </w:tc>
        <w:tc>
          <w:tcPr>
            <w:tcW w:w="200" w:type="dxa"/>
            <w:vAlign w:val="bottom"/>
          </w:tcPr>
          <w:p>
            <w:pPr>
              <w:spacing w:after="0"/>
              <w:rPr>
                <w:sz w:val="16"/>
                <w:szCs w:val="16"/>
                <w:color w:val="auto"/>
              </w:rPr>
            </w:pPr>
          </w:p>
        </w:tc>
        <w:tc>
          <w:tcPr>
            <w:tcW w:w="10680" w:type="dxa"/>
            <w:vAlign w:val="bottom"/>
            <w:gridSpan w:val="34"/>
          </w:tcPr>
          <w:p>
            <w:pPr>
              <w:spacing w:after="0"/>
              <w:rPr>
                <w:rFonts w:ascii="Arial" w:cs="Arial" w:eastAsia="Arial" w:hAnsi="Arial"/>
                <w:sz w:val="15"/>
                <w:szCs w:val="15"/>
                <w:color w:val="0000FF"/>
                <w:w w:val="94"/>
              </w:rPr>
            </w:pPr>
            <w:hyperlink r:id="rId240">
              <w:r>
                <w:rPr>
                  <w:rFonts w:ascii="Arial" w:cs="Arial" w:eastAsia="Arial" w:hAnsi="Arial"/>
                  <w:sz w:val="15"/>
                  <w:szCs w:val="15"/>
                  <w:color w:val="0000FF"/>
                  <w:w w:val="94"/>
                </w:rPr>
                <w:t>Form of 3.40% Senior Note of the Registrant due 2030 (included in Exhibit 4.12 hereto which is incorporated by reference to Exhibit 4.1 to the Registrant's Current Report</w:t>
              </w:r>
            </w:hyperlink>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80" w:type="dxa"/>
            <w:vAlign w:val="bottom"/>
            <w:tcBorders>
              <w:top w:val="single" w:sz="8" w:color="0000FF"/>
            </w:tcBorders>
            <w:gridSpan w:val="19"/>
          </w:tcPr>
          <w:p>
            <w:pPr>
              <w:spacing w:after="0" w:line="149" w:lineRule="exact"/>
              <w:rPr>
                <w:rFonts w:ascii="Arial" w:cs="Arial" w:eastAsia="Arial" w:hAnsi="Arial"/>
                <w:sz w:val="15"/>
                <w:szCs w:val="15"/>
                <w:color w:val="0000FF"/>
              </w:rPr>
            </w:pPr>
            <w:hyperlink r:id="rId240">
              <w:r>
                <w:rPr>
                  <w:rFonts w:ascii="Arial" w:cs="Arial" w:eastAsia="Arial" w:hAnsi="Arial"/>
                  <w:sz w:val="15"/>
                  <w:szCs w:val="15"/>
                  <w:color w:val="0000FF"/>
                </w:rPr>
                <w:t>on Form 8-K filed on June 12, 2020)</w:t>
              </w:r>
            </w:hyperlink>
          </w:p>
        </w:tc>
        <w:tc>
          <w:tcPr>
            <w:tcW w:w="4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4.14</w:t>
            </w:r>
          </w:p>
        </w:tc>
        <w:tc>
          <w:tcPr>
            <w:tcW w:w="200" w:type="dxa"/>
            <w:vAlign w:val="bottom"/>
          </w:tcPr>
          <w:p>
            <w:pPr>
              <w:spacing w:after="0"/>
              <w:rPr>
                <w:sz w:val="15"/>
                <w:szCs w:val="15"/>
                <w:color w:val="auto"/>
              </w:rPr>
            </w:pPr>
          </w:p>
        </w:tc>
        <w:tc>
          <w:tcPr>
            <w:tcW w:w="10680" w:type="dxa"/>
            <w:vAlign w:val="bottom"/>
            <w:gridSpan w:val="34"/>
          </w:tcPr>
          <w:p>
            <w:pPr>
              <w:spacing w:after="0"/>
              <w:rPr>
                <w:rFonts w:ascii="Arial" w:cs="Arial" w:eastAsia="Arial" w:hAnsi="Arial"/>
                <w:sz w:val="15"/>
                <w:szCs w:val="15"/>
                <w:color w:val="0000FF"/>
                <w:w w:val="99"/>
              </w:rPr>
            </w:pPr>
            <w:hyperlink r:id="rId241">
              <w:r>
                <w:rPr>
                  <w:rFonts w:ascii="Arial" w:cs="Arial" w:eastAsia="Arial" w:hAnsi="Arial"/>
                  <w:sz w:val="15"/>
                  <w:szCs w:val="15"/>
                  <w:color w:val="0000FF"/>
                  <w:w w:val="99"/>
                </w:rPr>
                <w:t>Sixth Supplemental Indenture, dated as of September 15, 2020, between Fidelity National Financial, Inc. and The Bank of New York Mellon Trust Company, N.A.</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160" w:type="dxa"/>
            <w:vAlign w:val="bottom"/>
            <w:tcBorders>
              <w:top w:val="single" w:sz="8" w:color="0000FF"/>
              <w:bottom w:val="single" w:sz="8" w:color="0000FF"/>
            </w:tcBorders>
            <w:gridSpan w:val="15"/>
          </w:tcPr>
          <w:p>
            <w:pPr>
              <w:spacing w:after="0" w:line="127" w:lineRule="exact"/>
              <w:rPr>
                <w:rFonts w:ascii="Arial" w:cs="Arial" w:eastAsia="Arial" w:hAnsi="Arial"/>
                <w:sz w:val="14"/>
                <w:szCs w:val="14"/>
                <w:color w:val="0000FF"/>
                <w:w w:val="97"/>
              </w:rPr>
            </w:pPr>
            <w:hyperlink r:id="rId241">
              <w:r>
                <w:rPr>
                  <w:rFonts w:ascii="Arial" w:cs="Arial" w:eastAsia="Arial" w:hAnsi="Arial"/>
                  <w:sz w:val="14"/>
                  <w:szCs w:val="14"/>
                  <w:color w:val="0000FF"/>
                  <w:w w:val="97"/>
                </w:rPr>
                <w:t>(incorporated by reference to Exhibit 4.1 to the Registrant's Current Report on Form 8-K filed on September 15, 2020).</w:t>
              </w:r>
            </w:hyperlink>
          </w:p>
        </w:tc>
        <w:tc>
          <w:tcPr>
            <w:tcW w:w="348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4.15</w:t>
            </w:r>
          </w:p>
        </w:tc>
        <w:tc>
          <w:tcPr>
            <w:tcW w:w="200" w:type="dxa"/>
            <w:vAlign w:val="bottom"/>
          </w:tcPr>
          <w:p>
            <w:pPr>
              <w:spacing w:after="0"/>
              <w:rPr>
                <w:sz w:val="15"/>
                <w:szCs w:val="15"/>
                <w:color w:val="auto"/>
              </w:rPr>
            </w:pPr>
          </w:p>
        </w:tc>
        <w:tc>
          <w:tcPr>
            <w:tcW w:w="10680" w:type="dxa"/>
            <w:vAlign w:val="bottom"/>
            <w:gridSpan w:val="34"/>
          </w:tcPr>
          <w:p>
            <w:pPr>
              <w:spacing w:after="0"/>
              <w:rPr>
                <w:rFonts w:ascii="Arial" w:cs="Arial" w:eastAsia="Arial" w:hAnsi="Arial"/>
                <w:sz w:val="15"/>
                <w:szCs w:val="15"/>
                <w:color w:val="0000FF"/>
                <w:w w:val="94"/>
              </w:rPr>
            </w:pPr>
            <w:hyperlink r:id="rId241">
              <w:r>
                <w:rPr>
                  <w:rFonts w:ascii="Arial" w:cs="Arial" w:eastAsia="Arial" w:hAnsi="Arial"/>
                  <w:sz w:val="15"/>
                  <w:szCs w:val="15"/>
                  <w:color w:val="0000FF"/>
                  <w:w w:val="94"/>
                </w:rPr>
                <w:t>Form of 2.450% Senior Note of the Registrant due 2031 (included in Exhibit 4.14 hereto which is incorporated by reference to Exhibit 4.1 to the Registrant's Current Report</w:t>
              </w:r>
            </w:hyperlink>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360" w:type="dxa"/>
            <w:vAlign w:val="bottom"/>
            <w:tcBorders>
              <w:top w:val="single" w:sz="8" w:color="0000FF"/>
            </w:tcBorders>
            <w:gridSpan w:val="20"/>
          </w:tcPr>
          <w:p>
            <w:pPr>
              <w:spacing w:after="0" w:line="149" w:lineRule="exact"/>
              <w:rPr>
                <w:rFonts w:ascii="Arial" w:cs="Arial" w:eastAsia="Arial" w:hAnsi="Arial"/>
                <w:sz w:val="15"/>
                <w:szCs w:val="15"/>
                <w:color w:val="0000FF"/>
              </w:rPr>
            </w:pPr>
            <w:hyperlink r:id="rId241">
              <w:r>
                <w:rPr>
                  <w:rFonts w:ascii="Arial" w:cs="Arial" w:eastAsia="Arial" w:hAnsi="Arial"/>
                  <w:sz w:val="15"/>
                  <w:szCs w:val="15"/>
                  <w:color w:val="0000FF"/>
                </w:rPr>
                <w:t>on Form 8-K filed on September 15, 2020)</w:t>
              </w:r>
            </w:hyperlink>
          </w:p>
        </w:tc>
        <w:tc>
          <w:tcPr>
            <w:tcW w:w="32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4.16</w:t>
            </w:r>
          </w:p>
        </w:tc>
        <w:tc>
          <w:tcPr>
            <w:tcW w:w="200" w:type="dxa"/>
            <w:vAlign w:val="bottom"/>
          </w:tcPr>
          <w:p>
            <w:pPr>
              <w:spacing w:after="0"/>
              <w:rPr>
                <w:sz w:val="15"/>
                <w:szCs w:val="15"/>
                <w:color w:val="auto"/>
              </w:rPr>
            </w:pPr>
          </w:p>
        </w:tc>
        <w:tc>
          <w:tcPr>
            <w:tcW w:w="10680" w:type="dxa"/>
            <w:vAlign w:val="bottom"/>
            <w:gridSpan w:val="34"/>
          </w:tcPr>
          <w:p>
            <w:pPr>
              <w:spacing w:after="0"/>
              <w:rPr>
                <w:rFonts w:ascii="Arial" w:cs="Arial" w:eastAsia="Arial" w:hAnsi="Arial"/>
                <w:sz w:val="15"/>
                <w:szCs w:val="15"/>
                <w:color w:val="0000FF"/>
                <w:w w:val="97"/>
              </w:rPr>
            </w:pPr>
            <w:hyperlink r:id="rId242">
              <w:r>
                <w:rPr>
                  <w:rFonts w:ascii="Arial" w:cs="Arial" w:eastAsia="Arial" w:hAnsi="Arial"/>
                  <w:sz w:val="15"/>
                  <w:szCs w:val="15"/>
                  <w:color w:val="0000FF"/>
                  <w:w w:val="97"/>
                </w:rPr>
                <w:t>Seventh Supplemental Indenture, dated as of September 17, 2021, between Fidelity National Financial, Inc. and The Bank of New York Mellon Trust Company, N.A.</w:t>
              </w:r>
            </w:hyperlink>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120" w:type="dxa"/>
            <w:vAlign w:val="bottom"/>
            <w:tcBorders>
              <w:top w:val="single" w:sz="8" w:color="0000FF"/>
              <w:bottom w:val="single" w:sz="8" w:color="0000FF"/>
            </w:tcBorders>
            <w:gridSpan w:val="14"/>
          </w:tcPr>
          <w:p>
            <w:pPr>
              <w:spacing w:after="0" w:line="138" w:lineRule="exact"/>
              <w:rPr>
                <w:rFonts w:ascii="Arial" w:cs="Arial" w:eastAsia="Arial" w:hAnsi="Arial"/>
                <w:sz w:val="15"/>
                <w:szCs w:val="15"/>
                <w:color w:val="0000FF"/>
                <w:w w:val="91"/>
              </w:rPr>
            </w:pPr>
            <w:hyperlink r:id="rId242">
              <w:r>
                <w:rPr>
                  <w:rFonts w:ascii="Arial" w:cs="Arial" w:eastAsia="Arial" w:hAnsi="Arial"/>
                  <w:sz w:val="15"/>
                  <w:szCs w:val="15"/>
                  <w:color w:val="0000FF"/>
                  <w:w w:val="91"/>
                </w:rPr>
                <w:t>(incorporated by reference to Exhibit 4.1 to the Registrant's Current Report on Form 8-K filed on September 17, 2021)</w:t>
              </w:r>
            </w:hyperlink>
          </w:p>
        </w:tc>
        <w:tc>
          <w:tcPr>
            <w:tcW w:w="2820" w:type="dxa"/>
            <w:vAlign w:val="bottom"/>
            <w:tcBorders>
              <w:top w:val="single" w:sz="8" w:color="0000FF"/>
            </w:tcBorders>
            <w:gridSpan w:val="4"/>
          </w:tcPr>
          <w:p>
            <w:pPr>
              <w:spacing w:after="0"/>
              <w:rPr>
                <w:sz w:val="11"/>
                <w:szCs w:val="11"/>
                <w:color w:val="auto"/>
              </w:rPr>
            </w:pPr>
          </w:p>
        </w:tc>
        <w:tc>
          <w:tcPr>
            <w:tcW w:w="5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4.17</w:t>
            </w:r>
          </w:p>
        </w:tc>
        <w:tc>
          <w:tcPr>
            <w:tcW w:w="200" w:type="dxa"/>
            <w:vAlign w:val="bottom"/>
          </w:tcPr>
          <w:p>
            <w:pPr>
              <w:spacing w:after="0"/>
              <w:rPr>
                <w:sz w:val="15"/>
                <w:szCs w:val="15"/>
                <w:color w:val="auto"/>
              </w:rPr>
            </w:pPr>
          </w:p>
        </w:tc>
        <w:tc>
          <w:tcPr>
            <w:tcW w:w="10680" w:type="dxa"/>
            <w:vAlign w:val="bottom"/>
            <w:gridSpan w:val="34"/>
          </w:tcPr>
          <w:p>
            <w:pPr>
              <w:spacing w:after="0"/>
              <w:rPr>
                <w:rFonts w:ascii="Arial" w:cs="Arial" w:eastAsia="Arial" w:hAnsi="Arial"/>
                <w:sz w:val="15"/>
                <w:szCs w:val="15"/>
                <w:color w:val="0000FF"/>
                <w:w w:val="93"/>
              </w:rPr>
            </w:pPr>
            <w:hyperlink r:id="rId242">
              <w:r>
                <w:rPr>
                  <w:rFonts w:ascii="Arial" w:cs="Arial" w:eastAsia="Arial" w:hAnsi="Arial"/>
                  <w:sz w:val="15"/>
                  <w:szCs w:val="15"/>
                  <w:color w:val="0000FF"/>
                  <w:w w:val="93"/>
                </w:rPr>
                <w:t>Form of 3.20% Senior Note of the Registrant due 2051 (included in exhibit 4.16 hereto which is incorporated by reference to Exhibit 4.1 to the Registrant's Current Report on</w:t>
              </w:r>
            </w:hyperlink>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40" w:type="dxa"/>
            <w:vAlign w:val="bottom"/>
            <w:tcBorders>
              <w:top w:val="single" w:sz="8" w:color="0000FF"/>
            </w:tcBorders>
            <w:gridSpan w:val="22"/>
          </w:tcPr>
          <w:p>
            <w:pPr>
              <w:spacing w:after="0" w:line="138" w:lineRule="exact"/>
              <w:rPr>
                <w:rFonts w:ascii="Arial" w:cs="Arial" w:eastAsia="Arial" w:hAnsi="Arial"/>
                <w:sz w:val="15"/>
                <w:szCs w:val="15"/>
                <w:color w:val="0000FF"/>
              </w:rPr>
            </w:pPr>
            <w:hyperlink r:id="rId242">
              <w:r>
                <w:rPr>
                  <w:rFonts w:ascii="Arial" w:cs="Arial" w:eastAsia="Arial" w:hAnsi="Arial"/>
                  <w:sz w:val="15"/>
                  <w:szCs w:val="15"/>
                  <w:color w:val="0000FF"/>
                </w:rPr>
                <w:t>Form 8-K filed on September 17, 2021)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10.1</w:t>
            </w:r>
          </w:p>
        </w:tc>
        <w:tc>
          <w:tcPr>
            <w:tcW w:w="200" w:type="dxa"/>
            <w:vAlign w:val="bottom"/>
          </w:tcPr>
          <w:p>
            <w:pPr>
              <w:spacing w:after="0"/>
              <w:rPr>
                <w:sz w:val="15"/>
                <w:szCs w:val="15"/>
                <w:color w:val="auto"/>
              </w:rPr>
            </w:pPr>
          </w:p>
        </w:tc>
        <w:tc>
          <w:tcPr>
            <w:tcW w:w="10680" w:type="dxa"/>
            <w:vAlign w:val="bottom"/>
            <w:gridSpan w:val="34"/>
          </w:tcPr>
          <w:p>
            <w:pPr>
              <w:spacing w:after="0"/>
              <w:rPr>
                <w:rFonts w:ascii="Arial" w:cs="Arial" w:eastAsia="Arial" w:hAnsi="Arial"/>
                <w:sz w:val="15"/>
                <w:szCs w:val="15"/>
                <w:color w:val="0000FF"/>
                <w:w w:val="97"/>
              </w:rPr>
            </w:pPr>
            <w:hyperlink r:id="rId243">
              <w:r>
                <w:rPr>
                  <w:rFonts w:ascii="Arial" w:cs="Arial" w:eastAsia="Arial" w:hAnsi="Arial"/>
                  <w:sz w:val="15"/>
                  <w:szCs w:val="15"/>
                  <w:color w:val="0000FF"/>
                  <w:w w:val="97"/>
                </w:rPr>
                <w:t>Amended and Restated Fidelity National Financial, Inc. 2005 Omnibus Incentive Plan (incorporated by reference to Annex A to the Registrant’s Schedule 14A filed on</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3"/>
          </w:tcPr>
          <w:p>
            <w:pPr>
              <w:spacing w:after="0" w:line="127" w:lineRule="exact"/>
              <w:rPr>
                <w:rFonts w:ascii="Arial" w:cs="Arial" w:eastAsia="Arial" w:hAnsi="Arial"/>
                <w:sz w:val="14"/>
                <w:szCs w:val="14"/>
                <w:color w:val="0000FF"/>
                <w:w w:val="99"/>
              </w:rPr>
            </w:pPr>
            <w:hyperlink r:id="rId243">
              <w:r>
                <w:rPr>
                  <w:rFonts w:ascii="Arial" w:cs="Arial" w:eastAsia="Arial" w:hAnsi="Arial"/>
                  <w:sz w:val="14"/>
                  <w:szCs w:val="14"/>
                  <w:color w:val="0000FF"/>
                  <w:w w:val="99"/>
                </w:rPr>
                <w:t>April 29, 2016) (1)</w:t>
              </w:r>
            </w:hyperlink>
          </w:p>
        </w:tc>
        <w:tc>
          <w:tcPr>
            <w:tcW w:w="932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10.2</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3"/>
              </w:rPr>
            </w:pPr>
            <w:hyperlink r:id="rId244">
              <w:r>
                <w:rPr>
                  <w:rFonts w:ascii="Arial" w:cs="Arial" w:eastAsia="Arial" w:hAnsi="Arial"/>
                  <w:sz w:val="15"/>
                  <w:szCs w:val="15"/>
                  <w:color w:val="0000FF"/>
                  <w:w w:val="93"/>
                </w:rPr>
                <w:t>Amended and Restated Fidelity National Financial, Inc. 2013 Employee Stock Purchase Plan (incorporated by reference to Exhibit 10.3 to the Registrant's Annual Report on</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20" w:type="dxa"/>
            <w:vAlign w:val="bottom"/>
            <w:tcBorders>
              <w:top w:val="single" w:sz="8" w:color="0000FF"/>
            </w:tcBorders>
            <w:gridSpan w:val="26"/>
          </w:tcPr>
          <w:p>
            <w:pPr>
              <w:spacing w:after="0" w:line="127" w:lineRule="exact"/>
              <w:rPr>
                <w:rFonts w:ascii="Arial" w:cs="Arial" w:eastAsia="Arial" w:hAnsi="Arial"/>
                <w:sz w:val="14"/>
                <w:szCs w:val="14"/>
                <w:color w:val="0000FF"/>
              </w:rPr>
            </w:pPr>
            <w:hyperlink r:id="rId244">
              <w:r>
                <w:rPr>
                  <w:rFonts w:ascii="Arial" w:cs="Arial" w:eastAsia="Arial" w:hAnsi="Arial"/>
                  <w:sz w:val="14"/>
                  <w:szCs w:val="14"/>
                  <w:color w:val="0000FF"/>
                </w:rPr>
                <w:t>Form 10-K for the year ended December 31, 2018) (1)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10.3</w:t>
            </w:r>
          </w:p>
        </w:tc>
        <w:tc>
          <w:tcPr>
            <w:tcW w:w="200" w:type="dxa"/>
            <w:vAlign w:val="bottom"/>
          </w:tcPr>
          <w:p>
            <w:pPr>
              <w:spacing w:after="0"/>
              <w:rPr>
                <w:sz w:val="14"/>
                <w:szCs w:val="14"/>
                <w:color w:val="auto"/>
              </w:rPr>
            </w:pPr>
          </w:p>
        </w:tc>
        <w:tc>
          <w:tcPr>
            <w:tcW w:w="9340" w:type="dxa"/>
            <w:vAlign w:val="bottom"/>
            <w:tcBorders>
              <w:bottom w:val="single" w:sz="8" w:color="0000FF"/>
            </w:tcBorders>
            <w:gridSpan w:val="17"/>
          </w:tcPr>
          <w:p>
            <w:pPr>
              <w:spacing w:after="0"/>
              <w:rPr>
                <w:rFonts w:ascii="Arial" w:cs="Arial" w:eastAsia="Arial" w:hAnsi="Arial"/>
                <w:sz w:val="15"/>
                <w:szCs w:val="15"/>
                <w:color w:val="0000FF"/>
                <w:w w:val="92"/>
              </w:rPr>
            </w:pPr>
            <w:hyperlink r:id="rId245">
              <w:r>
                <w:rPr>
                  <w:rFonts w:ascii="Arial" w:cs="Arial" w:eastAsia="Arial" w:hAnsi="Arial"/>
                  <w:sz w:val="15"/>
                  <w:szCs w:val="15"/>
                  <w:color w:val="0000FF"/>
                  <w:w w:val="92"/>
                </w:rPr>
                <w:t>Fidelity National Financial, Inc. Annual Incentive Plan (incorporated by reference to Annex B to the Registrant's Schedule 14A filed on April 29, 2016) (1)</w:t>
              </w:r>
            </w:hyperlink>
          </w:p>
        </w:tc>
        <w:tc>
          <w:tcPr>
            <w:tcW w:w="134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10.4</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8"/>
              </w:rPr>
            </w:pPr>
            <w:hyperlink r:id="rId246">
              <w:r>
                <w:rPr>
                  <w:rFonts w:ascii="Arial" w:cs="Arial" w:eastAsia="Arial" w:hAnsi="Arial"/>
                  <w:sz w:val="15"/>
                  <w:szCs w:val="15"/>
                  <w:color w:val="0000FF"/>
                  <w:w w:val="98"/>
                </w:rPr>
                <w:t>Fidelity National Financial, Inc. Deferred Compensation Plan, as amended and restated, effective January 1, 2009 (incorporated by reference to Exhibit 10.18 to the</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140" w:type="dxa"/>
            <w:vAlign w:val="bottom"/>
            <w:tcBorders>
              <w:top w:val="single" w:sz="8" w:color="0000FF"/>
              <w:bottom w:val="single" w:sz="8" w:color="0000FF"/>
            </w:tcBorders>
            <w:gridSpan w:val="10"/>
          </w:tcPr>
          <w:p>
            <w:pPr>
              <w:spacing w:after="0" w:line="127" w:lineRule="exact"/>
              <w:rPr>
                <w:rFonts w:ascii="Arial" w:cs="Arial" w:eastAsia="Arial" w:hAnsi="Arial"/>
                <w:sz w:val="14"/>
                <w:szCs w:val="14"/>
                <w:color w:val="0000FF"/>
                <w:w w:val="97"/>
              </w:rPr>
            </w:pPr>
            <w:hyperlink r:id="rId246">
              <w:r>
                <w:rPr>
                  <w:rFonts w:ascii="Arial" w:cs="Arial" w:eastAsia="Arial" w:hAnsi="Arial"/>
                  <w:sz w:val="14"/>
                  <w:szCs w:val="14"/>
                  <w:color w:val="0000FF"/>
                  <w:w w:val="97"/>
                </w:rPr>
                <w:t>Registrant’s Annual Report on Form 10-K for the year ended December 31, 2008) (1)</w:t>
              </w:r>
            </w:hyperlink>
          </w:p>
        </w:tc>
        <w:tc>
          <w:tcPr>
            <w:tcW w:w="546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10.5</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6"/>
              </w:rPr>
            </w:pPr>
            <w:hyperlink r:id="rId247">
              <w:r>
                <w:rPr>
                  <w:rFonts w:ascii="Arial" w:cs="Arial" w:eastAsia="Arial" w:hAnsi="Arial"/>
                  <w:sz w:val="15"/>
                  <w:szCs w:val="15"/>
                  <w:color w:val="0000FF"/>
                  <w:w w:val="96"/>
                </w:rPr>
                <w:t>Form of Notice of FNF Group Stock Option Award and FNF Group Stock Option Award Agreement under Amended and Restated Fidelity National Financial, Inc. 2005</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00" w:type="dxa"/>
            <w:vAlign w:val="bottom"/>
            <w:tcBorders>
              <w:top w:val="single" w:sz="8" w:color="0000FF"/>
            </w:tcBorders>
            <w:gridSpan w:val="25"/>
          </w:tcPr>
          <w:p>
            <w:pPr>
              <w:spacing w:after="0" w:line="127" w:lineRule="exact"/>
              <w:rPr>
                <w:rFonts w:ascii="Arial" w:cs="Arial" w:eastAsia="Arial" w:hAnsi="Arial"/>
                <w:sz w:val="14"/>
                <w:szCs w:val="14"/>
                <w:color w:val="0000FF"/>
                <w:w w:val="98"/>
              </w:rPr>
            </w:pPr>
            <w:hyperlink r:id="rId247">
              <w:r>
                <w:rPr>
                  <w:rFonts w:ascii="Arial" w:cs="Arial" w:eastAsia="Arial" w:hAnsi="Arial"/>
                  <w:sz w:val="14"/>
                  <w:szCs w:val="14"/>
                  <w:color w:val="0000FF"/>
                  <w:w w:val="98"/>
                </w:rPr>
                <w:t>Omnibus Incentive Plan for October 2015 Awards (incorporated by reference to Exhibit 10.12 to Registrant's Annual Report on Form 10-K for the year ended December 31,</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0000FF"/>
              <w:bottom w:val="single" w:sz="8" w:color="0000FF"/>
            </w:tcBorders>
            <w:gridSpan w:val="2"/>
          </w:tcPr>
          <w:p>
            <w:pPr>
              <w:spacing w:after="0" w:line="127" w:lineRule="exact"/>
              <w:rPr>
                <w:rFonts w:ascii="Arial" w:cs="Arial" w:eastAsia="Arial" w:hAnsi="Arial"/>
                <w:sz w:val="14"/>
                <w:szCs w:val="14"/>
                <w:color w:val="0000FF"/>
                <w:w w:val="98"/>
              </w:rPr>
            </w:pPr>
            <w:hyperlink r:id="rId247">
              <w:r>
                <w:rPr>
                  <w:rFonts w:ascii="Arial" w:cs="Arial" w:eastAsia="Arial" w:hAnsi="Arial"/>
                  <w:sz w:val="14"/>
                  <w:szCs w:val="14"/>
                  <w:color w:val="0000FF"/>
                  <w:w w:val="98"/>
                </w:rPr>
                <w:t>2015)</w:t>
              </w:r>
              <w:r>
                <w:rPr>
                  <w:rFonts w:ascii="Arial" w:cs="Arial" w:eastAsia="Arial" w:hAnsi="Arial"/>
                  <w:sz w:val="14"/>
                  <w:szCs w:val="14"/>
                  <w:u w:val="single" w:color="auto"/>
                  <w:color w:val="0000FF"/>
                  <w:w w:val="98"/>
                </w:rPr>
                <w:t>(1)</w:t>
              </w:r>
            </w:hyperlink>
          </w:p>
        </w:tc>
        <w:tc>
          <w:tcPr>
            <w:tcW w:w="6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120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10.6</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3"/>
              </w:rPr>
            </w:pPr>
            <w:hyperlink r:id="rId248">
              <w:r>
                <w:rPr>
                  <w:rFonts w:ascii="Arial" w:cs="Arial" w:eastAsia="Arial" w:hAnsi="Arial"/>
                  <w:sz w:val="15"/>
                  <w:szCs w:val="15"/>
                  <w:color w:val="0000FF"/>
                  <w:w w:val="93"/>
                </w:rPr>
                <w:t>Amended and Restated Employment Agreement between the Registrant and Anthony J. Park, effective as of October 10, 2008 (incorporated by reference to Exhibit 10.11 to</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140" w:type="dxa"/>
            <w:vAlign w:val="bottom"/>
            <w:tcBorders>
              <w:top w:val="single" w:sz="8" w:color="0000FF"/>
              <w:bottom w:val="single" w:sz="8" w:color="0000FF"/>
            </w:tcBorders>
            <w:gridSpan w:val="10"/>
          </w:tcPr>
          <w:p>
            <w:pPr>
              <w:spacing w:after="0" w:line="127" w:lineRule="exact"/>
              <w:rPr>
                <w:rFonts w:ascii="Arial" w:cs="Arial" w:eastAsia="Arial" w:hAnsi="Arial"/>
                <w:sz w:val="14"/>
                <w:szCs w:val="14"/>
                <w:color w:val="0000FF"/>
                <w:w w:val="97"/>
              </w:rPr>
            </w:pPr>
            <w:hyperlink r:id="rId248">
              <w:r>
                <w:rPr>
                  <w:rFonts w:ascii="Arial" w:cs="Arial" w:eastAsia="Arial" w:hAnsi="Arial"/>
                  <w:sz w:val="14"/>
                  <w:szCs w:val="14"/>
                  <w:color w:val="0000FF"/>
                  <w:w w:val="97"/>
                </w:rPr>
                <w:t>Registrant’s Annual Report on Form 10-K for the year ended December 31, 2008) (1)</w:t>
              </w:r>
            </w:hyperlink>
          </w:p>
        </w:tc>
        <w:tc>
          <w:tcPr>
            <w:tcW w:w="540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10.7</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5"/>
              </w:rPr>
            </w:pPr>
            <w:hyperlink r:id="rId249">
              <w:r>
                <w:rPr>
                  <w:rFonts w:ascii="Arial" w:cs="Arial" w:eastAsia="Arial" w:hAnsi="Arial"/>
                  <w:sz w:val="15"/>
                  <w:szCs w:val="15"/>
                  <w:color w:val="0000FF"/>
                  <w:w w:val="95"/>
                </w:rPr>
                <w:t>Amendment effective February 4, 2010 to Amended and Restated Employment Agreement between the Registrant and Anthony J. Park, effective as of October 10, 2008</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140" w:type="dxa"/>
            <w:vAlign w:val="bottom"/>
            <w:tcBorders>
              <w:top w:val="single" w:sz="8" w:color="0000FF"/>
              <w:bottom w:val="single" w:sz="8" w:color="0000FF"/>
            </w:tcBorders>
            <w:gridSpan w:val="16"/>
          </w:tcPr>
          <w:p>
            <w:pPr>
              <w:spacing w:after="0" w:line="127" w:lineRule="exact"/>
              <w:rPr>
                <w:rFonts w:ascii="Arial" w:cs="Arial" w:eastAsia="Arial" w:hAnsi="Arial"/>
                <w:sz w:val="14"/>
                <w:szCs w:val="14"/>
                <w:color w:val="0000FF"/>
                <w:w w:val="97"/>
              </w:rPr>
            </w:pPr>
            <w:hyperlink r:id="rId249">
              <w:r>
                <w:rPr>
                  <w:rFonts w:ascii="Arial" w:cs="Arial" w:eastAsia="Arial" w:hAnsi="Arial"/>
                  <w:sz w:val="14"/>
                  <w:szCs w:val="14"/>
                  <w:color w:val="0000FF"/>
                  <w:w w:val="97"/>
                </w:rPr>
                <w:t>(incorporated by reference to Exhibit 10.13 to the Registrant's Annual Report on Form 10-K for the year ended December 31, 2009) (1)</w:t>
              </w:r>
            </w:hyperlink>
          </w:p>
        </w:tc>
        <w:tc>
          <w:tcPr>
            <w:tcW w:w="2340" w:type="dxa"/>
            <w:vAlign w:val="bottom"/>
            <w:tcBorders>
              <w:top w:val="single" w:sz="8" w:color="0000FF"/>
            </w:tcBorders>
            <w:gridSpan w:val="8"/>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10.8</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4"/>
              </w:rPr>
            </w:pPr>
            <w:hyperlink r:id="rId250">
              <w:r>
                <w:rPr>
                  <w:rFonts w:ascii="Arial" w:cs="Arial" w:eastAsia="Arial" w:hAnsi="Arial"/>
                  <w:sz w:val="15"/>
                  <w:szCs w:val="15"/>
                  <w:color w:val="0000FF"/>
                  <w:w w:val="94"/>
                </w:rPr>
                <w:t>Director Services Agreement between Fidelity National Financial, Inc. and William P. Foley, II (incorporated by reference to Exhibit 10.27 to Registrant's Annual Report on</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60" w:type="dxa"/>
            <w:vAlign w:val="bottom"/>
            <w:tcBorders>
              <w:top w:val="single" w:sz="8" w:color="0000FF"/>
            </w:tcBorders>
            <w:gridSpan w:val="28"/>
          </w:tcPr>
          <w:p>
            <w:pPr>
              <w:spacing w:after="0" w:line="127" w:lineRule="exact"/>
              <w:rPr>
                <w:rFonts w:ascii="Arial" w:cs="Arial" w:eastAsia="Arial" w:hAnsi="Arial"/>
                <w:sz w:val="14"/>
                <w:szCs w:val="14"/>
                <w:color w:val="0000FF"/>
              </w:rPr>
            </w:pPr>
            <w:hyperlink r:id="rId250">
              <w:r>
                <w:rPr>
                  <w:rFonts w:ascii="Arial" w:cs="Arial" w:eastAsia="Arial" w:hAnsi="Arial"/>
                  <w:sz w:val="14"/>
                  <w:szCs w:val="14"/>
                  <w:color w:val="0000FF"/>
                </w:rPr>
                <w:t>Form 10-K for the year ended December 31, 2015) (1)</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88"/>
              </w:rPr>
              <w:t>10.9</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3"/>
              </w:rPr>
            </w:pPr>
            <w:hyperlink r:id="rId251">
              <w:r>
                <w:rPr>
                  <w:rFonts w:ascii="Arial" w:cs="Arial" w:eastAsia="Arial" w:hAnsi="Arial"/>
                  <w:sz w:val="15"/>
                  <w:szCs w:val="15"/>
                  <w:color w:val="0000FF"/>
                  <w:w w:val="93"/>
                </w:rPr>
                <w:t xml:space="preserve">Amended and Restated Employment Agreement between the Registrant and Raymond R. Quirk, effective as of February 1, 2022 (incorporated by reference to Exhibit </w:t>
              </w:r>
            </w:hyperlink>
            <w:r>
              <w:rPr>
                <w:rFonts w:ascii="Arial" w:cs="Arial" w:eastAsia="Arial" w:hAnsi="Arial"/>
                <w:sz w:val="15"/>
                <w:szCs w:val="15"/>
                <w:color w:val="0000FF"/>
                <w:w w:val="93"/>
              </w:rPr>
              <w:t>10.2</w:t>
            </w: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80" w:type="dxa"/>
            <w:vAlign w:val="bottom"/>
            <w:tcBorders>
              <w:top w:val="single" w:sz="8" w:color="0000FF"/>
            </w:tcBorders>
            <w:gridSpan w:val="29"/>
          </w:tcPr>
          <w:p>
            <w:pPr>
              <w:spacing w:after="0" w:line="127" w:lineRule="exact"/>
              <w:rPr>
                <w:rFonts w:ascii="Arial" w:cs="Arial" w:eastAsia="Arial" w:hAnsi="Arial"/>
                <w:sz w:val="14"/>
                <w:szCs w:val="14"/>
                <w:color w:val="0000FF"/>
              </w:rPr>
            </w:pPr>
            <w:hyperlink r:id="rId251">
              <w:r>
                <w:rPr>
                  <w:rFonts w:ascii="Arial" w:cs="Arial" w:eastAsia="Arial" w:hAnsi="Arial"/>
                  <w:sz w:val="14"/>
                  <w:szCs w:val="14"/>
                  <w:color w:val="0000FF"/>
                </w:rPr>
                <w:t>to Registrant’s Current Report on Form 8-K filed on February 17, 2022)</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90"/>
              </w:rPr>
              <w:t>10.10</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2"/>
              </w:rPr>
            </w:pPr>
            <w:hyperlink r:id="rId252">
              <w:r>
                <w:rPr>
                  <w:rFonts w:ascii="Arial" w:cs="Arial" w:eastAsia="Arial" w:hAnsi="Arial"/>
                  <w:sz w:val="15"/>
                  <w:szCs w:val="15"/>
                  <w:color w:val="0000FF"/>
                  <w:w w:val="92"/>
                </w:rPr>
                <w:t>Amended and Restated Employment Agreement between the Registrant and Michael L. Gravelle, effective as of January 30, 2013 (incorporated by reference to Exhibit 10.22</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500" w:type="dxa"/>
            <w:vAlign w:val="bottom"/>
            <w:tcBorders>
              <w:top w:val="single" w:sz="8" w:color="0000FF"/>
              <w:bottom w:val="single" w:sz="8" w:color="0000FF"/>
            </w:tcBorders>
            <w:gridSpan w:val="11"/>
          </w:tcPr>
          <w:p>
            <w:pPr>
              <w:spacing w:after="0" w:line="127" w:lineRule="exact"/>
              <w:rPr>
                <w:rFonts w:ascii="Arial" w:cs="Arial" w:eastAsia="Arial" w:hAnsi="Arial"/>
                <w:sz w:val="14"/>
                <w:szCs w:val="14"/>
                <w:color w:val="0000FF"/>
                <w:w w:val="96"/>
              </w:rPr>
            </w:pPr>
            <w:hyperlink r:id="rId252">
              <w:r>
                <w:rPr>
                  <w:rFonts w:ascii="Arial" w:cs="Arial" w:eastAsia="Arial" w:hAnsi="Arial"/>
                  <w:sz w:val="14"/>
                  <w:szCs w:val="14"/>
                  <w:color w:val="0000FF"/>
                  <w:w w:val="96"/>
                </w:rPr>
                <w:t>to the Registrant's Annual Report on Form 10-K for the year ended December 31, 2012) (1)</w:t>
              </w:r>
            </w:hyperlink>
          </w:p>
        </w:tc>
        <w:tc>
          <w:tcPr>
            <w:tcW w:w="516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90"/>
              </w:rPr>
              <w:t>10.11</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7"/>
              </w:rPr>
            </w:pPr>
            <w:hyperlink r:id="rId253">
              <w:r>
                <w:rPr>
                  <w:rFonts w:ascii="Arial" w:cs="Arial" w:eastAsia="Arial" w:hAnsi="Arial"/>
                  <w:sz w:val="15"/>
                  <w:szCs w:val="15"/>
                  <w:color w:val="0000FF"/>
                  <w:w w:val="97"/>
                </w:rPr>
                <w:t>Amendment No. 2 to Amended and Restated Employment Agreement between the Registrant and Michael L. Gravelle, effective as of March 1, 2015 (incorporated by</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120" w:type="dxa"/>
            <w:vAlign w:val="bottom"/>
            <w:tcBorders>
              <w:top w:val="single" w:sz="8" w:color="0000FF"/>
              <w:bottom w:val="single" w:sz="8" w:color="0000FF"/>
            </w:tcBorders>
            <w:gridSpan w:val="14"/>
          </w:tcPr>
          <w:p>
            <w:pPr>
              <w:spacing w:after="0" w:line="127" w:lineRule="exact"/>
              <w:rPr>
                <w:rFonts w:ascii="Arial" w:cs="Arial" w:eastAsia="Arial" w:hAnsi="Arial"/>
                <w:sz w:val="14"/>
                <w:szCs w:val="14"/>
                <w:color w:val="0000FF"/>
                <w:w w:val="97"/>
              </w:rPr>
            </w:pPr>
            <w:hyperlink r:id="rId253">
              <w:r>
                <w:rPr>
                  <w:rFonts w:ascii="Arial" w:cs="Arial" w:eastAsia="Arial" w:hAnsi="Arial"/>
                  <w:sz w:val="14"/>
                  <w:szCs w:val="14"/>
                  <w:color w:val="0000FF"/>
                  <w:w w:val="97"/>
                </w:rPr>
                <w:t>reference to Exhibit 10.2 to the Registrant’s Quarterly Report on Form 10-Q for the quarter ended March 31, 2015) (1)</w:t>
              </w:r>
            </w:hyperlink>
          </w:p>
        </w:tc>
        <w:tc>
          <w:tcPr>
            <w:tcW w:w="3340" w:type="dxa"/>
            <w:vAlign w:val="bottom"/>
            <w:tcBorders>
              <w:top w:val="single" w:sz="8" w:color="0000FF"/>
            </w:tcBorders>
            <w:gridSpan w:val="9"/>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90"/>
              </w:rPr>
              <w:t>10.12</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3"/>
              </w:rPr>
            </w:pPr>
            <w:hyperlink r:id="rId254">
              <w:r>
                <w:rPr>
                  <w:rFonts w:ascii="Arial" w:cs="Arial" w:eastAsia="Arial" w:hAnsi="Arial"/>
                  <w:sz w:val="15"/>
                  <w:szCs w:val="15"/>
                  <w:color w:val="0000FF"/>
                  <w:w w:val="93"/>
                </w:rPr>
                <w:t>Amended and Restated Employment Agreement between the Registrant and Peter T. Sadowski, effective as of February 4, 2010 (incorporated by reference to Exhibit 10.26</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500" w:type="dxa"/>
            <w:vAlign w:val="bottom"/>
            <w:tcBorders>
              <w:top w:val="single" w:sz="8" w:color="0000FF"/>
              <w:bottom w:val="single" w:sz="8" w:color="0000FF"/>
            </w:tcBorders>
            <w:gridSpan w:val="11"/>
          </w:tcPr>
          <w:p>
            <w:pPr>
              <w:spacing w:after="0" w:line="127" w:lineRule="exact"/>
              <w:rPr>
                <w:rFonts w:ascii="Arial" w:cs="Arial" w:eastAsia="Arial" w:hAnsi="Arial"/>
                <w:sz w:val="14"/>
                <w:szCs w:val="14"/>
                <w:color w:val="0000FF"/>
                <w:w w:val="96"/>
              </w:rPr>
            </w:pPr>
            <w:hyperlink r:id="rId254">
              <w:r>
                <w:rPr>
                  <w:rFonts w:ascii="Arial" w:cs="Arial" w:eastAsia="Arial" w:hAnsi="Arial"/>
                  <w:sz w:val="14"/>
                  <w:szCs w:val="14"/>
                  <w:color w:val="0000FF"/>
                  <w:w w:val="96"/>
                </w:rPr>
                <w:t>to the Registrant's Annual Report on Form 10-K for the year ended December 31, 2012) (1)</w:t>
              </w:r>
            </w:hyperlink>
          </w:p>
        </w:tc>
        <w:tc>
          <w:tcPr>
            <w:tcW w:w="5120" w:type="dxa"/>
            <w:vAlign w:val="bottom"/>
            <w:tcBorders>
              <w:top w:val="single" w:sz="8" w:color="0000FF"/>
            </w:tcBorders>
            <w:gridSpan w:val="20"/>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90"/>
              </w:rPr>
              <w:t>10.13</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4"/>
              </w:rPr>
            </w:pPr>
            <w:hyperlink r:id="rId255">
              <w:r>
                <w:rPr>
                  <w:rFonts w:ascii="Arial" w:cs="Arial" w:eastAsia="Arial" w:hAnsi="Arial"/>
                  <w:sz w:val="15"/>
                  <w:szCs w:val="15"/>
                  <w:color w:val="0000FF"/>
                  <w:w w:val="94"/>
                </w:rPr>
                <w:t>ServiceLink Holdings, LLC 2013 Management Incentive Plan (incorporated by reference to Exhibit 10.2 to the Registrant’s Current Report on Form 8-K filed on January 15,</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top w:val="single" w:sz="8" w:color="0000FF"/>
              <w:bottom w:val="single" w:sz="8" w:color="0000FF"/>
            </w:tcBorders>
          </w:tcPr>
          <w:p>
            <w:pPr>
              <w:spacing w:after="0" w:line="127" w:lineRule="exact"/>
              <w:rPr>
                <w:rFonts w:ascii="Arial" w:cs="Arial" w:eastAsia="Arial" w:hAnsi="Arial"/>
                <w:sz w:val="14"/>
                <w:szCs w:val="14"/>
                <w:color w:val="0000FF"/>
                <w:w w:val="94"/>
              </w:rPr>
            </w:pPr>
            <w:hyperlink r:id="rId255">
              <w:r>
                <w:rPr>
                  <w:rFonts w:ascii="Arial" w:cs="Arial" w:eastAsia="Arial" w:hAnsi="Arial"/>
                  <w:sz w:val="14"/>
                  <w:szCs w:val="14"/>
                  <w:color w:val="0000FF"/>
                  <w:w w:val="94"/>
                </w:rPr>
                <w:t>2014)</w:t>
              </w:r>
              <w:r>
                <w:rPr>
                  <w:rFonts w:ascii="Arial" w:cs="Arial" w:eastAsia="Arial" w:hAnsi="Arial"/>
                  <w:sz w:val="14"/>
                  <w:szCs w:val="14"/>
                  <w:u w:val="single" w:color="auto"/>
                  <w:color w:val="0000FF"/>
                  <w:w w:val="94"/>
                </w:rPr>
                <w:t>(1)</w:t>
              </w:r>
            </w:hyperlink>
          </w:p>
        </w:tc>
        <w:tc>
          <w:tcPr>
            <w:tcW w:w="2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120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0" w:type="dxa"/>
            <w:vAlign w:val="bottom"/>
            <w:gridSpan w:val="2"/>
          </w:tcPr>
          <w:p>
            <w:pPr>
              <w:jc w:val="center"/>
              <w:ind w:left="86"/>
              <w:spacing w:after="0"/>
              <w:rPr>
                <w:sz w:val="20"/>
                <w:szCs w:val="20"/>
                <w:color w:val="auto"/>
              </w:rPr>
            </w:pPr>
            <w:r>
              <w:rPr>
                <w:rFonts w:ascii="Arial" w:cs="Arial" w:eastAsia="Arial" w:hAnsi="Arial"/>
                <w:sz w:val="15"/>
                <w:szCs w:val="15"/>
                <w:color w:val="auto"/>
                <w:w w:val="90"/>
              </w:rPr>
              <w:t>10.14</w:t>
            </w:r>
          </w:p>
        </w:tc>
        <w:tc>
          <w:tcPr>
            <w:tcW w:w="200" w:type="dxa"/>
            <w:vAlign w:val="bottom"/>
          </w:tcPr>
          <w:p>
            <w:pPr>
              <w:spacing w:after="0"/>
              <w:rPr>
                <w:sz w:val="14"/>
                <w:szCs w:val="14"/>
                <w:color w:val="auto"/>
              </w:rPr>
            </w:pPr>
          </w:p>
        </w:tc>
        <w:tc>
          <w:tcPr>
            <w:tcW w:w="10680" w:type="dxa"/>
            <w:vAlign w:val="bottom"/>
            <w:gridSpan w:val="34"/>
          </w:tcPr>
          <w:p>
            <w:pPr>
              <w:spacing w:after="0"/>
              <w:rPr>
                <w:rFonts w:ascii="Arial" w:cs="Arial" w:eastAsia="Arial" w:hAnsi="Arial"/>
                <w:sz w:val="15"/>
                <w:szCs w:val="15"/>
                <w:color w:val="0000FF"/>
                <w:w w:val="95"/>
              </w:rPr>
            </w:pPr>
            <w:hyperlink r:id="rId256">
              <w:r>
                <w:rPr>
                  <w:rFonts w:ascii="Arial" w:cs="Arial" w:eastAsia="Arial" w:hAnsi="Arial"/>
                  <w:sz w:val="15"/>
                  <w:szCs w:val="15"/>
                  <w:color w:val="0000FF"/>
                  <w:w w:val="95"/>
                </w:rPr>
                <w:t>Form of ServiceLink Holdings, LLC Unit Grant Agreement (incorporated by reference to Exhibit 10.4 to the Registrant's Current Report on Form 8-K filed on January 15,</w:t>
              </w:r>
            </w:hyperlink>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top w:val="single" w:sz="8" w:color="0000FF"/>
              <w:bottom w:val="single" w:sz="8" w:color="0000FF"/>
            </w:tcBorders>
          </w:tcPr>
          <w:p>
            <w:pPr>
              <w:spacing w:after="0" w:line="127" w:lineRule="exact"/>
              <w:rPr>
                <w:rFonts w:ascii="Arial" w:cs="Arial" w:eastAsia="Arial" w:hAnsi="Arial"/>
                <w:sz w:val="14"/>
                <w:szCs w:val="14"/>
                <w:color w:val="0000FF"/>
                <w:w w:val="94"/>
              </w:rPr>
            </w:pPr>
            <w:hyperlink r:id="rId256">
              <w:r>
                <w:rPr>
                  <w:rFonts w:ascii="Arial" w:cs="Arial" w:eastAsia="Arial" w:hAnsi="Arial"/>
                  <w:sz w:val="14"/>
                  <w:szCs w:val="14"/>
                  <w:color w:val="0000FF"/>
                  <w:w w:val="94"/>
                </w:rPr>
                <w:t>2014)</w:t>
              </w:r>
              <w:r>
                <w:rPr>
                  <w:rFonts w:ascii="Arial" w:cs="Arial" w:eastAsia="Arial" w:hAnsi="Arial"/>
                  <w:sz w:val="14"/>
                  <w:szCs w:val="14"/>
                  <w:u w:val="single" w:color="auto"/>
                  <w:color w:val="0000FF"/>
                  <w:w w:val="94"/>
                </w:rPr>
                <w:t>(1)</w:t>
              </w:r>
            </w:hyperlink>
          </w:p>
        </w:tc>
        <w:tc>
          <w:tcPr>
            <w:tcW w:w="2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120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5"/>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40" w:type="dxa"/>
            <w:vAlign w:val="bottom"/>
            <w:gridSpan w:val="10"/>
          </w:tcPr>
          <w:p>
            <w:pPr>
              <w:ind w:left="4740"/>
              <w:spacing w:after="0"/>
              <w:rPr>
                <w:sz w:val="20"/>
                <w:szCs w:val="20"/>
                <w:color w:val="auto"/>
              </w:rPr>
            </w:pPr>
            <w:r>
              <w:rPr>
                <w:rFonts w:ascii="Arial" w:cs="Arial" w:eastAsia="Arial" w:hAnsi="Arial"/>
                <w:sz w:val="15"/>
                <w:szCs w:val="15"/>
                <w:color w:val="auto"/>
              </w:rPr>
              <w:t>172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-26670</wp:posOffset>
            </wp:positionV>
            <wp:extent cx="32385"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-26670</wp:posOffset>
            </wp:positionV>
            <wp:extent cx="32385" cy="40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74" w:name="page175"/>
    <w:bookmarkEnd w:id="17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6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Exhibit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760" w:type="dxa"/>
            <w:vAlign w:val="bottom"/>
            <w:gridSpan w:val="20"/>
            <w:vMerge w:val="restart"/>
          </w:tcPr>
          <w:p>
            <w:pPr>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24"/>
        </w:trPr>
        <w:tc>
          <w:tcPr>
            <w:tcW w:w="620" w:type="dxa"/>
            <w:vAlign w:val="bottom"/>
            <w:gridSpan w:val="2"/>
          </w:tcPr>
          <w:p>
            <w:pPr>
              <w:jc w:val="center"/>
              <w:ind w:right="200"/>
              <w:spacing w:after="0" w:line="124" w:lineRule="exact"/>
              <w:rPr>
                <w:sz w:val="20"/>
                <w:szCs w:val="20"/>
                <w:color w:val="auto"/>
              </w:rPr>
            </w:pPr>
            <w:r>
              <w:rPr>
                <w:rFonts w:ascii="Arial" w:cs="Arial" w:eastAsia="Arial" w:hAnsi="Arial"/>
                <w:sz w:val="12"/>
                <w:szCs w:val="12"/>
                <w:b w:val="1"/>
                <w:bCs w:val="1"/>
                <w:color w:val="auto"/>
                <w:w w:val="92"/>
              </w:rPr>
              <w:t>Number</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760" w:type="dxa"/>
            <w:vAlign w:val="bottom"/>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10.15</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4"/>
              </w:rPr>
            </w:pPr>
            <w:hyperlink r:id="rId259">
              <w:r>
                <w:rPr>
                  <w:rFonts w:ascii="Arial" w:cs="Arial" w:eastAsia="Arial" w:hAnsi="Arial"/>
                  <w:sz w:val="15"/>
                  <w:szCs w:val="15"/>
                  <w:color w:val="0000FF"/>
                  <w:w w:val="94"/>
                </w:rPr>
                <w:t>Amendment effective May 3, 2016 to Director Services Agreement between the Registrant and William P. Foley II (incorporated by reference to Exhibit 10.1 to Registrant's</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360" w:type="dxa"/>
            <w:vAlign w:val="bottom"/>
            <w:tcBorders>
              <w:top w:val="single" w:sz="8" w:color="0000FF"/>
              <w:bottom w:val="single" w:sz="8" w:color="0000FF"/>
            </w:tcBorders>
            <w:gridSpan w:val="9"/>
          </w:tcPr>
          <w:p>
            <w:pPr>
              <w:spacing w:after="0" w:line="127" w:lineRule="exact"/>
              <w:rPr>
                <w:rFonts w:ascii="Arial" w:cs="Arial" w:eastAsia="Arial" w:hAnsi="Arial"/>
                <w:sz w:val="14"/>
                <w:szCs w:val="14"/>
                <w:color w:val="0000FF"/>
                <w:w w:val="96"/>
              </w:rPr>
            </w:pPr>
            <w:hyperlink r:id="rId259">
              <w:r>
                <w:rPr>
                  <w:rFonts w:ascii="Arial" w:cs="Arial" w:eastAsia="Arial" w:hAnsi="Arial"/>
                  <w:sz w:val="14"/>
                  <w:szCs w:val="14"/>
                  <w:color w:val="0000FF"/>
                  <w:w w:val="96"/>
                </w:rPr>
                <w:t>Quarterly Report on Form 10-Q for the quarter ended June 30, 2016) (1)</w:t>
              </w:r>
            </w:hyperlink>
          </w:p>
        </w:tc>
        <w:tc>
          <w:tcPr>
            <w:tcW w:w="624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10.16</w:t>
            </w:r>
          </w:p>
        </w:tc>
        <w:tc>
          <w:tcPr>
            <w:tcW w:w="200" w:type="dxa"/>
            <w:vAlign w:val="bottom"/>
          </w:tcPr>
          <w:p>
            <w:pPr>
              <w:spacing w:after="0"/>
              <w:rPr>
                <w:sz w:val="15"/>
                <w:szCs w:val="15"/>
                <w:color w:val="auto"/>
              </w:rPr>
            </w:pPr>
          </w:p>
        </w:tc>
        <w:tc>
          <w:tcPr>
            <w:tcW w:w="10680" w:type="dxa"/>
            <w:vAlign w:val="bottom"/>
            <w:gridSpan w:val="30"/>
          </w:tcPr>
          <w:p>
            <w:pPr>
              <w:spacing w:after="0"/>
              <w:rPr>
                <w:rFonts w:ascii="Arial" w:cs="Arial" w:eastAsia="Arial" w:hAnsi="Arial"/>
                <w:sz w:val="15"/>
                <w:szCs w:val="15"/>
                <w:color w:val="0000FF"/>
                <w:w w:val="93"/>
              </w:rPr>
            </w:pPr>
            <w:hyperlink r:id="rId260">
              <w:r>
                <w:rPr>
                  <w:rFonts w:ascii="Arial" w:cs="Arial" w:eastAsia="Arial" w:hAnsi="Arial"/>
                  <w:sz w:val="15"/>
                  <w:szCs w:val="15"/>
                  <w:color w:val="0000FF"/>
                  <w:w w:val="93"/>
                </w:rPr>
                <w:t>Letter agreement between Fidelity National Financial, Inc. and William P. Foley, II dated May 28, 2020 (incorporated by reference to Exhibit 99.1 to the Registrant’s Current</w:t>
              </w:r>
            </w:hyperlink>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0" w:type="dxa"/>
            <w:vAlign w:val="bottom"/>
            <w:tcBorders>
              <w:top w:val="single" w:sz="8" w:color="0000FF"/>
            </w:tcBorders>
            <w:gridSpan w:val="18"/>
          </w:tcPr>
          <w:p>
            <w:pPr>
              <w:spacing w:after="0" w:line="149" w:lineRule="exact"/>
              <w:rPr>
                <w:rFonts w:ascii="Arial" w:cs="Arial" w:eastAsia="Arial" w:hAnsi="Arial"/>
                <w:sz w:val="15"/>
                <w:szCs w:val="15"/>
                <w:color w:val="0000FF"/>
              </w:rPr>
            </w:pPr>
            <w:hyperlink r:id="rId260">
              <w:r>
                <w:rPr>
                  <w:rFonts w:ascii="Arial" w:cs="Arial" w:eastAsia="Arial" w:hAnsi="Arial"/>
                  <w:sz w:val="15"/>
                  <w:szCs w:val="15"/>
                  <w:color w:val="0000FF"/>
                </w:rPr>
                <w:t>Report on Form 8-K filed on May 29, 2020) (1)</w:t>
              </w:r>
            </w:hyperlink>
          </w:p>
        </w:tc>
        <w:tc>
          <w:tcPr>
            <w:tcW w:w="28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10.17</w:t>
            </w:r>
          </w:p>
        </w:tc>
        <w:tc>
          <w:tcPr>
            <w:tcW w:w="200" w:type="dxa"/>
            <w:vAlign w:val="bottom"/>
          </w:tcPr>
          <w:p>
            <w:pPr>
              <w:spacing w:after="0"/>
              <w:rPr>
                <w:sz w:val="15"/>
                <w:szCs w:val="15"/>
                <w:color w:val="auto"/>
              </w:rPr>
            </w:pPr>
          </w:p>
        </w:tc>
        <w:tc>
          <w:tcPr>
            <w:tcW w:w="10680" w:type="dxa"/>
            <w:vAlign w:val="bottom"/>
            <w:gridSpan w:val="30"/>
          </w:tcPr>
          <w:p>
            <w:pPr>
              <w:spacing w:after="0"/>
              <w:rPr>
                <w:rFonts w:ascii="Arial" w:cs="Arial" w:eastAsia="Arial" w:hAnsi="Arial"/>
                <w:sz w:val="15"/>
                <w:szCs w:val="15"/>
                <w:color w:val="0000FF"/>
                <w:w w:val="92"/>
              </w:rPr>
            </w:pPr>
            <w:hyperlink r:id="rId261">
              <w:r>
                <w:rPr>
                  <w:rFonts w:ascii="Arial" w:cs="Arial" w:eastAsia="Arial" w:hAnsi="Arial"/>
                  <w:sz w:val="15"/>
                  <w:szCs w:val="15"/>
                  <w:color w:val="0000FF"/>
                  <w:w w:val="92"/>
                </w:rPr>
                <w:t>Amendment effective May 3, 2016 to Amended and Restated Employment Agreement between the Registrant and Anthony J. Park (incorporated by reference to Exhibit 10.4</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60" w:type="dxa"/>
            <w:vAlign w:val="bottom"/>
            <w:tcBorders>
              <w:top w:val="single" w:sz="8" w:color="0000FF"/>
              <w:bottom w:val="single" w:sz="8" w:color="0000FF"/>
            </w:tcBorders>
            <w:gridSpan w:val="11"/>
          </w:tcPr>
          <w:p>
            <w:pPr>
              <w:spacing w:after="0" w:line="127" w:lineRule="exact"/>
              <w:rPr>
                <w:rFonts w:ascii="Arial" w:cs="Arial" w:eastAsia="Arial" w:hAnsi="Arial"/>
                <w:sz w:val="14"/>
                <w:szCs w:val="14"/>
                <w:color w:val="0000FF"/>
                <w:w w:val="96"/>
              </w:rPr>
            </w:pPr>
            <w:hyperlink r:id="rId261">
              <w:r>
                <w:rPr>
                  <w:rFonts w:ascii="Arial" w:cs="Arial" w:eastAsia="Arial" w:hAnsi="Arial"/>
                  <w:sz w:val="14"/>
                  <w:szCs w:val="14"/>
                  <w:color w:val="0000FF"/>
                  <w:w w:val="96"/>
                </w:rPr>
                <w:t>to the Registrant's Quarterly Report on Form 10-Q for the quarter ended June 30, 2016) (1)</w:t>
              </w:r>
            </w:hyperlink>
          </w:p>
        </w:tc>
        <w:tc>
          <w:tcPr>
            <w:tcW w:w="518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10.18</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3"/>
              </w:rPr>
            </w:pPr>
            <w:hyperlink r:id="rId262">
              <w:r>
                <w:rPr>
                  <w:rFonts w:ascii="Arial" w:cs="Arial" w:eastAsia="Arial" w:hAnsi="Arial"/>
                  <w:sz w:val="15"/>
                  <w:szCs w:val="15"/>
                  <w:color w:val="0000FF"/>
                  <w:w w:val="93"/>
                </w:rPr>
                <w:t>Amendment effective May 3, 2016 to Amended and Restated Employment Agreement between the Registrant and Michael L. Gravelle (incorporated by reference to Exhibit</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760" w:type="dxa"/>
            <w:vAlign w:val="bottom"/>
            <w:tcBorders>
              <w:top w:val="single" w:sz="8" w:color="0000FF"/>
              <w:bottom w:val="single" w:sz="8" w:color="0000FF"/>
            </w:tcBorders>
            <w:gridSpan w:val="13"/>
          </w:tcPr>
          <w:p>
            <w:pPr>
              <w:spacing w:after="0" w:line="127" w:lineRule="exact"/>
              <w:rPr>
                <w:rFonts w:ascii="Arial" w:cs="Arial" w:eastAsia="Arial" w:hAnsi="Arial"/>
                <w:sz w:val="14"/>
                <w:szCs w:val="14"/>
                <w:color w:val="0000FF"/>
                <w:w w:val="96"/>
              </w:rPr>
            </w:pPr>
            <w:hyperlink r:id="rId262">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5</w:t>
              </w:r>
              <w:r>
                <w:rPr>
                  <w:rFonts w:ascii="Arial" w:cs="Arial" w:eastAsia="Arial" w:hAnsi="Arial"/>
                  <w:sz w:val="14"/>
                  <w:szCs w:val="14"/>
                  <w:color w:val="0000FF"/>
                  <w:w w:val="96"/>
                </w:rPr>
                <w:t xml:space="preserve"> to the Registrant's Quarterly Report on Form 10-Q for the quarter ended June 30, 2016) (1)</w:t>
              </w:r>
            </w:hyperlink>
          </w:p>
        </w:tc>
        <w:tc>
          <w:tcPr>
            <w:tcW w:w="4820" w:type="dxa"/>
            <w:vAlign w:val="bottom"/>
            <w:tcBorders>
              <w:top w:val="single" w:sz="8" w:color="0000FF"/>
            </w:tcBorders>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10.19</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4"/>
              </w:rPr>
            </w:pPr>
            <w:hyperlink r:id="rId263">
              <w:r>
                <w:rPr>
                  <w:rFonts w:ascii="Arial" w:cs="Arial" w:eastAsia="Arial" w:hAnsi="Arial"/>
                  <w:sz w:val="15"/>
                  <w:szCs w:val="15"/>
                  <w:color w:val="0000FF"/>
                  <w:w w:val="94"/>
                </w:rPr>
                <w:t>Amendment effective May 3, 2016 to Amended and Restated Employment Agreement between the Registrant and Peter T. Sadowski (incorporated by reference to Exhibit</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760" w:type="dxa"/>
            <w:vAlign w:val="bottom"/>
            <w:tcBorders>
              <w:top w:val="single" w:sz="8" w:color="0000FF"/>
              <w:bottom w:val="single" w:sz="8" w:color="0000FF"/>
            </w:tcBorders>
            <w:gridSpan w:val="13"/>
          </w:tcPr>
          <w:p>
            <w:pPr>
              <w:spacing w:after="0" w:line="127" w:lineRule="exact"/>
              <w:rPr>
                <w:rFonts w:ascii="Arial" w:cs="Arial" w:eastAsia="Arial" w:hAnsi="Arial"/>
                <w:sz w:val="14"/>
                <w:szCs w:val="14"/>
                <w:color w:val="0000FF"/>
                <w:w w:val="96"/>
              </w:rPr>
            </w:pPr>
            <w:hyperlink r:id="rId263">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6</w:t>
              </w:r>
              <w:r>
                <w:rPr>
                  <w:rFonts w:ascii="Arial" w:cs="Arial" w:eastAsia="Arial" w:hAnsi="Arial"/>
                  <w:sz w:val="14"/>
                  <w:szCs w:val="14"/>
                  <w:color w:val="0000FF"/>
                  <w:w w:val="96"/>
                </w:rPr>
                <w:t xml:space="preserve"> to the Registrant's Quarterly Report on Form 10-Q for the quarter ended June 30, 2016) (1)</w:t>
              </w:r>
            </w:hyperlink>
          </w:p>
        </w:tc>
        <w:tc>
          <w:tcPr>
            <w:tcW w:w="478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10.20</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6"/>
              </w:rPr>
            </w:pPr>
            <w:hyperlink r:id="rId264">
              <w:r>
                <w:rPr>
                  <w:rFonts w:ascii="Arial" w:cs="Arial" w:eastAsia="Arial" w:hAnsi="Arial"/>
                  <w:sz w:val="15"/>
                  <w:szCs w:val="15"/>
                  <w:color w:val="0000FF"/>
                  <w:w w:val="96"/>
                </w:rPr>
                <w:t>Amended and Restated Employment Agreement between the Registrant and Michael Nolan effective February 1, 2022 (incorporated by reference to Exhibit 10.1 to the</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160" w:type="dxa"/>
            <w:vAlign w:val="bottom"/>
            <w:tcBorders>
              <w:top w:val="single" w:sz="8" w:color="0000FF"/>
              <w:bottom w:val="single" w:sz="8" w:color="0000FF"/>
            </w:tcBorders>
            <w:gridSpan w:val="7"/>
          </w:tcPr>
          <w:p>
            <w:pPr>
              <w:spacing w:after="0" w:line="127" w:lineRule="exact"/>
              <w:rPr>
                <w:rFonts w:ascii="Arial" w:cs="Arial" w:eastAsia="Arial" w:hAnsi="Arial"/>
                <w:sz w:val="14"/>
                <w:szCs w:val="14"/>
                <w:color w:val="0000FF"/>
                <w:w w:val="97"/>
              </w:rPr>
            </w:pPr>
            <w:hyperlink r:id="rId264">
              <w:r>
                <w:rPr>
                  <w:rFonts w:ascii="Arial" w:cs="Arial" w:eastAsia="Arial" w:hAnsi="Arial"/>
                  <w:sz w:val="14"/>
                  <w:szCs w:val="14"/>
                  <w:color w:val="0000FF"/>
                  <w:w w:val="97"/>
                </w:rPr>
                <w:t>Registrant's Current Report on Form 8-K filed on February 17, 2022)</w:t>
              </w:r>
            </w:hyperlink>
          </w:p>
        </w:tc>
        <w:tc>
          <w:tcPr>
            <w:tcW w:w="636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10.21</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2"/>
              </w:rPr>
            </w:pPr>
            <w:hyperlink r:id="rId265">
              <w:r>
                <w:rPr>
                  <w:rFonts w:ascii="Arial" w:cs="Arial" w:eastAsia="Arial" w:hAnsi="Arial"/>
                  <w:sz w:val="15"/>
                  <w:szCs w:val="15"/>
                  <w:color w:val="0000FF"/>
                  <w:w w:val="92"/>
                </w:rPr>
                <w:t>Employment Agreement between the Registrant and Roger Jewkes effective March 3, 2016 (incorporated by reference to Exhibit 10.9 to the Registrant's Quarterly Report on</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00" w:type="dxa"/>
            <w:vAlign w:val="bottom"/>
            <w:tcBorders>
              <w:top w:val="single" w:sz="8" w:color="0000FF"/>
              <w:bottom w:val="single" w:sz="8" w:color="0000FF"/>
            </w:tcBorders>
            <w:gridSpan w:val="6"/>
          </w:tcPr>
          <w:p>
            <w:pPr>
              <w:spacing w:after="0" w:line="127" w:lineRule="exact"/>
              <w:rPr>
                <w:rFonts w:ascii="Arial" w:cs="Arial" w:eastAsia="Arial" w:hAnsi="Arial"/>
                <w:sz w:val="14"/>
                <w:szCs w:val="14"/>
                <w:color w:val="0000FF"/>
                <w:w w:val="96"/>
              </w:rPr>
            </w:pPr>
            <w:hyperlink r:id="rId265">
              <w:r>
                <w:rPr>
                  <w:rFonts w:ascii="Arial" w:cs="Arial" w:eastAsia="Arial" w:hAnsi="Arial"/>
                  <w:sz w:val="14"/>
                  <w:szCs w:val="14"/>
                  <w:color w:val="0000FF"/>
                  <w:w w:val="96"/>
                </w:rPr>
                <w:t>Form 10-Q for the quarter ended June 30, 2016) (1)</w:t>
              </w:r>
            </w:hyperlink>
          </w:p>
        </w:tc>
        <w:tc>
          <w:tcPr>
            <w:tcW w:w="73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10.22</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6"/>
              </w:rPr>
            </w:pPr>
            <w:hyperlink r:id="rId266">
              <w:r>
                <w:rPr>
                  <w:rFonts w:ascii="Arial" w:cs="Arial" w:eastAsia="Arial" w:hAnsi="Arial"/>
                  <w:sz w:val="15"/>
                  <w:szCs w:val="15"/>
                  <w:color w:val="0000FF"/>
                  <w:w w:val="96"/>
                </w:rPr>
                <w:t>Amendment effective May 3, 2016 to Employment Agreement between the Registrant and Roger Jewkes (incorporated by reference to Exhibit 10.10 to the Registrant's</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20" w:type="dxa"/>
            <w:vAlign w:val="bottom"/>
            <w:tcBorders>
              <w:top w:val="single" w:sz="8" w:color="0000FF"/>
            </w:tcBorders>
            <w:gridSpan w:val="27"/>
          </w:tcPr>
          <w:p>
            <w:pPr>
              <w:spacing w:after="0" w:line="127" w:lineRule="exact"/>
              <w:rPr>
                <w:rFonts w:ascii="Arial" w:cs="Arial" w:eastAsia="Arial" w:hAnsi="Arial"/>
                <w:sz w:val="14"/>
                <w:szCs w:val="14"/>
                <w:color w:val="0000FF"/>
              </w:rPr>
            </w:pPr>
            <w:hyperlink r:id="rId266">
              <w:r>
                <w:rPr>
                  <w:rFonts w:ascii="Arial" w:cs="Arial" w:eastAsia="Arial" w:hAnsi="Arial"/>
                  <w:sz w:val="14"/>
                  <w:szCs w:val="14"/>
                  <w:color w:val="0000FF"/>
                </w:rPr>
                <w:t>Quarterly Report on Form 10-Q for the quarter ended June 30, 2016) (1)</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10.23</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8"/>
              </w:rPr>
            </w:pPr>
            <w:hyperlink w:anchor="page184">
              <w:r>
                <w:rPr>
                  <w:rFonts w:ascii="Arial" w:cs="Arial" w:eastAsia="Arial" w:hAnsi="Arial"/>
                  <w:sz w:val="15"/>
                  <w:szCs w:val="15"/>
                  <w:color w:val="0000FF"/>
                  <w:w w:val="98"/>
                </w:rPr>
                <w:t>Form of Notice of Restricted Stock Grant and FNF Restricted Stock Award Agreement under Amended and Restated Fidelity National Financial, Inc. 2005 Omnibus</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60" w:type="dxa"/>
            <w:vAlign w:val="bottom"/>
            <w:tcBorders>
              <w:top w:val="single" w:sz="8" w:color="0000FF"/>
            </w:tcBorders>
            <w:gridSpan w:val="19"/>
          </w:tcPr>
          <w:p>
            <w:pPr>
              <w:spacing w:after="0" w:line="127" w:lineRule="exact"/>
              <w:rPr>
                <w:rFonts w:ascii="Arial" w:cs="Arial" w:eastAsia="Arial" w:hAnsi="Arial"/>
                <w:sz w:val="14"/>
                <w:szCs w:val="14"/>
                <w:color w:val="0000FF"/>
              </w:rPr>
            </w:pPr>
            <w:hyperlink w:anchor="page184">
              <w:r>
                <w:rPr>
                  <w:rFonts w:ascii="Arial" w:cs="Arial" w:eastAsia="Arial" w:hAnsi="Arial"/>
                  <w:sz w:val="14"/>
                  <w:szCs w:val="14"/>
                  <w:color w:val="0000FF"/>
                </w:rPr>
                <w:t>Incentive Plan for November 2021 Awards</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10.24</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8"/>
              </w:rPr>
            </w:pPr>
            <w:hyperlink r:id="rId267">
              <w:r>
                <w:rPr>
                  <w:rFonts w:ascii="Arial" w:cs="Arial" w:eastAsia="Arial" w:hAnsi="Arial"/>
                  <w:sz w:val="15"/>
                  <w:szCs w:val="15"/>
                  <w:color w:val="0000FF"/>
                  <w:w w:val="98"/>
                </w:rPr>
                <w:t>Form of Notice of Restricted Stock Grant and FNF Restricted Stock Award Agreement under Amended and Restated Fidelity National Financial, Inc. 2005 Omnibus</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60" w:type="dxa"/>
            <w:vAlign w:val="bottom"/>
            <w:tcBorders>
              <w:top w:val="single" w:sz="8" w:color="0000FF"/>
              <w:bottom w:val="single" w:sz="8" w:color="0000FF"/>
            </w:tcBorders>
            <w:gridSpan w:val="19"/>
          </w:tcPr>
          <w:p>
            <w:pPr>
              <w:spacing w:after="0" w:line="127" w:lineRule="exact"/>
              <w:rPr>
                <w:rFonts w:ascii="Arial" w:cs="Arial" w:eastAsia="Arial" w:hAnsi="Arial"/>
                <w:sz w:val="14"/>
                <w:szCs w:val="14"/>
                <w:color w:val="0000FF"/>
                <w:w w:val="98"/>
              </w:rPr>
            </w:pPr>
            <w:hyperlink r:id="rId267">
              <w:r>
                <w:rPr>
                  <w:rFonts w:ascii="Arial" w:cs="Arial" w:eastAsia="Arial" w:hAnsi="Arial"/>
                  <w:sz w:val="14"/>
                  <w:szCs w:val="14"/>
                  <w:color w:val="0000FF"/>
                  <w:w w:val="98"/>
                </w:rPr>
                <w:t>Incentive Plan for October 2019 Awards (incorporated by reference to Exhibit 10.33 to the Registrant's Annual Report on Form 10-K for the year ended December 31, 2019)</w:t>
              </w:r>
            </w:hyperlink>
          </w:p>
        </w:tc>
        <w:tc>
          <w:tcPr>
            <w:tcW w:w="40" w:type="dxa"/>
            <w:vAlign w:val="bottom"/>
            <w:tcBorders>
              <w:bottom w:val="single" w:sz="8" w:color="0000FF"/>
            </w:tcBorders>
            <w:gridSpan w:val="2"/>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0000FF"/>
            </w:tcBorders>
          </w:tcPr>
          <w:p>
            <w:pPr>
              <w:spacing w:after="0" w:line="127" w:lineRule="exact"/>
              <w:rPr>
                <w:rFonts w:ascii="Arial" w:cs="Arial" w:eastAsia="Arial" w:hAnsi="Arial"/>
                <w:sz w:val="14"/>
                <w:szCs w:val="14"/>
                <w:color w:val="0000FF"/>
                <w:w w:val="81"/>
              </w:rPr>
            </w:pPr>
            <w:hyperlink r:id="rId267">
              <w:r>
                <w:rPr>
                  <w:rFonts w:ascii="Arial" w:cs="Arial" w:eastAsia="Arial" w:hAnsi="Arial"/>
                  <w:sz w:val="14"/>
                  <w:szCs w:val="14"/>
                  <w:color w:val="0000FF"/>
                  <w:w w:val="81"/>
                </w:rPr>
                <w:t>(1)</w:t>
              </w:r>
            </w:hyperlink>
          </w:p>
        </w:tc>
        <w:tc>
          <w:tcPr>
            <w:tcW w:w="4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10.25</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4"/>
              </w:rPr>
            </w:pPr>
            <w:hyperlink r:id="rId268">
              <w:r>
                <w:rPr>
                  <w:rFonts w:ascii="Arial" w:cs="Arial" w:eastAsia="Arial" w:hAnsi="Arial"/>
                  <w:sz w:val="15"/>
                  <w:szCs w:val="15"/>
                  <w:color w:val="0000FF"/>
                  <w:w w:val="94"/>
                </w:rPr>
                <w:t>Tax Matters Agreement, dated as of November 17, 2017, by and between Fidelity National Financial, Inc. and Cannae Holdings, Inc. (incorporated by reference to Exhibit</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920" w:type="dxa"/>
            <w:vAlign w:val="bottom"/>
            <w:tcBorders>
              <w:top w:val="single" w:sz="8" w:color="0000FF"/>
              <w:bottom w:val="single" w:sz="8" w:color="0000FF"/>
            </w:tcBorders>
            <w:gridSpan w:val="10"/>
          </w:tcPr>
          <w:p>
            <w:pPr>
              <w:spacing w:after="0" w:line="127" w:lineRule="exact"/>
              <w:rPr>
                <w:rFonts w:ascii="Arial" w:cs="Arial" w:eastAsia="Arial" w:hAnsi="Arial"/>
                <w:sz w:val="14"/>
                <w:szCs w:val="14"/>
                <w:color w:val="0000FF"/>
                <w:w w:val="97"/>
              </w:rPr>
            </w:pPr>
            <w:hyperlink r:id="rId268">
              <w:r>
                <w:rPr>
                  <w:rFonts w:ascii="Arial" w:cs="Arial" w:eastAsia="Arial" w:hAnsi="Arial"/>
                  <w:sz w:val="14"/>
                  <w:szCs w:val="14"/>
                  <w:color w:val="0000FF"/>
                  <w:w w:val="97"/>
                </w:rPr>
                <w:t>10.</w:t>
              </w:r>
              <w:r>
                <w:rPr>
                  <w:rFonts w:ascii="Arial" w:cs="Arial" w:eastAsia="Arial" w:hAnsi="Arial"/>
                  <w:sz w:val="14"/>
                  <w:szCs w:val="14"/>
                  <w:u w:val="single" w:color="auto"/>
                  <w:color w:val="0000FF"/>
                  <w:w w:val="97"/>
                </w:rPr>
                <w:t>1</w:t>
              </w:r>
              <w:r>
                <w:rPr>
                  <w:rFonts w:ascii="Arial" w:cs="Arial" w:eastAsia="Arial" w:hAnsi="Arial"/>
                  <w:sz w:val="14"/>
                  <w:szCs w:val="14"/>
                  <w:color w:val="0000FF"/>
                  <w:w w:val="97"/>
                </w:rPr>
                <w:t xml:space="preserve"> to the Registrant's Current Report on Form 8-K filed on November 20, 2017)</w:t>
              </w:r>
            </w:hyperlink>
          </w:p>
        </w:tc>
        <w:tc>
          <w:tcPr>
            <w:tcW w:w="5580" w:type="dxa"/>
            <w:vAlign w:val="bottom"/>
            <w:tcBorders>
              <w:top w:val="single" w:sz="8" w:color="0000FF"/>
            </w:tcBorders>
            <w:gridSpan w:val="11"/>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10.26</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8"/>
              </w:rPr>
            </w:pPr>
            <w:hyperlink r:id="rId269">
              <w:r>
                <w:rPr>
                  <w:rFonts w:ascii="Arial" w:cs="Arial" w:eastAsia="Arial" w:hAnsi="Arial"/>
                  <w:sz w:val="15"/>
                  <w:szCs w:val="15"/>
                  <w:color w:val="0000FF"/>
                  <w:w w:val="98"/>
                </w:rPr>
                <w:t>Amendment effective November 1, 2019 to Amended and Restated Employment Agreement between the Registrant and Michael L. Gravelle effective May 3, 2016</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40" w:type="dxa"/>
            <w:vAlign w:val="bottom"/>
            <w:tcBorders>
              <w:top w:val="single" w:sz="8" w:color="0000FF"/>
            </w:tcBorders>
            <w:gridSpan w:val="16"/>
          </w:tcPr>
          <w:p>
            <w:pPr>
              <w:spacing w:after="0" w:line="127" w:lineRule="exact"/>
              <w:rPr>
                <w:rFonts w:ascii="Arial" w:cs="Arial" w:eastAsia="Arial" w:hAnsi="Arial"/>
                <w:sz w:val="14"/>
                <w:szCs w:val="14"/>
                <w:color w:val="0000FF"/>
              </w:rPr>
            </w:pPr>
            <w:hyperlink r:id="rId269">
              <w:r>
                <w:rPr>
                  <w:rFonts w:ascii="Arial" w:cs="Arial" w:eastAsia="Arial" w:hAnsi="Arial"/>
                  <w:sz w:val="14"/>
                  <w:szCs w:val="14"/>
                  <w:color w:val="0000FF"/>
                </w:rPr>
                <w:t>(incorporated by reference to Exhibit 10.2 to the Registrant's Quarterly Report on Form 10-Q for the quarter ended September 30, 2019) (1)</w:t>
              </w:r>
            </w:hyperlink>
          </w:p>
        </w:tc>
        <w:tc>
          <w:tcPr>
            <w:tcW w:w="380" w:type="dxa"/>
            <w:vAlign w:val="bottom"/>
          </w:tcPr>
          <w:p>
            <w:pPr>
              <w:spacing w:after="0"/>
              <w:rPr>
                <w:sz w:val="10"/>
                <w:szCs w:val="10"/>
                <w:color w:val="auto"/>
              </w:rPr>
            </w:pPr>
          </w:p>
        </w:tc>
        <w:tc>
          <w:tcPr>
            <w:tcW w:w="340" w:type="dxa"/>
            <w:vAlign w:val="bottom"/>
            <w:gridSpan w:val="7"/>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4060" w:type="dxa"/>
            <w:vAlign w:val="bottom"/>
            <w:gridSpan w:val="9"/>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10.27</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6"/>
              </w:rPr>
            </w:pPr>
            <w:hyperlink r:id="rId270">
              <w:r>
                <w:rPr>
                  <w:rFonts w:ascii="Arial" w:cs="Arial" w:eastAsia="Arial" w:hAnsi="Arial"/>
                  <w:sz w:val="15"/>
                  <w:szCs w:val="15"/>
                  <w:color w:val="0000FF"/>
                  <w:w w:val="96"/>
                </w:rPr>
                <w:t>FGL Holdings 2017 Omnibus Incentive Plan, as amended and restated through June 1, 2020 (incorporated by reference to Exhibit 99.1 to the Registrant’s Registration</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60" w:type="dxa"/>
            <w:vAlign w:val="bottom"/>
            <w:tcBorders>
              <w:top w:val="single" w:sz="8" w:color="0000FF"/>
              <w:bottom w:val="single" w:sz="8" w:color="0000FF"/>
            </w:tcBorders>
            <w:gridSpan w:val="5"/>
          </w:tcPr>
          <w:p>
            <w:pPr>
              <w:spacing w:after="0" w:line="127" w:lineRule="exact"/>
              <w:rPr>
                <w:rFonts w:ascii="Arial" w:cs="Arial" w:eastAsia="Arial" w:hAnsi="Arial"/>
                <w:sz w:val="14"/>
                <w:szCs w:val="14"/>
                <w:color w:val="0000FF"/>
                <w:w w:val="96"/>
              </w:rPr>
            </w:pPr>
            <w:hyperlink r:id="rId270">
              <w:r>
                <w:rPr>
                  <w:rFonts w:ascii="Arial" w:cs="Arial" w:eastAsia="Arial" w:hAnsi="Arial"/>
                  <w:sz w:val="14"/>
                  <w:szCs w:val="14"/>
                  <w:color w:val="0000FF"/>
                  <w:w w:val="96"/>
                </w:rPr>
                <w:t>Statement on Form S-8 filed on June 1, 2020) (1)</w:t>
              </w:r>
            </w:hyperlink>
          </w:p>
        </w:tc>
        <w:tc>
          <w:tcPr>
            <w:tcW w:w="770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10.28</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5"/>
              </w:rPr>
            </w:pPr>
            <w:hyperlink r:id="rId271">
              <w:r>
                <w:rPr>
                  <w:rFonts w:ascii="Arial" w:cs="Arial" w:eastAsia="Arial" w:hAnsi="Arial"/>
                  <w:sz w:val="15"/>
                  <w:szCs w:val="15"/>
                  <w:color w:val="0000FF"/>
                  <w:w w:val="95"/>
                </w:rPr>
                <w:t>Fifth Amended and Restated Credit Agreement, dated as of October 29, 2020, by and among Fidelity National Financial, Inc., as the Borrower, Bank of America, N.A., as</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60" w:type="dxa"/>
            <w:vAlign w:val="bottom"/>
            <w:tcBorders>
              <w:top w:val="single" w:sz="8" w:color="0000FF"/>
            </w:tcBorders>
            <w:gridSpan w:val="24"/>
          </w:tcPr>
          <w:p>
            <w:pPr>
              <w:spacing w:after="0" w:line="127" w:lineRule="exact"/>
              <w:rPr>
                <w:rFonts w:ascii="Arial" w:cs="Arial" w:eastAsia="Arial" w:hAnsi="Arial"/>
                <w:sz w:val="14"/>
                <w:szCs w:val="14"/>
                <w:color w:val="0000FF"/>
              </w:rPr>
            </w:pPr>
            <w:hyperlink r:id="rId271">
              <w:r>
                <w:rPr>
                  <w:rFonts w:ascii="Arial" w:cs="Arial" w:eastAsia="Arial" w:hAnsi="Arial"/>
                  <w:sz w:val="14"/>
                  <w:szCs w:val="14"/>
                  <w:color w:val="0000FF"/>
                </w:rPr>
                <w:t>administrative agent, and other agents party thereto (incorporated by reference to Exhibit 10.1 to the Registrant's Current Report on Form 8-K filed on November 4, 2020)</w:t>
              </w:r>
            </w:hyperlink>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460" w:type="dxa"/>
            <w:vAlign w:val="bottom"/>
            <w:gridSpan w:val="12"/>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10.29</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7"/>
              </w:rPr>
            </w:pPr>
            <w:hyperlink r:id="rId272">
              <w:r>
                <w:rPr>
                  <w:rFonts w:ascii="Arial" w:cs="Arial" w:eastAsia="Arial" w:hAnsi="Arial"/>
                  <w:sz w:val="15"/>
                  <w:szCs w:val="15"/>
                  <w:color w:val="0000FF"/>
                  <w:w w:val="97"/>
                </w:rPr>
                <w:t>Form of Subscription Agreement by and among Acrobat Holdings, Inc., Foley Trasimene Acquisition Corp., and certain subsidiaries of Fidelity National Financial, Inc.</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20" w:type="dxa"/>
            <w:vAlign w:val="bottom"/>
            <w:tcBorders>
              <w:top w:val="single" w:sz="8" w:color="0000FF"/>
              <w:bottom w:val="single" w:sz="8" w:color="0000FF"/>
            </w:tcBorders>
            <w:gridSpan w:val="14"/>
          </w:tcPr>
          <w:p>
            <w:pPr>
              <w:spacing w:after="0" w:line="127" w:lineRule="exact"/>
              <w:rPr>
                <w:rFonts w:ascii="Arial" w:cs="Arial" w:eastAsia="Arial" w:hAnsi="Arial"/>
                <w:sz w:val="14"/>
                <w:szCs w:val="14"/>
                <w:color w:val="0000FF"/>
                <w:w w:val="97"/>
              </w:rPr>
            </w:pPr>
            <w:hyperlink r:id="rId272">
              <w:r>
                <w:rPr>
                  <w:rFonts w:ascii="Arial" w:cs="Arial" w:eastAsia="Arial" w:hAnsi="Arial"/>
                  <w:sz w:val="14"/>
                  <w:szCs w:val="14"/>
                  <w:color w:val="0000FF"/>
                  <w:w w:val="97"/>
                </w:rPr>
                <w:t>(incorporated by reference to Exhibit 10.1 to the Registrant's Current Report on Form 8-K filed on January 27, 2021)</w:t>
              </w:r>
            </w:hyperlink>
          </w:p>
        </w:tc>
        <w:tc>
          <w:tcPr>
            <w:tcW w:w="3560" w:type="dxa"/>
            <w:vAlign w:val="bottom"/>
            <w:tcBorders>
              <w:top w:val="single" w:sz="8" w:color="0000FF"/>
            </w:tcBorders>
            <w:gridSpan w:val="11"/>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center"/>
              <w:spacing w:after="0"/>
              <w:rPr>
                <w:sz w:val="20"/>
                <w:szCs w:val="20"/>
                <w:color w:val="auto"/>
              </w:rPr>
            </w:pPr>
            <w:r>
              <w:rPr>
                <w:rFonts w:ascii="Arial" w:cs="Arial" w:eastAsia="Arial" w:hAnsi="Arial"/>
                <w:sz w:val="15"/>
                <w:szCs w:val="15"/>
                <w:color w:val="auto"/>
                <w:w w:val="90"/>
              </w:rPr>
              <w:t>10.30</w:t>
            </w:r>
          </w:p>
        </w:tc>
        <w:tc>
          <w:tcPr>
            <w:tcW w:w="200" w:type="dxa"/>
            <w:vAlign w:val="bottom"/>
          </w:tcPr>
          <w:p>
            <w:pPr>
              <w:spacing w:after="0"/>
              <w:rPr>
                <w:sz w:val="14"/>
                <w:szCs w:val="14"/>
                <w:color w:val="auto"/>
              </w:rPr>
            </w:pPr>
          </w:p>
        </w:tc>
        <w:tc>
          <w:tcPr>
            <w:tcW w:w="10680" w:type="dxa"/>
            <w:vAlign w:val="bottom"/>
            <w:gridSpan w:val="30"/>
          </w:tcPr>
          <w:p>
            <w:pPr>
              <w:spacing w:after="0"/>
              <w:rPr>
                <w:rFonts w:ascii="Arial" w:cs="Arial" w:eastAsia="Arial" w:hAnsi="Arial"/>
                <w:sz w:val="15"/>
                <w:szCs w:val="15"/>
                <w:color w:val="0000FF"/>
                <w:w w:val="98"/>
              </w:rPr>
            </w:pPr>
            <w:hyperlink r:id="rId273">
              <w:r>
                <w:rPr>
                  <w:rFonts w:ascii="Arial" w:cs="Arial" w:eastAsia="Arial" w:hAnsi="Arial"/>
                  <w:sz w:val="15"/>
                  <w:szCs w:val="15"/>
                  <w:color w:val="0000FF"/>
                  <w:w w:val="98"/>
                </w:rPr>
                <w:t>Form of Notice of Restricted Stock Grant and FNF Restricted Stock Award Agreement under Amended and Restated Fidelity National Financial, Inc. 2005 Omnibus</w:t>
              </w:r>
            </w:hyperlink>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60" w:type="dxa"/>
            <w:vAlign w:val="bottom"/>
            <w:tcBorders>
              <w:top w:val="single" w:sz="8" w:color="0000FF"/>
            </w:tcBorders>
            <w:gridSpan w:val="19"/>
          </w:tcPr>
          <w:p>
            <w:pPr>
              <w:spacing w:after="0" w:line="127" w:lineRule="exact"/>
              <w:rPr>
                <w:rFonts w:ascii="Arial" w:cs="Arial" w:eastAsia="Arial" w:hAnsi="Arial"/>
                <w:sz w:val="14"/>
                <w:szCs w:val="14"/>
                <w:color w:val="0000FF"/>
              </w:rPr>
            </w:pPr>
            <w:hyperlink r:id="rId273">
              <w:r>
                <w:rPr>
                  <w:rFonts w:ascii="Arial" w:cs="Arial" w:eastAsia="Arial" w:hAnsi="Arial"/>
                  <w:sz w:val="14"/>
                  <w:szCs w:val="14"/>
                  <w:color w:val="0000FF"/>
                </w:rPr>
                <w:t>Incentive Plan for November 2020 Awards (incorporated by reference to Exhibit 10.34 to the Registrant's Annual Report on Form 10-K for the year ended December 31,</w:t>
              </w:r>
            </w:hyperlink>
          </w:p>
        </w:tc>
        <w:tc>
          <w:tcPr>
            <w:tcW w:w="2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0000FF"/>
              <w:bottom w:val="single" w:sz="8" w:color="0000FF"/>
            </w:tcBorders>
            <w:gridSpan w:val="2"/>
          </w:tcPr>
          <w:p>
            <w:pPr>
              <w:spacing w:after="0" w:line="127" w:lineRule="exact"/>
              <w:rPr>
                <w:rFonts w:ascii="Arial" w:cs="Arial" w:eastAsia="Arial" w:hAnsi="Arial"/>
                <w:sz w:val="14"/>
                <w:szCs w:val="14"/>
                <w:color w:val="0000FF"/>
                <w:w w:val="94"/>
              </w:rPr>
            </w:pPr>
            <w:hyperlink r:id="rId273">
              <w:r>
                <w:rPr>
                  <w:rFonts w:ascii="Arial" w:cs="Arial" w:eastAsia="Arial" w:hAnsi="Arial"/>
                  <w:sz w:val="14"/>
                  <w:szCs w:val="14"/>
                  <w:color w:val="0000FF"/>
                  <w:w w:val="94"/>
                </w:rPr>
                <w:t>2020) (1)</w:t>
              </w:r>
            </w:hyperlink>
          </w:p>
        </w:tc>
        <w:tc>
          <w:tcPr>
            <w:tcW w:w="20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260" w:type="dxa"/>
            <w:vAlign w:val="bottom"/>
            <w:tcBorders>
              <w:top w:val="single" w:sz="8" w:color="0000FF"/>
            </w:tcBorders>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75" w:name="page176"/>
    <w:bookmarkEnd w:id="175"/>
    <w:p>
      <w:pPr>
        <w:ind w:left="1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21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Exhibit</w:t>
            </w:r>
          </w:p>
        </w:tc>
        <w:tc>
          <w:tcPr>
            <w:tcW w:w="1760" w:type="dxa"/>
            <w:vAlign w:val="bottom"/>
          </w:tcPr>
          <w:p>
            <w:pPr>
              <w:spacing w:after="0"/>
              <w:rPr>
                <w:sz w:val="12"/>
                <w:szCs w:val="12"/>
                <w:color w:val="auto"/>
              </w:rPr>
            </w:pPr>
          </w:p>
        </w:tc>
        <w:tc>
          <w:tcPr>
            <w:tcW w:w="7540" w:type="dxa"/>
            <w:vAlign w:val="bottom"/>
            <w:gridSpan w:val="7"/>
            <w:vMerge w:val="restart"/>
          </w:tcPr>
          <w:p>
            <w:pPr>
              <w:ind w:left="300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720" w:type="dxa"/>
            <w:vAlign w:val="bottom"/>
            <w:gridSpan w:val="2"/>
          </w:tcPr>
          <w:p>
            <w:pPr>
              <w:jc w:val="center"/>
              <w:ind w:right="300"/>
              <w:spacing w:after="0" w:line="124" w:lineRule="exact"/>
              <w:rPr>
                <w:sz w:val="20"/>
                <w:szCs w:val="20"/>
                <w:color w:val="auto"/>
              </w:rPr>
            </w:pPr>
            <w:r>
              <w:rPr>
                <w:rFonts w:ascii="Arial" w:cs="Arial" w:eastAsia="Arial" w:hAnsi="Arial"/>
                <w:sz w:val="12"/>
                <w:szCs w:val="12"/>
                <w:b w:val="1"/>
                <w:bCs w:val="1"/>
                <w:color w:val="auto"/>
                <w:w w:val="92"/>
              </w:rPr>
              <w:t>Number</w:t>
            </w:r>
          </w:p>
        </w:tc>
        <w:tc>
          <w:tcPr>
            <w:tcW w:w="1760" w:type="dxa"/>
            <w:vAlign w:val="bottom"/>
          </w:tcPr>
          <w:p>
            <w:pPr>
              <w:spacing w:after="0"/>
              <w:rPr>
                <w:sz w:val="10"/>
                <w:szCs w:val="10"/>
                <w:color w:val="auto"/>
              </w:rPr>
            </w:pPr>
          </w:p>
        </w:tc>
        <w:tc>
          <w:tcPr>
            <w:tcW w:w="75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8"/>
              </w:rPr>
              <w:t>21.1</w:t>
            </w:r>
          </w:p>
        </w:tc>
        <w:tc>
          <w:tcPr>
            <w:tcW w:w="300" w:type="dxa"/>
            <w:vAlign w:val="bottom"/>
          </w:tcPr>
          <w:p>
            <w:pPr>
              <w:spacing w:after="0"/>
              <w:rPr>
                <w:sz w:val="14"/>
                <w:szCs w:val="14"/>
                <w:color w:val="auto"/>
              </w:rPr>
            </w:pPr>
          </w:p>
        </w:tc>
        <w:tc>
          <w:tcPr>
            <w:tcW w:w="4760" w:type="dxa"/>
            <w:vAlign w:val="bottom"/>
            <w:gridSpan w:val="2"/>
          </w:tcPr>
          <w:p>
            <w:pPr>
              <w:spacing w:after="0"/>
              <w:rPr>
                <w:rFonts w:ascii="Arial" w:cs="Arial" w:eastAsia="Arial" w:hAnsi="Arial"/>
                <w:sz w:val="15"/>
                <w:szCs w:val="15"/>
                <w:color w:val="0000FF"/>
              </w:rPr>
            </w:pPr>
            <w:hyperlink w:anchor="page190">
              <w:r>
                <w:rPr>
                  <w:rFonts w:ascii="Arial" w:cs="Arial" w:eastAsia="Arial" w:hAnsi="Arial"/>
                  <w:sz w:val="15"/>
                  <w:szCs w:val="15"/>
                  <w:color w:val="0000FF"/>
                </w:rPr>
                <w:t>Subsidiaries of the Registrant</w:t>
              </w:r>
            </w:hyperlink>
          </w:p>
        </w:tc>
        <w:tc>
          <w:tcPr>
            <w:tcW w:w="740" w:type="dxa"/>
            <w:vAlign w:val="bottom"/>
            <w:tcBorders>
              <w:top w:val="single" w:sz="8" w:color="auto"/>
            </w:tcBorders>
            <w:gridSpan w:val="2"/>
          </w:tcPr>
          <w:p>
            <w:pPr>
              <w:spacing w:after="0"/>
              <w:rPr>
                <w:sz w:val="14"/>
                <w:szCs w:val="14"/>
                <w:color w:val="auto"/>
              </w:rPr>
            </w:pPr>
          </w:p>
        </w:tc>
        <w:tc>
          <w:tcPr>
            <w:tcW w:w="38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0" w:type="dxa"/>
            <w:vAlign w:val="bottom"/>
            <w:gridSpan w:val="2"/>
          </w:tcPr>
          <w:p>
            <w:pPr>
              <w:jc w:val="center"/>
              <w:spacing w:after="0"/>
              <w:rPr>
                <w:sz w:val="20"/>
                <w:szCs w:val="20"/>
                <w:color w:val="auto"/>
              </w:rPr>
            </w:pPr>
            <w:r>
              <w:rPr>
                <w:rFonts w:ascii="Arial" w:cs="Arial" w:eastAsia="Arial" w:hAnsi="Arial"/>
                <w:sz w:val="15"/>
                <w:szCs w:val="15"/>
                <w:color w:val="auto"/>
                <w:w w:val="88"/>
              </w:rPr>
              <w:t>23.1</w:t>
            </w:r>
          </w:p>
        </w:tc>
        <w:tc>
          <w:tcPr>
            <w:tcW w:w="300" w:type="dxa"/>
            <w:vAlign w:val="bottom"/>
          </w:tcPr>
          <w:p>
            <w:pPr>
              <w:spacing w:after="0"/>
              <w:rPr>
                <w:sz w:val="14"/>
                <w:szCs w:val="14"/>
                <w:color w:val="auto"/>
              </w:rPr>
            </w:pPr>
          </w:p>
        </w:tc>
        <w:tc>
          <w:tcPr>
            <w:tcW w:w="9300" w:type="dxa"/>
            <w:vAlign w:val="bottom"/>
            <w:gridSpan w:val="8"/>
          </w:tcPr>
          <w:p>
            <w:pPr>
              <w:spacing w:after="0"/>
              <w:rPr>
                <w:rFonts w:ascii="Arial" w:cs="Arial" w:eastAsia="Arial" w:hAnsi="Arial"/>
                <w:sz w:val="15"/>
                <w:szCs w:val="15"/>
                <w:color w:val="0000FF"/>
              </w:rPr>
            </w:pPr>
            <w:hyperlink w:anchor="page191">
              <w:r>
                <w:rPr>
                  <w:rFonts w:ascii="Arial" w:cs="Arial" w:eastAsia="Arial" w:hAnsi="Arial"/>
                  <w:sz w:val="15"/>
                  <w:szCs w:val="15"/>
                  <w:color w:val="0000FF"/>
                </w:rPr>
                <w:t>Consent of Ernst &amp; Young LLP, Independent Registered Public Accounting Firm</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6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0" w:type="dxa"/>
            <w:vAlign w:val="bottom"/>
            <w:gridSpan w:val="2"/>
          </w:tcPr>
          <w:p>
            <w:pPr>
              <w:jc w:val="center"/>
              <w:spacing w:after="0"/>
              <w:rPr>
                <w:sz w:val="20"/>
                <w:szCs w:val="20"/>
                <w:color w:val="auto"/>
              </w:rPr>
            </w:pPr>
            <w:r>
              <w:rPr>
                <w:rFonts w:ascii="Arial" w:cs="Arial" w:eastAsia="Arial" w:hAnsi="Arial"/>
                <w:sz w:val="15"/>
                <w:szCs w:val="15"/>
                <w:color w:val="auto"/>
                <w:w w:val="88"/>
              </w:rPr>
              <w:t>31.1</w:t>
            </w:r>
          </w:p>
        </w:tc>
        <w:tc>
          <w:tcPr>
            <w:tcW w:w="300" w:type="dxa"/>
            <w:vAlign w:val="bottom"/>
          </w:tcPr>
          <w:p>
            <w:pPr>
              <w:spacing w:after="0"/>
              <w:rPr>
                <w:sz w:val="14"/>
                <w:szCs w:val="14"/>
                <w:color w:val="auto"/>
              </w:rPr>
            </w:pPr>
          </w:p>
        </w:tc>
        <w:tc>
          <w:tcPr>
            <w:tcW w:w="9300" w:type="dxa"/>
            <w:vAlign w:val="bottom"/>
            <w:gridSpan w:val="8"/>
          </w:tcPr>
          <w:p>
            <w:pPr>
              <w:spacing w:after="0"/>
              <w:rPr>
                <w:rFonts w:ascii="Arial" w:cs="Arial" w:eastAsia="Arial" w:hAnsi="Arial"/>
                <w:sz w:val="15"/>
                <w:szCs w:val="15"/>
                <w:color w:val="0000FF"/>
              </w:rPr>
            </w:pPr>
            <w:hyperlink w:anchor="page192">
              <w:r>
                <w:rPr>
                  <w:rFonts w:ascii="Arial" w:cs="Arial" w:eastAsia="Arial" w:hAnsi="Arial"/>
                  <w:sz w:val="15"/>
                  <w:szCs w:val="15"/>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172"/>
        </w:trPr>
        <w:tc>
          <w:tcPr>
            <w:tcW w:w="480" w:type="dxa"/>
            <w:vAlign w:val="bottom"/>
            <w:gridSpan w:val="2"/>
          </w:tcPr>
          <w:p>
            <w:pPr>
              <w:jc w:val="center"/>
              <w:spacing w:after="0"/>
              <w:rPr>
                <w:sz w:val="20"/>
                <w:szCs w:val="20"/>
                <w:color w:val="auto"/>
              </w:rPr>
            </w:pPr>
            <w:r>
              <w:rPr>
                <w:rFonts w:ascii="Arial" w:cs="Arial" w:eastAsia="Arial" w:hAnsi="Arial"/>
                <w:sz w:val="15"/>
                <w:szCs w:val="15"/>
                <w:color w:val="auto"/>
                <w:w w:val="88"/>
              </w:rPr>
              <w:t>31.2</w:t>
            </w:r>
          </w:p>
        </w:tc>
        <w:tc>
          <w:tcPr>
            <w:tcW w:w="300" w:type="dxa"/>
            <w:vAlign w:val="bottom"/>
          </w:tcPr>
          <w:p>
            <w:pPr>
              <w:spacing w:after="0"/>
              <w:rPr>
                <w:sz w:val="14"/>
                <w:szCs w:val="14"/>
                <w:color w:val="auto"/>
              </w:rPr>
            </w:pPr>
          </w:p>
        </w:tc>
        <w:tc>
          <w:tcPr>
            <w:tcW w:w="5980" w:type="dxa"/>
            <w:vAlign w:val="bottom"/>
            <w:tcBorders>
              <w:top w:val="single" w:sz="8" w:color="0000FF"/>
            </w:tcBorders>
            <w:gridSpan w:val="6"/>
          </w:tcPr>
          <w:p>
            <w:pPr>
              <w:spacing w:after="0"/>
              <w:rPr>
                <w:rFonts w:ascii="Arial" w:cs="Arial" w:eastAsia="Arial" w:hAnsi="Arial"/>
                <w:sz w:val="15"/>
                <w:szCs w:val="15"/>
                <w:color w:val="0000FF"/>
                <w:w w:val="92"/>
              </w:rPr>
            </w:pPr>
            <w:hyperlink w:anchor="page193">
              <w:r>
                <w:rPr>
                  <w:rFonts w:ascii="Arial" w:cs="Arial" w:eastAsia="Arial" w:hAnsi="Arial"/>
                  <w:sz w:val="15"/>
                  <w:szCs w:val="15"/>
                  <w:color w:val="0000FF"/>
                  <w:w w:val="92"/>
                </w:rPr>
                <w:t>Certification of Chief Financial Officer pursuant to Section 302 of the Sarbanes-Oxley Act of 2002</w:t>
              </w:r>
            </w:hyperlink>
          </w:p>
        </w:tc>
        <w:tc>
          <w:tcPr>
            <w:tcW w:w="3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40" w:type="dxa"/>
            <w:vAlign w:val="bottom"/>
            <w:gridSpan w:val="5"/>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0" w:type="dxa"/>
            <w:vAlign w:val="bottom"/>
            <w:gridSpan w:val="2"/>
          </w:tcPr>
          <w:p>
            <w:pPr>
              <w:jc w:val="center"/>
              <w:spacing w:after="0"/>
              <w:rPr>
                <w:sz w:val="20"/>
                <w:szCs w:val="20"/>
                <w:color w:val="auto"/>
              </w:rPr>
            </w:pPr>
            <w:r>
              <w:rPr>
                <w:rFonts w:ascii="Arial" w:cs="Arial" w:eastAsia="Arial" w:hAnsi="Arial"/>
                <w:sz w:val="15"/>
                <w:szCs w:val="15"/>
                <w:color w:val="auto"/>
                <w:w w:val="88"/>
              </w:rPr>
              <w:t>32.1</w:t>
            </w:r>
          </w:p>
        </w:tc>
        <w:tc>
          <w:tcPr>
            <w:tcW w:w="300" w:type="dxa"/>
            <w:vAlign w:val="bottom"/>
          </w:tcPr>
          <w:p>
            <w:pPr>
              <w:spacing w:after="0"/>
              <w:rPr>
                <w:sz w:val="14"/>
                <w:szCs w:val="14"/>
                <w:color w:val="auto"/>
              </w:rPr>
            </w:pPr>
          </w:p>
        </w:tc>
        <w:tc>
          <w:tcPr>
            <w:tcW w:w="9300" w:type="dxa"/>
            <w:vAlign w:val="bottom"/>
            <w:tcBorders>
              <w:bottom w:val="single" w:sz="8" w:color="0000FF"/>
            </w:tcBorders>
            <w:gridSpan w:val="8"/>
          </w:tcPr>
          <w:p>
            <w:pPr>
              <w:spacing w:after="0"/>
              <w:rPr>
                <w:rFonts w:ascii="Arial" w:cs="Arial" w:eastAsia="Arial" w:hAnsi="Arial"/>
                <w:sz w:val="15"/>
                <w:szCs w:val="15"/>
                <w:color w:val="0000FF"/>
                <w:w w:val="91"/>
              </w:rPr>
            </w:pPr>
            <w:hyperlink w:anchor="page194">
              <w:r>
                <w:rPr>
                  <w:rFonts w:ascii="Arial" w:cs="Arial" w:eastAsia="Arial" w:hAnsi="Arial"/>
                  <w:sz w:val="15"/>
                  <w:szCs w:val="15"/>
                  <w:color w:val="0000FF"/>
                  <w:w w:val="91"/>
                </w:rPr>
                <w:t>Certification by Chief Executive Officer of Periodic Financial Reports pursuant to Section 906 of the Sarbanes-Oxley Act of 2002, 18 U.S.C. Section 1350</w:t>
              </w:r>
            </w:hyperlink>
          </w:p>
        </w:tc>
        <w:tc>
          <w:tcPr>
            <w:tcW w:w="0" w:type="dxa"/>
            <w:vAlign w:val="bottom"/>
          </w:tcPr>
          <w:p>
            <w:pPr>
              <w:spacing w:after="0"/>
              <w:rPr>
                <w:sz w:val="1"/>
                <w:szCs w:val="1"/>
                <w:color w:val="auto"/>
              </w:rPr>
            </w:pPr>
          </w:p>
        </w:tc>
      </w:tr>
      <w:tr>
        <w:trPr>
          <w:trHeight w:val="172"/>
        </w:trPr>
        <w:tc>
          <w:tcPr>
            <w:tcW w:w="480" w:type="dxa"/>
            <w:vAlign w:val="bottom"/>
            <w:gridSpan w:val="2"/>
          </w:tcPr>
          <w:p>
            <w:pPr>
              <w:jc w:val="center"/>
              <w:spacing w:after="0"/>
              <w:rPr>
                <w:sz w:val="20"/>
                <w:szCs w:val="20"/>
                <w:color w:val="auto"/>
              </w:rPr>
            </w:pPr>
            <w:r>
              <w:rPr>
                <w:rFonts w:ascii="Arial" w:cs="Arial" w:eastAsia="Arial" w:hAnsi="Arial"/>
                <w:sz w:val="15"/>
                <w:szCs w:val="15"/>
                <w:color w:val="auto"/>
                <w:w w:val="88"/>
              </w:rPr>
              <w:t>32.2</w:t>
            </w:r>
          </w:p>
        </w:tc>
        <w:tc>
          <w:tcPr>
            <w:tcW w:w="300" w:type="dxa"/>
            <w:vAlign w:val="bottom"/>
          </w:tcPr>
          <w:p>
            <w:pPr>
              <w:spacing w:after="0"/>
              <w:rPr>
                <w:sz w:val="14"/>
                <w:szCs w:val="14"/>
                <w:color w:val="auto"/>
              </w:rPr>
            </w:pPr>
          </w:p>
        </w:tc>
        <w:tc>
          <w:tcPr>
            <w:tcW w:w="9300" w:type="dxa"/>
            <w:vAlign w:val="bottom"/>
            <w:gridSpan w:val="8"/>
          </w:tcPr>
          <w:p>
            <w:pPr>
              <w:spacing w:after="0"/>
              <w:rPr>
                <w:rFonts w:ascii="Arial" w:cs="Arial" w:eastAsia="Arial" w:hAnsi="Arial"/>
                <w:sz w:val="15"/>
                <w:szCs w:val="15"/>
                <w:color w:val="0000FF"/>
                <w:w w:val="92"/>
              </w:rPr>
            </w:pPr>
            <w:hyperlink w:anchor="page195">
              <w:r>
                <w:rPr>
                  <w:rFonts w:ascii="Arial" w:cs="Arial" w:eastAsia="Arial" w:hAnsi="Arial"/>
                  <w:sz w:val="15"/>
                  <w:szCs w:val="15"/>
                  <w:color w:val="0000FF"/>
                  <w:w w:val="92"/>
                </w:rPr>
                <w:t>Certification by Chief Financial Officer of Periodic Financial Reports pursuant to Section 906 of the Sarbanes-Oxley Act of 2002, 18 U.S.C. Section 1350</w:t>
              </w:r>
            </w:hyperlink>
          </w:p>
        </w:tc>
        <w:tc>
          <w:tcPr>
            <w:tcW w:w="0" w:type="dxa"/>
            <w:vAlign w:val="bottom"/>
          </w:tcPr>
          <w:p>
            <w:pPr>
              <w:spacing w:after="0"/>
              <w:rPr>
                <w:sz w:val="1"/>
                <w:szCs w:val="1"/>
                <w:color w:val="auto"/>
              </w:rPr>
            </w:pPr>
          </w:p>
        </w:tc>
      </w:tr>
      <w:tr>
        <w:trPr>
          <w:trHeight w:val="204"/>
        </w:trPr>
        <w:tc>
          <w:tcPr>
            <w:tcW w:w="780" w:type="dxa"/>
            <w:vAlign w:val="bottom"/>
            <w:gridSpan w:val="3"/>
          </w:tcPr>
          <w:p>
            <w:pPr>
              <w:jc w:val="center"/>
              <w:ind w:right="240"/>
              <w:spacing w:after="0"/>
              <w:rPr>
                <w:sz w:val="20"/>
                <w:szCs w:val="20"/>
                <w:color w:val="auto"/>
              </w:rPr>
            </w:pPr>
            <w:r>
              <w:rPr>
                <w:rFonts w:ascii="Arial" w:cs="Arial" w:eastAsia="Arial" w:hAnsi="Arial"/>
                <w:sz w:val="15"/>
                <w:szCs w:val="15"/>
                <w:color w:val="auto"/>
                <w:w w:val="92"/>
              </w:rPr>
              <w:t>101.INS</w:t>
            </w:r>
          </w:p>
        </w:tc>
        <w:tc>
          <w:tcPr>
            <w:tcW w:w="9260" w:type="dxa"/>
            <w:vAlign w:val="bottom"/>
            <w:tcBorders>
              <w:top w:val="single" w:sz="8" w:color="0000FF"/>
            </w:tcBorders>
            <w:gridSpan w:val="7"/>
          </w:tcPr>
          <w:p>
            <w:pPr>
              <w:spacing w:after="0"/>
              <w:rPr>
                <w:sz w:val="20"/>
                <w:szCs w:val="20"/>
                <w:color w:val="auto"/>
              </w:rPr>
            </w:pPr>
            <w:r>
              <w:rPr>
                <w:rFonts w:ascii="Arial" w:cs="Arial" w:eastAsia="Arial" w:hAnsi="Arial"/>
                <w:sz w:val="15"/>
                <w:szCs w:val="15"/>
                <w:color w:val="auto"/>
              </w:rPr>
              <w:t>Inline XBRL Instance Document (2)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0" w:type="dxa"/>
            <w:vAlign w:val="bottom"/>
            <w:gridSpan w:val="3"/>
          </w:tcPr>
          <w:p>
            <w:pPr>
              <w:jc w:val="center"/>
              <w:ind w:right="220"/>
              <w:spacing w:after="0"/>
              <w:rPr>
                <w:sz w:val="20"/>
                <w:szCs w:val="20"/>
                <w:color w:val="auto"/>
              </w:rPr>
            </w:pPr>
            <w:r>
              <w:rPr>
                <w:rFonts w:ascii="Arial" w:cs="Arial" w:eastAsia="Arial" w:hAnsi="Arial"/>
                <w:sz w:val="15"/>
                <w:szCs w:val="15"/>
                <w:color w:val="auto"/>
                <w:w w:val="91"/>
              </w:rPr>
              <w:t>101.SCH</w:t>
            </w:r>
          </w:p>
        </w:tc>
        <w:tc>
          <w:tcPr>
            <w:tcW w:w="9300" w:type="dxa"/>
            <w:vAlign w:val="bottom"/>
            <w:gridSpan w:val="8"/>
          </w:tcPr>
          <w:p>
            <w:pPr>
              <w:spacing w:after="0"/>
              <w:rPr>
                <w:sz w:val="20"/>
                <w:szCs w:val="20"/>
                <w:color w:val="auto"/>
              </w:rPr>
            </w:pPr>
            <w:r>
              <w:rPr>
                <w:rFonts w:ascii="Arial" w:cs="Arial" w:eastAsia="Arial" w:hAnsi="Arial"/>
                <w:sz w:val="15"/>
                <w:szCs w:val="15"/>
                <w:color w:val="auto"/>
              </w:rPr>
              <w:t>Inline XBRL Taxonomy Extension Schema Document</w:t>
            </w:r>
          </w:p>
        </w:tc>
        <w:tc>
          <w:tcPr>
            <w:tcW w:w="0" w:type="dxa"/>
            <w:vAlign w:val="bottom"/>
          </w:tcPr>
          <w:p>
            <w:pPr>
              <w:spacing w:after="0"/>
              <w:rPr>
                <w:sz w:val="1"/>
                <w:szCs w:val="1"/>
                <w:color w:val="auto"/>
              </w:rPr>
            </w:pPr>
          </w:p>
        </w:tc>
      </w:tr>
      <w:tr>
        <w:trPr>
          <w:trHeight w:val="192"/>
        </w:trPr>
        <w:tc>
          <w:tcPr>
            <w:tcW w:w="780" w:type="dxa"/>
            <w:vAlign w:val="bottom"/>
            <w:gridSpan w:val="3"/>
          </w:tcPr>
          <w:p>
            <w:pPr>
              <w:jc w:val="center"/>
              <w:ind w:right="220"/>
              <w:spacing w:after="0"/>
              <w:rPr>
                <w:sz w:val="20"/>
                <w:szCs w:val="20"/>
                <w:color w:val="auto"/>
              </w:rPr>
            </w:pPr>
            <w:r>
              <w:rPr>
                <w:rFonts w:ascii="Arial" w:cs="Arial" w:eastAsia="Arial" w:hAnsi="Arial"/>
                <w:sz w:val="15"/>
                <w:szCs w:val="15"/>
                <w:color w:val="auto"/>
                <w:w w:val="95"/>
              </w:rPr>
              <w:t>101.CAL</w:t>
            </w:r>
          </w:p>
        </w:tc>
        <w:tc>
          <w:tcPr>
            <w:tcW w:w="9300" w:type="dxa"/>
            <w:vAlign w:val="bottom"/>
            <w:gridSpan w:val="8"/>
          </w:tcPr>
          <w:p>
            <w:pPr>
              <w:spacing w:after="0"/>
              <w:rPr>
                <w:sz w:val="20"/>
                <w:szCs w:val="20"/>
                <w:color w:val="auto"/>
              </w:rPr>
            </w:pPr>
            <w:r>
              <w:rPr>
                <w:rFonts w:ascii="Arial" w:cs="Arial" w:eastAsia="Arial" w:hAnsi="Arial"/>
                <w:sz w:val="15"/>
                <w:szCs w:val="15"/>
                <w:color w:val="auto"/>
              </w:rPr>
              <w:t>Inline XBRL Taxonomy Extension Calculation Linkbase Document</w:t>
            </w:r>
          </w:p>
        </w:tc>
        <w:tc>
          <w:tcPr>
            <w:tcW w:w="0" w:type="dxa"/>
            <w:vAlign w:val="bottom"/>
          </w:tcPr>
          <w:p>
            <w:pPr>
              <w:spacing w:after="0"/>
              <w:rPr>
                <w:sz w:val="1"/>
                <w:szCs w:val="1"/>
                <w:color w:val="auto"/>
              </w:rPr>
            </w:pPr>
          </w:p>
        </w:tc>
      </w:tr>
      <w:tr>
        <w:trPr>
          <w:trHeight w:val="192"/>
        </w:trPr>
        <w:tc>
          <w:tcPr>
            <w:tcW w:w="780" w:type="dxa"/>
            <w:vAlign w:val="bottom"/>
            <w:gridSpan w:val="3"/>
          </w:tcPr>
          <w:p>
            <w:pPr>
              <w:jc w:val="center"/>
              <w:ind w:right="240"/>
              <w:spacing w:after="0"/>
              <w:rPr>
                <w:sz w:val="20"/>
                <w:szCs w:val="20"/>
                <w:color w:val="auto"/>
              </w:rPr>
            </w:pPr>
            <w:r>
              <w:rPr>
                <w:rFonts w:ascii="Arial" w:cs="Arial" w:eastAsia="Arial" w:hAnsi="Arial"/>
                <w:sz w:val="15"/>
                <w:szCs w:val="15"/>
                <w:color w:val="auto"/>
                <w:w w:val="91"/>
              </w:rPr>
              <w:t>101.DEF</w:t>
            </w:r>
          </w:p>
        </w:tc>
        <w:tc>
          <w:tcPr>
            <w:tcW w:w="9300" w:type="dxa"/>
            <w:vAlign w:val="bottom"/>
            <w:gridSpan w:val="8"/>
          </w:tcPr>
          <w:p>
            <w:pPr>
              <w:spacing w:after="0"/>
              <w:rPr>
                <w:sz w:val="20"/>
                <w:szCs w:val="20"/>
                <w:color w:val="auto"/>
              </w:rPr>
            </w:pPr>
            <w:r>
              <w:rPr>
                <w:rFonts w:ascii="Arial" w:cs="Arial" w:eastAsia="Arial" w:hAnsi="Arial"/>
                <w:sz w:val="15"/>
                <w:szCs w:val="15"/>
                <w:color w:val="auto"/>
              </w:rPr>
              <w:t>Inline XBRL Taxonomy Extension Definition Linkbase Document</w:t>
            </w:r>
          </w:p>
        </w:tc>
        <w:tc>
          <w:tcPr>
            <w:tcW w:w="0" w:type="dxa"/>
            <w:vAlign w:val="bottom"/>
          </w:tcPr>
          <w:p>
            <w:pPr>
              <w:spacing w:after="0"/>
              <w:rPr>
                <w:sz w:val="1"/>
                <w:szCs w:val="1"/>
                <w:color w:val="auto"/>
              </w:rPr>
            </w:pPr>
          </w:p>
        </w:tc>
      </w:tr>
      <w:tr>
        <w:trPr>
          <w:trHeight w:val="192"/>
        </w:trPr>
        <w:tc>
          <w:tcPr>
            <w:tcW w:w="780" w:type="dxa"/>
            <w:vAlign w:val="bottom"/>
            <w:gridSpan w:val="3"/>
          </w:tcPr>
          <w:p>
            <w:pPr>
              <w:jc w:val="center"/>
              <w:ind w:right="240"/>
              <w:spacing w:after="0"/>
              <w:rPr>
                <w:sz w:val="20"/>
                <w:szCs w:val="20"/>
                <w:color w:val="auto"/>
              </w:rPr>
            </w:pPr>
            <w:r>
              <w:rPr>
                <w:rFonts w:ascii="Arial" w:cs="Arial" w:eastAsia="Arial" w:hAnsi="Arial"/>
                <w:sz w:val="15"/>
                <w:szCs w:val="15"/>
                <w:color w:val="auto"/>
                <w:w w:val="89"/>
              </w:rPr>
              <w:t>101.PRE</w:t>
            </w:r>
          </w:p>
        </w:tc>
        <w:tc>
          <w:tcPr>
            <w:tcW w:w="9300" w:type="dxa"/>
            <w:vAlign w:val="bottom"/>
            <w:gridSpan w:val="8"/>
          </w:tcPr>
          <w:p>
            <w:pPr>
              <w:spacing w:after="0"/>
              <w:rPr>
                <w:sz w:val="20"/>
                <w:szCs w:val="20"/>
                <w:color w:val="auto"/>
              </w:rPr>
            </w:pPr>
            <w:r>
              <w:rPr>
                <w:rFonts w:ascii="Arial" w:cs="Arial" w:eastAsia="Arial" w:hAnsi="Arial"/>
                <w:sz w:val="15"/>
                <w:szCs w:val="15"/>
                <w:color w:val="auto"/>
              </w:rPr>
              <w:t>Inline XBRL Taxonomy Extension Presentation Linkbase Document</w:t>
            </w:r>
          </w:p>
        </w:tc>
        <w:tc>
          <w:tcPr>
            <w:tcW w:w="0" w:type="dxa"/>
            <w:vAlign w:val="bottom"/>
          </w:tcPr>
          <w:p>
            <w:pPr>
              <w:spacing w:after="0"/>
              <w:rPr>
                <w:sz w:val="1"/>
                <w:szCs w:val="1"/>
                <w:color w:val="auto"/>
              </w:rPr>
            </w:pPr>
          </w:p>
        </w:tc>
      </w:tr>
      <w:tr>
        <w:trPr>
          <w:trHeight w:val="192"/>
        </w:trPr>
        <w:tc>
          <w:tcPr>
            <w:tcW w:w="780" w:type="dxa"/>
            <w:vAlign w:val="bottom"/>
            <w:gridSpan w:val="3"/>
          </w:tcPr>
          <w:p>
            <w:pPr>
              <w:jc w:val="center"/>
              <w:ind w:right="220"/>
              <w:spacing w:after="0"/>
              <w:rPr>
                <w:sz w:val="20"/>
                <w:szCs w:val="20"/>
                <w:color w:val="auto"/>
              </w:rPr>
            </w:pPr>
            <w:r>
              <w:rPr>
                <w:rFonts w:ascii="Arial" w:cs="Arial" w:eastAsia="Arial" w:hAnsi="Arial"/>
                <w:sz w:val="15"/>
                <w:szCs w:val="15"/>
                <w:color w:val="auto"/>
                <w:w w:val="97"/>
              </w:rPr>
              <w:t>101.LAB</w:t>
            </w:r>
          </w:p>
        </w:tc>
        <w:tc>
          <w:tcPr>
            <w:tcW w:w="9300" w:type="dxa"/>
            <w:vAlign w:val="bottom"/>
            <w:gridSpan w:val="8"/>
          </w:tcPr>
          <w:p>
            <w:pPr>
              <w:spacing w:after="0"/>
              <w:rPr>
                <w:sz w:val="20"/>
                <w:szCs w:val="20"/>
                <w:color w:val="auto"/>
              </w:rPr>
            </w:pPr>
            <w:r>
              <w:rPr>
                <w:rFonts w:ascii="Arial" w:cs="Arial" w:eastAsia="Arial" w:hAnsi="Arial"/>
                <w:sz w:val="15"/>
                <w:szCs w:val="15"/>
                <w:color w:val="auto"/>
              </w:rPr>
              <w:t>Inline XBRL Taxonomy Extension Label Linkbase Document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990" w:hanging="618"/>
        <w:spacing w:after="0"/>
        <w:tabs>
          <w:tab w:leader="none" w:pos="990" w:val="left"/>
        </w:tabs>
        <w:numPr>
          <w:ilvl w:val="1"/>
          <w:numId w:val="52"/>
        </w:numPr>
        <w:rPr>
          <w:rFonts w:ascii="Arial" w:cs="Arial" w:eastAsia="Arial" w:hAnsi="Arial"/>
          <w:sz w:val="15"/>
          <w:szCs w:val="15"/>
          <w:color w:val="auto"/>
        </w:rPr>
      </w:pPr>
      <w:r>
        <w:rPr>
          <w:rFonts w:ascii="Arial" w:cs="Arial" w:eastAsia="Arial" w:hAnsi="Arial"/>
          <w:sz w:val="15"/>
          <w:szCs w:val="15"/>
          <w:color w:val="auto"/>
        </w:rPr>
        <w:t>Cover Page Interactive Data File formatted in Inline XBRL and contained in Exhibit 101</w:t>
      </w:r>
    </w:p>
    <w:p>
      <w:pPr>
        <w:spacing w:after="0" w:line="86" w:lineRule="exact"/>
        <w:rPr>
          <w:rFonts w:ascii="Arial" w:cs="Arial" w:eastAsia="Arial" w:hAnsi="Arial"/>
          <w:sz w:val="15"/>
          <w:szCs w:val="15"/>
          <w:color w:val="auto"/>
        </w:rPr>
      </w:pPr>
    </w:p>
    <w:p>
      <w:pPr>
        <w:ind w:left="210" w:hanging="210"/>
        <w:spacing w:after="0"/>
        <w:tabs>
          <w:tab w:leader="none" w:pos="21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management or compensatory plan or arrangement required to be filed as an exhibit to this report pursuant to Item 15(c) of Form 10-K</w:t>
      </w:r>
    </w:p>
    <w:p>
      <w:pPr>
        <w:spacing w:after="0" w:line="17" w:lineRule="exact"/>
        <w:rPr>
          <w:rFonts w:ascii="Arial" w:cs="Arial" w:eastAsia="Arial" w:hAnsi="Arial"/>
          <w:sz w:val="15"/>
          <w:szCs w:val="15"/>
          <w:color w:val="auto"/>
        </w:rPr>
      </w:pPr>
    </w:p>
    <w:p>
      <w:pPr>
        <w:ind w:left="210" w:hanging="210"/>
        <w:spacing w:after="0"/>
        <w:tabs>
          <w:tab w:leader="none" w:pos="21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instance document does not appear in the interactive data file because its XBRL tags are embedded within the inline XBRL document.</w:t>
      </w:r>
    </w:p>
    <w:p>
      <w:pPr>
        <w:spacing w:after="0" w:line="287" w:lineRule="exact"/>
        <w:rPr>
          <w:sz w:val="20"/>
          <w:szCs w:val="20"/>
          <w:color w:val="auto"/>
        </w:rPr>
      </w:pPr>
    </w:p>
    <w:p>
      <w:pPr>
        <w:ind w:left="10"/>
        <w:spacing w:after="0"/>
        <w:tabs>
          <w:tab w:leader="none" w:pos="649"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3"/>
          <w:szCs w:val="13"/>
          <w:b w:val="1"/>
          <w:bCs w:val="1"/>
          <w:i w:val="1"/>
          <w:iCs w:val="1"/>
          <w:color w:val="auto"/>
        </w:rPr>
        <w:t>Form 10-K Summary</w:t>
      </w:r>
    </w:p>
    <w:p>
      <w:pPr>
        <w:spacing w:after="0" w:line="215" w:lineRule="exact"/>
        <w:rPr>
          <w:sz w:val="20"/>
          <w:szCs w:val="20"/>
          <w:color w:val="auto"/>
        </w:rPr>
      </w:pPr>
    </w:p>
    <w:p>
      <w:pPr>
        <w:ind w:left="1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30"/>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80580"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0290"/>
          </w:cols>
          <w:pgMar w:left="310" w:top="129" w:right="1299" w:bottom="1440" w:gutter="0" w:footer="0" w:header="0"/>
        </w:sectPr>
      </w:pPr>
    </w:p>
    <w:bookmarkStart w:id="176" w:name="page177"/>
    <w:bookmarkEnd w:id="176"/>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SIGNATURES</w:t>
      </w:r>
    </w:p>
    <w:p>
      <w:pPr>
        <w:spacing w:after="0" w:line="98" w:lineRule="exact"/>
        <w:rPr>
          <w:sz w:val="20"/>
          <w:szCs w:val="20"/>
          <w:color w:val="auto"/>
        </w:rPr>
      </w:pPr>
    </w:p>
    <w:p>
      <w:pPr>
        <w:ind w:right="200" w:firstLine="135"/>
        <w:spacing w:after="0" w:line="274"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Fidelity National Financial, Inc.</w:t>
      </w:r>
    </w:p>
    <w:p>
      <w:pPr>
        <w:spacing w:after="0" w:line="19" w:lineRule="exact"/>
        <w:rPr>
          <w:sz w:val="20"/>
          <w:szCs w:val="20"/>
          <w:color w:val="auto"/>
        </w:rPr>
      </w:pPr>
    </w:p>
    <w:p>
      <w:pPr>
        <w:ind w:left="6180"/>
        <w:spacing w:after="0"/>
        <w:tabs>
          <w:tab w:leader="none" w:pos="78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4236720</wp:posOffset>
            </wp:positionH>
            <wp:positionV relativeFrom="paragraph">
              <wp:posOffset>11430</wp:posOffset>
            </wp:positionV>
            <wp:extent cx="233997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2339975" cy="6985"/>
                    </a:xfrm>
                    <a:prstGeom prst="rect">
                      <a:avLst/>
                    </a:prstGeom>
                    <a:noFill/>
                  </pic:spPr>
                </pic:pic>
              </a:graphicData>
            </a:graphic>
          </wp:anchor>
        </w:drawing>
      </w:r>
    </w:p>
    <w:p>
      <w:pPr>
        <w:spacing w:after="0" w:line="10" w:lineRule="exact"/>
        <w:rPr>
          <w:sz w:val="20"/>
          <w:szCs w:val="20"/>
          <w:color w:val="auto"/>
        </w:rPr>
      </w:pPr>
    </w:p>
    <w:p>
      <w:pPr>
        <w:ind w:left="8000"/>
        <w:spacing w:after="0"/>
        <w:rPr>
          <w:sz w:val="20"/>
          <w:szCs w:val="20"/>
          <w:color w:val="auto"/>
        </w:rPr>
      </w:pPr>
      <w:r>
        <w:rPr>
          <w:rFonts w:ascii="Arial" w:cs="Arial" w:eastAsia="Arial" w:hAnsi="Arial"/>
          <w:sz w:val="15"/>
          <w:szCs w:val="15"/>
          <w:color w:val="auto"/>
        </w:rPr>
        <w:t>Michael J. Nolan</w:t>
      </w:r>
    </w:p>
    <w:p>
      <w:pPr>
        <w:spacing w:after="0" w:line="19" w:lineRule="exact"/>
        <w:rPr>
          <w:sz w:val="20"/>
          <w:szCs w:val="20"/>
          <w:color w:val="auto"/>
        </w:rPr>
      </w:pPr>
    </w:p>
    <w:p>
      <w:pPr>
        <w:ind w:left="7800"/>
        <w:spacing w:after="0"/>
        <w:rPr>
          <w:sz w:val="20"/>
          <w:szCs w:val="20"/>
          <w:color w:val="auto"/>
        </w:rPr>
      </w:pPr>
      <w:r>
        <w:rPr>
          <w:rFonts w:ascii="Arial" w:cs="Arial" w:eastAsia="Arial" w:hAnsi="Arial"/>
          <w:sz w:val="15"/>
          <w:szCs w:val="15"/>
          <w:color w:val="auto"/>
        </w:rPr>
        <w:t>Chief Executive Officer</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25, 2022</w:t>
      </w:r>
    </w:p>
    <w:p>
      <w:pPr>
        <w:spacing w:after="0" w:line="244" w:lineRule="exact"/>
        <w:rPr>
          <w:sz w:val="20"/>
          <w:szCs w:val="20"/>
          <w:color w:val="auto"/>
        </w:rPr>
      </w:pPr>
    </w:p>
    <w:p>
      <w:pPr>
        <w:ind w:firstLine="225"/>
        <w:spacing w:after="0" w:line="233"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1960" w:type="dxa"/>
            <w:vAlign w:val="bottom"/>
            <w:gridSpan w:val="2"/>
          </w:tcPr>
          <w:p>
            <w:pPr>
              <w:jc w:val="center"/>
              <w:ind w:right="1460"/>
              <w:spacing w:after="0"/>
              <w:rPr>
                <w:sz w:val="20"/>
                <w:szCs w:val="20"/>
                <w:color w:val="auto"/>
              </w:rPr>
            </w:pPr>
            <w:r>
              <w:rPr>
                <w:rFonts w:ascii="Arial" w:cs="Arial" w:eastAsia="Arial" w:hAnsi="Arial"/>
                <w:sz w:val="12"/>
                <w:szCs w:val="12"/>
                <w:b w:val="1"/>
                <w:bCs w:val="1"/>
                <w:color w:val="auto"/>
                <w:w w:val="90"/>
              </w:rPr>
              <w:t>Signature</w:t>
            </w:r>
          </w:p>
        </w:tc>
        <w:tc>
          <w:tcPr>
            <w:tcW w:w="2600" w:type="dxa"/>
            <w:vAlign w:val="bottom"/>
          </w:tcPr>
          <w:p>
            <w:pPr>
              <w:spacing w:after="0"/>
              <w:rPr>
                <w:sz w:val="12"/>
                <w:szCs w:val="12"/>
                <w:color w:val="auto"/>
              </w:rPr>
            </w:pPr>
          </w:p>
        </w:tc>
        <w:tc>
          <w:tcPr>
            <w:tcW w:w="2160" w:type="dxa"/>
            <w:vAlign w:val="bottom"/>
            <w:gridSpan w:val="2"/>
          </w:tcPr>
          <w:p>
            <w:pPr>
              <w:jc w:val="center"/>
              <w:ind w:right="1920"/>
              <w:spacing w:after="0"/>
              <w:rPr>
                <w:sz w:val="20"/>
                <w:szCs w:val="20"/>
                <w:color w:val="auto"/>
              </w:rPr>
            </w:pPr>
            <w:r>
              <w:rPr>
                <w:rFonts w:ascii="Arial" w:cs="Arial" w:eastAsia="Arial" w:hAnsi="Arial"/>
                <w:sz w:val="12"/>
                <w:szCs w:val="12"/>
                <w:b w:val="1"/>
                <w:bCs w:val="1"/>
                <w:color w:val="auto"/>
                <w:w w:val="97"/>
              </w:rPr>
              <w:t>Title</w:t>
            </w:r>
          </w:p>
        </w:tc>
        <w:tc>
          <w:tcPr>
            <w:tcW w:w="1880" w:type="dxa"/>
            <w:vAlign w:val="bottom"/>
            <w:gridSpan w:val="2"/>
          </w:tcPr>
          <w:p>
            <w:pPr>
              <w:ind w:left="1640"/>
              <w:spacing w:after="0"/>
              <w:rPr>
                <w:sz w:val="20"/>
                <w:szCs w:val="20"/>
                <w:color w:val="auto"/>
              </w:rPr>
            </w:pPr>
            <w:r>
              <w:rPr>
                <w:rFonts w:ascii="Arial" w:cs="Arial" w:eastAsia="Arial" w:hAnsi="Arial"/>
                <w:sz w:val="12"/>
                <w:szCs w:val="12"/>
                <w:b w:val="1"/>
                <w:bCs w:val="1"/>
                <w:color w:val="auto"/>
                <w:w w:val="84"/>
              </w:rPr>
              <w:t>Date</w:t>
            </w:r>
          </w:p>
        </w:tc>
      </w:tr>
      <w:tr>
        <w:trPr>
          <w:trHeight w:val="20"/>
        </w:trPr>
        <w:tc>
          <w:tcPr>
            <w:tcW w:w="1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249"/>
        </w:trPr>
        <w:tc>
          <w:tcPr>
            <w:tcW w:w="3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i w:val="1"/>
                <w:iCs w:val="1"/>
                <w:color w:val="auto"/>
                <w:w w:val="96"/>
              </w:rPr>
              <w:t>/s/ Michael J. Nolan</w:t>
            </w:r>
          </w:p>
        </w:tc>
        <w:tc>
          <w:tcPr>
            <w:tcW w:w="4760" w:type="dxa"/>
            <w:vAlign w:val="bottom"/>
            <w:gridSpan w:val="3"/>
          </w:tcPr>
          <w:p>
            <w:pPr>
              <w:jc w:val="center"/>
              <w:ind w:left="605"/>
              <w:spacing w:after="0"/>
              <w:rPr>
                <w:sz w:val="20"/>
                <w:szCs w:val="20"/>
                <w:color w:val="auto"/>
              </w:rPr>
            </w:pPr>
            <w:r>
              <w:rPr>
                <w:rFonts w:ascii="Arial" w:cs="Arial" w:eastAsia="Arial" w:hAnsi="Arial"/>
                <w:sz w:val="15"/>
                <w:szCs w:val="15"/>
                <w:color w:val="auto"/>
                <w:w w:val="94"/>
              </w:rPr>
              <w:t>Chief Executive Officer</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3"/>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3"/>
              </w:rPr>
              <w:t>Michael J. Nolan</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4"/>
              </w:rPr>
              <w:t>(Principal Executive Officer)</w:t>
            </w: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i w:val="1"/>
                <w:iCs w:val="1"/>
                <w:color w:val="auto"/>
                <w:w w:val="95"/>
              </w:rPr>
              <w:t>/s/ Anthony J. Park</w:t>
            </w:r>
          </w:p>
        </w:tc>
        <w:tc>
          <w:tcPr>
            <w:tcW w:w="4760" w:type="dxa"/>
            <w:vAlign w:val="bottom"/>
            <w:gridSpan w:val="3"/>
          </w:tcPr>
          <w:p>
            <w:pPr>
              <w:jc w:val="center"/>
              <w:ind w:left="605"/>
              <w:spacing w:after="0"/>
              <w:rPr>
                <w:sz w:val="20"/>
                <w:szCs w:val="20"/>
                <w:color w:val="auto"/>
              </w:rPr>
            </w:pPr>
            <w:r>
              <w:rPr>
                <w:rFonts w:ascii="Arial" w:cs="Arial" w:eastAsia="Arial" w:hAnsi="Arial"/>
                <w:sz w:val="15"/>
                <w:szCs w:val="15"/>
                <w:color w:val="auto"/>
                <w:w w:val="94"/>
              </w:rPr>
              <w:t>Chief Financial Officer</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3"/>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0"/>
              </w:rPr>
              <w:t>Anthony J. Park</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3"/>
              </w:rPr>
              <w:t>(Principal Financial and Accounting Officer)</w:t>
            </w: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3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i w:val="1"/>
                <w:iCs w:val="1"/>
                <w:color w:val="auto"/>
                <w:w w:val="95"/>
              </w:rPr>
              <w:t>/s/ William P. Foley, II</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2"/>
              </w:rPr>
              <w:t>Director and Chairman of the Board</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2"/>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3"/>
              </w:rPr>
              <w:t>William P. Foley, II</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3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i w:val="1"/>
                <w:iCs w:val="1"/>
                <w:color w:val="auto"/>
                <w:w w:val="93"/>
              </w:rPr>
              <w:t>/s/ Raymond R. Quirk</w:t>
            </w:r>
          </w:p>
        </w:tc>
        <w:tc>
          <w:tcPr>
            <w:tcW w:w="4760" w:type="dxa"/>
            <w:vAlign w:val="bottom"/>
            <w:gridSpan w:val="3"/>
          </w:tcPr>
          <w:p>
            <w:pPr>
              <w:jc w:val="center"/>
              <w:ind w:left="605"/>
              <w:spacing w:after="0"/>
              <w:rPr>
                <w:sz w:val="20"/>
                <w:szCs w:val="20"/>
                <w:color w:val="auto"/>
              </w:rPr>
            </w:pPr>
            <w:r>
              <w:rPr>
                <w:rFonts w:ascii="Arial" w:cs="Arial" w:eastAsia="Arial" w:hAnsi="Arial"/>
                <w:sz w:val="15"/>
                <w:szCs w:val="15"/>
                <w:color w:val="auto"/>
                <w:w w:val="91"/>
              </w:rPr>
              <w:t>Director and Executive Vice Chairman of the Board</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2"/>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3"/>
              </w:rPr>
              <w:t>Raymond R. Quirk</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71"/>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i w:val="1"/>
                <w:iCs w:val="1"/>
                <w:color w:val="auto"/>
                <w:w w:val="93"/>
              </w:rPr>
              <w:t>/s/ Douglas K. Ammerman</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5"/>
              </w:rPr>
              <w:t>Director</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2"/>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2"/>
              </w:rPr>
              <w:t>Douglas K. Ammerman</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i w:val="1"/>
                <w:iCs w:val="1"/>
                <w:color w:val="auto"/>
                <w:w w:val="98"/>
              </w:rPr>
              <w:t>/s/ Halim Dhanidina</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5"/>
              </w:rPr>
              <w:t>Director</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2"/>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4"/>
              </w:rPr>
              <w:t>Halim Dhanidina</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3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i w:val="1"/>
                <w:iCs w:val="1"/>
                <w:color w:val="auto"/>
                <w:w w:val="93"/>
              </w:rPr>
              <w:t>/s/ Thomas M. Hagerty</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5"/>
              </w:rPr>
              <w:t>Director</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2"/>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1"/>
              </w:rPr>
              <w:t>Thomas M. Hagerty</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i w:val="1"/>
                <w:iCs w:val="1"/>
                <w:color w:val="auto"/>
                <w:w w:val="94"/>
              </w:rPr>
              <w:t>/s/ Daniel D. (Ron) Lane</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5"/>
              </w:rPr>
              <w:t>Director</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2"/>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3"/>
              </w:rPr>
              <w:t>Daniel D. (Ron) Lane</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i w:val="1"/>
                <w:iCs w:val="1"/>
                <w:color w:val="auto"/>
                <w:w w:val="95"/>
              </w:rPr>
              <w:t>/s/ Sandra D. Morgan</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5"/>
              </w:rPr>
              <w:t>Director</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2"/>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1"/>
              </w:rPr>
              <w:t>Sandra D. Morgan</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3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i w:val="1"/>
                <w:iCs w:val="1"/>
                <w:color w:val="auto"/>
                <w:w w:val="95"/>
              </w:rPr>
              <w:t>/s/ Heather H. Murren</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5"/>
              </w:rPr>
              <w:t>Director</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2"/>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3"/>
              </w:rPr>
              <w:t>Heather H. Murren</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i w:val="1"/>
                <w:iCs w:val="1"/>
                <w:color w:val="auto"/>
                <w:w w:val="93"/>
              </w:rPr>
              <w:t>/s/ John D. Rood</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5"/>
              </w:rPr>
              <w:t>Director</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2"/>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1"/>
              </w:rPr>
              <w:t>John D. Rood</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i w:val="1"/>
                <w:iCs w:val="1"/>
                <w:color w:val="auto"/>
                <w:w w:val="91"/>
              </w:rPr>
              <w:t>/s/ Peter O. Shea, Jr.</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5"/>
              </w:rPr>
              <w:t>Director</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2"/>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86"/>
              </w:rPr>
              <w:t>Peter O. Shea, Jr.</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i w:val="1"/>
                <w:iCs w:val="1"/>
                <w:color w:val="auto"/>
                <w:w w:val="93"/>
              </w:rPr>
              <w:t>/s/ Cary H. Thompson</w:t>
            </w:r>
          </w:p>
        </w:tc>
        <w:tc>
          <w:tcPr>
            <w:tcW w:w="4760" w:type="dxa"/>
            <w:vAlign w:val="bottom"/>
            <w:gridSpan w:val="3"/>
          </w:tcPr>
          <w:p>
            <w:pPr>
              <w:jc w:val="center"/>
              <w:ind w:left="625"/>
              <w:spacing w:after="0"/>
              <w:rPr>
                <w:sz w:val="20"/>
                <w:szCs w:val="20"/>
                <w:color w:val="auto"/>
              </w:rPr>
            </w:pPr>
            <w:r>
              <w:rPr>
                <w:rFonts w:ascii="Arial" w:cs="Arial" w:eastAsia="Arial" w:hAnsi="Arial"/>
                <w:sz w:val="15"/>
                <w:szCs w:val="15"/>
                <w:color w:val="auto"/>
                <w:w w:val="95"/>
              </w:rPr>
              <w:t>Director</w:t>
            </w:r>
          </w:p>
        </w:tc>
        <w:tc>
          <w:tcPr>
            <w:tcW w:w="1880" w:type="dxa"/>
            <w:vAlign w:val="bottom"/>
            <w:gridSpan w:val="2"/>
          </w:tcPr>
          <w:p>
            <w:pPr>
              <w:ind w:left="460"/>
              <w:spacing w:after="0"/>
              <w:rPr>
                <w:sz w:val="20"/>
                <w:szCs w:val="20"/>
                <w:color w:val="auto"/>
              </w:rPr>
            </w:pPr>
            <w:r>
              <w:rPr>
                <w:rFonts w:ascii="Arial" w:cs="Arial" w:eastAsia="Arial" w:hAnsi="Arial"/>
                <w:sz w:val="15"/>
                <w:szCs w:val="15"/>
                <w:color w:val="auto"/>
              </w:rPr>
              <w:t>February 25, 2022</w:t>
            </w:r>
          </w:p>
        </w:tc>
      </w:tr>
      <w:tr>
        <w:trPr>
          <w:trHeight w:val="182"/>
        </w:trPr>
        <w:tc>
          <w:tcPr>
            <w:tcW w:w="3400" w:type="dxa"/>
            <w:vAlign w:val="bottom"/>
            <w:gridSpan w:val="3"/>
          </w:tcPr>
          <w:p>
            <w:pPr>
              <w:jc w:val="center"/>
              <w:spacing w:after="0"/>
              <w:rPr>
                <w:sz w:val="20"/>
                <w:szCs w:val="20"/>
                <w:color w:val="auto"/>
              </w:rPr>
            </w:pPr>
            <w:r>
              <w:rPr>
                <w:rFonts w:ascii="Arial" w:cs="Arial" w:eastAsia="Arial" w:hAnsi="Arial"/>
                <w:sz w:val="15"/>
                <w:szCs w:val="15"/>
                <w:color w:val="auto"/>
                <w:w w:val="92"/>
              </w:rPr>
              <w:t>Cary H. Thompson</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120"/>
          </w:cols>
          <w:pgMar w:left="320" w:top="129" w:right="459" w:bottom="1440" w:gutter="0" w:footer="0" w:header="0"/>
        </w:sectPr>
      </w:pPr>
    </w:p>
    <w:bookmarkStart w:id="177" w:name="page178"/>
    <w:bookmarkEnd w:id="177"/>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80" w:type="dxa"/>
            <w:vAlign w:val="bottom"/>
            <w:vMerge w:val="restart"/>
          </w:tcPr>
          <w:p>
            <w:pPr>
              <w:jc w:val="center"/>
              <w:ind w:left="2698"/>
              <w:spacing w:after="0"/>
              <w:rPr>
                <w:sz w:val="20"/>
                <w:szCs w:val="20"/>
                <w:color w:val="auto"/>
              </w:rPr>
            </w:pPr>
            <w:r>
              <w:rPr>
                <w:rFonts w:ascii="Arial" w:cs="Arial" w:eastAsia="Arial" w:hAnsi="Arial"/>
                <w:sz w:val="15"/>
                <w:szCs w:val="15"/>
                <w:b w:val="1"/>
                <w:bCs w:val="1"/>
                <w:color w:val="auto"/>
              </w:rPr>
              <w:t>FIDELITY NATIONAL FINANCIAL, INC.</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SCHEDULE II</w:t>
            </w:r>
          </w:p>
        </w:tc>
        <w:tc>
          <w:tcPr>
            <w:tcW w:w="0" w:type="dxa"/>
            <w:vAlign w:val="bottom"/>
          </w:tcPr>
          <w:p>
            <w:pPr>
              <w:spacing w:after="0"/>
              <w:rPr>
                <w:sz w:val="1"/>
                <w:szCs w:val="1"/>
                <w:color w:val="auto"/>
              </w:rPr>
            </w:pPr>
          </w:p>
        </w:tc>
      </w:tr>
      <w:tr>
        <w:trPr>
          <w:trHeight w:val="167"/>
        </w:trPr>
        <w:tc>
          <w:tcPr>
            <w:tcW w:w="84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80" w:type="dxa"/>
            <w:vAlign w:val="bottom"/>
          </w:tcPr>
          <w:p>
            <w:pPr>
              <w:jc w:val="center"/>
              <w:ind w:left="2698"/>
              <w:spacing w:after="0"/>
              <w:rPr>
                <w:sz w:val="20"/>
                <w:szCs w:val="20"/>
                <w:color w:val="auto"/>
              </w:rPr>
            </w:pPr>
            <w:r>
              <w:rPr>
                <w:rFonts w:ascii="Arial" w:cs="Arial" w:eastAsia="Arial" w:hAnsi="Arial"/>
                <w:sz w:val="15"/>
                <w:szCs w:val="15"/>
                <w:b w:val="1"/>
                <w:bCs w:val="1"/>
                <w:color w:val="auto"/>
                <w:w w:val="92"/>
              </w:rPr>
              <w:t>(Parent Company)</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8480" w:type="dxa"/>
            <w:vAlign w:val="bottom"/>
          </w:tcPr>
          <w:p>
            <w:pPr>
              <w:jc w:val="center"/>
              <w:ind w:left="2698"/>
              <w:spacing w:after="0"/>
              <w:rPr>
                <w:sz w:val="20"/>
                <w:szCs w:val="20"/>
                <w:color w:val="auto"/>
              </w:rPr>
            </w:pPr>
            <w:r>
              <w:rPr>
                <w:rFonts w:ascii="Arial" w:cs="Arial" w:eastAsia="Arial" w:hAnsi="Arial"/>
                <w:sz w:val="15"/>
                <w:szCs w:val="15"/>
                <w:b w:val="1"/>
                <w:bCs w:val="1"/>
                <w:color w:val="auto"/>
                <w:w w:val="98"/>
              </w:rPr>
              <w:t>BALANCE SHEETS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4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480" w:type="dxa"/>
            <w:vAlign w:val="bottom"/>
          </w:tcPr>
          <w:p>
            <w:pPr>
              <w:spacing w:after="0"/>
              <w:rPr>
                <w:sz w:val="13"/>
                <w:szCs w:val="13"/>
                <w:color w:val="auto"/>
              </w:rPr>
            </w:pP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480" w:type="dxa"/>
            <w:vAlign w:val="bottom"/>
          </w:tcPr>
          <w:p>
            <w:pPr>
              <w:spacing w:after="0"/>
              <w:rPr>
                <w:sz w:val="12"/>
                <w:szCs w:val="12"/>
                <w:color w:val="auto"/>
              </w:rPr>
            </w:pPr>
          </w:p>
        </w:tc>
        <w:tc>
          <w:tcPr>
            <w:tcW w:w="2560" w:type="dxa"/>
            <w:vAlign w:val="bottom"/>
            <w:gridSpan w:val="5"/>
          </w:tcPr>
          <w:p>
            <w:pPr>
              <w:jc w:val="right"/>
              <w:ind w:right="439"/>
              <w:spacing w:after="0"/>
              <w:rPr>
                <w:sz w:val="20"/>
                <w:szCs w:val="20"/>
                <w:color w:val="auto"/>
              </w:rPr>
            </w:pPr>
            <w:r>
              <w:rPr>
                <w:rFonts w:ascii="Arial" w:cs="Arial" w:eastAsia="Arial" w:hAnsi="Arial"/>
                <w:sz w:val="12"/>
                <w:szCs w:val="12"/>
                <w:b w:val="1"/>
                <w:bCs w:val="1"/>
                <w:color w:val="auto"/>
              </w:rPr>
              <w:t>(In millions, except share data)</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5280"/>
              <w:spacing w:after="0"/>
              <w:rPr>
                <w:sz w:val="20"/>
                <w:szCs w:val="20"/>
                <w:color w:val="auto"/>
              </w:rPr>
            </w:pPr>
            <w:r>
              <w:rPr>
                <w:rFonts w:ascii="Arial" w:cs="Arial" w:eastAsia="Arial" w:hAnsi="Arial"/>
                <w:sz w:val="12"/>
                <w:szCs w:val="12"/>
                <w:b w:val="1"/>
                <w:bCs w:val="1"/>
                <w:color w:val="auto"/>
              </w:rPr>
              <w:t>ASSETS</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20"/>
                <w:szCs w:val="20"/>
                <w:color w:val="auto"/>
              </w:rPr>
            </w:pPr>
            <w:r>
              <w:rPr>
                <w:rFonts w:ascii="Arial" w:cs="Arial" w:eastAsia="Arial" w:hAnsi="Arial"/>
                <w:sz w:val="12"/>
                <w:szCs w:val="12"/>
                <w:color w:val="auto"/>
              </w:rPr>
              <w:t>Other long-term investments</w:t>
            </w: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Equity securities, at fair value</w:t>
            </w: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20"/>
                <w:szCs w:val="20"/>
                <w:color w:val="auto"/>
              </w:rPr>
            </w:pPr>
            <w:r>
              <w:rPr>
                <w:rFonts w:ascii="Arial" w:cs="Arial" w:eastAsia="Arial" w:hAnsi="Arial"/>
                <w:sz w:val="12"/>
                <w:szCs w:val="12"/>
                <w:color w:val="auto"/>
              </w:rPr>
              <w:t>Investment in unconsolidated affiliates</w:t>
            </w: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Notes receivable</w:t>
            </w: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20"/>
                <w:szCs w:val="20"/>
                <w:color w:val="auto"/>
              </w:rPr>
            </w:pPr>
            <w:r>
              <w:rPr>
                <w:rFonts w:ascii="Arial" w:cs="Arial" w:eastAsia="Arial" w:hAnsi="Arial"/>
                <w:sz w:val="12"/>
                <w:szCs w:val="12"/>
                <w:color w:val="auto"/>
              </w:rPr>
              <w:t>Investments in and amounts due from subsidiaries</w:t>
            </w: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10,215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9,646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20"/>
                <w:szCs w:val="20"/>
                <w:color w:val="auto"/>
              </w:rPr>
            </w:pPr>
            <w:r>
              <w:rPr>
                <w:rFonts w:ascii="Arial" w:cs="Arial" w:eastAsia="Arial" w:hAnsi="Arial"/>
                <w:sz w:val="12"/>
                <w:szCs w:val="12"/>
                <w:color w:val="auto"/>
              </w:rPr>
              <w:t>Prepaid expenses and other assets</w:t>
            </w: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275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Total assets</w:t>
            </w:r>
          </w:p>
        </w:tc>
        <w:tc>
          <w:tcPr>
            <w:tcW w:w="780" w:type="dxa"/>
            <w:vAlign w:val="bottom"/>
            <w:tcBorders>
              <w:bottom w:val="single" w:sz="8" w:color="auto"/>
            </w:tcBorders>
            <w:shd w:val="clear" w:color="auto" w:fill="CCEEFF"/>
          </w:tcPr>
          <w:p>
            <w:pPr>
              <w:jc w:val="right"/>
              <w:ind w:right="667"/>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12,771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11,306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8480" w:type="dxa"/>
            <w:vAlign w:val="bottom"/>
            <w:shd w:val="clear" w:color="auto" w:fill="CCEEFF"/>
          </w:tcPr>
          <w:p>
            <w:pPr>
              <w:ind w:left="4740"/>
              <w:spacing w:after="0" w:line="111" w:lineRule="exact"/>
              <w:rPr>
                <w:sz w:val="20"/>
                <w:szCs w:val="20"/>
                <w:color w:val="auto"/>
              </w:rPr>
            </w:pPr>
            <w:r>
              <w:rPr>
                <w:rFonts w:ascii="Arial" w:cs="Arial" w:eastAsia="Arial" w:hAnsi="Arial"/>
                <w:sz w:val="12"/>
                <w:szCs w:val="12"/>
                <w:b w:val="1"/>
                <w:bCs w:val="1"/>
                <w:color w:val="auto"/>
              </w:rPr>
              <w:t>LIABILITIES AND EQUITY</w:t>
            </w:r>
          </w:p>
        </w:tc>
        <w:tc>
          <w:tcPr>
            <w:tcW w:w="7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20"/>
                <w:szCs w:val="20"/>
                <w:color w:val="auto"/>
              </w:rPr>
            </w:pPr>
            <w:r>
              <w:rPr>
                <w:rFonts w:ascii="Arial" w:cs="Arial" w:eastAsia="Arial" w:hAnsi="Arial"/>
                <w:sz w:val="12"/>
                <w:szCs w:val="12"/>
                <w:color w:val="auto"/>
              </w:rPr>
              <w:t>Liabilities:</w:t>
            </w: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 and other accrued liabilities</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20"/>
                <w:szCs w:val="20"/>
                <w:color w:val="auto"/>
              </w:rPr>
            </w:pPr>
            <w:r>
              <w:rPr>
                <w:rFonts w:ascii="Arial" w:cs="Arial" w:eastAsia="Arial" w:hAnsi="Arial"/>
                <w:sz w:val="12"/>
                <w:szCs w:val="12"/>
                <w:color w:val="auto"/>
              </w:rPr>
              <w:t>Income taxes payable</w:t>
            </w: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liability</w:t>
            </w: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Notes payable</w:t>
            </w:r>
          </w:p>
        </w:tc>
        <w:tc>
          <w:tcPr>
            <w:tcW w:w="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2,519</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4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Total liabilities</w:t>
            </w: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20"/>
                <w:szCs w:val="20"/>
                <w:color w:val="auto"/>
              </w:rPr>
            </w:pPr>
            <w:r>
              <w:rPr>
                <w:rFonts w:ascii="Arial" w:cs="Arial" w:eastAsia="Arial" w:hAnsi="Arial"/>
                <w:sz w:val="12"/>
                <w:szCs w:val="12"/>
                <w:color w:val="auto"/>
              </w:rPr>
              <w:t>Equity:</w:t>
            </w: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80" w:type="dxa"/>
            <w:vAlign w:val="bottom"/>
            <w:shd w:val="clear" w:color="auto" w:fill="CCEEFF"/>
          </w:tcPr>
          <w:p>
            <w:pPr>
              <w:ind w:left="100"/>
              <w:spacing w:after="0" w:line="115" w:lineRule="exact"/>
              <w:rPr>
                <w:sz w:val="20"/>
                <w:szCs w:val="20"/>
                <w:color w:val="auto"/>
              </w:rPr>
            </w:pPr>
            <w:r>
              <w:rPr>
                <w:rFonts w:ascii="Arial" w:cs="Arial" w:eastAsia="Arial" w:hAnsi="Arial"/>
                <w:sz w:val="12"/>
                <w:szCs w:val="12"/>
                <w:color w:val="auto"/>
                <w:w w:val="90"/>
              </w:rPr>
              <w:t>FNF common stock, $0.0001 par value; authorized 600,000,000 shares as of December 31, 2021 and December 31, 2020; outstanding of 290,533,141 and 298,203,194 as of</w:t>
            </w:r>
          </w:p>
        </w:tc>
        <w:tc>
          <w:tcPr>
            <w:tcW w:w="7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4"/>
              </w:rPr>
              <w:t>December 31, 2021 and December 31, 2020, respectively, and issued of 325,486,429 and 322,622,948 as of December 31, 2021 and December 31, 2020, respectively</w:t>
            </w:r>
          </w:p>
        </w:tc>
        <w:tc>
          <w:tcPr>
            <w:tcW w:w="7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20"/>
                <w:szCs w:val="20"/>
                <w:color w:val="auto"/>
              </w:rPr>
            </w:pPr>
            <w:r>
              <w:rPr>
                <w:rFonts w:ascii="Arial" w:cs="Arial" w:eastAsia="Arial" w:hAnsi="Arial"/>
                <w:sz w:val="12"/>
                <w:szCs w:val="12"/>
                <w:color w:val="auto"/>
              </w:rPr>
              <w:t>Preferred stock, $0.0001 par value; authorized 50,000,000 shares; issued and outstanding, none</w:t>
            </w:r>
          </w:p>
        </w:tc>
        <w:tc>
          <w:tcPr>
            <w:tcW w:w="7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rPr>
                <w:sz w:val="20"/>
                <w:szCs w:val="20"/>
                <w:color w:val="auto"/>
              </w:rPr>
            </w:pPr>
            <w:r>
              <w:rPr>
                <w:rFonts w:ascii="Arial" w:cs="Arial" w:eastAsia="Arial" w:hAnsi="Arial"/>
                <w:sz w:val="12"/>
                <w:szCs w:val="12"/>
                <w:color w:val="auto"/>
              </w:rPr>
              <w:t>Retained earnings</w:t>
            </w: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4,369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2,394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earnings</w:t>
            </w: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Treasury stock, 34,953,288 shares and 24,419,754 shares as of December 31, 2021 and December 31, 2020, respectively, at cost</w:t>
            </w:r>
          </w:p>
        </w:tc>
        <w:tc>
          <w:tcPr>
            <w:tcW w:w="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(1,329)</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4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Total equity of Fidelity National Financial, Inc. common shareholders</w:t>
            </w:r>
          </w:p>
        </w:tc>
        <w:tc>
          <w:tcPr>
            <w:tcW w:w="7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9,630</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8,568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80" w:type="dxa"/>
            <w:vAlign w:val="bottom"/>
          </w:tcPr>
          <w:p>
            <w:pPr>
              <w:ind w:left="380"/>
              <w:spacing w:after="0"/>
              <w:rPr>
                <w:sz w:val="20"/>
                <w:szCs w:val="20"/>
                <w:color w:val="auto"/>
              </w:rPr>
            </w:pPr>
            <w:r>
              <w:rPr>
                <w:rFonts w:ascii="Arial" w:cs="Arial" w:eastAsia="Arial" w:hAnsi="Arial"/>
                <w:sz w:val="12"/>
                <w:szCs w:val="12"/>
                <w:color w:val="auto"/>
              </w:rPr>
              <w:t>Total liabilities and equity</w:t>
            </w:r>
          </w:p>
        </w:tc>
        <w:tc>
          <w:tcPr>
            <w:tcW w:w="780" w:type="dxa"/>
            <w:vAlign w:val="bottom"/>
            <w:tcBorders>
              <w:bottom w:val="single" w:sz="8" w:color="auto"/>
            </w:tcBorders>
          </w:tcPr>
          <w:p>
            <w:pPr>
              <w:jc w:val="right"/>
              <w:ind w:right="667"/>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12,771</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78" w:name="page179"/>
    <w:bookmarkEnd w:id="178"/>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5"/>
                <w:szCs w:val="15"/>
                <w:b w:val="1"/>
                <w:bCs w:val="1"/>
                <w:color w:val="auto"/>
              </w:rPr>
              <w:t>SCHEDULE II</w:t>
            </w:r>
          </w:p>
        </w:tc>
      </w:tr>
      <w:tr>
        <w:trPr>
          <w:trHeight w:val="370"/>
        </w:trPr>
        <w:tc>
          <w:tcPr>
            <w:tcW w:w="4080" w:type="dxa"/>
            <w:vAlign w:val="bottom"/>
          </w:tcPr>
          <w:p>
            <w:pPr>
              <w:spacing w:after="0"/>
              <w:rPr>
                <w:sz w:val="24"/>
                <w:szCs w:val="24"/>
                <w:color w:val="auto"/>
              </w:rPr>
            </w:pPr>
          </w:p>
        </w:tc>
        <w:tc>
          <w:tcPr>
            <w:tcW w:w="4180" w:type="dxa"/>
            <w:vAlign w:val="bottom"/>
            <w:gridSpan w:val="2"/>
          </w:tcPr>
          <w:p>
            <w:pPr>
              <w:jc w:val="center"/>
              <w:ind w:right="1047"/>
              <w:spacing w:after="0"/>
              <w:rPr>
                <w:sz w:val="20"/>
                <w:szCs w:val="20"/>
                <w:color w:val="auto"/>
              </w:rPr>
            </w:pPr>
            <w:r>
              <w:rPr>
                <w:rFonts w:ascii="Arial" w:cs="Arial" w:eastAsia="Arial" w:hAnsi="Arial"/>
                <w:sz w:val="15"/>
                <w:szCs w:val="15"/>
                <w:b w:val="1"/>
                <w:bCs w:val="1"/>
                <w:color w:val="auto"/>
              </w:rPr>
              <w:t>FIDELITY NATIONAL FINANCIAL, INC.</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4080" w:type="dxa"/>
            <w:vAlign w:val="bottom"/>
          </w:tcPr>
          <w:p>
            <w:pPr>
              <w:spacing w:after="0"/>
              <w:rPr>
                <w:sz w:val="16"/>
                <w:szCs w:val="16"/>
                <w:color w:val="auto"/>
              </w:rPr>
            </w:pPr>
          </w:p>
        </w:tc>
        <w:tc>
          <w:tcPr>
            <w:tcW w:w="4180" w:type="dxa"/>
            <w:vAlign w:val="bottom"/>
            <w:gridSpan w:val="2"/>
          </w:tcPr>
          <w:p>
            <w:pPr>
              <w:jc w:val="center"/>
              <w:ind w:right="1047"/>
              <w:spacing w:after="0"/>
              <w:rPr>
                <w:sz w:val="20"/>
                <w:szCs w:val="20"/>
                <w:color w:val="auto"/>
              </w:rPr>
            </w:pPr>
            <w:r>
              <w:rPr>
                <w:rFonts w:ascii="Arial" w:cs="Arial" w:eastAsia="Arial" w:hAnsi="Arial"/>
                <w:sz w:val="15"/>
                <w:szCs w:val="15"/>
                <w:b w:val="1"/>
                <w:bCs w:val="1"/>
                <w:color w:val="auto"/>
                <w:w w:val="92"/>
              </w:rPr>
              <w:t>(Parent Company)</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83"/>
        </w:trPr>
        <w:tc>
          <w:tcPr>
            <w:tcW w:w="8260" w:type="dxa"/>
            <w:vAlign w:val="bottom"/>
            <w:gridSpan w:val="3"/>
          </w:tcPr>
          <w:p>
            <w:pPr>
              <w:jc w:val="center"/>
              <w:ind w:left="2939"/>
              <w:spacing w:after="0"/>
              <w:rPr>
                <w:sz w:val="20"/>
                <w:szCs w:val="20"/>
                <w:color w:val="auto"/>
              </w:rPr>
            </w:pPr>
            <w:r>
              <w:rPr>
                <w:rFonts w:ascii="Arial" w:cs="Arial" w:eastAsia="Arial" w:hAnsi="Arial"/>
                <w:sz w:val="15"/>
                <w:szCs w:val="15"/>
                <w:b w:val="1"/>
                <w:bCs w:val="1"/>
                <w:color w:val="auto"/>
                <w:w w:val="99"/>
              </w:rPr>
              <w:t>STATEMENTS OF EARNINGS AND RETAINED EARNINGS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7"/>
        </w:trPr>
        <w:tc>
          <w:tcPr>
            <w:tcW w:w="40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3"/>
        </w:trPr>
        <w:tc>
          <w:tcPr>
            <w:tcW w:w="40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8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r>
      <w:tr>
        <w:trPr>
          <w:trHeight w:val="149"/>
        </w:trPr>
        <w:tc>
          <w:tcPr>
            <w:tcW w:w="40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0" w:type="dxa"/>
            <w:vAlign w:val="bottom"/>
            <w:gridSpan w:val="6"/>
          </w:tcPr>
          <w:p>
            <w:pPr>
              <w:jc w:val="center"/>
              <w:ind w:left="120"/>
              <w:spacing w:after="0"/>
              <w:rPr>
                <w:sz w:val="20"/>
                <w:szCs w:val="20"/>
                <w:color w:val="auto"/>
              </w:rPr>
            </w:pPr>
            <w:r>
              <w:rPr>
                <w:rFonts w:ascii="Arial" w:cs="Arial" w:eastAsia="Arial" w:hAnsi="Arial"/>
                <w:sz w:val="12"/>
                <w:szCs w:val="12"/>
                <w:b w:val="1"/>
                <w:bCs w:val="1"/>
                <w:color w:val="auto"/>
                <w:w w:val="90"/>
              </w:rPr>
              <w:t>(In millions, except per share data)</w:t>
            </w: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4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Revenues:</w:t>
            </w:r>
          </w:p>
        </w:tc>
        <w:tc>
          <w:tcPr>
            <w:tcW w:w="3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Other fees and revenue</w:t>
            </w:r>
          </w:p>
        </w:tc>
        <w:tc>
          <w:tcPr>
            <w:tcW w:w="4180" w:type="dxa"/>
            <w:vAlign w:val="bottom"/>
            <w:gridSpan w:val="2"/>
          </w:tcPr>
          <w:p>
            <w:pPr>
              <w:jc w:val="right"/>
              <w:ind w:right="667"/>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24</w:t>
            </w:r>
          </w:p>
        </w:tc>
        <w:tc>
          <w:tcPr>
            <w:tcW w:w="3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38</w:t>
            </w:r>
          </w:p>
        </w:tc>
        <w:tc>
          <w:tcPr>
            <w:tcW w:w="40" w:type="dxa"/>
            <w:vAlign w:val="bottom"/>
          </w:tcPr>
          <w:p>
            <w:pPr>
              <w:spacing w:after="0"/>
              <w:rPr>
                <w:sz w:val="13"/>
                <w:szCs w:val="13"/>
                <w:color w:val="auto"/>
              </w:rPr>
            </w:pPr>
          </w:p>
        </w:tc>
      </w:tr>
      <w:tr>
        <w:trPr>
          <w:trHeight w:val="160"/>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Interest and investment income and realized gains</w:t>
            </w:r>
          </w:p>
        </w:tc>
        <w:tc>
          <w:tcPr>
            <w:tcW w:w="3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40" w:type="dxa"/>
            <w:vAlign w:val="bottom"/>
          </w:tcPr>
          <w:p>
            <w:pPr>
              <w:spacing w:after="0"/>
              <w:rPr>
                <w:sz w:val="13"/>
                <w:szCs w:val="13"/>
                <w:color w:val="auto"/>
              </w:rPr>
            </w:pPr>
          </w:p>
        </w:tc>
      </w:tr>
      <w:tr>
        <w:trPr>
          <w:trHeight w:val="155"/>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Realized gains and losses, net</w:t>
            </w:r>
          </w:p>
        </w:tc>
        <w:tc>
          <w:tcPr>
            <w:tcW w:w="34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3"/>
                <w:szCs w:val="13"/>
                <w:color w:val="auto"/>
              </w:rPr>
            </w:pPr>
          </w:p>
        </w:tc>
      </w:tr>
      <w:tr>
        <w:trPr>
          <w:trHeight w:val="151"/>
        </w:trPr>
        <w:tc>
          <w:tcPr>
            <w:tcW w:w="4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revenues</w:t>
            </w:r>
          </w:p>
        </w:tc>
        <w:tc>
          <w:tcPr>
            <w:tcW w:w="34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40" w:type="dxa"/>
            <w:vAlign w:val="bottom"/>
          </w:tcPr>
          <w:p>
            <w:pPr>
              <w:spacing w:after="0"/>
              <w:rPr>
                <w:sz w:val="13"/>
                <w:szCs w:val="13"/>
                <w:color w:val="auto"/>
              </w:rPr>
            </w:pPr>
          </w:p>
        </w:tc>
      </w:tr>
      <w:tr>
        <w:trPr>
          <w:trHeight w:val="144"/>
        </w:trPr>
        <w:tc>
          <w:tcPr>
            <w:tcW w:w="4080" w:type="dxa"/>
            <w:vAlign w:val="bottom"/>
          </w:tcPr>
          <w:p>
            <w:pPr>
              <w:spacing w:after="0"/>
              <w:rPr>
                <w:sz w:val="20"/>
                <w:szCs w:val="20"/>
                <w:color w:val="auto"/>
              </w:rPr>
            </w:pPr>
            <w:r>
              <w:rPr>
                <w:rFonts w:ascii="Arial" w:cs="Arial" w:eastAsia="Arial" w:hAnsi="Arial"/>
                <w:sz w:val="12"/>
                <w:szCs w:val="12"/>
                <w:b w:val="1"/>
                <w:bCs w:val="1"/>
                <w:color w:val="auto"/>
              </w:rPr>
              <w:t>Expenses:</w:t>
            </w: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Personnel expenses</w:t>
            </w:r>
          </w:p>
        </w:tc>
        <w:tc>
          <w:tcPr>
            <w:tcW w:w="3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40" w:type="dxa"/>
            <w:vAlign w:val="bottom"/>
          </w:tcPr>
          <w:p>
            <w:pPr>
              <w:spacing w:after="0"/>
              <w:rPr>
                <w:sz w:val="14"/>
                <w:szCs w:val="14"/>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Other operating expenses</w:t>
            </w:r>
          </w:p>
        </w:tc>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62</w:t>
            </w:r>
          </w:p>
        </w:tc>
        <w:tc>
          <w:tcPr>
            <w:tcW w:w="40" w:type="dxa"/>
            <w:vAlign w:val="bottom"/>
          </w:tcPr>
          <w:p>
            <w:pPr>
              <w:spacing w:after="0"/>
              <w:rPr>
                <w:sz w:val="13"/>
                <w:szCs w:val="13"/>
                <w:color w:val="auto"/>
              </w:rPr>
            </w:pPr>
          </w:p>
        </w:tc>
      </w:tr>
      <w:tr>
        <w:trPr>
          <w:trHeight w:val="160"/>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34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40" w:type="dxa"/>
            <w:vAlign w:val="bottom"/>
          </w:tcPr>
          <w:p>
            <w:pPr>
              <w:spacing w:after="0"/>
              <w:rPr>
                <w:sz w:val="13"/>
                <w:szCs w:val="13"/>
                <w:color w:val="auto"/>
              </w:rPr>
            </w:pPr>
          </w:p>
        </w:tc>
      </w:tr>
      <w:tr>
        <w:trPr>
          <w:trHeight w:val="147"/>
        </w:trPr>
        <w:tc>
          <w:tcPr>
            <w:tcW w:w="40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expenses</w:t>
            </w:r>
          </w:p>
        </w:tc>
        <w:tc>
          <w:tcPr>
            <w:tcW w:w="34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w:t>
            </w:r>
          </w:p>
        </w:tc>
        <w:tc>
          <w:tcPr>
            <w:tcW w:w="40" w:type="dxa"/>
            <w:vAlign w:val="bottom"/>
          </w:tcPr>
          <w:p>
            <w:pPr>
              <w:spacing w:after="0"/>
              <w:rPr>
                <w:sz w:val="12"/>
                <w:szCs w:val="12"/>
                <w:color w:val="auto"/>
              </w:rPr>
            </w:pPr>
          </w:p>
        </w:tc>
      </w:tr>
      <w:tr>
        <w:trPr>
          <w:trHeight w:val="151"/>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Losses before income tax benefit and equity in earnings of subsidiaries</w:t>
            </w:r>
          </w:p>
        </w:tc>
        <w:tc>
          <w:tcPr>
            <w:tcW w:w="3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40" w:type="dxa"/>
            <w:vAlign w:val="bottom"/>
          </w:tcPr>
          <w:p>
            <w:pPr>
              <w:spacing w:after="0"/>
              <w:rPr>
                <w:sz w:val="13"/>
                <w:szCs w:val="13"/>
                <w:color w:val="auto"/>
              </w:rPr>
            </w:pPr>
          </w:p>
        </w:tc>
      </w:tr>
      <w:tr>
        <w:trPr>
          <w:trHeight w:val="155"/>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benefit</w:t>
            </w:r>
          </w:p>
        </w:tc>
        <w:tc>
          <w:tcPr>
            <w:tcW w:w="34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40" w:type="dxa"/>
            <w:vAlign w:val="bottom"/>
          </w:tcPr>
          <w:p>
            <w:pPr>
              <w:spacing w:after="0"/>
              <w:rPr>
                <w:sz w:val="13"/>
                <w:szCs w:val="13"/>
                <w:color w:val="auto"/>
              </w:rPr>
            </w:pPr>
          </w:p>
        </w:tc>
      </w:tr>
      <w:tr>
        <w:trPr>
          <w:trHeight w:val="151"/>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Losses before equity in earnings of subsidiaries</w:t>
            </w:r>
          </w:p>
        </w:tc>
        <w:tc>
          <w:tcPr>
            <w:tcW w:w="3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40" w:type="dxa"/>
            <w:vAlign w:val="bottom"/>
          </w:tcPr>
          <w:p>
            <w:pPr>
              <w:spacing w:after="0"/>
              <w:rPr>
                <w:sz w:val="13"/>
                <w:szCs w:val="13"/>
                <w:color w:val="auto"/>
              </w:rPr>
            </w:pPr>
          </w:p>
        </w:tc>
      </w:tr>
      <w:tr>
        <w:trPr>
          <w:trHeight w:val="155"/>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Equity in earnings of subsidiaries</w:t>
            </w:r>
          </w:p>
        </w:tc>
        <w:tc>
          <w:tcPr>
            <w:tcW w:w="34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1,141</w:t>
            </w:r>
          </w:p>
        </w:tc>
        <w:tc>
          <w:tcPr>
            <w:tcW w:w="40" w:type="dxa"/>
            <w:vAlign w:val="bottom"/>
          </w:tcPr>
          <w:p>
            <w:pPr>
              <w:spacing w:after="0"/>
              <w:rPr>
                <w:sz w:val="13"/>
                <w:szCs w:val="13"/>
                <w:color w:val="auto"/>
              </w:rPr>
            </w:pPr>
          </w:p>
        </w:tc>
      </w:tr>
      <w:tr>
        <w:trPr>
          <w:trHeight w:val="151"/>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Earnings from continuing operations</w:t>
            </w:r>
          </w:p>
        </w:tc>
        <w:tc>
          <w:tcPr>
            <w:tcW w:w="3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1,062</w:t>
            </w:r>
          </w:p>
        </w:tc>
        <w:tc>
          <w:tcPr>
            <w:tcW w:w="40" w:type="dxa"/>
            <w:vAlign w:val="bottom"/>
          </w:tcPr>
          <w:p>
            <w:pPr>
              <w:spacing w:after="0"/>
              <w:rPr>
                <w:sz w:val="13"/>
                <w:szCs w:val="13"/>
                <w:color w:val="auto"/>
              </w:rPr>
            </w:pPr>
          </w:p>
        </w:tc>
      </w:tr>
      <w:tr>
        <w:trPr>
          <w:trHeight w:val="155"/>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Equity in earnings of discontinued operations</w:t>
            </w:r>
          </w:p>
        </w:tc>
        <w:tc>
          <w:tcPr>
            <w:tcW w:w="34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r>
      <w:tr>
        <w:trPr>
          <w:trHeight w:val="176"/>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w w:val="93"/>
              </w:rPr>
              <w:t>Net earnings attributable to Fidelity National Financial, Inc. common shareholders</w:t>
            </w:r>
          </w:p>
        </w:tc>
        <w:tc>
          <w:tcPr>
            <w:tcW w:w="34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67"/>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2,422</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1,427</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1,062</w:t>
            </w:r>
          </w:p>
        </w:tc>
        <w:tc>
          <w:tcPr>
            <w:tcW w:w="40" w:type="dxa"/>
            <w:vAlign w:val="bottom"/>
          </w:tcPr>
          <w:p>
            <w:pPr>
              <w:spacing w:after="0"/>
              <w:rPr>
                <w:sz w:val="14"/>
                <w:szCs w:val="14"/>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4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8"/>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Retained earnings, beginning of year</w:t>
            </w:r>
          </w:p>
        </w:tc>
        <w:tc>
          <w:tcPr>
            <w:tcW w:w="4180" w:type="dxa"/>
            <w:vAlign w:val="bottom"/>
            <w:gridSpan w:val="2"/>
            <w:shd w:val="clear" w:color="auto" w:fill="CCEEFF"/>
          </w:tcPr>
          <w:p>
            <w:pPr>
              <w:jc w:val="right"/>
              <w:ind w:right="667"/>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w:t>
            </w:r>
          </w:p>
        </w:tc>
        <w:tc>
          <w:tcPr>
            <w:tcW w:w="40" w:type="dxa"/>
            <w:vAlign w:val="bottom"/>
          </w:tcPr>
          <w:p>
            <w:pPr>
              <w:spacing w:after="0"/>
              <w:rPr>
                <w:sz w:val="13"/>
                <w:szCs w:val="13"/>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Dividends declared</w:t>
            </w:r>
          </w:p>
        </w:tc>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(447)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(389)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(347)</w:t>
            </w:r>
          </w:p>
        </w:tc>
        <w:tc>
          <w:tcPr>
            <w:tcW w:w="40" w:type="dxa"/>
            <w:vAlign w:val="bottom"/>
          </w:tcPr>
          <w:p>
            <w:pPr>
              <w:spacing w:after="0"/>
              <w:rPr>
                <w:sz w:val="13"/>
                <w:szCs w:val="13"/>
                <w:color w:val="auto"/>
              </w:rPr>
            </w:pPr>
          </w:p>
        </w:tc>
      </w:tr>
      <w:tr>
        <w:trPr>
          <w:trHeight w:val="160"/>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w w:val="93"/>
              </w:rPr>
              <w:t>Net earnings attributable to Fidelity National Financial, Inc. common shareholders</w:t>
            </w:r>
          </w:p>
        </w:tc>
        <w:tc>
          <w:tcPr>
            <w:tcW w:w="34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1,062</w:t>
            </w:r>
          </w:p>
        </w:tc>
        <w:tc>
          <w:tcPr>
            <w:tcW w:w="40" w:type="dxa"/>
            <w:vAlign w:val="bottom"/>
          </w:tcPr>
          <w:p>
            <w:pPr>
              <w:spacing w:after="0"/>
              <w:rPr>
                <w:sz w:val="13"/>
                <w:szCs w:val="13"/>
                <w:color w:val="auto"/>
              </w:rPr>
            </w:pPr>
          </w:p>
        </w:tc>
      </w:tr>
      <w:tr>
        <w:trPr>
          <w:trHeight w:val="149"/>
        </w:trPr>
        <w:tc>
          <w:tcPr>
            <w:tcW w:w="4080" w:type="dxa"/>
            <w:vAlign w:val="bottom"/>
          </w:tcPr>
          <w:p>
            <w:pPr>
              <w:spacing w:after="0"/>
              <w:rPr>
                <w:sz w:val="20"/>
                <w:szCs w:val="20"/>
                <w:color w:val="auto"/>
              </w:rPr>
            </w:pPr>
            <w:r>
              <w:rPr>
                <w:rFonts w:ascii="Arial" w:cs="Arial" w:eastAsia="Arial" w:hAnsi="Arial"/>
                <w:sz w:val="12"/>
                <w:szCs w:val="12"/>
                <w:color w:val="auto"/>
              </w:rPr>
              <w:t>Retained earnings, end of year</w:t>
            </w:r>
          </w:p>
        </w:tc>
        <w:tc>
          <w:tcPr>
            <w:tcW w:w="3400" w:type="dxa"/>
            <w:vAlign w:val="bottom"/>
          </w:tcPr>
          <w:p>
            <w:pPr>
              <w:spacing w:after="0"/>
              <w:rPr>
                <w:sz w:val="12"/>
                <w:szCs w:val="12"/>
                <w:color w:val="auto"/>
              </w:rPr>
            </w:pPr>
          </w:p>
        </w:tc>
        <w:tc>
          <w:tcPr>
            <w:tcW w:w="780" w:type="dxa"/>
            <w:vAlign w:val="bottom"/>
            <w:tcBorders>
              <w:bottom w:val="single" w:sz="8" w:color="auto"/>
            </w:tcBorders>
          </w:tcPr>
          <w:p>
            <w:pPr>
              <w:jc w:val="right"/>
              <w:ind w:right="667"/>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4,369</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2,394</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1,356</w:t>
            </w:r>
          </w:p>
        </w:tc>
        <w:tc>
          <w:tcPr>
            <w:tcW w:w="40" w:type="dxa"/>
            <w:vAlign w:val="bottom"/>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79" w:name="page180"/>
    <w:bookmarkEnd w:id="17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80" w:type="dxa"/>
            <w:vAlign w:val="bottom"/>
          </w:tcPr>
          <w:p>
            <w:pPr>
              <w:spacing w:after="0"/>
              <w:rPr>
                <w:sz w:val="16"/>
                <w:szCs w:val="16"/>
                <w:color w:val="auto"/>
              </w:rPr>
            </w:pPr>
          </w:p>
        </w:tc>
        <w:tc>
          <w:tcPr>
            <w:tcW w:w="4540" w:type="dxa"/>
            <w:vAlign w:val="bottom"/>
            <w:gridSpan w:val="2"/>
            <w:vMerge w:val="restart"/>
          </w:tcPr>
          <w:p>
            <w:pPr>
              <w:jc w:val="center"/>
              <w:ind w:right="1400"/>
              <w:spacing w:after="0"/>
              <w:rPr>
                <w:sz w:val="20"/>
                <w:szCs w:val="20"/>
                <w:color w:val="auto"/>
              </w:rPr>
            </w:pPr>
            <w:r>
              <w:rPr>
                <w:rFonts w:ascii="Arial" w:cs="Arial" w:eastAsia="Arial" w:hAnsi="Arial"/>
                <w:sz w:val="15"/>
                <w:szCs w:val="15"/>
                <w:b w:val="1"/>
                <w:bCs w:val="1"/>
                <w:color w:val="auto"/>
              </w:rPr>
              <w:t>FIDELITY NATIONAL FINANCIAL, INC.</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b w:val="1"/>
                <w:bCs w:val="1"/>
                <w:color w:val="auto"/>
              </w:rPr>
              <w:t>SCHEDULE II</w:t>
            </w:r>
          </w:p>
        </w:tc>
        <w:tc>
          <w:tcPr>
            <w:tcW w:w="0" w:type="dxa"/>
            <w:vAlign w:val="bottom"/>
          </w:tcPr>
          <w:p>
            <w:pPr>
              <w:spacing w:after="0"/>
              <w:rPr>
                <w:sz w:val="1"/>
                <w:szCs w:val="1"/>
                <w:color w:val="auto"/>
              </w:rPr>
            </w:pPr>
          </w:p>
        </w:tc>
      </w:tr>
      <w:tr>
        <w:trPr>
          <w:trHeight w:val="167"/>
        </w:trPr>
        <w:tc>
          <w:tcPr>
            <w:tcW w:w="4080" w:type="dxa"/>
            <w:vAlign w:val="bottom"/>
          </w:tcPr>
          <w:p>
            <w:pPr>
              <w:spacing w:after="0"/>
              <w:rPr>
                <w:sz w:val="14"/>
                <w:szCs w:val="14"/>
                <w:color w:val="auto"/>
              </w:rPr>
            </w:pPr>
          </w:p>
        </w:tc>
        <w:tc>
          <w:tcPr>
            <w:tcW w:w="45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80" w:type="dxa"/>
            <w:vAlign w:val="bottom"/>
          </w:tcPr>
          <w:p>
            <w:pPr>
              <w:spacing w:after="0"/>
              <w:rPr>
                <w:sz w:val="16"/>
                <w:szCs w:val="16"/>
                <w:color w:val="auto"/>
              </w:rPr>
            </w:pPr>
          </w:p>
        </w:tc>
        <w:tc>
          <w:tcPr>
            <w:tcW w:w="4540" w:type="dxa"/>
            <w:vAlign w:val="bottom"/>
            <w:gridSpan w:val="2"/>
          </w:tcPr>
          <w:p>
            <w:pPr>
              <w:jc w:val="center"/>
              <w:ind w:right="1400"/>
              <w:spacing w:after="0"/>
              <w:rPr>
                <w:sz w:val="20"/>
                <w:szCs w:val="20"/>
                <w:color w:val="auto"/>
              </w:rPr>
            </w:pPr>
            <w:r>
              <w:rPr>
                <w:rFonts w:ascii="Arial" w:cs="Arial" w:eastAsia="Arial" w:hAnsi="Arial"/>
                <w:sz w:val="15"/>
                <w:szCs w:val="15"/>
                <w:b w:val="1"/>
                <w:bCs w:val="1"/>
                <w:color w:val="auto"/>
                <w:w w:val="92"/>
              </w:rPr>
              <w:t>(Parent Company)</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4080" w:type="dxa"/>
            <w:vAlign w:val="bottom"/>
          </w:tcPr>
          <w:p>
            <w:pPr>
              <w:spacing w:after="0"/>
              <w:rPr>
                <w:sz w:val="24"/>
                <w:szCs w:val="24"/>
                <w:color w:val="auto"/>
              </w:rPr>
            </w:pPr>
          </w:p>
        </w:tc>
        <w:tc>
          <w:tcPr>
            <w:tcW w:w="4540" w:type="dxa"/>
            <w:vAlign w:val="bottom"/>
            <w:gridSpan w:val="2"/>
          </w:tcPr>
          <w:p>
            <w:pPr>
              <w:jc w:val="center"/>
              <w:ind w:right="1400"/>
              <w:spacing w:after="0"/>
              <w:rPr>
                <w:sz w:val="20"/>
                <w:szCs w:val="20"/>
                <w:color w:val="auto"/>
              </w:rPr>
            </w:pPr>
            <w:r>
              <w:rPr>
                <w:rFonts w:ascii="Arial" w:cs="Arial" w:eastAsia="Arial" w:hAnsi="Arial"/>
                <w:sz w:val="15"/>
                <w:szCs w:val="15"/>
                <w:b w:val="1"/>
                <w:bCs w:val="1"/>
                <w:color w:val="auto"/>
                <w:w w:val="98"/>
              </w:rPr>
              <w:t>STATEMENTS OF CASH FLOWS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center"/>
              <w:ind w:left="80"/>
              <w:spacing w:after="0"/>
              <w:rPr>
                <w:sz w:val="20"/>
                <w:szCs w:val="20"/>
                <w:color w:val="auto"/>
              </w:rPr>
            </w:pPr>
            <w:r>
              <w:rPr>
                <w:rFonts w:ascii="Arial" w:cs="Arial" w:eastAsia="Arial" w:hAnsi="Arial"/>
                <w:sz w:val="12"/>
                <w:szCs w:val="12"/>
                <w:b w:val="1"/>
                <w:bCs w:val="1"/>
                <w:color w:val="auto"/>
                <w:w w:val="90"/>
              </w:rPr>
              <w:t>Year Ended December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(In millions)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Net earnings</w:t>
            </w:r>
          </w:p>
        </w:tc>
        <w:tc>
          <w:tcPr>
            <w:tcW w:w="45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2,422</w:t>
            </w:r>
          </w:p>
        </w:tc>
        <w:tc>
          <w:tcPr>
            <w:tcW w:w="10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1,427</w:t>
            </w:r>
          </w:p>
        </w:tc>
        <w:tc>
          <w:tcPr>
            <w:tcW w:w="80" w:type="dxa"/>
            <w:vAlign w:val="bottom"/>
          </w:tcPr>
          <w:p>
            <w:pPr>
              <w:spacing w:after="0"/>
              <w:rPr>
                <w:sz w:val="13"/>
                <w:szCs w:val="13"/>
                <w:color w:val="auto"/>
              </w:rPr>
            </w:pPr>
          </w:p>
        </w:tc>
        <w:tc>
          <w:tcPr>
            <w:tcW w:w="240" w:type="dxa"/>
            <w:vAlign w:val="bottom"/>
          </w:tcPr>
          <w:p>
            <w:pPr>
              <w:jc w:val="right"/>
              <w:ind w:right="95"/>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1,062</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w w:val="93"/>
              </w:rPr>
              <w:t>Adjustments to reconcile net earnings to net cash provided by operating activities:</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tcPr>
          <w:p>
            <w:pPr>
              <w:ind w:left="180"/>
              <w:spacing w:after="0"/>
              <w:rPr>
                <w:sz w:val="20"/>
                <w:szCs w:val="20"/>
                <w:color w:val="auto"/>
              </w:rPr>
            </w:pPr>
            <w:r>
              <w:rPr>
                <w:rFonts w:ascii="Arial" w:cs="Arial" w:eastAsia="Arial" w:hAnsi="Arial"/>
                <w:sz w:val="12"/>
                <w:szCs w:val="12"/>
                <w:color w:val="auto"/>
              </w:rPr>
              <w:t>Equity in earnings of unconsolidated affiliates</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Impairment of assets</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5"/>
        </w:trPr>
        <w:tc>
          <w:tcPr>
            <w:tcW w:w="4080" w:type="dxa"/>
            <w:vAlign w:val="bottom"/>
          </w:tcPr>
          <w:p>
            <w:pPr>
              <w:ind w:left="180"/>
              <w:spacing w:after="0"/>
              <w:rPr>
                <w:sz w:val="20"/>
                <w:szCs w:val="20"/>
                <w:color w:val="auto"/>
              </w:rPr>
            </w:pPr>
            <w:r>
              <w:rPr>
                <w:rFonts w:ascii="Arial" w:cs="Arial" w:eastAsia="Arial" w:hAnsi="Arial"/>
                <w:sz w:val="12"/>
                <w:szCs w:val="12"/>
                <w:color w:val="auto"/>
              </w:rPr>
              <w:t>Equity in earnings of subsidiaries</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89"/>
              </w:rPr>
              <w:t>(2,500)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(1,742)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(1,141)</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5"/>
        </w:trPr>
        <w:tc>
          <w:tcPr>
            <w:tcW w:w="4080" w:type="dxa"/>
            <w:vAlign w:val="bottom"/>
          </w:tcPr>
          <w:p>
            <w:pPr>
              <w:ind w:left="180"/>
              <w:spacing w:after="0"/>
              <w:rPr>
                <w:sz w:val="20"/>
                <w:szCs w:val="20"/>
                <w:color w:val="auto"/>
              </w:rPr>
            </w:pPr>
            <w:r>
              <w:rPr>
                <w:rFonts w:ascii="Arial" w:cs="Arial" w:eastAsia="Arial" w:hAnsi="Arial"/>
                <w:sz w:val="12"/>
                <w:szCs w:val="12"/>
                <w:color w:val="auto"/>
              </w:rPr>
              <w:t>Stock-based compensation</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change in income taxes</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5"/>
        </w:trPr>
        <w:tc>
          <w:tcPr>
            <w:tcW w:w="4080" w:type="dxa"/>
            <w:vAlign w:val="bottom"/>
          </w:tcPr>
          <w:p>
            <w:pPr>
              <w:ind w:left="180"/>
              <w:spacing w:after="0"/>
              <w:rPr>
                <w:sz w:val="20"/>
                <w:szCs w:val="20"/>
                <w:color w:val="auto"/>
              </w:rPr>
            </w:pPr>
            <w:r>
              <w:rPr>
                <w:rFonts w:ascii="Arial" w:cs="Arial" w:eastAsia="Arial" w:hAnsi="Arial"/>
                <w:sz w:val="12"/>
                <w:szCs w:val="12"/>
                <w:color w:val="auto"/>
              </w:rPr>
              <w:t>Net (increase) decrease in prepaid expenses and other assets</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increase in accounts payable and other accrued liabilities</w:t>
            </w:r>
          </w:p>
        </w:tc>
        <w:tc>
          <w:tcPr>
            <w:tcW w:w="38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147"/>
        </w:trPr>
        <w:tc>
          <w:tcPr>
            <w:tcW w:w="408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Net cash provided by (used in) operating activities</w:t>
            </w:r>
          </w:p>
        </w:tc>
        <w:tc>
          <w:tcPr>
            <w:tcW w:w="38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51"/>
        </w:trPr>
        <w:tc>
          <w:tcPr>
            <w:tcW w:w="4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Purchases of investments available for sale</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Net purchases of short-term investment activities</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Acquisition of F&amp;G (net of cash acquired)</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(1,076)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Additions to notes receivable</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Collection of notes receivable</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Distributions from unconsolidated affiliates</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Additional investments in unconsolidated affiliates</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40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Net cash used in investing activities</w:t>
            </w:r>
          </w:p>
        </w:tc>
        <w:tc>
          <w:tcPr>
            <w:tcW w:w="38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(427)</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(351)</w:t>
            </w:r>
          </w:p>
        </w:tc>
        <w:tc>
          <w:tcPr>
            <w:tcW w:w="0" w:type="dxa"/>
            <w:vAlign w:val="bottom"/>
          </w:tcPr>
          <w:p>
            <w:pPr>
              <w:spacing w:after="0"/>
              <w:rPr>
                <w:sz w:val="1"/>
                <w:szCs w:val="1"/>
                <w:color w:val="auto"/>
              </w:rPr>
            </w:pPr>
          </w:p>
        </w:tc>
      </w:tr>
      <w:tr>
        <w:trPr>
          <w:trHeight w:val="140"/>
        </w:trPr>
        <w:tc>
          <w:tcPr>
            <w:tcW w:w="408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3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Borrowings</w:t>
            </w:r>
          </w:p>
        </w:tc>
        <w:tc>
          <w:tcPr>
            <w:tcW w:w="3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Debt service payments</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Debt issuance costs</w:t>
            </w:r>
          </w:p>
        </w:tc>
        <w:tc>
          <w:tcPr>
            <w:tcW w:w="3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Dividends paid</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(389)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(344)</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Purchases of treasury stock</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Exercise of stock options</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Payment for shares withheld for taxes and in treasury</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Additional investments in non-controlling interests</w:t>
            </w: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Other financing activity</w:t>
            </w:r>
          </w:p>
        </w:tc>
        <w:tc>
          <w:tcPr>
            <w:tcW w:w="3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5"/>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dividends from subsidiaries</w:t>
            </w:r>
          </w:p>
        </w:tc>
        <w:tc>
          <w:tcPr>
            <w:tcW w:w="38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1,266</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927</w:t>
            </w:r>
          </w:p>
        </w:tc>
        <w:tc>
          <w:tcPr>
            <w:tcW w:w="0" w:type="dxa"/>
            <w:vAlign w:val="bottom"/>
          </w:tcPr>
          <w:p>
            <w:pPr>
              <w:spacing w:after="0"/>
              <w:rPr>
                <w:sz w:val="1"/>
                <w:szCs w:val="1"/>
                <w:color w:val="auto"/>
              </w:rPr>
            </w:pPr>
          </w:p>
        </w:tc>
      </w:tr>
      <w:tr>
        <w:trPr>
          <w:trHeight w:val="151"/>
        </w:trPr>
        <w:tc>
          <w:tcPr>
            <w:tcW w:w="4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cash provided by financing activities</w:t>
            </w:r>
          </w:p>
        </w:tc>
        <w:tc>
          <w:tcPr>
            <w:tcW w:w="38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831</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1,102</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147"/>
        </w:trPr>
        <w:tc>
          <w:tcPr>
            <w:tcW w:w="4080" w:type="dxa"/>
            <w:vAlign w:val="bottom"/>
          </w:tcPr>
          <w:p>
            <w:pPr>
              <w:spacing w:after="0"/>
              <w:rPr>
                <w:sz w:val="20"/>
                <w:szCs w:val="20"/>
                <w:color w:val="auto"/>
              </w:rPr>
            </w:pPr>
            <w:r>
              <w:rPr>
                <w:rFonts w:ascii="Arial" w:cs="Arial" w:eastAsia="Arial" w:hAnsi="Arial"/>
                <w:sz w:val="12"/>
                <w:szCs w:val="12"/>
                <w:color w:val="auto"/>
              </w:rPr>
              <w:t>Net change in cash and cash equivalents</w:t>
            </w:r>
          </w:p>
        </w:tc>
        <w:tc>
          <w:tcPr>
            <w:tcW w:w="3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216</w:t>
            </w:r>
          </w:p>
        </w:tc>
        <w:tc>
          <w:tcPr>
            <w:tcW w:w="0" w:type="dxa"/>
            <w:vAlign w:val="bottom"/>
          </w:tcPr>
          <w:p>
            <w:pPr>
              <w:spacing w:after="0"/>
              <w:rPr>
                <w:sz w:val="1"/>
                <w:szCs w:val="1"/>
                <w:color w:val="auto"/>
              </w:rPr>
            </w:pPr>
          </w:p>
        </w:tc>
      </w:tr>
      <w:tr>
        <w:trPr>
          <w:trHeight w:val="160"/>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Cash at beginning of year</w:t>
            </w:r>
          </w:p>
        </w:tc>
        <w:tc>
          <w:tcPr>
            <w:tcW w:w="38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975</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349</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20"/>
                <w:szCs w:val="20"/>
                <w:color w:val="auto"/>
              </w:rPr>
            </w:pPr>
            <w:r>
              <w:rPr>
                <w:rFonts w:ascii="Arial" w:cs="Arial" w:eastAsia="Arial" w:hAnsi="Arial"/>
                <w:sz w:val="12"/>
                <w:szCs w:val="12"/>
                <w:color w:val="auto"/>
              </w:rPr>
              <w:t>Cash at end of year</w:t>
            </w:r>
          </w:p>
        </w:tc>
        <w:tc>
          <w:tcPr>
            <w:tcW w:w="3880" w:type="dxa"/>
            <w:vAlign w:val="bottom"/>
          </w:tcPr>
          <w:p>
            <w:pPr>
              <w:spacing w:after="0"/>
              <w:rPr>
                <w:sz w:val="12"/>
                <w:szCs w:val="12"/>
                <w:color w:val="auto"/>
              </w:rPr>
            </w:pP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1,515</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975</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565</w:t>
            </w:r>
          </w:p>
        </w:tc>
        <w:tc>
          <w:tcPr>
            <w:tcW w:w="0" w:type="dxa"/>
            <w:vAlign w:val="bottom"/>
          </w:tcPr>
          <w:p>
            <w:pPr>
              <w:spacing w:after="0"/>
              <w:rPr>
                <w:sz w:val="1"/>
                <w:szCs w:val="1"/>
                <w:color w:val="auto"/>
              </w:rPr>
            </w:pPr>
          </w:p>
        </w:tc>
      </w:tr>
    </w:tbl>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5059680</wp:posOffset>
            </wp:positionH>
            <wp:positionV relativeFrom="paragraph">
              <wp:posOffset>-102235</wp:posOffset>
            </wp:positionV>
            <wp:extent cx="208915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2089150" cy="698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80" w:name="page181"/>
    <w:bookmarkEnd w:id="180"/>
    <w:p>
      <w:pPr>
        <w:ind w:left="1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SCHEDULE II</w:t>
      </w:r>
    </w:p>
    <w:p>
      <w:pPr>
        <w:spacing w:after="0" w:line="211"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FIDELITY NATIONAL FINANCIAL, INC.</w:t>
      </w:r>
    </w:p>
    <w:p>
      <w:pPr>
        <w:spacing w:after="0" w:line="21"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(Parent Company)</w:t>
      </w:r>
    </w:p>
    <w:p>
      <w:pPr>
        <w:spacing w:after="0" w:line="175"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NOTES TO FINANCIAL STATEMENTS</w:t>
      </w:r>
    </w:p>
    <w:p>
      <w:pPr>
        <w:spacing w:after="0" w:line="211" w:lineRule="exact"/>
        <w:rPr>
          <w:sz w:val="20"/>
          <w:szCs w:val="20"/>
          <w:color w:val="auto"/>
        </w:rPr>
      </w:pPr>
    </w:p>
    <w:p>
      <w:pPr>
        <w:ind w:left="290" w:hanging="290"/>
        <w:spacing w:after="0"/>
        <w:tabs>
          <w:tab w:leader="none" w:pos="29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91" w:lineRule="exact"/>
        <w:rPr>
          <w:sz w:val="20"/>
          <w:szCs w:val="20"/>
          <w:color w:val="auto"/>
        </w:rPr>
      </w:pPr>
    </w:p>
    <w:p>
      <w:pPr>
        <w:ind w:left="10" w:firstLine="237"/>
        <w:spacing w:after="0" w:line="274" w:lineRule="auto"/>
        <w:rPr>
          <w:sz w:val="20"/>
          <w:szCs w:val="20"/>
          <w:color w:val="auto"/>
        </w:rPr>
      </w:pPr>
      <w:r>
        <w:rPr>
          <w:rFonts w:ascii="Arial" w:cs="Arial" w:eastAsia="Arial" w:hAnsi="Arial"/>
          <w:sz w:val="15"/>
          <w:szCs w:val="15"/>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w:t>
      </w:r>
    </w:p>
    <w:p>
      <w:pPr>
        <w:spacing w:after="0" w:line="30" w:lineRule="exact"/>
        <w:rPr>
          <w:sz w:val="20"/>
          <w:szCs w:val="20"/>
          <w:color w:val="auto"/>
        </w:rPr>
      </w:pPr>
    </w:p>
    <w:p>
      <w:pPr>
        <w:ind w:left="10"/>
        <w:spacing w:after="0"/>
        <w:tabs>
          <w:tab w:leader="none" w:pos="269" w:val="left"/>
        </w:tabs>
        <w:rPr>
          <w:sz w:val="20"/>
          <w:szCs w:val="20"/>
          <w:color w:val="auto"/>
        </w:rPr>
      </w:pPr>
      <w:r>
        <w:rPr>
          <w:rFonts w:ascii="Arial" w:cs="Arial" w:eastAsia="Arial" w:hAnsi="Arial"/>
          <w:sz w:val="15"/>
          <w:szCs w:val="15"/>
          <w:b w:val="1"/>
          <w:bCs w:val="1"/>
          <w:color w:val="auto"/>
        </w:rPr>
        <w:t>B.</w:t>
      </w:r>
      <w:r>
        <w:rPr>
          <w:sz w:val="20"/>
          <w:szCs w:val="20"/>
          <w:color w:val="auto"/>
        </w:rPr>
        <w:tab/>
      </w:r>
      <w:r>
        <w:rPr>
          <w:rFonts w:ascii="Arial" w:cs="Arial" w:eastAsia="Arial" w:hAnsi="Arial"/>
          <w:sz w:val="13"/>
          <w:szCs w:val="13"/>
          <w:b w:val="1"/>
          <w:bCs w:val="1"/>
          <w:color w:val="auto"/>
        </w:rPr>
        <w:t>Notes Payable</w:t>
      </w:r>
    </w:p>
    <w:p>
      <w:pPr>
        <w:spacing w:after="0" w:line="91" w:lineRule="exact"/>
        <w:rPr>
          <w:sz w:val="20"/>
          <w:szCs w:val="20"/>
          <w:color w:val="auto"/>
        </w:rPr>
      </w:pPr>
    </w:p>
    <w:p>
      <w:pPr>
        <w:ind w:left="230"/>
        <w:spacing w:after="0"/>
        <w:rPr>
          <w:sz w:val="20"/>
          <w:szCs w:val="20"/>
          <w:color w:val="auto"/>
        </w:rPr>
      </w:pPr>
      <w:r>
        <w:rPr>
          <w:rFonts w:ascii="Arial" w:cs="Arial" w:eastAsia="Arial" w:hAnsi="Arial"/>
          <w:sz w:val="15"/>
          <w:szCs w:val="15"/>
          <w:color w:val="auto"/>
        </w:rPr>
        <w:t>Notes payable consist of the following:</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7"/>
              </w:rPr>
              <w:t>December 31,</w:t>
            </w:r>
          </w:p>
        </w:tc>
        <w:tc>
          <w:tcPr>
            <w:tcW w:w="740" w:type="dxa"/>
            <w:vAlign w:val="bottom"/>
            <w:tcBorders>
              <w:bottom w:val="single" w:sz="8" w:color="auto"/>
            </w:tcBorders>
          </w:tcPr>
          <w:p>
            <w:pPr>
              <w:spacing w:after="0"/>
              <w:rPr>
                <w:sz w:val="14"/>
                <w:szCs w:val="14"/>
                <w:color w:val="auto"/>
              </w:rPr>
            </w:pPr>
          </w:p>
        </w:tc>
      </w:tr>
      <w:tr>
        <w:trPr>
          <w:trHeight w:val="153"/>
        </w:trPr>
        <w:tc>
          <w:tcPr>
            <w:tcW w:w="894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r>
      <w:tr>
        <w:trPr>
          <w:trHeight w:val="149"/>
        </w:trPr>
        <w:tc>
          <w:tcPr>
            <w:tcW w:w="8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(In millions)</w:t>
            </w:r>
          </w:p>
        </w:tc>
        <w:tc>
          <w:tcPr>
            <w:tcW w:w="740" w:type="dxa"/>
            <w:vAlign w:val="bottom"/>
          </w:tcPr>
          <w:p>
            <w:pPr>
              <w:spacing w:after="0"/>
              <w:rPr>
                <w:sz w:val="12"/>
                <w:szCs w:val="12"/>
                <w:color w:val="auto"/>
              </w:rPr>
            </w:pPr>
          </w:p>
        </w:tc>
      </w:tr>
      <w:tr>
        <w:trPr>
          <w:trHeight w:val="158"/>
        </w:trPr>
        <w:tc>
          <w:tcPr>
            <w:tcW w:w="8940" w:type="dxa"/>
            <w:vAlign w:val="bottom"/>
            <w:shd w:val="clear" w:color="auto" w:fill="CCEEFF"/>
          </w:tcPr>
          <w:p>
            <w:pPr>
              <w:spacing w:after="0"/>
              <w:rPr>
                <w:sz w:val="20"/>
                <w:szCs w:val="20"/>
                <w:color w:val="auto"/>
              </w:rPr>
            </w:pPr>
            <w:r>
              <w:rPr>
                <w:rFonts w:ascii="Arial" w:cs="Arial" w:eastAsia="Arial" w:hAnsi="Arial"/>
                <w:sz w:val="12"/>
                <w:szCs w:val="12"/>
                <w:color w:val="auto"/>
              </w:rPr>
              <w:t>4.50% Notes, net of discount</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w:t>
            </w:r>
          </w:p>
        </w:tc>
      </w:tr>
      <w:tr>
        <w:trPr>
          <w:trHeight w:val="155"/>
        </w:trPr>
        <w:tc>
          <w:tcPr>
            <w:tcW w:w="8940" w:type="dxa"/>
            <w:vAlign w:val="bottom"/>
          </w:tcPr>
          <w:p>
            <w:pPr>
              <w:spacing w:after="0"/>
              <w:rPr>
                <w:sz w:val="20"/>
                <w:szCs w:val="20"/>
                <w:color w:val="auto"/>
              </w:rPr>
            </w:pPr>
            <w:r>
              <w:rPr>
                <w:rFonts w:ascii="Arial" w:cs="Arial" w:eastAsia="Arial" w:hAnsi="Arial"/>
                <w:sz w:val="12"/>
                <w:szCs w:val="12"/>
                <w:color w:val="auto"/>
              </w:rPr>
              <w:t>5.50% Notes, net of discount</w:t>
            </w:r>
          </w:p>
        </w:tc>
        <w:tc>
          <w:tcPr>
            <w:tcW w:w="7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399</w:t>
            </w:r>
          </w:p>
        </w:tc>
      </w:tr>
      <w:tr>
        <w:trPr>
          <w:trHeight w:val="160"/>
        </w:trPr>
        <w:tc>
          <w:tcPr>
            <w:tcW w:w="8940" w:type="dxa"/>
            <w:vAlign w:val="bottom"/>
            <w:shd w:val="clear" w:color="auto" w:fill="CCEEFF"/>
          </w:tcPr>
          <w:p>
            <w:pPr>
              <w:spacing w:after="0"/>
              <w:rPr>
                <w:sz w:val="20"/>
                <w:szCs w:val="20"/>
                <w:color w:val="auto"/>
              </w:rPr>
            </w:pPr>
            <w:r>
              <w:rPr>
                <w:rFonts w:ascii="Arial" w:cs="Arial" w:eastAsia="Arial" w:hAnsi="Arial"/>
                <w:sz w:val="12"/>
                <w:szCs w:val="12"/>
                <w:color w:val="auto"/>
              </w:rPr>
              <w:t>3.40% Notes, net of discount</w:t>
            </w: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w:t>
            </w:r>
          </w:p>
        </w:tc>
      </w:tr>
      <w:tr>
        <w:trPr>
          <w:trHeight w:val="155"/>
        </w:trPr>
        <w:tc>
          <w:tcPr>
            <w:tcW w:w="8940" w:type="dxa"/>
            <w:vAlign w:val="bottom"/>
          </w:tcPr>
          <w:p>
            <w:pPr>
              <w:spacing w:after="0"/>
              <w:rPr>
                <w:sz w:val="20"/>
                <w:szCs w:val="20"/>
                <w:color w:val="auto"/>
              </w:rPr>
            </w:pPr>
            <w:r>
              <w:rPr>
                <w:rFonts w:ascii="Arial" w:cs="Arial" w:eastAsia="Arial" w:hAnsi="Arial"/>
                <w:sz w:val="12"/>
                <w:szCs w:val="12"/>
                <w:color w:val="auto"/>
              </w:rPr>
              <w:t>2.45% Notes, net of discount</w:t>
            </w:r>
          </w:p>
        </w:tc>
        <w:tc>
          <w:tcPr>
            <w:tcW w:w="7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593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592</w:t>
            </w:r>
          </w:p>
        </w:tc>
      </w:tr>
      <w:tr>
        <w:trPr>
          <w:trHeight w:val="160"/>
        </w:trPr>
        <w:tc>
          <w:tcPr>
            <w:tcW w:w="8940" w:type="dxa"/>
            <w:vAlign w:val="bottom"/>
            <w:shd w:val="clear" w:color="auto" w:fill="CCEEFF"/>
          </w:tcPr>
          <w:p>
            <w:pPr>
              <w:spacing w:after="0"/>
              <w:rPr>
                <w:sz w:val="20"/>
                <w:szCs w:val="20"/>
                <w:color w:val="auto"/>
              </w:rPr>
            </w:pPr>
            <w:r>
              <w:rPr>
                <w:rFonts w:ascii="Arial" w:cs="Arial" w:eastAsia="Arial" w:hAnsi="Arial"/>
                <w:sz w:val="12"/>
                <w:szCs w:val="12"/>
                <w:color w:val="auto"/>
              </w:rPr>
              <w:t>3.20% Notes, net of discount</w:t>
            </w: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9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Revolving credit facility</w:t>
            </w: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r>
      <w:tr>
        <w:trPr>
          <w:trHeight w:val="174"/>
        </w:trPr>
        <w:tc>
          <w:tcPr>
            <w:tcW w:w="89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2,519</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2,072</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290" w:hanging="290"/>
        <w:spacing w:after="0"/>
        <w:tabs>
          <w:tab w:leader="none" w:pos="29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Supplemental Cash Flow Information</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2"/>
                <w:szCs w:val="12"/>
                <w:b w:val="1"/>
                <w:bCs w:val="1"/>
                <w:color w:val="auto"/>
                <w:w w:val="90"/>
              </w:rPr>
              <w:t>Year Ended December 31,</w:t>
            </w:r>
          </w:p>
        </w:tc>
        <w:tc>
          <w:tcPr>
            <w:tcW w:w="840" w:type="dxa"/>
            <w:vAlign w:val="bottom"/>
            <w:tcBorders>
              <w:bottom w:val="single" w:sz="8" w:color="auto"/>
            </w:tcBorders>
          </w:tcPr>
          <w:p>
            <w:pPr>
              <w:spacing w:after="0"/>
              <w:rPr>
                <w:sz w:val="14"/>
                <w:szCs w:val="14"/>
                <w:color w:val="auto"/>
              </w:rPr>
            </w:pPr>
          </w:p>
        </w:tc>
      </w:tr>
      <w:tr>
        <w:trPr>
          <w:trHeight w:val="153"/>
        </w:trPr>
        <w:tc>
          <w:tcPr>
            <w:tcW w:w="7760" w:type="dxa"/>
            <w:vAlign w:val="bottom"/>
          </w:tcPr>
          <w:p>
            <w:pPr>
              <w:spacing w:after="0"/>
              <w:rPr>
                <w:sz w:val="13"/>
                <w:szCs w:val="13"/>
                <w:color w:val="auto"/>
              </w:rPr>
            </w:pPr>
          </w:p>
        </w:tc>
        <w:tc>
          <w:tcPr>
            <w:tcW w:w="76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2020</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r>
      <w:tr>
        <w:trPr>
          <w:trHeight w:val="145"/>
        </w:trPr>
        <w:tc>
          <w:tcPr>
            <w:tcW w:w="7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40"/>
              <w:spacing w:after="0"/>
              <w:rPr>
                <w:sz w:val="20"/>
                <w:szCs w:val="20"/>
                <w:color w:val="auto"/>
              </w:rPr>
            </w:pPr>
            <w:r>
              <w:rPr>
                <w:rFonts w:ascii="Arial" w:cs="Arial" w:eastAsia="Arial" w:hAnsi="Arial"/>
                <w:sz w:val="12"/>
                <w:szCs w:val="12"/>
                <w:b w:val="1"/>
                <w:bCs w:val="1"/>
                <w:color w:val="auto"/>
                <w:w w:val="91"/>
              </w:rPr>
              <w:t>(In millions)</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8"/>
        </w:trPr>
        <w:tc>
          <w:tcPr>
            <w:tcW w:w="7760" w:type="dxa"/>
            <w:vAlign w:val="bottom"/>
          </w:tcPr>
          <w:p>
            <w:pPr>
              <w:spacing w:after="0"/>
              <w:rPr>
                <w:sz w:val="20"/>
                <w:szCs w:val="20"/>
                <w:color w:val="auto"/>
              </w:rPr>
            </w:pPr>
            <w:r>
              <w:rPr>
                <w:rFonts w:ascii="Arial" w:cs="Arial" w:eastAsia="Arial" w:hAnsi="Arial"/>
                <w:sz w:val="12"/>
                <w:szCs w:val="12"/>
                <w:color w:val="auto"/>
              </w:rPr>
              <w:t>Cash paid during the year:</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7760" w:type="dxa"/>
            <w:vAlign w:val="bottom"/>
            <w:shd w:val="clear" w:color="auto" w:fill="CCEEFF"/>
          </w:tcPr>
          <w:p>
            <w:pPr>
              <w:spacing w:after="0"/>
              <w:rPr>
                <w:sz w:val="20"/>
                <w:szCs w:val="20"/>
                <w:color w:val="auto"/>
              </w:rPr>
            </w:pPr>
            <w:r>
              <w:rPr>
                <w:rFonts w:ascii="Arial" w:cs="Arial" w:eastAsia="Arial" w:hAnsi="Arial"/>
                <w:sz w:val="12"/>
                <w:szCs w:val="12"/>
                <w:color w:val="auto"/>
              </w:rPr>
              <w:t>Interest paid</w:t>
            </w:r>
          </w:p>
        </w:tc>
        <w:tc>
          <w:tcPr>
            <w:tcW w:w="760" w:type="dxa"/>
            <w:vAlign w:val="bottom"/>
            <w:shd w:val="clear" w:color="auto" w:fill="CCEEFF"/>
          </w:tcPr>
          <w:p>
            <w:pPr>
              <w:jc w:val="right"/>
              <w:ind w:right="645"/>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58</w:t>
            </w: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r>
      <w:tr>
        <w:trPr>
          <w:trHeight w:val="153"/>
        </w:trPr>
        <w:tc>
          <w:tcPr>
            <w:tcW w:w="7760" w:type="dxa"/>
            <w:vAlign w:val="bottom"/>
          </w:tcPr>
          <w:p>
            <w:pPr>
              <w:spacing w:after="0"/>
              <w:rPr>
                <w:sz w:val="20"/>
                <w:szCs w:val="20"/>
                <w:color w:val="auto"/>
              </w:rPr>
            </w:pPr>
            <w:r>
              <w:rPr>
                <w:rFonts w:ascii="Arial" w:cs="Arial" w:eastAsia="Arial" w:hAnsi="Arial"/>
                <w:sz w:val="12"/>
                <w:szCs w:val="12"/>
                <w:color w:val="auto"/>
              </w:rPr>
              <w:t>Income tax payments</w:t>
            </w: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609</w:t>
            </w:r>
          </w:p>
        </w:tc>
        <w:tc>
          <w:tcPr>
            <w:tcW w:w="280" w:type="dxa"/>
            <w:vAlign w:val="bottom"/>
          </w:tcPr>
          <w:p>
            <w:pPr>
              <w:spacing w:after="0"/>
              <w:rPr>
                <w:sz w:val="13"/>
                <w:szCs w:val="13"/>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317</w:t>
            </w: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251</w:t>
            </w:r>
          </w:p>
        </w:tc>
      </w:tr>
    </w:tbl>
    <w:p>
      <w:pPr>
        <w:spacing w:after="0" w:line="80" w:lineRule="exact"/>
        <w:rPr>
          <w:sz w:val="20"/>
          <w:szCs w:val="20"/>
          <w:color w:val="auto"/>
        </w:rPr>
      </w:pPr>
    </w:p>
    <w:p>
      <w:pPr>
        <w:ind w:left="330" w:hanging="330"/>
        <w:spacing w:after="0"/>
        <w:tabs>
          <w:tab w:leader="none" w:pos="330"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Cash Dividends Received</w:t>
      </w:r>
    </w:p>
    <w:p>
      <w:pPr>
        <w:spacing w:after="0" w:line="91" w:lineRule="exact"/>
        <w:rPr>
          <w:sz w:val="20"/>
          <w:szCs w:val="20"/>
          <w:color w:val="auto"/>
        </w:rPr>
      </w:pPr>
    </w:p>
    <w:p>
      <w:pPr>
        <w:ind w:left="230"/>
        <w:spacing w:after="0"/>
        <w:rPr>
          <w:sz w:val="20"/>
          <w:szCs w:val="20"/>
          <w:color w:val="auto"/>
        </w:rPr>
      </w:pPr>
      <w:r>
        <w:rPr>
          <w:rFonts w:ascii="Arial" w:cs="Arial" w:eastAsia="Arial" w:hAnsi="Arial"/>
          <w:sz w:val="13"/>
          <w:szCs w:val="13"/>
          <w:color w:val="auto"/>
        </w:rPr>
        <w:t>We have received cash dividends from subsidiaries and affiliates of $0.6 billion, $0.5 billion, and $0.5 billion during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80580" cy="40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70"/>
          </w:cols>
          <w:pgMar w:left="310" w:top="129" w:right="319" w:bottom="1440" w:gutter="0" w:footer="0" w:header="0"/>
        </w:sectPr>
      </w:pPr>
    </w:p>
    <w:bookmarkStart w:id="181" w:name="page182"/>
    <w:bookmarkEnd w:id="18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Schedule III</w:t>
      </w:r>
    </w:p>
    <w:p>
      <w:pPr>
        <w:spacing w:after="0" w:line="75"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FIDELITY NATIONAL FINANCIAL, INC.</w:t>
      </w:r>
    </w:p>
    <w:p>
      <w:pPr>
        <w:spacing w:after="0" w:line="143"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F&amp;G Supplementary Insurance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w:t>
      </w:r>
    </w:p>
    <w:p>
      <w:pPr>
        <w:sectPr>
          <w:pgSz w:w="11900" w:h="16838" w:orient="portrait"/>
          <w:cols w:equalWidth="0" w:num="1">
            <w:col w:w="11260"/>
          </w:cols>
          <w:pgMar w:left="320" w:top="129" w:right="319" w:bottom="1440" w:gutter="0" w:footer="0" w:header="0"/>
        </w:sectPr>
      </w:pPr>
    </w:p>
    <w:p>
      <w:pPr>
        <w:spacing w:after="0" w:line="23" w:lineRule="exact"/>
        <w:rPr>
          <w:sz w:val="20"/>
          <w:szCs w:val="20"/>
          <w:color w:val="auto"/>
        </w:rPr>
      </w:pPr>
    </w:p>
    <w:p>
      <w:pPr>
        <w:jc w:val="center"/>
        <w:ind w:left="8620"/>
        <w:spacing w:after="0"/>
        <w:rPr>
          <w:sz w:val="20"/>
          <w:szCs w:val="20"/>
          <w:color w:val="auto"/>
        </w:rPr>
      </w:pPr>
      <w:r>
        <w:rPr>
          <w:rFonts w:ascii="Arial" w:cs="Arial" w:eastAsia="Arial" w:hAnsi="Arial"/>
          <w:sz w:val="12"/>
          <w:szCs w:val="12"/>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17780</wp:posOffset>
            </wp:positionV>
            <wp:extent cx="87312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873125" cy="6985"/>
                    </a:xfrm>
                    <a:prstGeom prst="rect">
                      <a:avLst/>
                    </a:prstGeom>
                    <a:noFill/>
                  </pic:spPr>
                </pic:pic>
              </a:graphicData>
            </a:graphic>
          </wp:anchor>
        </w:drawing>
      </w:r>
    </w:p>
    <w:p>
      <w:pPr>
        <w:spacing w:after="0" w:line="11" w:lineRule="exact"/>
        <w:rPr>
          <w:sz w:val="20"/>
          <w:szCs w:val="20"/>
          <w:color w:val="auto"/>
        </w:rPr>
      </w:pPr>
    </w:p>
    <w:p>
      <w:pPr>
        <w:jc w:val="center"/>
        <w:ind w:left="8620"/>
        <w:spacing w:after="0"/>
        <w:rPr>
          <w:sz w:val="20"/>
          <w:szCs w:val="20"/>
          <w:color w:val="auto"/>
        </w:rPr>
      </w:pPr>
      <w:r>
        <w:rPr>
          <w:rFonts w:ascii="Arial" w:cs="Arial" w:eastAsia="Arial" w:hAnsi="Arial"/>
          <w:sz w:val="10"/>
          <w:szCs w:val="10"/>
          <w:b w:val="1"/>
          <w:bCs w:val="1"/>
          <w:color w:val="auto"/>
        </w:rPr>
        <w:t>December 31, 2021</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0"/>
          <w:szCs w:val="10"/>
          <w:b w:val="1"/>
          <w:bCs w:val="1"/>
          <w:color w:val="auto"/>
        </w:rPr>
        <w:t>Seven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32385</wp:posOffset>
            </wp:positionV>
            <wp:extent cx="87312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873125" cy="6985"/>
                    </a:xfrm>
                    <a:prstGeom prst="rect">
                      <a:avLst/>
                    </a:prstGeom>
                    <a:noFill/>
                  </pic:spPr>
                </pic:pic>
              </a:graphicData>
            </a:graphic>
          </wp:anchor>
        </w:drawing>
      </w:r>
    </w:p>
    <w:p>
      <w:pPr>
        <w:spacing w:after="0" w:line="34"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December 31, 2020</w:t>
      </w:r>
    </w:p>
    <w:p>
      <w:pPr>
        <w:spacing w:after="0" w:line="19" w:lineRule="exact"/>
        <w:rPr>
          <w:sz w:val="20"/>
          <w:szCs w:val="20"/>
          <w:color w:val="auto"/>
        </w:rPr>
      </w:pPr>
    </w:p>
    <w:p>
      <w:pPr>
        <w:sectPr>
          <w:pgSz w:w="11900" w:h="16838" w:orient="portrait"/>
          <w:cols w:equalWidth="0" w:num="2">
            <w:col w:w="9600" w:space="420"/>
            <w:col w:w="1240"/>
          </w:cols>
          <w:pgMar w:left="32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F&amp;G Segment:</w:t>
            </w:r>
          </w:p>
        </w:tc>
        <w:tc>
          <w:tcPr>
            <w:tcW w:w="5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55"/>
        </w:trPr>
        <w:tc>
          <w:tcPr>
            <w:tcW w:w="8420" w:type="dxa"/>
            <w:vAlign w:val="bottom"/>
          </w:tcPr>
          <w:p>
            <w:pPr>
              <w:ind w:left="180"/>
              <w:spacing w:after="0"/>
              <w:rPr>
                <w:sz w:val="20"/>
                <w:szCs w:val="20"/>
                <w:color w:val="auto"/>
              </w:rPr>
            </w:pPr>
            <w:r>
              <w:rPr>
                <w:rFonts w:ascii="Arial" w:cs="Arial" w:eastAsia="Arial" w:hAnsi="Arial"/>
                <w:sz w:val="12"/>
                <w:szCs w:val="12"/>
                <w:color w:val="auto"/>
              </w:rPr>
              <w:t>Deferred acquisition costs</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761</w:t>
            </w:r>
          </w:p>
        </w:tc>
        <w:tc>
          <w:tcPr>
            <w:tcW w:w="8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222</w:t>
            </w:r>
          </w:p>
        </w:tc>
      </w:tr>
      <w:tr>
        <w:trPr>
          <w:trHeight w:val="160"/>
        </w:trPr>
        <w:tc>
          <w:tcPr>
            <w:tcW w:w="8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Future policy benefits, losses, claims and loss expenses</w:t>
            </w: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4,732</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4,010</w:t>
            </w:r>
          </w:p>
        </w:tc>
      </w:tr>
      <w:tr>
        <w:trPr>
          <w:trHeight w:val="155"/>
        </w:trPr>
        <w:tc>
          <w:tcPr>
            <w:tcW w:w="8420" w:type="dxa"/>
            <w:vAlign w:val="bottom"/>
          </w:tcPr>
          <w:p>
            <w:pPr>
              <w:ind w:left="180"/>
              <w:spacing w:after="0"/>
              <w:rPr>
                <w:sz w:val="20"/>
                <w:szCs w:val="20"/>
                <w:color w:val="auto"/>
              </w:rPr>
            </w:pPr>
            <w:r>
              <w:rPr>
                <w:rFonts w:ascii="Arial" w:cs="Arial" w:eastAsia="Arial" w:hAnsi="Arial"/>
                <w:sz w:val="12"/>
                <w:szCs w:val="12"/>
                <w:color w:val="auto"/>
              </w:rPr>
              <w:t>Other policy claims and benefits payable</w:t>
            </w:r>
          </w:p>
        </w:tc>
        <w:tc>
          <w:tcPr>
            <w:tcW w:w="5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60"/>
        </w:trPr>
        <w:tc>
          <w:tcPr>
            <w:tcW w:w="8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Life insurance premiums and other fees</w:t>
            </w: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1,395</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r>
      <w:tr>
        <w:trPr>
          <w:trHeight w:val="155"/>
        </w:trPr>
        <w:tc>
          <w:tcPr>
            <w:tcW w:w="8420" w:type="dxa"/>
            <w:vAlign w:val="bottom"/>
          </w:tcPr>
          <w:p>
            <w:pPr>
              <w:ind w:left="180"/>
              <w:spacing w:after="0"/>
              <w:rPr>
                <w:sz w:val="20"/>
                <w:szCs w:val="20"/>
                <w:color w:val="auto"/>
              </w:rPr>
            </w:pPr>
            <w:r>
              <w:rPr>
                <w:rFonts w:ascii="Arial" w:cs="Arial" w:eastAsia="Arial" w:hAnsi="Arial"/>
                <w:sz w:val="12"/>
                <w:szCs w:val="12"/>
                <w:color w:val="auto"/>
              </w:rPr>
              <w:t>Interest and investment income</w:t>
            </w:r>
          </w:p>
        </w:tc>
        <w:tc>
          <w:tcPr>
            <w:tcW w:w="5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1,852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743</w:t>
            </w:r>
          </w:p>
        </w:tc>
      </w:tr>
      <w:tr>
        <w:trPr>
          <w:trHeight w:val="160"/>
        </w:trPr>
        <w:tc>
          <w:tcPr>
            <w:tcW w:w="8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Benefits, claims, losses and settlement expenses</w:t>
            </w: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w:t>
            </w:r>
          </w:p>
        </w:tc>
      </w:tr>
      <w:tr>
        <w:trPr>
          <w:trHeight w:val="155"/>
        </w:trPr>
        <w:tc>
          <w:tcPr>
            <w:tcW w:w="8420" w:type="dxa"/>
            <w:vAlign w:val="bottom"/>
          </w:tcPr>
          <w:p>
            <w:pPr>
              <w:ind w:left="180"/>
              <w:spacing w:after="0"/>
              <w:rPr>
                <w:sz w:val="20"/>
                <w:szCs w:val="20"/>
                <w:color w:val="auto"/>
              </w:rPr>
            </w:pPr>
            <w:r>
              <w:rPr>
                <w:rFonts w:ascii="Arial" w:cs="Arial" w:eastAsia="Arial" w:hAnsi="Arial"/>
                <w:sz w:val="12"/>
                <w:szCs w:val="12"/>
                <w:color w:val="auto"/>
              </w:rPr>
              <w:t>Amortization, interest, and unlocking of deferred acquisition costs</w:t>
            </w:r>
          </w:p>
        </w:tc>
        <w:tc>
          <w:tcPr>
            <w:tcW w:w="5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60"/>
        </w:trPr>
        <w:tc>
          <w:tcPr>
            <w:tcW w:w="8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Acquisition and operating expenses, net of deferrals</w:t>
            </w: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r>
    </w:tbl>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Report of Independent Registered Public Accounting Firm.</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180580"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182" w:name="page183"/>
    <w:bookmarkEnd w:id="18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Schedule IV</w:t>
      </w:r>
    </w:p>
    <w:p>
      <w:pPr>
        <w:spacing w:after="0" w:line="143"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FIDELITY NATIONAL FINANCIAL, INC.</w:t>
      </w:r>
    </w:p>
    <w:p>
      <w:pPr>
        <w:spacing w:after="0" w:line="75" w:lineRule="exact"/>
        <w:rPr>
          <w:sz w:val="20"/>
          <w:szCs w:val="20"/>
          <w:color w:val="auto"/>
        </w:rPr>
      </w:pPr>
    </w:p>
    <w:p>
      <w:pPr>
        <w:ind w:left="5040"/>
        <w:spacing w:after="0"/>
        <w:rPr>
          <w:sz w:val="20"/>
          <w:szCs w:val="20"/>
          <w:color w:val="auto"/>
        </w:rPr>
      </w:pPr>
      <w:r>
        <w:rPr>
          <w:rFonts w:ascii="Arial" w:cs="Arial" w:eastAsia="Arial" w:hAnsi="Arial"/>
          <w:sz w:val="15"/>
          <w:szCs w:val="15"/>
          <w:b w:val="1"/>
          <w:bCs w:val="1"/>
          <w:color w:val="auto"/>
        </w:rPr>
        <w:t>F&amp;G Reinsurance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vMerge w:val="restart"/>
          </w:tcPr>
          <w:p>
            <w:pPr>
              <w:spacing w:after="0"/>
              <w:rPr>
                <w:sz w:val="20"/>
                <w:szCs w:val="20"/>
                <w:color w:val="auto"/>
              </w:rPr>
            </w:pPr>
            <w:r>
              <w:rPr>
                <w:rFonts w:ascii="Arial" w:cs="Arial" w:eastAsia="Arial" w:hAnsi="Arial"/>
                <w:sz w:val="12"/>
                <w:szCs w:val="12"/>
                <w:b w:val="1"/>
                <w:bCs w:val="1"/>
                <w:color w:val="auto"/>
              </w:rPr>
              <w:t>For the year ended December 31, 2021</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Gross Amount</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Ceded to other</w:t>
            </w:r>
          </w:p>
        </w:tc>
        <w:tc>
          <w:tcPr>
            <w:tcW w:w="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Assumed from</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Net Amount</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w w:val="87"/>
              </w:rPr>
              <w:t>Percentage of amount</w:t>
            </w:r>
          </w:p>
        </w:tc>
        <w:tc>
          <w:tcPr>
            <w:tcW w:w="0" w:type="dxa"/>
            <w:vAlign w:val="bottom"/>
          </w:tcPr>
          <w:p>
            <w:pPr>
              <w:spacing w:after="0"/>
              <w:rPr>
                <w:sz w:val="1"/>
                <w:szCs w:val="1"/>
                <w:color w:val="auto"/>
              </w:rPr>
            </w:pPr>
          </w:p>
        </w:tc>
      </w:tr>
      <w:tr>
        <w:trPr>
          <w:trHeight w:val="157"/>
        </w:trPr>
        <w:tc>
          <w:tcPr>
            <w:tcW w:w="3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companies</w:t>
            </w: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other companies</w:t>
            </w: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140" w:type="dxa"/>
            <w:vAlign w:val="bottom"/>
          </w:tcPr>
          <w:p>
            <w:pPr>
              <w:jc w:val="right"/>
              <w:ind w:right="140"/>
              <w:spacing w:after="0"/>
              <w:rPr>
                <w:sz w:val="20"/>
                <w:szCs w:val="20"/>
                <w:color w:val="auto"/>
              </w:rPr>
            </w:pPr>
            <w:r>
              <w:rPr>
                <w:rFonts w:ascii="Arial" w:cs="Arial" w:eastAsia="Arial" w:hAnsi="Arial"/>
                <w:sz w:val="12"/>
                <w:szCs w:val="12"/>
                <w:b w:val="1"/>
                <w:bCs w:val="1"/>
                <w:color w:val="auto"/>
              </w:rPr>
              <w:t>assumed of net</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20"/>
                <w:szCs w:val="20"/>
                <w:color w:val="auto"/>
              </w:rPr>
            </w:pPr>
            <w:r>
              <w:rPr>
                <w:rFonts w:ascii="Arial" w:cs="Arial" w:eastAsia="Arial" w:hAnsi="Arial"/>
                <w:sz w:val="12"/>
                <w:szCs w:val="12"/>
                <w:color w:val="auto"/>
              </w:rPr>
              <w:t>Life Insurance and PRT In-Force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4,881</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(1,682)</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3,199</w:t>
            </w:r>
          </w:p>
        </w:tc>
        <w:tc>
          <w:tcPr>
            <w:tcW w:w="12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20"/>
                <w:szCs w:val="20"/>
                <w:color w:val="auto"/>
              </w:rPr>
            </w:pPr>
            <w:r>
              <w:rPr>
                <w:rFonts w:ascii="Arial" w:cs="Arial" w:eastAsia="Arial" w:hAnsi="Arial"/>
                <w:sz w:val="12"/>
                <w:szCs w:val="12"/>
                <w:color w:val="auto"/>
              </w:rPr>
              <w:t>Premiums and other considerations:</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80" w:type="dxa"/>
            <w:vAlign w:val="bottom"/>
            <w:shd w:val="clear" w:color="auto" w:fill="CCEEFF"/>
          </w:tcPr>
          <w:p>
            <w:pPr>
              <w:spacing w:after="0"/>
              <w:rPr>
                <w:sz w:val="20"/>
                <w:szCs w:val="20"/>
                <w:color w:val="auto"/>
              </w:rPr>
            </w:pPr>
            <w:r>
              <w:rPr>
                <w:rFonts w:ascii="Arial" w:cs="Arial" w:eastAsia="Arial" w:hAnsi="Arial"/>
                <w:sz w:val="12"/>
                <w:szCs w:val="12"/>
                <w:color w:val="auto"/>
              </w:rPr>
              <w:t>Life Insurance Premiums</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5"/>
        </w:trPr>
        <w:tc>
          <w:tcPr>
            <w:tcW w:w="3980" w:type="dxa"/>
            <w:vAlign w:val="bottom"/>
          </w:tcPr>
          <w:p>
            <w:pPr>
              <w:spacing w:after="0"/>
              <w:rPr>
                <w:sz w:val="20"/>
                <w:szCs w:val="20"/>
                <w:color w:val="auto"/>
              </w:rPr>
            </w:pPr>
            <w:r>
              <w:rPr>
                <w:rFonts w:ascii="Arial" w:cs="Arial" w:eastAsia="Arial" w:hAnsi="Arial"/>
                <w:sz w:val="12"/>
                <w:szCs w:val="12"/>
                <w:color w:val="auto"/>
              </w:rPr>
              <w:t>Life-contingent PRT Premiums</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1,146</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60"/>
        </w:trPr>
        <w:tc>
          <w:tcPr>
            <w:tcW w:w="3980" w:type="dxa"/>
            <w:vAlign w:val="bottom"/>
            <w:shd w:val="clear" w:color="auto" w:fill="CCEEFF"/>
          </w:tcPr>
          <w:p>
            <w:pPr>
              <w:spacing w:after="0"/>
              <w:rPr>
                <w:sz w:val="20"/>
                <w:szCs w:val="20"/>
                <w:color w:val="auto"/>
              </w:rPr>
            </w:pPr>
            <w:r>
              <w:rPr>
                <w:rFonts w:ascii="Arial" w:cs="Arial" w:eastAsia="Arial" w:hAnsi="Arial"/>
                <w:sz w:val="12"/>
                <w:szCs w:val="12"/>
                <w:color w:val="auto"/>
              </w:rPr>
              <w:t>Annuity Product Charges</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20"/>
                <w:szCs w:val="20"/>
                <w:color w:val="auto"/>
              </w:rPr>
            </w:pPr>
            <w:r>
              <w:rPr>
                <w:rFonts w:ascii="Arial" w:cs="Arial" w:eastAsia="Arial" w:hAnsi="Arial"/>
                <w:sz w:val="12"/>
                <w:szCs w:val="12"/>
                <w:color w:val="auto"/>
              </w:rPr>
              <w:t>Total Insurance Premiums and Other Considerations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1,406</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1,218</w:t>
            </w:r>
          </w:p>
        </w:tc>
        <w:tc>
          <w:tcPr>
            <w:tcW w:w="1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980" w:type="dxa"/>
            <w:vAlign w:val="bottom"/>
            <w:vMerge w:val="restart"/>
          </w:tcPr>
          <w:p>
            <w:pPr>
              <w:spacing w:after="0"/>
              <w:rPr>
                <w:sz w:val="20"/>
                <w:szCs w:val="20"/>
                <w:color w:val="auto"/>
              </w:rPr>
            </w:pPr>
            <w:r>
              <w:rPr>
                <w:rFonts w:ascii="Arial" w:cs="Arial" w:eastAsia="Arial" w:hAnsi="Arial"/>
                <w:sz w:val="12"/>
                <w:szCs w:val="12"/>
                <w:b w:val="1"/>
                <w:bCs w:val="1"/>
                <w:color w:val="auto"/>
              </w:rPr>
              <w:t>For the seven months ended December 31, 2020</w:t>
            </w: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Gross Amount</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Ceded to other</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Assumed from</w:t>
            </w:r>
          </w:p>
        </w:tc>
        <w:tc>
          <w:tcPr>
            <w:tcW w:w="14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Net Amount</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w w:val="87"/>
              </w:rPr>
              <w:t>Percentage of amount</w:t>
            </w:r>
          </w:p>
        </w:tc>
        <w:tc>
          <w:tcPr>
            <w:tcW w:w="0" w:type="dxa"/>
            <w:vAlign w:val="bottom"/>
          </w:tcPr>
          <w:p>
            <w:pPr>
              <w:spacing w:after="0"/>
              <w:rPr>
                <w:sz w:val="1"/>
                <w:szCs w:val="1"/>
                <w:color w:val="auto"/>
              </w:rPr>
            </w:pPr>
          </w:p>
        </w:tc>
      </w:tr>
      <w:tr>
        <w:trPr>
          <w:trHeight w:val="157"/>
        </w:trPr>
        <w:tc>
          <w:tcPr>
            <w:tcW w:w="3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companies</w:t>
            </w: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other companies</w:t>
            </w: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140" w:type="dxa"/>
            <w:vAlign w:val="bottom"/>
          </w:tcPr>
          <w:p>
            <w:pPr>
              <w:jc w:val="right"/>
              <w:ind w:right="140"/>
              <w:spacing w:after="0"/>
              <w:rPr>
                <w:sz w:val="20"/>
                <w:szCs w:val="20"/>
                <w:color w:val="auto"/>
              </w:rPr>
            </w:pPr>
            <w:r>
              <w:rPr>
                <w:rFonts w:ascii="Arial" w:cs="Arial" w:eastAsia="Arial" w:hAnsi="Arial"/>
                <w:sz w:val="12"/>
                <w:szCs w:val="12"/>
                <w:b w:val="1"/>
                <w:bCs w:val="1"/>
                <w:color w:val="auto"/>
              </w:rPr>
              <w:t>assumed of net</w:t>
            </w:r>
          </w:p>
        </w:tc>
        <w:tc>
          <w:tcPr>
            <w:tcW w:w="0" w:type="dxa"/>
            <w:vAlign w:val="bottom"/>
          </w:tcPr>
          <w:p>
            <w:pPr>
              <w:spacing w:after="0"/>
              <w:rPr>
                <w:sz w:val="1"/>
                <w:szCs w:val="1"/>
                <w:color w:val="auto"/>
              </w:rPr>
            </w:pPr>
          </w:p>
        </w:tc>
      </w:tr>
      <w:tr>
        <w:trPr>
          <w:trHeight w:val="14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Life Insurance In-Force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3,892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1,828</w:t>
            </w: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25"/>
        </w:trPr>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980" w:type="dxa"/>
            <w:vAlign w:val="bottom"/>
            <w:shd w:val="clear" w:color="auto" w:fill="CCEEFF"/>
          </w:tcPr>
          <w:p>
            <w:pPr>
              <w:spacing w:after="0"/>
              <w:rPr>
                <w:sz w:val="20"/>
                <w:szCs w:val="20"/>
                <w:color w:val="auto"/>
              </w:rPr>
            </w:pPr>
            <w:r>
              <w:rPr>
                <w:rFonts w:ascii="Arial" w:cs="Arial" w:eastAsia="Arial" w:hAnsi="Arial"/>
                <w:sz w:val="12"/>
                <w:szCs w:val="12"/>
                <w:color w:val="auto"/>
              </w:rPr>
              <w:t>Premiums and other considerations:</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20"/>
                <w:szCs w:val="20"/>
                <w:color w:val="auto"/>
              </w:rPr>
            </w:pPr>
            <w:r>
              <w:rPr>
                <w:rFonts w:ascii="Arial" w:cs="Arial" w:eastAsia="Arial" w:hAnsi="Arial"/>
                <w:sz w:val="12"/>
                <w:szCs w:val="12"/>
                <w:color w:val="auto"/>
              </w:rPr>
              <w:t>Life Insurance Premiums</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60"/>
        </w:trPr>
        <w:tc>
          <w:tcPr>
            <w:tcW w:w="3980" w:type="dxa"/>
            <w:vAlign w:val="bottom"/>
            <w:shd w:val="clear" w:color="auto" w:fill="CCEEFF"/>
          </w:tcPr>
          <w:p>
            <w:pPr>
              <w:spacing w:after="0"/>
              <w:rPr>
                <w:sz w:val="20"/>
                <w:szCs w:val="20"/>
                <w:color w:val="auto"/>
              </w:rPr>
            </w:pPr>
            <w:r>
              <w:rPr>
                <w:rFonts w:ascii="Arial" w:cs="Arial" w:eastAsia="Arial" w:hAnsi="Arial"/>
                <w:sz w:val="12"/>
                <w:szCs w:val="12"/>
                <w:color w:val="auto"/>
              </w:rPr>
              <w:t>Annuity Product Charges</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20"/>
                <w:szCs w:val="20"/>
                <w:color w:val="auto"/>
              </w:rPr>
            </w:pPr>
            <w:r>
              <w:rPr>
                <w:rFonts w:ascii="Arial" w:cs="Arial" w:eastAsia="Arial" w:hAnsi="Arial"/>
                <w:sz w:val="12"/>
                <w:szCs w:val="12"/>
                <w:color w:val="auto"/>
              </w:rPr>
              <w:t>Total Insurance Premiums and Other Considerations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253</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138</w:t>
            </w:r>
          </w:p>
        </w:tc>
        <w:tc>
          <w:tcPr>
            <w:tcW w:w="1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Report of Independent Registered Public Accounting Firm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1260"/>
          </w:cols>
          <w:pgMar w:left="320" w:top="129" w:right="3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Fidelity National Financial,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Amended and Restated</w:t>
      </w:r>
    </w:p>
    <w:p>
      <w:pPr>
        <w:jc w:val="center"/>
        <w:spacing w:after="0"/>
        <w:rPr>
          <w:sz w:val="20"/>
          <w:szCs w:val="20"/>
          <w:color w:val="auto"/>
        </w:rPr>
      </w:pPr>
      <w:r>
        <w:rPr>
          <w:rFonts w:ascii="Arial" w:cs="Arial" w:eastAsia="Arial" w:hAnsi="Arial"/>
          <w:sz w:val="24"/>
          <w:szCs w:val="24"/>
          <w:b w:val="1"/>
          <w:bCs w:val="1"/>
          <w:color w:val="auto"/>
        </w:rPr>
        <w:t>2005 Omnibus Incentive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tbl>
      <w:tblPr>
        <w:tblLayout w:type="fixed"/>
        <w:tblInd w:w="10" w:type="dxa"/>
        <w:tblCellMar>
          <w:top w:w="0" w:type="dxa"/>
          <w:left w:w="0" w:type="dxa"/>
          <w:bottom w:w="0" w:type="dxa"/>
          <w:right w:w="0" w:type="dxa"/>
        </w:tblCellMar>
      </w:tblPr>
      <w:tr>
        <w:trPr>
          <w:trHeight w:val="268"/>
        </w:trPr>
        <w:tc>
          <w:tcPr>
            <w:tcW w:w="48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Grantee:</w:t>
            </w:r>
          </w:p>
        </w:tc>
        <w:tc>
          <w:tcPr>
            <w:tcW w:w="6380" w:type="dxa"/>
            <w:vAlign w:val="bottom"/>
            <w:tcBorders>
              <w:top w:val="single" w:sz="8" w:color="auto"/>
              <w:right w:val="single" w:sz="8" w:color="auto"/>
            </w:tcBorders>
          </w:tcPr>
          <w:p>
            <w:pPr>
              <w:spacing w:after="0"/>
              <w:rPr>
                <w:sz w:val="23"/>
                <w:szCs w:val="23"/>
                <w:color w:val="auto"/>
              </w:rPr>
            </w:pPr>
          </w:p>
        </w:tc>
      </w:tr>
      <w:tr>
        <w:trPr>
          <w:trHeight w:val="47"/>
        </w:trPr>
        <w:tc>
          <w:tcPr>
            <w:tcW w:w="4800" w:type="dxa"/>
            <w:vAlign w:val="bottom"/>
            <w:tcBorders>
              <w:left w:val="single" w:sz="8" w:color="auto"/>
              <w:bottom w:val="single" w:sz="8" w:color="auto"/>
              <w:right w:val="single" w:sz="8" w:color="auto"/>
            </w:tcBorders>
          </w:tcPr>
          <w:p>
            <w:pPr>
              <w:spacing w:after="0"/>
              <w:rPr>
                <w:sz w:val="4"/>
                <w:szCs w:val="4"/>
                <w:color w:val="auto"/>
              </w:rPr>
            </w:pPr>
          </w:p>
        </w:tc>
        <w:tc>
          <w:tcPr>
            <w:tcW w:w="6380" w:type="dxa"/>
            <w:vAlign w:val="bottom"/>
            <w:tcBorders>
              <w:bottom w:val="single" w:sz="8" w:color="auto"/>
              <w:right w:val="single" w:sz="8" w:color="auto"/>
            </w:tcBorders>
          </w:tcPr>
          <w:p>
            <w:pPr>
              <w:spacing w:after="0"/>
              <w:rPr>
                <w:sz w:val="4"/>
                <w:szCs w:val="4"/>
                <w:color w:val="auto"/>
              </w:rPr>
            </w:pPr>
          </w:p>
        </w:tc>
      </w:tr>
      <w:tr>
        <w:trPr>
          <w:trHeight w:val="232"/>
        </w:trPr>
        <w:tc>
          <w:tcPr>
            <w:tcW w:w="4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Number of Shares:</w:t>
            </w:r>
          </w:p>
        </w:tc>
        <w:tc>
          <w:tcPr>
            <w:tcW w:w="6380" w:type="dxa"/>
            <w:vAlign w:val="bottom"/>
            <w:tcBorders>
              <w:bottom w:val="single" w:sz="8" w:color="auto"/>
              <w:right w:val="single" w:sz="8" w:color="auto"/>
            </w:tcBorders>
          </w:tcPr>
          <w:p>
            <w:pPr>
              <w:spacing w:after="0"/>
              <w:rPr>
                <w:sz w:val="20"/>
                <w:szCs w:val="20"/>
                <w:color w:val="auto"/>
              </w:rPr>
            </w:pPr>
          </w:p>
        </w:tc>
      </w:tr>
      <w:tr>
        <w:trPr>
          <w:trHeight w:val="266"/>
        </w:trPr>
        <w:tc>
          <w:tcPr>
            <w:tcW w:w="4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Effective Date of Grant:</w:t>
            </w:r>
          </w:p>
        </w:tc>
        <w:tc>
          <w:tcPr>
            <w:tcW w:w="6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November 4, 2021</w:t>
            </w:r>
          </w:p>
        </w:tc>
      </w:tr>
      <w:tr>
        <w:trPr>
          <w:trHeight w:val="47"/>
        </w:trPr>
        <w:tc>
          <w:tcPr>
            <w:tcW w:w="4800" w:type="dxa"/>
            <w:vAlign w:val="bottom"/>
            <w:tcBorders>
              <w:left w:val="single" w:sz="8" w:color="auto"/>
              <w:bottom w:val="single" w:sz="8" w:color="auto"/>
              <w:right w:val="single" w:sz="8" w:color="auto"/>
            </w:tcBorders>
          </w:tcPr>
          <w:p>
            <w:pPr>
              <w:spacing w:after="0"/>
              <w:rPr>
                <w:sz w:val="4"/>
                <w:szCs w:val="4"/>
                <w:color w:val="auto"/>
              </w:rPr>
            </w:pPr>
          </w:p>
        </w:tc>
        <w:tc>
          <w:tcPr>
            <w:tcW w:w="6380" w:type="dxa"/>
            <w:vAlign w:val="bottom"/>
            <w:tcBorders>
              <w:bottom w:val="single" w:sz="8" w:color="auto"/>
              <w:right w:val="single" w:sz="8" w:color="auto"/>
            </w:tcBorders>
          </w:tcPr>
          <w:p>
            <w:pPr>
              <w:spacing w:after="0"/>
              <w:rPr>
                <w:sz w:val="4"/>
                <w:szCs w:val="4"/>
                <w:color w:val="auto"/>
              </w:rPr>
            </w:pPr>
          </w:p>
        </w:tc>
      </w:tr>
      <w:tr>
        <w:trPr>
          <w:trHeight w:val="205"/>
        </w:trPr>
        <w:tc>
          <w:tcPr>
            <w:tcW w:w="4800" w:type="dxa"/>
            <w:vAlign w:val="bottom"/>
            <w:tcBorders>
              <w:left w:val="single" w:sz="8" w:color="auto"/>
              <w:right w:val="single" w:sz="8" w:color="auto"/>
            </w:tcBorders>
          </w:tcPr>
          <w:p>
            <w:pPr>
              <w:ind w:left="20"/>
              <w:spacing w:after="0" w:line="206" w:lineRule="exact"/>
              <w:rPr>
                <w:sz w:val="20"/>
                <w:szCs w:val="20"/>
                <w:color w:val="auto"/>
              </w:rPr>
            </w:pPr>
            <w:r>
              <w:rPr>
                <w:rFonts w:ascii="Arial" w:cs="Arial" w:eastAsia="Arial" w:hAnsi="Arial"/>
                <w:sz w:val="18"/>
                <w:szCs w:val="18"/>
                <w:color w:val="auto"/>
              </w:rPr>
              <w:t>Vesting and Period of Restriction:</w:t>
            </w:r>
          </w:p>
        </w:tc>
        <w:tc>
          <w:tcPr>
            <w:tcW w:w="6380" w:type="dxa"/>
            <w:vAlign w:val="bottom"/>
            <w:tcBorders>
              <w:right w:val="single" w:sz="8" w:color="auto"/>
            </w:tcBorders>
          </w:tcPr>
          <w:p>
            <w:pPr>
              <w:spacing w:after="0" w:line="206" w:lineRule="exact"/>
              <w:rPr>
                <w:sz w:val="20"/>
                <w:szCs w:val="20"/>
                <w:color w:val="auto"/>
              </w:rPr>
            </w:pPr>
            <w:r>
              <w:rPr>
                <w:rFonts w:ascii="Arial" w:cs="Arial" w:eastAsia="Arial" w:hAnsi="Arial"/>
                <w:sz w:val="18"/>
                <w:szCs w:val="18"/>
                <w:color w:val="auto"/>
                <w:w w:val="93"/>
              </w:rPr>
              <w:t>Subject to the terms of the Plan and the Restricted Stock Award Agreement attached</w:t>
            </w:r>
          </w:p>
        </w:tc>
      </w:tr>
      <w:tr>
        <w:trPr>
          <w:trHeight w:val="195"/>
        </w:trPr>
        <w:tc>
          <w:tcPr>
            <w:tcW w:w="4800" w:type="dxa"/>
            <w:vAlign w:val="bottom"/>
            <w:tcBorders>
              <w:left w:val="single" w:sz="8" w:color="auto"/>
              <w:right w:val="single" w:sz="8" w:color="auto"/>
            </w:tcBorders>
          </w:tcPr>
          <w:p>
            <w:pPr>
              <w:spacing w:after="0"/>
              <w:rPr>
                <w:sz w:val="16"/>
                <w:szCs w:val="16"/>
                <w:color w:val="auto"/>
              </w:rPr>
            </w:pPr>
          </w:p>
        </w:tc>
        <w:tc>
          <w:tcPr>
            <w:tcW w:w="63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hereto, the Period of Restriction shall lapse, and the Shares shall vest and become free</w:t>
            </w:r>
          </w:p>
        </w:tc>
      </w:tr>
      <w:tr>
        <w:trPr>
          <w:trHeight w:val="203"/>
        </w:trPr>
        <w:tc>
          <w:tcPr>
            <w:tcW w:w="480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spacing w:after="0" w:line="203" w:lineRule="exact"/>
              <w:rPr>
                <w:sz w:val="20"/>
                <w:szCs w:val="20"/>
                <w:color w:val="auto"/>
              </w:rPr>
            </w:pPr>
            <w:r>
              <w:rPr>
                <w:rFonts w:ascii="Arial" w:cs="Arial" w:eastAsia="Arial" w:hAnsi="Arial"/>
                <w:sz w:val="18"/>
                <w:szCs w:val="18"/>
                <w:color w:val="auto"/>
                <w:w w:val="95"/>
              </w:rPr>
              <w:t>of the forfeiture provisions contained in the Restricted Stock Award Agreement, with</w:t>
            </w:r>
          </w:p>
        </w:tc>
      </w:tr>
      <w:tr>
        <w:trPr>
          <w:trHeight w:val="203"/>
        </w:trPr>
        <w:tc>
          <w:tcPr>
            <w:tcW w:w="480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spacing w:after="0" w:line="203" w:lineRule="exact"/>
              <w:rPr>
                <w:sz w:val="20"/>
                <w:szCs w:val="20"/>
                <w:color w:val="auto"/>
              </w:rPr>
            </w:pPr>
            <w:r>
              <w:rPr>
                <w:rFonts w:ascii="Arial" w:cs="Arial" w:eastAsia="Arial" w:hAnsi="Arial"/>
                <w:sz w:val="18"/>
                <w:szCs w:val="18"/>
                <w:color w:val="auto"/>
                <w:w w:val="90"/>
              </w:rPr>
              <w:t>respect to one third of the shares on each anniversary of the Effective Date of Grant and</w:t>
            </w:r>
          </w:p>
        </w:tc>
      </w:tr>
      <w:tr>
        <w:trPr>
          <w:trHeight w:val="203"/>
        </w:trPr>
        <w:tc>
          <w:tcPr>
            <w:tcW w:w="480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spacing w:after="0" w:line="203" w:lineRule="exact"/>
              <w:rPr>
                <w:sz w:val="20"/>
                <w:szCs w:val="20"/>
                <w:color w:val="auto"/>
              </w:rPr>
            </w:pPr>
            <w:r>
              <w:rPr>
                <w:rFonts w:ascii="Arial" w:cs="Arial" w:eastAsia="Arial" w:hAnsi="Arial"/>
                <w:sz w:val="18"/>
                <w:szCs w:val="18"/>
                <w:color w:val="auto"/>
                <w:w w:val="94"/>
              </w:rPr>
              <w:t>satisfaction of the Performance Restriction as set forth on Exhibit A of the Restricted</w:t>
            </w:r>
          </w:p>
        </w:tc>
      </w:tr>
      <w:tr>
        <w:trPr>
          <w:trHeight w:val="237"/>
        </w:trPr>
        <w:tc>
          <w:tcPr>
            <w:tcW w:w="4800" w:type="dxa"/>
            <w:vAlign w:val="bottom"/>
            <w:tcBorders>
              <w:left w:val="single" w:sz="8" w:color="auto"/>
              <w:bottom w:val="single" w:sz="8" w:color="auto"/>
              <w:right w:val="single" w:sz="8" w:color="auto"/>
            </w:tcBorders>
          </w:tcPr>
          <w:p>
            <w:pPr>
              <w:spacing w:after="0"/>
              <w:rPr>
                <w:sz w:val="20"/>
                <w:szCs w:val="20"/>
                <w:color w:val="auto"/>
              </w:rPr>
            </w:pPr>
          </w:p>
        </w:tc>
        <w:tc>
          <w:tcPr>
            <w:tcW w:w="6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Stock Award Agreement, attached hereto.</w:t>
            </w:r>
          </w:p>
        </w:tc>
      </w:tr>
    </w:tbl>
    <w:p>
      <w:pPr>
        <w:spacing w:after="0" w:line="2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008080"/>
        </w:rPr>
        <w:t>Electronic Signature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008080"/>
        </w:rPr>
        <w:t>Accepted Date</w:t>
      </w:r>
    </w:p>
    <w:p>
      <w:pPr>
        <w:sectPr>
          <w:pgSz w:w="11900" w:h="16838" w:orient="portrait"/>
          <w:cols w:equalWidth="0" w:num="1">
            <w:col w:w="11260"/>
          </w:cols>
          <w:pgMar w:left="320" w:top="973" w:right="319" w:bottom="1440" w:gutter="0" w:footer="0" w:header="0"/>
        </w:sectPr>
      </w:pPr>
    </w:p>
    <w:bookmarkStart w:id="184" w:name="page185"/>
    <w:bookmarkEnd w:id="184"/>
    <w:p>
      <w:pPr>
        <w:jc w:val="center"/>
        <w:ind w:right="280"/>
        <w:spacing w:after="0"/>
        <w:rPr>
          <w:sz w:val="20"/>
          <w:szCs w:val="20"/>
          <w:color w:val="auto"/>
        </w:rPr>
      </w:pPr>
      <w:r>
        <w:rPr>
          <w:rFonts w:ascii="Arial" w:cs="Arial" w:eastAsia="Arial" w:hAnsi="Arial"/>
          <w:sz w:val="17"/>
          <w:szCs w:val="17"/>
          <w:b w:val="1"/>
          <w:bCs w:val="1"/>
          <w:color w:val="auto"/>
        </w:rPr>
        <w:t>Fidelity National Financial, Inc.</w:t>
      </w:r>
    </w:p>
    <w:p>
      <w:pPr>
        <w:spacing w:after="0" w:line="3"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color w:val="auto"/>
        </w:rPr>
        <w:t>Amended and Restated 2005 Omnibus Incentive Plan</w:t>
      </w:r>
    </w:p>
    <w:p>
      <w:pPr>
        <w:spacing w:after="0" w:line="170"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color w:val="auto"/>
        </w:rPr>
        <w:t>Restricted Stock Award Agreement</w:t>
      </w:r>
    </w:p>
    <w:p>
      <w:pPr>
        <w:spacing w:after="0" w:line="199" w:lineRule="exact"/>
        <w:rPr>
          <w:sz w:val="20"/>
          <w:szCs w:val="20"/>
          <w:color w:val="auto"/>
        </w:rPr>
      </w:pPr>
    </w:p>
    <w:p>
      <w:pPr>
        <w:ind w:left="260" w:hanging="259"/>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7"/>
          <w:szCs w:val="17"/>
          <w:b w:val="1"/>
          <w:bCs w:val="1"/>
          <w:color w:val="auto"/>
        </w:rPr>
        <w:t>SECTION 1. GRANT OF RESTRICTED STOCK</w:t>
      </w:r>
    </w:p>
    <w:p>
      <w:pPr>
        <w:spacing w:after="0" w:line="198" w:lineRule="exact"/>
        <w:rPr>
          <w:rFonts w:ascii="Arial" w:cs="Arial" w:eastAsia="Arial" w:hAnsi="Arial"/>
          <w:sz w:val="18"/>
          <w:szCs w:val="18"/>
          <w:color w:val="auto"/>
        </w:rPr>
      </w:pPr>
    </w:p>
    <w:p>
      <w:pPr>
        <w:jc w:val="both"/>
        <w:ind w:left="820" w:hanging="279"/>
        <w:spacing w:after="0" w:line="233" w:lineRule="auto"/>
        <w:tabs>
          <w:tab w:leader="none" w:pos="813" w:val="left"/>
        </w:tabs>
        <w:numPr>
          <w:ilvl w:val="1"/>
          <w:numId w:val="57"/>
        </w:numPr>
        <w:rPr>
          <w:rFonts w:ascii="Arial" w:cs="Arial" w:eastAsia="Arial" w:hAnsi="Arial"/>
          <w:sz w:val="18"/>
          <w:szCs w:val="18"/>
          <w:color w:val="auto"/>
        </w:rPr>
      </w:pPr>
      <w:r>
        <w:rPr>
          <w:rFonts w:ascii="Arial" w:cs="Arial" w:eastAsia="Arial" w:hAnsi="Arial"/>
          <w:sz w:val="17"/>
          <w:szCs w:val="17"/>
          <w:b w:val="1"/>
          <w:bCs w:val="1"/>
          <w:color w:val="auto"/>
        </w:rPr>
        <w:t>Restricted Stock</w:t>
      </w:r>
      <w:r>
        <w:rPr>
          <w:rFonts w:ascii="Arial" w:cs="Arial" w:eastAsia="Arial" w:hAnsi="Arial"/>
          <w:sz w:val="17"/>
          <w:szCs w:val="17"/>
          <w:color w:val="auto"/>
        </w:rPr>
        <w:t>. On the terms and conditions set forth in the Notice of Restricted Stock Grant and this Restricted Stock Award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Company grants to the Grantee on the Effective Date of Grant the Shares of Restricted Stock (the “Restricted Stock”) set forth in the Notice of Restricted Stock Grant.</w:t>
      </w:r>
    </w:p>
    <w:p>
      <w:pPr>
        <w:jc w:val="both"/>
        <w:ind w:left="820" w:hanging="279"/>
        <w:spacing w:after="0" w:line="259" w:lineRule="auto"/>
        <w:tabs>
          <w:tab w:leader="none" w:pos="813" w:val="left"/>
        </w:tabs>
        <w:numPr>
          <w:ilvl w:val="1"/>
          <w:numId w:val="57"/>
        </w:numPr>
        <w:rPr>
          <w:rFonts w:ascii="Arial" w:cs="Arial" w:eastAsia="Arial" w:hAnsi="Arial"/>
          <w:sz w:val="17"/>
          <w:szCs w:val="17"/>
          <w:color w:val="auto"/>
        </w:rPr>
      </w:pPr>
      <w:r>
        <w:rPr>
          <w:rFonts w:ascii="Arial" w:cs="Arial" w:eastAsia="Arial" w:hAnsi="Arial"/>
          <w:sz w:val="16"/>
          <w:szCs w:val="16"/>
          <w:b w:val="1"/>
          <w:bCs w:val="1"/>
          <w:color w:val="auto"/>
        </w:rPr>
        <w:t>Plan and Defined Terms</w:t>
      </w:r>
      <w:r>
        <w:rPr>
          <w:rFonts w:ascii="Arial" w:cs="Arial" w:eastAsia="Arial" w:hAnsi="Arial"/>
          <w:sz w:val="16"/>
          <w:szCs w:val="16"/>
          <w:color w:val="auto"/>
        </w:rPr>
        <w:t>. The Restricted Stock is granted pursuant to the Plan. All terms, provisions, and conditions applicable to the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66" w:lineRule="exact"/>
        <w:rPr>
          <w:rFonts w:ascii="Arial" w:cs="Arial" w:eastAsia="Arial" w:hAnsi="Arial"/>
          <w:sz w:val="17"/>
          <w:szCs w:val="17"/>
          <w:color w:val="auto"/>
        </w:rPr>
      </w:pPr>
    </w:p>
    <w:p>
      <w:pPr>
        <w:ind w:left="260" w:hanging="259"/>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7"/>
          <w:szCs w:val="17"/>
          <w:b w:val="1"/>
          <w:bCs w:val="1"/>
          <w:color w:val="auto"/>
        </w:rPr>
        <w:t>SECTION 2. FORFEITURE AND TRANSFER RESTRICTIONS</w:t>
      </w:r>
    </w:p>
    <w:p>
      <w:pPr>
        <w:spacing w:after="0" w:line="198" w:lineRule="exact"/>
        <w:rPr>
          <w:rFonts w:ascii="Arial" w:cs="Arial" w:eastAsia="Arial" w:hAnsi="Arial"/>
          <w:sz w:val="18"/>
          <w:szCs w:val="18"/>
          <w:color w:val="auto"/>
        </w:rPr>
      </w:pPr>
    </w:p>
    <w:p>
      <w:pPr>
        <w:ind w:left="820" w:right="20" w:hanging="279"/>
        <w:spacing w:after="0" w:line="239" w:lineRule="auto"/>
        <w:tabs>
          <w:tab w:leader="none" w:pos="813" w:val="left"/>
        </w:tabs>
        <w:numPr>
          <w:ilvl w:val="1"/>
          <w:numId w:val="57"/>
        </w:numPr>
        <w:rPr>
          <w:rFonts w:ascii="Arial" w:cs="Arial" w:eastAsia="Arial" w:hAnsi="Arial"/>
          <w:sz w:val="18"/>
          <w:szCs w:val="18"/>
          <w:color w:val="auto"/>
        </w:rPr>
      </w:pPr>
      <w:r>
        <w:rPr>
          <w:rFonts w:ascii="Arial" w:cs="Arial" w:eastAsia="Arial" w:hAnsi="Arial"/>
          <w:sz w:val="17"/>
          <w:szCs w:val="17"/>
          <w:b w:val="1"/>
          <w:bCs w:val="1"/>
          <w:color w:val="auto"/>
        </w:rPr>
        <w:t>Forfeiture</w:t>
      </w:r>
      <w:r>
        <w:rPr>
          <w:rFonts w:ascii="Arial" w:cs="Arial" w:eastAsia="Arial" w:hAnsi="Arial"/>
          <w:sz w:val="17"/>
          <w:szCs w:val="17"/>
          <w:color w:val="auto"/>
        </w:rPr>
        <w:t>. Except as otherwise provided in Grantee’s employment, director services or similar agreement in effect at the time of the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w:t>
      </w:r>
    </w:p>
    <w:p>
      <w:pPr>
        <w:jc w:val="both"/>
        <w:ind w:left="1360" w:hanging="368"/>
        <w:spacing w:after="0" w:line="226" w:lineRule="auto"/>
        <w:tabs>
          <w:tab w:leader="none" w:pos="1360" w:val="left"/>
        </w:tabs>
        <w:numPr>
          <w:ilvl w:val="2"/>
          <w:numId w:val="57"/>
        </w:numPr>
        <w:rPr>
          <w:rFonts w:ascii="Arial" w:cs="Arial" w:eastAsia="Arial" w:hAnsi="Arial"/>
          <w:sz w:val="18"/>
          <w:szCs w:val="18"/>
          <w:color w:val="auto"/>
        </w:rPr>
      </w:pPr>
      <w:r>
        <w:rPr>
          <w:rFonts w:ascii="Arial" w:cs="Arial" w:eastAsia="Arial" w:hAnsi="Arial"/>
          <w:sz w:val="17"/>
          <w:szCs w:val="17"/>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jc w:val="both"/>
        <w:ind w:left="1360" w:hanging="408"/>
        <w:spacing w:after="0" w:line="265" w:lineRule="auto"/>
        <w:tabs>
          <w:tab w:leader="none" w:pos="1360" w:val="left"/>
        </w:tabs>
        <w:numPr>
          <w:ilvl w:val="2"/>
          <w:numId w:val="57"/>
        </w:numPr>
        <w:rPr>
          <w:rFonts w:ascii="Arial" w:cs="Arial" w:eastAsia="Arial" w:hAnsi="Arial"/>
          <w:sz w:val="16"/>
          <w:szCs w:val="16"/>
          <w:color w:val="auto"/>
        </w:rPr>
      </w:pPr>
      <w:r>
        <w:rPr>
          <w:rFonts w:ascii="Arial" w:cs="Arial" w:eastAsia="Arial" w:hAnsi="Arial"/>
          <w:sz w:val="15"/>
          <w:szCs w:val="15"/>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16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(A x B) – C, where</w:t>
      </w:r>
    </w:p>
    <w:p>
      <w:pPr>
        <w:spacing w:after="0" w:line="188"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A = the total number of Shares granted under this Agreement,</w:t>
      </w:r>
    </w:p>
    <w:p>
      <w:pPr>
        <w:spacing w:after="0" w:line="188"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B = the number of completed months to the date of termination of employment since the Effective Date of Grant divided by 36, and</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8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185" w:lineRule="exact"/>
        <w:rPr>
          <w:sz w:val="20"/>
          <w:szCs w:val="20"/>
          <w:color w:val="auto"/>
        </w:rPr>
      </w:pPr>
    </w:p>
    <w:p>
      <w:pPr>
        <w:jc w:val="both"/>
        <w:ind w:left="1360" w:hanging="448"/>
        <w:spacing w:after="0" w:line="243" w:lineRule="auto"/>
        <w:tabs>
          <w:tab w:leader="none" w:pos="1360" w:val="left"/>
        </w:tabs>
        <w:numPr>
          <w:ilvl w:val="0"/>
          <w:numId w:val="58"/>
        </w:numPr>
        <w:rPr>
          <w:rFonts w:ascii="Arial" w:cs="Arial" w:eastAsia="Arial" w:hAnsi="Arial"/>
          <w:sz w:val="18"/>
          <w:szCs w:val="18"/>
          <w:color w:val="auto"/>
        </w:rPr>
      </w:pPr>
      <w:r>
        <w:rPr>
          <w:rFonts w:ascii="Arial" w:cs="Arial" w:eastAsia="Arial" w:hAnsi="Arial"/>
          <w:sz w:val="17"/>
          <w:szCs w:val="17"/>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w:t>
      </w:r>
    </w:p>
    <w:p>
      <w:pPr>
        <w:sectPr>
          <w:pgSz w:w="11900" w:h="16838" w:orient="portrait"/>
          <w:cols w:equalWidth="0" w:num="1">
            <w:col w:w="11000"/>
          </w:cols>
          <w:pgMar w:left="580" w:top="763" w:right="319" w:bottom="1440" w:gutter="0" w:footer="0" w:header="0"/>
        </w:sectPr>
      </w:pPr>
    </w:p>
    <w:bookmarkStart w:id="185" w:name="page186"/>
    <w:bookmarkEnd w:id="185"/>
    <w:p>
      <w:pPr>
        <w:ind w:left="1620"/>
        <w:spacing w:after="0" w:line="227" w:lineRule="auto"/>
        <w:rPr>
          <w:sz w:val="20"/>
          <w:szCs w:val="20"/>
          <w:color w:val="auto"/>
        </w:rPr>
      </w:pPr>
      <w:r>
        <w:rPr>
          <w:rFonts w:ascii="Arial" w:cs="Arial" w:eastAsia="Arial" w:hAnsi="Arial"/>
          <w:sz w:val="17"/>
          <w:szCs w:val="17"/>
          <w:color w:val="auto"/>
        </w:rPr>
        <w:t>with the Company or any Subsidiary, the term “Disability” shall mean the Grantee’s entitlement to long-term disability benefits pursuant to the long-term disability plan maintained by the Company or in which the Company’s employees participate.</w:t>
      </w:r>
    </w:p>
    <w:p>
      <w:pPr>
        <w:spacing w:after="0" w:line="2" w:lineRule="exact"/>
        <w:rPr>
          <w:sz w:val="20"/>
          <w:szCs w:val="20"/>
          <w:color w:val="auto"/>
        </w:rPr>
      </w:pPr>
    </w:p>
    <w:p>
      <w:pPr>
        <w:ind w:left="1620" w:right="20" w:hanging="458"/>
        <w:spacing w:after="0" w:line="236" w:lineRule="auto"/>
        <w:tabs>
          <w:tab w:leader="none" w:pos="1607" w:val="left"/>
        </w:tabs>
        <w:numPr>
          <w:ilvl w:val="2"/>
          <w:numId w:val="59"/>
        </w:numPr>
        <w:rPr>
          <w:rFonts w:ascii="Arial" w:cs="Arial" w:eastAsia="Arial" w:hAnsi="Arial"/>
          <w:sz w:val="18"/>
          <w:szCs w:val="18"/>
          <w:color w:val="auto"/>
        </w:rPr>
      </w:pPr>
      <w:r>
        <w:rPr>
          <w:rFonts w:ascii="Arial" w:cs="Arial" w:eastAsia="Arial" w:hAnsi="Arial"/>
          <w:sz w:val="17"/>
          <w:szCs w:val="17"/>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 w:lineRule="exact"/>
        <w:rPr>
          <w:rFonts w:ascii="Arial" w:cs="Arial" w:eastAsia="Arial" w:hAnsi="Arial"/>
          <w:sz w:val="18"/>
          <w:szCs w:val="18"/>
          <w:color w:val="auto"/>
        </w:rPr>
      </w:pPr>
    </w:p>
    <w:p>
      <w:pPr>
        <w:ind w:left="1080" w:hanging="279"/>
        <w:spacing w:after="0" w:line="228" w:lineRule="auto"/>
        <w:tabs>
          <w:tab w:leader="none" w:pos="1073" w:val="left"/>
        </w:tabs>
        <w:numPr>
          <w:ilvl w:val="1"/>
          <w:numId w:val="60"/>
        </w:numPr>
        <w:rPr>
          <w:rFonts w:ascii="Arial" w:cs="Arial" w:eastAsia="Arial" w:hAnsi="Arial"/>
          <w:sz w:val="18"/>
          <w:szCs w:val="18"/>
          <w:color w:val="auto"/>
        </w:rPr>
      </w:pPr>
      <w:r>
        <w:rPr>
          <w:rFonts w:ascii="Arial" w:cs="Arial" w:eastAsia="Arial" w:hAnsi="Arial"/>
          <w:sz w:val="17"/>
          <w:szCs w:val="17"/>
          <w:b w:val="1"/>
          <w:bCs w:val="1"/>
          <w:color w:val="auto"/>
        </w:rPr>
        <w:t>Transfer Restrictions</w:t>
      </w:r>
      <w:r>
        <w:rPr>
          <w:rFonts w:ascii="Arial" w:cs="Arial" w:eastAsia="Arial" w:hAnsi="Arial"/>
          <w:sz w:val="17"/>
          <w:szCs w:val="17"/>
          <w:color w:val="auto"/>
        </w:rPr>
        <w:t>. During the Period of Restriction, the Restricted Stock may not be sold, assigned, pledged, exchanged, hypothecated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encumbered or disposed of, to the extent such Shares are subject to a Period of Restriction.</w:t>
      </w:r>
    </w:p>
    <w:p>
      <w:pPr>
        <w:jc w:val="both"/>
        <w:ind w:left="1080" w:hanging="279"/>
        <w:spacing w:after="0" w:line="239" w:lineRule="auto"/>
        <w:tabs>
          <w:tab w:leader="none" w:pos="1074" w:val="left"/>
        </w:tabs>
        <w:numPr>
          <w:ilvl w:val="1"/>
          <w:numId w:val="60"/>
        </w:numPr>
        <w:rPr>
          <w:rFonts w:ascii="Arial" w:cs="Arial" w:eastAsia="Arial" w:hAnsi="Arial"/>
          <w:sz w:val="17"/>
          <w:szCs w:val="17"/>
          <w:color w:val="auto"/>
        </w:rPr>
      </w:pPr>
      <w:r>
        <w:rPr>
          <w:rFonts w:ascii="Arial" w:cs="Arial" w:eastAsia="Arial" w:hAnsi="Arial"/>
          <w:sz w:val="16"/>
          <w:szCs w:val="16"/>
          <w:b w:val="1"/>
          <w:bCs w:val="1"/>
          <w:color w:val="auto"/>
        </w:rPr>
        <w:t>Holding Period</w:t>
      </w:r>
      <w:r>
        <w:rPr>
          <w:rFonts w:ascii="Arial" w:cs="Arial" w:eastAsia="Arial" w:hAnsi="Arial"/>
          <w:sz w:val="16"/>
          <w:szCs w:val="16"/>
          <w:color w:val="auto"/>
        </w:rPr>
        <w:t>. If and when (i) the Grantee is an Officer (as defined in Rule 16a-1(f) of the Exchange Act) or holds the title of President - Agency</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and (ii) Grantee does not hold 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4" w:lineRule="exact"/>
        <w:rPr>
          <w:rFonts w:ascii="Arial" w:cs="Arial" w:eastAsia="Arial" w:hAnsi="Arial"/>
          <w:sz w:val="17"/>
          <w:szCs w:val="17"/>
          <w:color w:val="auto"/>
        </w:rPr>
      </w:pPr>
    </w:p>
    <w:p>
      <w:pPr>
        <w:jc w:val="both"/>
        <w:ind w:left="1080" w:hanging="279"/>
        <w:spacing w:after="0" w:line="243" w:lineRule="auto"/>
        <w:tabs>
          <w:tab w:leader="none" w:pos="1073" w:val="left"/>
        </w:tabs>
        <w:numPr>
          <w:ilvl w:val="1"/>
          <w:numId w:val="60"/>
        </w:numPr>
        <w:rPr>
          <w:rFonts w:ascii="Arial" w:cs="Arial" w:eastAsia="Arial" w:hAnsi="Arial"/>
          <w:sz w:val="17"/>
          <w:szCs w:val="17"/>
          <w:color w:val="auto"/>
        </w:rPr>
      </w:pPr>
      <w:r>
        <w:rPr>
          <w:rFonts w:ascii="Arial" w:cs="Arial" w:eastAsia="Arial" w:hAnsi="Arial"/>
          <w:sz w:val="16"/>
          <w:szCs w:val="16"/>
          <w:b w:val="1"/>
          <w:bCs w:val="1"/>
          <w:color w:val="auto"/>
        </w:rPr>
        <w:t>Lapse of Restrictions</w:t>
      </w:r>
      <w:r>
        <w:rPr>
          <w:rFonts w:ascii="Arial" w:cs="Arial" w:eastAsia="Arial" w:hAnsi="Arial"/>
          <w:sz w:val="16"/>
          <w:szCs w:val="16"/>
          <w:color w:val="auto"/>
        </w:rPr>
        <w:t>. The Period of Restriction shall lapse as to the Restricted Stock in accordance with the Notice of Restricted Stock Grant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82" w:lineRule="exact"/>
        <w:rPr>
          <w:rFonts w:ascii="Arial" w:cs="Arial" w:eastAsia="Arial" w:hAnsi="Arial"/>
          <w:sz w:val="17"/>
          <w:szCs w:val="17"/>
          <w:color w:val="auto"/>
        </w:rPr>
      </w:pPr>
    </w:p>
    <w:p>
      <w:pPr>
        <w:ind w:left="540" w:hanging="279"/>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7"/>
          <w:szCs w:val="17"/>
          <w:b w:val="1"/>
          <w:bCs w:val="1"/>
          <w:color w:val="auto"/>
        </w:rPr>
        <w:t>SECTION 3. STOCK CERTIFICATES</w:t>
      </w:r>
    </w:p>
    <w:p>
      <w:pPr>
        <w:spacing w:after="0" w:line="18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6"/>
          <w:szCs w:val="16"/>
          <w:color w:val="auto"/>
        </w:rPr>
        <w:t>As soon as practicable following the grant of Restricted Stock, the Shares of Restricted Stock shall be registered in the Grantee’s name in certificate</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78" w:lineRule="exact"/>
        <w:rPr>
          <w:sz w:val="20"/>
          <w:szCs w:val="20"/>
          <w:color w:val="auto"/>
        </w:rPr>
      </w:pPr>
    </w:p>
    <w:p>
      <w:pPr>
        <w:ind w:left="540" w:hanging="279"/>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7"/>
          <w:szCs w:val="17"/>
          <w:b w:val="1"/>
          <w:bCs w:val="1"/>
          <w:color w:val="auto"/>
        </w:rPr>
        <w:t>SECTION 4. SHAREHOLDER RIGHTS</w:t>
      </w:r>
    </w:p>
    <w:p>
      <w:pPr>
        <w:spacing w:after="0" w:line="187" w:lineRule="exact"/>
        <w:rPr>
          <w:sz w:val="20"/>
          <w:szCs w:val="20"/>
          <w:color w:val="auto"/>
        </w:rPr>
      </w:pPr>
    </w:p>
    <w:p>
      <w:pPr>
        <w:ind w:right="20" w:firstLine="541"/>
        <w:spacing w:after="0" w:line="325"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w:t>
      </w:r>
    </w:p>
    <w:p>
      <w:pPr>
        <w:sectPr>
          <w:pgSz w:w="11900" w:h="16838" w:orient="portrait"/>
          <w:cols w:equalWidth="0" w:num="1">
            <w:col w:w="11260"/>
          </w:cols>
          <w:pgMar w:left="320" w:top="767" w:right="319" w:bottom="1440" w:gutter="0" w:footer="0" w:header="0"/>
        </w:sectPr>
      </w:pPr>
    </w:p>
    <w:bookmarkStart w:id="186" w:name="page187"/>
    <w:bookmarkEnd w:id="186"/>
    <w:p>
      <w:pPr>
        <w:spacing w:after="0" w:line="292" w:lineRule="auto"/>
        <w:rPr>
          <w:sz w:val="20"/>
          <w:szCs w:val="20"/>
          <w:color w:val="auto"/>
        </w:rPr>
      </w:pPr>
      <w:r>
        <w:rPr>
          <w:rFonts w:ascii="Arial" w:cs="Arial" w:eastAsia="Arial" w:hAnsi="Arial"/>
          <w:sz w:val="17"/>
          <w:szCs w:val="17"/>
          <w:color w:val="auto"/>
        </w:rPr>
        <w:t>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44" w:lineRule="exact"/>
        <w:rPr>
          <w:sz w:val="20"/>
          <w:szCs w:val="20"/>
          <w:color w:val="auto"/>
        </w:rPr>
      </w:pPr>
    </w:p>
    <w:p>
      <w:pPr>
        <w:ind w:left="520" w:hanging="259"/>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7"/>
          <w:szCs w:val="17"/>
          <w:b w:val="1"/>
          <w:bCs w:val="1"/>
          <w:color w:val="auto"/>
        </w:rPr>
        <w:t>SECTION 5. DIVIDENDS</w:t>
      </w:r>
    </w:p>
    <w:p>
      <w:pPr>
        <w:spacing w:after="0" w:line="187" w:lineRule="exact"/>
        <w:rPr>
          <w:rFonts w:ascii="Arial" w:cs="Arial" w:eastAsia="Arial" w:hAnsi="Arial"/>
          <w:sz w:val="18"/>
          <w:szCs w:val="18"/>
          <w:color w:val="auto"/>
        </w:rPr>
      </w:pPr>
    </w:p>
    <w:p>
      <w:pPr>
        <w:ind w:left="1080" w:hanging="279"/>
        <w:spacing w:after="0" w:line="244" w:lineRule="auto"/>
        <w:tabs>
          <w:tab w:leader="none" w:pos="1071" w:val="left"/>
        </w:tabs>
        <w:numPr>
          <w:ilvl w:val="1"/>
          <w:numId w:val="63"/>
        </w:numPr>
        <w:rPr>
          <w:rFonts w:ascii="Arial" w:cs="Arial" w:eastAsia="Arial" w:hAnsi="Arial"/>
          <w:sz w:val="17"/>
          <w:szCs w:val="17"/>
          <w:color w:val="auto"/>
        </w:rPr>
      </w:pPr>
      <w:r>
        <w:rPr>
          <w:rFonts w:ascii="Arial" w:cs="Arial" w:eastAsia="Arial" w:hAnsi="Arial"/>
          <w:sz w:val="18"/>
          <w:szCs w:val="18"/>
          <w:color w:val="auto"/>
        </w:rPr>
        <w:t>Any dividends paid with respect to Shares which remain subject to a Period of Restriction shall not be paid to the Grantee but shall be held by the Company.</w:t>
      </w:r>
    </w:p>
    <w:p>
      <w:pPr>
        <w:ind w:left="1060" w:hanging="259"/>
        <w:spacing w:after="0" w:line="235" w:lineRule="auto"/>
        <w:tabs>
          <w:tab w:leader="none" w:pos="1060" w:val="left"/>
        </w:tabs>
        <w:numPr>
          <w:ilvl w:val="1"/>
          <w:numId w:val="63"/>
        </w:numPr>
        <w:rPr>
          <w:rFonts w:ascii="Arial" w:cs="Arial" w:eastAsia="Arial" w:hAnsi="Arial"/>
          <w:sz w:val="17"/>
          <w:szCs w:val="17"/>
          <w:color w:val="auto"/>
        </w:rPr>
      </w:pPr>
      <w:r>
        <w:rPr>
          <w:rFonts w:ascii="Arial" w:cs="Arial" w:eastAsia="Arial" w:hAnsi="Arial"/>
          <w:sz w:val="18"/>
          <w:szCs w:val="18"/>
          <w:color w:val="auto"/>
        </w:rPr>
        <w:t>Such held dividends shall be subject to the same Period of Restriction as the Shares to which they relate.</w:t>
      </w:r>
    </w:p>
    <w:p>
      <w:pPr>
        <w:ind w:left="1080" w:hanging="279"/>
        <w:spacing w:after="0" w:line="235" w:lineRule="auto"/>
        <w:tabs>
          <w:tab w:leader="none" w:pos="1073" w:val="left"/>
        </w:tabs>
        <w:numPr>
          <w:ilvl w:val="1"/>
          <w:numId w:val="63"/>
        </w:numPr>
        <w:rPr>
          <w:rFonts w:ascii="Arial" w:cs="Arial" w:eastAsia="Arial" w:hAnsi="Arial"/>
          <w:sz w:val="17"/>
          <w:szCs w:val="17"/>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ind w:left="1080" w:hanging="279"/>
        <w:spacing w:after="0" w:line="244" w:lineRule="auto"/>
        <w:tabs>
          <w:tab w:leader="none" w:pos="1071" w:val="left"/>
        </w:tabs>
        <w:numPr>
          <w:ilvl w:val="1"/>
          <w:numId w:val="63"/>
        </w:numPr>
        <w:rPr>
          <w:rFonts w:ascii="Arial" w:cs="Arial" w:eastAsia="Arial" w:hAnsi="Arial"/>
          <w:sz w:val="17"/>
          <w:szCs w:val="17"/>
          <w:color w:val="auto"/>
        </w:rPr>
      </w:pPr>
      <w:r>
        <w:rPr>
          <w:rFonts w:ascii="Arial" w:cs="Arial" w:eastAsia="Arial" w:hAnsi="Arial"/>
          <w:sz w:val="18"/>
          <w:szCs w:val="18"/>
          <w:color w:val="auto"/>
        </w:rPr>
        <w:t>Dividends attributable to Shares forfeited pursuant to Section 2 of this Agreement shall be forfeited to the Company on the date such Shares are forfeited.</w:t>
      </w:r>
    </w:p>
    <w:p>
      <w:pPr>
        <w:spacing w:after="0" w:line="183" w:lineRule="exact"/>
        <w:rPr>
          <w:rFonts w:ascii="Arial" w:cs="Arial" w:eastAsia="Arial" w:hAnsi="Arial"/>
          <w:sz w:val="17"/>
          <w:szCs w:val="17"/>
          <w:color w:val="auto"/>
        </w:rPr>
      </w:pPr>
    </w:p>
    <w:p>
      <w:pPr>
        <w:ind w:left="500" w:hanging="239"/>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7"/>
          <w:szCs w:val="17"/>
          <w:b w:val="1"/>
          <w:bCs w:val="1"/>
          <w:color w:val="auto"/>
        </w:rPr>
        <w:t>SECTION 6. MISCELLANEOUS PROVISIONS</w:t>
      </w:r>
    </w:p>
    <w:p>
      <w:pPr>
        <w:spacing w:after="0" w:line="198" w:lineRule="exact"/>
        <w:rPr>
          <w:rFonts w:ascii="Arial" w:cs="Arial" w:eastAsia="Arial" w:hAnsi="Arial"/>
          <w:sz w:val="18"/>
          <w:szCs w:val="18"/>
          <w:color w:val="auto"/>
        </w:rPr>
      </w:pPr>
    </w:p>
    <w:p>
      <w:pPr>
        <w:jc w:val="both"/>
        <w:ind w:left="1080" w:hanging="279"/>
        <w:spacing w:after="0" w:line="249" w:lineRule="auto"/>
        <w:tabs>
          <w:tab w:leader="none" w:pos="1073" w:val="left"/>
        </w:tabs>
        <w:numPr>
          <w:ilvl w:val="1"/>
          <w:numId w:val="63"/>
        </w:numPr>
        <w:rPr>
          <w:rFonts w:ascii="Arial" w:cs="Arial" w:eastAsia="Arial" w:hAnsi="Arial"/>
          <w:sz w:val="17"/>
          <w:szCs w:val="17"/>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Article 20 of the Plan, the Committee shall have the power and right to deduct or withhold, or require the Grantee to remit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jc w:val="both"/>
        <w:ind w:left="1080" w:hanging="279"/>
        <w:spacing w:after="0" w:line="226" w:lineRule="auto"/>
        <w:tabs>
          <w:tab w:leader="none" w:pos="1073" w:val="left"/>
        </w:tabs>
        <w:numPr>
          <w:ilvl w:val="1"/>
          <w:numId w:val="63"/>
        </w:numPr>
        <w:rPr>
          <w:rFonts w:ascii="Arial" w:cs="Arial" w:eastAsia="Arial" w:hAnsi="Arial"/>
          <w:sz w:val="18"/>
          <w:szCs w:val="18"/>
          <w:color w:val="auto"/>
        </w:rPr>
      </w:pPr>
      <w:r>
        <w:rPr>
          <w:rFonts w:ascii="Arial" w:cs="Arial" w:eastAsia="Arial" w:hAnsi="Arial"/>
          <w:sz w:val="17"/>
          <w:szCs w:val="17"/>
          <w:b w:val="1"/>
          <w:bCs w:val="1"/>
          <w:color w:val="auto"/>
        </w:rPr>
        <w:t>Ratification of Actions</w:t>
      </w:r>
      <w:r>
        <w:rPr>
          <w:rFonts w:ascii="Arial" w:cs="Arial" w:eastAsia="Arial" w:hAnsi="Arial"/>
          <w:sz w:val="17"/>
          <w:szCs w:val="17"/>
          <w:color w:val="auto"/>
        </w:rPr>
        <w:t>. By accepting this Agreement, the Grantee and each person claiming under or through the Grantee shall be conclusively deemed</w:t>
      </w:r>
      <w:r>
        <w:rPr>
          <w:rFonts w:ascii="Arial" w:cs="Arial" w:eastAsia="Arial" w:hAnsi="Arial"/>
          <w:sz w:val="17"/>
          <w:szCs w:val="17"/>
          <w:b w:val="1"/>
          <w:bCs w:val="1"/>
          <w:color w:val="auto"/>
        </w:rPr>
        <w:t xml:space="preserve"> </w:t>
      </w:r>
      <w:r>
        <w:rPr>
          <w:rFonts w:ascii="Arial" w:cs="Arial" w:eastAsia="Arial" w:hAnsi="Arial"/>
          <w:sz w:val="17"/>
          <w:szCs w:val="17"/>
          <w:color w:val="auto"/>
        </w:rPr>
        <w:t>to have indicated the Grantee’s acceptance and ratification of, and consent to, any action taken under the Plan or this Agreement and Notice of Restricted Stock Grant by the Company, the Board or the Committee.</w:t>
      </w:r>
    </w:p>
    <w:p>
      <w:pPr>
        <w:jc w:val="both"/>
        <w:ind w:left="1080" w:hanging="279"/>
        <w:spacing w:after="0" w:line="249" w:lineRule="auto"/>
        <w:tabs>
          <w:tab w:leader="none" w:pos="1074" w:val="left"/>
        </w:tabs>
        <w:numPr>
          <w:ilvl w:val="1"/>
          <w:numId w:val="63"/>
        </w:numPr>
        <w:rPr>
          <w:rFonts w:ascii="Arial" w:cs="Arial" w:eastAsia="Arial" w:hAnsi="Arial"/>
          <w:sz w:val="17"/>
          <w:szCs w:val="17"/>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Any notice required by the terms of this Agreement shall be given in writing and shall be deemed effective upon personal delivery or upon</w:t>
      </w:r>
      <w:r>
        <w:rPr>
          <w:rFonts w:ascii="Arial" w:cs="Arial" w:eastAsia="Arial" w:hAnsi="Arial"/>
          <w:sz w:val="16"/>
          <w:szCs w:val="16"/>
          <w:b w:val="1"/>
          <w:bCs w:val="1"/>
          <w:color w:val="auto"/>
        </w:rPr>
        <w:t xml:space="preserve"> </w:t>
      </w:r>
      <w:r>
        <w:rPr>
          <w:rFonts w:ascii="Arial" w:cs="Arial" w:eastAsia="Arial" w:hAnsi="Arial"/>
          <w:sz w:val="16"/>
          <w:szCs w:val="16"/>
          <w:color w:val="auto"/>
        </w:rPr>
        <w:t>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 w:lineRule="exact"/>
        <w:rPr>
          <w:rFonts w:ascii="Arial" w:cs="Arial" w:eastAsia="Arial" w:hAnsi="Arial"/>
          <w:sz w:val="17"/>
          <w:szCs w:val="17"/>
          <w:color w:val="auto"/>
        </w:rPr>
      </w:pPr>
    </w:p>
    <w:p>
      <w:pPr>
        <w:jc w:val="both"/>
        <w:ind w:left="1080" w:hanging="279"/>
        <w:spacing w:after="0" w:line="239" w:lineRule="auto"/>
        <w:tabs>
          <w:tab w:leader="none" w:pos="1073" w:val="left"/>
        </w:tabs>
        <w:numPr>
          <w:ilvl w:val="1"/>
          <w:numId w:val="63"/>
        </w:numPr>
        <w:rPr>
          <w:rFonts w:ascii="Arial" w:cs="Arial" w:eastAsia="Arial" w:hAnsi="Arial"/>
          <w:sz w:val="17"/>
          <w:szCs w:val="17"/>
          <w:color w:val="auto"/>
        </w:rPr>
      </w:pPr>
      <w:r>
        <w:rPr>
          <w:rFonts w:ascii="Arial" w:cs="Arial" w:eastAsia="Arial" w:hAnsi="Arial"/>
          <w:sz w:val="16"/>
          <w:szCs w:val="16"/>
          <w:b w:val="1"/>
          <w:bCs w:val="1"/>
          <w:color w:val="auto"/>
        </w:rPr>
        <w:t>Choice of Law</w:t>
      </w:r>
      <w:r>
        <w:rPr>
          <w:rFonts w:ascii="Arial" w:cs="Arial" w:eastAsia="Arial" w:hAnsi="Arial"/>
          <w:sz w:val="16"/>
          <w:szCs w:val="16"/>
          <w:color w:val="auto"/>
        </w:rPr>
        <w:t>. This Agreement and the Notice of Restricted Stock Grant shall be governed by, and construed in accordance with, the laws of Florida,</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2" w:lineRule="exact"/>
        <w:rPr>
          <w:rFonts w:ascii="Arial" w:cs="Arial" w:eastAsia="Arial" w:hAnsi="Arial"/>
          <w:sz w:val="17"/>
          <w:szCs w:val="17"/>
          <w:color w:val="auto"/>
        </w:rPr>
      </w:pPr>
    </w:p>
    <w:p>
      <w:pPr>
        <w:jc w:val="both"/>
        <w:ind w:left="1080" w:hanging="279"/>
        <w:spacing w:after="0" w:line="271" w:lineRule="auto"/>
        <w:tabs>
          <w:tab w:leader="none" w:pos="1073" w:val="left"/>
        </w:tabs>
        <w:numPr>
          <w:ilvl w:val="1"/>
          <w:numId w:val="63"/>
        </w:numPr>
        <w:rPr>
          <w:rFonts w:ascii="Arial" w:cs="Arial" w:eastAsia="Arial" w:hAnsi="Arial"/>
          <w:sz w:val="16"/>
          <w:szCs w:val="16"/>
          <w:color w:val="auto"/>
        </w:rPr>
      </w:pPr>
      <w:r>
        <w:rPr>
          <w:rFonts w:ascii="Arial" w:cs="Arial" w:eastAsia="Arial" w:hAnsi="Arial"/>
          <w:sz w:val="15"/>
          <w:szCs w:val="15"/>
          <w:b w:val="1"/>
          <w:bCs w:val="1"/>
          <w:color w:val="auto"/>
        </w:rPr>
        <w:t>Arbitration</w:t>
      </w:r>
      <w:r>
        <w:rPr>
          <w:rFonts w:ascii="Arial" w:cs="Arial" w:eastAsia="Arial" w:hAnsi="Arial"/>
          <w:sz w:val="15"/>
          <w:szCs w:val="15"/>
          <w:color w:val="auto"/>
        </w:rPr>
        <w:t>. Subject to, and in accordance with the provisions of Article 3 of the Plan, any dispute or claim arising out of or relating to the Plan,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w:t>
      </w:r>
    </w:p>
    <w:p>
      <w:pPr>
        <w:sectPr>
          <w:pgSz w:w="11900" w:h="16838" w:orient="portrait"/>
          <w:cols w:equalWidth="0" w:num="1">
            <w:col w:w="11260"/>
          </w:cols>
          <w:pgMar w:left="320" w:top="763" w:right="319" w:bottom="1440" w:gutter="0" w:footer="0" w:header="0"/>
        </w:sectPr>
      </w:pPr>
    </w:p>
    <w:bookmarkStart w:id="187" w:name="page188"/>
    <w:bookmarkEnd w:id="187"/>
    <w:p>
      <w:pPr>
        <w:ind w:left="279"/>
        <w:spacing w:after="0" w:line="227" w:lineRule="auto"/>
        <w:rPr>
          <w:sz w:val="20"/>
          <w:szCs w:val="20"/>
          <w:color w:val="auto"/>
        </w:rPr>
      </w:pPr>
      <w:r>
        <w:rPr>
          <w:rFonts w:ascii="Arial" w:cs="Arial" w:eastAsia="Arial" w:hAnsi="Arial"/>
          <w:sz w:val="17"/>
          <w:szCs w:val="17"/>
          <w:color w:val="auto"/>
        </w:rPr>
        <w:t>substantive questions of law shall be determined in accordance with the state and federal laws applicable in Florida, without regard to internal principles relating to conflict of laws.</w:t>
      </w:r>
    </w:p>
    <w:p>
      <w:pPr>
        <w:ind w:left="279" w:hanging="279"/>
        <w:spacing w:after="0" w:line="237" w:lineRule="auto"/>
        <w:tabs>
          <w:tab w:leader="none" w:pos="277" w:val="left"/>
        </w:tabs>
        <w:numPr>
          <w:ilvl w:val="0"/>
          <w:numId w:val="64"/>
        </w:numPr>
        <w:rPr>
          <w:rFonts w:ascii="Arial" w:cs="Arial" w:eastAsia="Arial" w:hAnsi="Arial"/>
          <w:sz w:val="18"/>
          <w:szCs w:val="18"/>
          <w:color w:val="auto"/>
        </w:rPr>
      </w:pPr>
      <w:r>
        <w:rPr>
          <w:rFonts w:ascii="Arial" w:cs="Arial" w:eastAsia="Arial" w:hAnsi="Arial"/>
          <w:sz w:val="17"/>
          <w:szCs w:val="17"/>
          <w:b w:val="1"/>
          <w:bCs w:val="1"/>
          <w:color w:val="auto"/>
        </w:rPr>
        <w:t>Modification or Amendment</w:t>
      </w:r>
      <w:r>
        <w:rPr>
          <w:rFonts w:ascii="Arial" w:cs="Arial" w:eastAsia="Arial" w:hAnsi="Arial"/>
          <w:sz w:val="17"/>
          <w:szCs w:val="17"/>
          <w:color w:val="auto"/>
        </w:rPr>
        <w:t>. This Agreement may only be modified or amended by written agreement executed by the parties hereto;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that the adjustments permitted pursuant to Section 4.3 of the Plan may be made without such written agreement.</w:t>
      </w:r>
    </w:p>
    <w:p>
      <w:pPr>
        <w:spacing w:after="0" w:line="1" w:lineRule="exact"/>
        <w:rPr>
          <w:rFonts w:ascii="Arial" w:cs="Arial" w:eastAsia="Arial" w:hAnsi="Arial"/>
          <w:sz w:val="18"/>
          <w:szCs w:val="18"/>
          <w:color w:val="auto"/>
        </w:rPr>
      </w:pPr>
    </w:p>
    <w:p>
      <w:pPr>
        <w:jc w:val="both"/>
        <w:ind w:left="279" w:hanging="279"/>
        <w:spacing w:after="0" w:line="257" w:lineRule="auto"/>
        <w:tabs>
          <w:tab w:leader="none" w:pos="271" w:val="left"/>
        </w:tabs>
        <w:numPr>
          <w:ilvl w:val="0"/>
          <w:numId w:val="64"/>
        </w:numPr>
        <w:rPr>
          <w:rFonts w:ascii="Arial" w:cs="Arial" w:eastAsia="Arial" w:hAnsi="Arial"/>
          <w:sz w:val="16"/>
          <w:szCs w:val="16"/>
          <w:color w:val="auto"/>
        </w:rPr>
      </w:pPr>
      <w:r>
        <w:rPr>
          <w:rFonts w:ascii="Arial" w:cs="Arial" w:eastAsia="Arial" w:hAnsi="Arial"/>
          <w:sz w:val="15"/>
          <w:szCs w:val="15"/>
          <w:b w:val="1"/>
          <w:bCs w:val="1"/>
          <w:color w:val="auto"/>
        </w:rPr>
        <w:t>Severability</w:t>
      </w:r>
      <w:r>
        <w:rPr>
          <w:rFonts w:ascii="Arial" w:cs="Arial" w:eastAsia="Arial" w:hAnsi="Arial"/>
          <w:sz w:val="15"/>
          <w:szCs w:val="15"/>
          <w:color w:val="auto"/>
        </w:rPr>
        <w:t>. In the event any provision of this Agreement shall be held illegal or invalid for any reason, the illegality or invalidity shall not affect the</w:t>
      </w:r>
      <w:r>
        <w:rPr>
          <w:rFonts w:ascii="Arial" w:cs="Arial" w:eastAsia="Arial" w:hAnsi="Arial"/>
          <w:sz w:val="15"/>
          <w:szCs w:val="15"/>
          <w:b w:val="1"/>
          <w:bCs w:val="1"/>
          <w:color w:val="auto"/>
        </w:rPr>
        <w:t xml:space="preserve"> </w:t>
      </w:r>
      <w:r>
        <w:rPr>
          <w:rFonts w:ascii="Arial" w:cs="Arial" w:eastAsia="Arial" w:hAnsi="Arial"/>
          <w:sz w:val="15"/>
          <w:szCs w:val="15"/>
          <w:color w:val="auto"/>
        </w:rPr>
        <w:t>remaining provisions of this Agreement, and this Agreement shall be construed and enforced as if such illegal or invalid provision had not been included.</w:t>
      </w:r>
    </w:p>
    <w:p>
      <w:pPr>
        <w:spacing w:after="0" w:line="1" w:lineRule="exact"/>
        <w:rPr>
          <w:rFonts w:ascii="Arial" w:cs="Arial" w:eastAsia="Arial" w:hAnsi="Arial"/>
          <w:sz w:val="16"/>
          <w:szCs w:val="16"/>
          <w:color w:val="auto"/>
        </w:rPr>
      </w:pPr>
    </w:p>
    <w:p>
      <w:pPr>
        <w:ind w:left="259" w:hanging="259"/>
        <w:spacing w:after="0" w:line="226" w:lineRule="auto"/>
        <w:tabs>
          <w:tab w:leader="none" w:pos="259" w:val="left"/>
        </w:tabs>
        <w:numPr>
          <w:ilvl w:val="0"/>
          <w:numId w:val="64"/>
        </w:numPr>
        <w:rPr>
          <w:rFonts w:ascii="Arial" w:cs="Arial" w:eastAsia="Arial" w:hAnsi="Arial"/>
          <w:sz w:val="18"/>
          <w:szCs w:val="18"/>
          <w:color w:val="auto"/>
        </w:rPr>
      </w:pPr>
      <w:r>
        <w:rPr>
          <w:rFonts w:ascii="Arial" w:cs="Arial" w:eastAsia="Arial" w:hAnsi="Arial"/>
          <w:sz w:val="17"/>
          <w:szCs w:val="17"/>
          <w:b w:val="1"/>
          <w:bCs w:val="1"/>
          <w:color w:val="auto"/>
        </w:rPr>
        <w:t>References to Plan</w:t>
      </w:r>
      <w:r>
        <w:rPr>
          <w:rFonts w:ascii="Arial" w:cs="Arial" w:eastAsia="Arial" w:hAnsi="Arial"/>
          <w:sz w:val="17"/>
          <w:szCs w:val="17"/>
          <w:color w:val="auto"/>
        </w:rPr>
        <w:t>. All references to the Plan shall be deemed references to the Plan as may be amended from time to time.</w:t>
      </w:r>
    </w:p>
    <w:p>
      <w:pPr>
        <w:spacing w:after="0" w:line="6" w:lineRule="exact"/>
        <w:rPr>
          <w:rFonts w:ascii="Arial" w:cs="Arial" w:eastAsia="Arial" w:hAnsi="Arial"/>
          <w:sz w:val="18"/>
          <w:szCs w:val="18"/>
          <w:color w:val="auto"/>
        </w:rPr>
      </w:pPr>
    </w:p>
    <w:p>
      <w:pPr>
        <w:jc w:val="both"/>
        <w:ind w:left="279" w:hanging="279"/>
        <w:spacing w:after="0" w:line="232" w:lineRule="auto"/>
        <w:tabs>
          <w:tab w:leader="none" w:pos="279" w:val="left"/>
        </w:tabs>
        <w:numPr>
          <w:ilvl w:val="0"/>
          <w:numId w:val="64"/>
        </w:numPr>
        <w:rPr>
          <w:rFonts w:ascii="Arial" w:cs="Arial" w:eastAsia="Arial" w:hAnsi="Arial"/>
          <w:sz w:val="18"/>
          <w:szCs w:val="18"/>
          <w:color w:val="auto"/>
        </w:rPr>
      </w:pPr>
      <w:r>
        <w:rPr>
          <w:rFonts w:ascii="Arial" w:cs="Arial" w:eastAsia="Arial" w:hAnsi="Arial"/>
          <w:sz w:val="17"/>
          <w:szCs w:val="17"/>
          <w:b w:val="1"/>
          <w:bCs w:val="1"/>
          <w:color w:val="auto"/>
        </w:rPr>
        <w:t>Section 409A Compliance</w:t>
      </w:r>
      <w:r>
        <w:rPr>
          <w:rFonts w:ascii="Arial" w:cs="Arial" w:eastAsia="Arial" w:hAnsi="Arial"/>
          <w:sz w:val="17"/>
          <w:szCs w:val="17"/>
          <w:color w:val="auto"/>
        </w:rPr>
        <w:t>. To the extent applicable, it is intended that the Plan and this Agreement comply with the requirements of Code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any related regulations or other guidance promulgated with respect to such Section by the </w:t>
      </w:r>
      <w:r>
        <w:rPr>
          <w:rFonts w:ascii="Arial" w:cs="Arial" w:eastAsia="Arial" w:hAnsi="Arial"/>
          <w:sz w:val="18"/>
          <w:szCs w:val="18"/>
          <w:color w:val="auto"/>
        </w:rPr>
        <w:t>U.S.</w:t>
      </w:r>
      <w:r>
        <w:rPr>
          <w:rFonts w:ascii="Arial" w:cs="Arial" w:eastAsia="Arial" w:hAnsi="Arial"/>
          <w:sz w:val="17"/>
          <w:szCs w:val="17"/>
          <w:color w:val="auto"/>
        </w:rPr>
        <w:t xml:space="preserve"> Department of the Treasury or the Internal Revenue Service and the Plan and the Award Agreement shall be interpreted accordingly.</w:t>
      </w:r>
    </w:p>
    <w:p>
      <w:pPr>
        <w:sectPr>
          <w:pgSz w:w="11900" w:h="16838" w:orient="portrait"/>
          <w:cols w:equalWidth="0" w:num="1">
            <w:col w:w="10459"/>
          </w:cols>
          <w:pgMar w:left="1121" w:top="767" w:right="31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7"/>
          <w:szCs w:val="17"/>
          <w:b w:val="1"/>
          <w:bCs w:val="1"/>
          <w:color w:val="auto"/>
        </w:rPr>
        <w:t>EXHIBIT 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Vesting and Restrictions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This grant is subject to both a Performance Restriction and a Time-Based Restriction, as described below (collectively, the “Period of Restriction”).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Performance Restriction</w:t>
      </w:r>
    </w:p>
    <w:p>
      <w:pPr>
        <w:spacing w:after="0" w:line="192" w:lineRule="exact"/>
        <w:rPr>
          <w:sz w:val="20"/>
          <w:szCs w:val="20"/>
          <w:color w:val="auto"/>
        </w:rPr>
      </w:pPr>
    </w:p>
    <w:p>
      <w:pPr>
        <w:jc w:val="both"/>
        <w:ind w:firstLine="541"/>
        <w:spacing w:after="0" w:line="259" w:lineRule="auto"/>
        <w:rPr>
          <w:sz w:val="20"/>
          <w:szCs w:val="20"/>
          <w:color w:val="auto"/>
        </w:rPr>
      </w:pPr>
      <w:r>
        <w:rPr>
          <w:rFonts w:ascii="Arial" w:cs="Arial" w:eastAsia="Arial" w:hAnsi="Arial"/>
          <w:sz w:val="15"/>
          <w:szCs w:val="15"/>
          <w:color w:val="auto"/>
        </w:rPr>
        <w:t>In order for the Restricted Stock to vest, the Compensation Committee of the Board of Directors of the Company (the “Committee”) must determine that the Company has achieved 9.5% or greater Title Operating Margin (as defined below) in at least two calendar quarters of any of the next five calendar quarters starting October 1, 2021 (the “Performance Restriction”). The five calendar quarters starting October 1, 2021 and ending December 31, 2022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220" w:type="dxa"/>
            <w:vAlign w:val="bottom"/>
            <w:tcBorders>
              <w:bottom w:val="single" w:sz="8" w:color="auto"/>
            </w:tcBorders>
          </w:tcPr>
          <w:p>
            <w:pPr>
              <w:spacing w:after="0"/>
              <w:rPr>
                <w:sz w:val="18"/>
                <w:szCs w:val="18"/>
                <w:color w:val="auto"/>
              </w:rPr>
            </w:pPr>
          </w:p>
        </w:tc>
        <w:tc>
          <w:tcPr>
            <w:tcW w:w="6660" w:type="dxa"/>
            <w:vAlign w:val="bottom"/>
            <w:tcBorders>
              <w:bottom w:val="single" w:sz="8" w:color="auto"/>
            </w:tcBorders>
            <w:gridSpan w:val="2"/>
          </w:tcPr>
          <w:p>
            <w:pPr>
              <w:jc w:val="right"/>
              <w:ind w:right="4317"/>
              <w:spacing w:after="0"/>
              <w:rPr>
                <w:sz w:val="20"/>
                <w:szCs w:val="20"/>
                <w:color w:val="auto"/>
              </w:rPr>
            </w:pPr>
            <w:r>
              <w:rPr>
                <w:rFonts w:ascii="Arial" w:cs="Arial" w:eastAsia="Arial" w:hAnsi="Arial"/>
                <w:sz w:val="17"/>
                <w:szCs w:val="17"/>
                <w:b w:val="1"/>
                <w:bCs w:val="1"/>
                <w:color w:val="auto"/>
              </w:rPr>
              <w:t>Time-Based Restrictions</w:t>
            </w:r>
          </w:p>
        </w:tc>
      </w:tr>
      <w:tr>
        <w:trPr>
          <w:trHeight w:val="217"/>
        </w:trPr>
        <w:tc>
          <w:tcPr>
            <w:tcW w:w="4220" w:type="dxa"/>
            <w:vAlign w:val="bottom"/>
            <w:tcBorders>
              <w:left w:val="single" w:sz="8" w:color="auto"/>
              <w:bottom w:val="single" w:sz="8" w:color="auto"/>
            </w:tcBorders>
          </w:tcPr>
          <w:p>
            <w:pPr>
              <w:ind w:left="2240"/>
              <w:spacing w:after="0"/>
              <w:rPr>
                <w:sz w:val="20"/>
                <w:szCs w:val="20"/>
                <w:color w:val="auto"/>
              </w:rPr>
            </w:pPr>
            <w:r>
              <w:rPr>
                <w:rFonts w:ascii="Arial" w:cs="Arial" w:eastAsia="Arial" w:hAnsi="Arial"/>
                <w:sz w:val="17"/>
                <w:szCs w:val="17"/>
                <w:b w:val="1"/>
                <w:bCs w:val="1"/>
                <w:color w:val="auto"/>
              </w:rPr>
              <w:t>Anniversary Date</w:t>
            </w:r>
          </w:p>
        </w:tc>
        <w:tc>
          <w:tcPr>
            <w:tcW w:w="1520" w:type="dxa"/>
            <w:vAlign w:val="bottom"/>
            <w:tcBorders>
              <w:bottom w:val="single" w:sz="8" w:color="auto"/>
              <w:right w:val="single" w:sz="8" w:color="auto"/>
            </w:tcBorders>
          </w:tcPr>
          <w:p>
            <w:pPr>
              <w:spacing w:after="0"/>
              <w:rPr>
                <w:sz w:val="18"/>
                <w:szCs w:val="18"/>
                <w:color w:val="auto"/>
              </w:rPr>
            </w:pPr>
          </w:p>
        </w:tc>
        <w:tc>
          <w:tcPr>
            <w:tcW w:w="5140" w:type="dxa"/>
            <w:vAlign w:val="bottom"/>
            <w:tcBorders>
              <w:bottom w:val="single" w:sz="8" w:color="auto"/>
              <w:right w:val="single" w:sz="8" w:color="auto"/>
            </w:tcBorders>
          </w:tcPr>
          <w:p>
            <w:pPr>
              <w:jc w:val="right"/>
              <w:ind w:right="1737"/>
              <w:spacing w:after="0"/>
              <w:rPr>
                <w:sz w:val="20"/>
                <w:szCs w:val="20"/>
                <w:color w:val="auto"/>
              </w:rPr>
            </w:pPr>
            <w:r>
              <w:rPr>
                <w:rFonts w:ascii="Arial" w:cs="Arial" w:eastAsia="Arial" w:hAnsi="Arial"/>
                <w:sz w:val="17"/>
                <w:szCs w:val="17"/>
                <w:b w:val="1"/>
                <w:bCs w:val="1"/>
                <w:color w:val="auto"/>
              </w:rPr>
              <w:t>% of Restricted Stock</w:t>
            </w:r>
          </w:p>
        </w:tc>
      </w:tr>
      <w:tr>
        <w:trPr>
          <w:trHeight w:val="221"/>
        </w:trPr>
        <w:tc>
          <w:tcPr>
            <w:tcW w:w="4220" w:type="dxa"/>
            <w:vAlign w:val="bottom"/>
            <w:tcBorders>
              <w:left w:val="single" w:sz="8" w:color="auto"/>
              <w:bottom w:val="single" w:sz="8" w:color="auto"/>
            </w:tcBorders>
          </w:tcPr>
          <w:p>
            <w:pPr>
              <w:ind w:left="20"/>
              <w:spacing w:after="0" w:line="221" w:lineRule="exact"/>
              <w:rPr>
                <w:sz w:val="20"/>
                <w:szCs w:val="20"/>
                <w:color w:val="auto"/>
              </w:rPr>
            </w:pPr>
            <w:r>
              <w:rPr>
                <w:rFonts w:ascii="Arial" w:cs="Arial" w:eastAsia="Arial" w:hAnsi="Arial"/>
                <w:sz w:val="17"/>
                <w:szCs w:val="17"/>
                <w:color w:val="auto"/>
              </w:rPr>
              <w:t>First (1</w:t>
            </w:r>
            <w:r>
              <w:rPr>
                <w:rFonts w:ascii="Arial" w:cs="Arial" w:eastAsia="Arial" w:hAnsi="Arial"/>
                <w:sz w:val="23"/>
                <w:szCs w:val="23"/>
                <w:color w:val="auto"/>
                <w:vertAlign w:val="superscript"/>
              </w:rPr>
              <w:t>st</w:t>
            </w:r>
            <w:r>
              <w:rPr>
                <w:rFonts w:ascii="Arial" w:cs="Arial" w:eastAsia="Arial" w:hAnsi="Arial"/>
                <w:sz w:val="17"/>
                <w:szCs w:val="17"/>
                <w:color w:val="auto"/>
              </w:rPr>
              <w:t>) anniversary of the Effective Date of Grant</w:t>
            </w:r>
          </w:p>
        </w:tc>
        <w:tc>
          <w:tcPr>
            <w:tcW w:w="152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jc w:val="right"/>
              <w:ind w:right="4557"/>
              <w:spacing w:after="0"/>
              <w:rPr>
                <w:sz w:val="20"/>
                <w:szCs w:val="20"/>
                <w:color w:val="auto"/>
              </w:rPr>
            </w:pPr>
            <w:r>
              <w:rPr>
                <w:rFonts w:ascii="Arial" w:cs="Arial" w:eastAsia="Arial" w:hAnsi="Arial"/>
                <w:sz w:val="17"/>
                <w:szCs w:val="17"/>
                <w:color w:val="auto"/>
                <w:w w:val="83"/>
              </w:rPr>
              <w:t>33.33%</w:t>
            </w:r>
          </w:p>
        </w:tc>
      </w:tr>
      <w:tr>
        <w:trPr>
          <w:trHeight w:val="217"/>
        </w:trPr>
        <w:tc>
          <w:tcPr>
            <w:tcW w:w="4220" w:type="dxa"/>
            <w:vAlign w:val="bottom"/>
            <w:tcBorders>
              <w:left w:val="single" w:sz="8" w:color="auto"/>
              <w:bottom w:val="single" w:sz="8" w:color="auto"/>
            </w:tcBorders>
          </w:tcPr>
          <w:p>
            <w:pPr>
              <w:ind w:left="20"/>
              <w:spacing w:after="0" w:line="216" w:lineRule="exact"/>
              <w:rPr>
                <w:sz w:val="20"/>
                <w:szCs w:val="20"/>
                <w:color w:val="auto"/>
              </w:rPr>
            </w:pPr>
            <w:r>
              <w:rPr>
                <w:rFonts w:ascii="Arial" w:cs="Arial" w:eastAsia="Arial" w:hAnsi="Arial"/>
                <w:sz w:val="17"/>
                <w:szCs w:val="17"/>
                <w:color w:val="auto"/>
              </w:rPr>
              <w:t>Second (2</w:t>
            </w:r>
            <w:r>
              <w:rPr>
                <w:rFonts w:ascii="Arial" w:cs="Arial" w:eastAsia="Arial" w:hAnsi="Arial"/>
                <w:sz w:val="23"/>
                <w:szCs w:val="23"/>
                <w:color w:val="auto"/>
                <w:vertAlign w:val="superscript"/>
              </w:rPr>
              <w:t>nd</w:t>
            </w:r>
            <w:r>
              <w:rPr>
                <w:rFonts w:ascii="Arial" w:cs="Arial" w:eastAsia="Arial" w:hAnsi="Arial"/>
                <w:sz w:val="17"/>
                <w:szCs w:val="17"/>
                <w:color w:val="auto"/>
              </w:rPr>
              <w:t>) anniversary of the Effective Date of Grant</w:t>
            </w:r>
          </w:p>
        </w:tc>
        <w:tc>
          <w:tcPr>
            <w:tcW w:w="1520" w:type="dxa"/>
            <w:vAlign w:val="bottom"/>
            <w:tcBorders>
              <w:bottom w:val="single" w:sz="8" w:color="auto"/>
              <w:right w:val="single" w:sz="8" w:color="auto"/>
            </w:tcBorders>
          </w:tcPr>
          <w:p>
            <w:pPr>
              <w:spacing w:after="0"/>
              <w:rPr>
                <w:sz w:val="18"/>
                <w:szCs w:val="18"/>
                <w:color w:val="auto"/>
              </w:rPr>
            </w:pPr>
          </w:p>
        </w:tc>
        <w:tc>
          <w:tcPr>
            <w:tcW w:w="5140" w:type="dxa"/>
            <w:vAlign w:val="bottom"/>
            <w:tcBorders>
              <w:bottom w:val="single" w:sz="8" w:color="auto"/>
              <w:right w:val="single" w:sz="8" w:color="auto"/>
            </w:tcBorders>
          </w:tcPr>
          <w:p>
            <w:pPr>
              <w:jc w:val="right"/>
              <w:ind w:right="4557"/>
              <w:spacing w:after="0"/>
              <w:rPr>
                <w:sz w:val="20"/>
                <w:szCs w:val="20"/>
                <w:color w:val="auto"/>
              </w:rPr>
            </w:pPr>
            <w:r>
              <w:rPr>
                <w:rFonts w:ascii="Arial" w:cs="Arial" w:eastAsia="Arial" w:hAnsi="Arial"/>
                <w:sz w:val="17"/>
                <w:szCs w:val="17"/>
                <w:color w:val="auto"/>
                <w:w w:val="83"/>
              </w:rPr>
              <w:t>33.33%</w:t>
            </w:r>
          </w:p>
        </w:tc>
      </w:tr>
      <w:tr>
        <w:trPr>
          <w:trHeight w:val="217"/>
        </w:trPr>
        <w:tc>
          <w:tcPr>
            <w:tcW w:w="4220" w:type="dxa"/>
            <w:vAlign w:val="bottom"/>
            <w:tcBorders>
              <w:left w:val="single" w:sz="8" w:color="auto"/>
              <w:bottom w:val="single" w:sz="8" w:color="auto"/>
            </w:tcBorders>
          </w:tcPr>
          <w:p>
            <w:pPr>
              <w:ind w:left="20"/>
              <w:spacing w:after="0" w:line="216" w:lineRule="exact"/>
              <w:rPr>
                <w:sz w:val="20"/>
                <w:szCs w:val="20"/>
                <w:color w:val="auto"/>
              </w:rPr>
            </w:pPr>
            <w:r>
              <w:rPr>
                <w:rFonts w:ascii="Arial" w:cs="Arial" w:eastAsia="Arial" w:hAnsi="Arial"/>
                <w:sz w:val="17"/>
                <w:szCs w:val="17"/>
                <w:color w:val="auto"/>
              </w:rPr>
              <w:t>Third (3</w:t>
            </w:r>
            <w:r>
              <w:rPr>
                <w:rFonts w:ascii="Arial" w:cs="Arial" w:eastAsia="Arial" w:hAnsi="Arial"/>
                <w:sz w:val="23"/>
                <w:szCs w:val="23"/>
                <w:color w:val="auto"/>
                <w:vertAlign w:val="superscript"/>
              </w:rPr>
              <w:t>rd</w:t>
            </w:r>
            <w:r>
              <w:rPr>
                <w:rFonts w:ascii="Arial" w:cs="Arial" w:eastAsia="Arial" w:hAnsi="Arial"/>
                <w:sz w:val="17"/>
                <w:szCs w:val="17"/>
                <w:color w:val="auto"/>
              </w:rPr>
              <w:t>) anniversary of the Effective Date of Grant</w:t>
            </w:r>
          </w:p>
        </w:tc>
        <w:tc>
          <w:tcPr>
            <w:tcW w:w="1520" w:type="dxa"/>
            <w:vAlign w:val="bottom"/>
            <w:tcBorders>
              <w:bottom w:val="single" w:sz="8" w:color="auto"/>
              <w:right w:val="single" w:sz="8" w:color="auto"/>
            </w:tcBorders>
          </w:tcPr>
          <w:p>
            <w:pPr>
              <w:spacing w:after="0"/>
              <w:rPr>
                <w:sz w:val="18"/>
                <w:szCs w:val="18"/>
                <w:color w:val="auto"/>
              </w:rPr>
            </w:pPr>
          </w:p>
        </w:tc>
        <w:tc>
          <w:tcPr>
            <w:tcW w:w="5140" w:type="dxa"/>
            <w:vAlign w:val="bottom"/>
            <w:tcBorders>
              <w:bottom w:val="single" w:sz="8" w:color="auto"/>
              <w:right w:val="single" w:sz="8" w:color="auto"/>
            </w:tcBorders>
          </w:tcPr>
          <w:p>
            <w:pPr>
              <w:jc w:val="right"/>
              <w:ind w:right="4557"/>
              <w:spacing w:after="0"/>
              <w:rPr>
                <w:sz w:val="20"/>
                <w:szCs w:val="20"/>
                <w:color w:val="auto"/>
              </w:rPr>
            </w:pPr>
            <w:r>
              <w:rPr>
                <w:rFonts w:ascii="Arial" w:cs="Arial" w:eastAsia="Arial" w:hAnsi="Arial"/>
                <w:sz w:val="17"/>
                <w:szCs w:val="17"/>
                <w:color w:val="auto"/>
                <w:w w:val="83"/>
              </w:rPr>
              <w:t>33.34%</w:t>
            </w:r>
          </w:p>
        </w:tc>
      </w:tr>
    </w:tbl>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Vesting</w:t>
      </w:r>
    </w:p>
    <w:p>
      <w:pPr>
        <w:spacing w:after="0" w:line="192" w:lineRule="exact"/>
        <w:rPr>
          <w:sz w:val="20"/>
          <w:szCs w:val="20"/>
          <w:color w:val="auto"/>
        </w:rPr>
      </w:pPr>
    </w:p>
    <w:p>
      <w:pPr>
        <w:jc w:val="both"/>
        <w:ind w:firstLine="541"/>
        <w:spacing w:after="0" w:line="227" w:lineRule="auto"/>
        <w:rPr>
          <w:sz w:val="20"/>
          <w:szCs w:val="20"/>
          <w:color w:val="auto"/>
        </w:rPr>
      </w:pPr>
      <w:r>
        <w:rPr>
          <w:rFonts w:ascii="Arial" w:cs="Arial" w:eastAsia="Arial" w:hAnsi="Arial"/>
          <w:sz w:val="17"/>
          <w:szCs w:val="17"/>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260"/>
          </w:cols>
          <w:pgMar w:left="320" w:top="763"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5"/>
          <w:szCs w:val="15"/>
          <w:b w:val="1"/>
          <w:bCs w:val="1"/>
          <w:color w:val="auto"/>
        </w:rPr>
        <w:t>EXHIBIT 21.1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7660" w:type="dxa"/>
            <w:vAlign w:val="bottom"/>
            <w:gridSpan w:val="3"/>
          </w:tcPr>
          <w:p>
            <w:pPr>
              <w:jc w:val="center"/>
              <w:ind w:right="3465"/>
              <w:spacing w:after="0"/>
              <w:rPr>
                <w:sz w:val="20"/>
                <w:szCs w:val="20"/>
                <w:color w:val="auto"/>
              </w:rPr>
            </w:pPr>
            <w:r>
              <w:rPr>
                <w:rFonts w:ascii="Arial" w:cs="Arial" w:eastAsia="Arial" w:hAnsi="Arial"/>
                <w:sz w:val="15"/>
                <w:szCs w:val="15"/>
                <w:b w:val="1"/>
                <w:bCs w:val="1"/>
                <w:color w:val="auto"/>
              </w:rPr>
              <w:t>FIDELITY NATIONAL FINANCIAL, INC.</w:t>
            </w:r>
          </w:p>
        </w:tc>
      </w:tr>
      <w:tr>
        <w:trPr>
          <w:trHeight w:val="180"/>
        </w:trPr>
        <w:tc>
          <w:tcPr>
            <w:tcW w:w="3520" w:type="dxa"/>
            <w:vAlign w:val="bottom"/>
          </w:tcPr>
          <w:p>
            <w:pPr>
              <w:spacing w:after="0"/>
              <w:rPr>
                <w:sz w:val="15"/>
                <w:szCs w:val="15"/>
                <w:color w:val="auto"/>
              </w:rPr>
            </w:pPr>
          </w:p>
        </w:tc>
        <w:tc>
          <w:tcPr>
            <w:tcW w:w="7660" w:type="dxa"/>
            <w:vAlign w:val="bottom"/>
            <w:gridSpan w:val="3"/>
          </w:tcPr>
          <w:p>
            <w:pPr>
              <w:jc w:val="center"/>
              <w:ind w:right="3465"/>
              <w:spacing w:after="0"/>
              <w:rPr>
                <w:sz w:val="20"/>
                <w:szCs w:val="20"/>
                <w:color w:val="auto"/>
              </w:rPr>
            </w:pPr>
            <w:r>
              <w:rPr>
                <w:rFonts w:ascii="Arial" w:cs="Arial" w:eastAsia="Arial" w:hAnsi="Arial"/>
                <w:sz w:val="15"/>
                <w:szCs w:val="15"/>
                <w:b w:val="1"/>
                <w:bCs w:val="1"/>
                <w:color w:val="auto"/>
                <w:w w:val="89"/>
              </w:rPr>
              <w:t>List of Subsidiaries December 31, 2021</w:t>
            </w:r>
          </w:p>
        </w:tc>
      </w:tr>
      <w:tr>
        <w:trPr>
          <w:trHeight w:val="194"/>
        </w:trPr>
        <w:tc>
          <w:tcPr>
            <w:tcW w:w="3520" w:type="dxa"/>
            <w:vAlign w:val="bottom"/>
          </w:tcPr>
          <w:p>
            <w:pPr>
              <w:spacing w:after="0"/>
              <w:rPr>
                <w:sz w:val="16"/>
                <w:szCs w:val="16"/>
                <w:color w:val="auto"/>
              </w:rPr>
            </w:pPr>
          </w:p>
        </w:tc>
        <w:tc>
          <w:tcPr>
            <w:tcW w:w="7660" w:type="dxa"/>
            <w:vAlign w:val="bottom"/>
            <w:gridSpan w:val="3"/>
          </w:tcPr>
          <w:p>
            <w:pPr>
              <w:jc w:val="center"/>
              <w:ind w:right="3465"/>
              <w:spacing w:after="0"/>
              <w:rPr>
                <w:sz w:val="20"/>
                <w:szCs w:val="20"/>
                <w:color w:val="auto"/>
              </w:rPr>
            </w:pPr>
            <w:r>
              <w:rPr>
                <w:rFonts w:ascii="Arial" w:cs="Arial" w:eastAsia="Arial" w:hAnsi="Arial"/>
                <w:sz w:val="15"/>
                <w:szCs w:val="15"/>
                <w:b w:val="1"/>
                <w:bCs w:val="1"/>
                <w:color w:val="auto"/>
                <w:w w:val="89"/>
              </w:rPr>
              <w:t>Significant Subsidiaries</w:t>
            </w:r>
          </w:p>
        </w:tc>
      </w:tr>
      <w:tr>
        <w:trPr>
          <w:trHeight w:val="40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COMPANY</w:t>
            </w:r>
          </w:p>
        </w:tc>
        <w:tc>
          <w:tcPr>
            <w:tcW w:w="3200" w:type="dxa"/>
            <w:vAlign w:val="bottom"/>
            <w:tcBorders>
              <w:bottom w:val="single" w:sz="8" w:color="auto"/>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20" w:type="dxa"/>
            <w:vAlign w:val="bottom"/>
            <w:tcBorders>
              <w:bottom w:val="single" w:sz="8" w:color="auto"/>
            </w:tcBorders>
          </w:tcPr>
          <w:p>
            <w:pPr>
              <w:ind w:left="1300"/>
              <w:spacing w:after="0"/>
              <w:rPr>
                <w:sz w:val="20"/>
                <w:szCs w:val="20"/>
                <w:color w:val="auto"/>
              </w:rPr>
            </w:pPr>
            <w:r>
              <w:rPr>
                <w:rFonts w:ascii="Arial" w:cs="Arial" w:eastAsia="Arial" w:hAnsi="Arial"/>
                <w:sz w:val="15"/>
                <w:szCs w:val="15"/>
                <w:b w:val="1"/>
                <w:bCs w:val="1"/>
                <w:color w:val="auto"/>
              </w:rPr>
              <w:t>INCORPORATION</w:t>
            </w:r>
          </w:p>
        </w:tc>
      </w:tr>
      <w:tr>
        <w:trPr>
          <w:trHeight w:val="183"/>
        </w:trPr>
        <w:tc>
          <w:tcPr>
            <w:tcW w:w="3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FNTG Holdings, LLC</w:t>
            </w:r>
          </w:p>
        </w:tc>
        <w:tc>
          <w:tcPr>
            <w:tcW w:w="3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Delaware</w:t>
            </w:r>
          </w:p>
        </w:tc>
      </w:tr>
      <w:tr>
        <w:trPr>
          <w:trHeight w:val="191"/>
        </w:trPr>
        <w:tc>
          <w:tcPr>
            <w:tcW w:w="3520" w:type="dxa"/>
            <w:vAlign w:val="bottom"/>
          </w:tcPr>
          <w:p>
            <w:pPr>
              <w:ind w:left="20"/>
              <w:spacing w:after="0"/>
              <w:rPr>
                <w:sz w:val="20"/>
                <w:szCs w:val="20"/>
                <w:color w:val="auto"/>
              </w:rPr>
            </w:pPr>
            <w:r>
              <w:rPr>
                <w:rFonts w:ascii="Arial" w:cs="Arial" w:eastAsia="Arial" w:hAnsi="Arial"/>
                <w:sz w:val="15"/>
                <w:szCs w:val="15"/>
                <w:color w:val="auto"/>
              </w:rPr>
              <w:t>Chicago Title Insurance Company</w:t>
            </w:r>
          </w:p>
        </w:tc>
        <w:tc>
          <w:tcPr>
            <w:tcW w:w="3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20" w:type="dxa"/>
            <w:vAlign w:val="bottom"/>
          </w:tcPr>
          <w:p>
            <w:pPr>
              <w:ind w:left="20"/>
              <w:spacing w:after="0"/>
              <w:rPr>
                <w:sz w:val="20"/>
                <w:szCs w:val="20"/>
                <w:color w:val="auto"/>
              </w:rPr>
            </w:pPr>
            <w:r>
              <w:rPr>
                <w:rFonts w:ascii="Arial" w:cs="Arial" w:eastAsia="Arial" w:hAnsi="Arial"/>
                <w:sz w:val="15"/>
                <w:szCs w:val="15"/>
                <w:color w:val="auto"/>
              </w:rPr>
              <w:t>Florida</w:t>
            </w:r>
          </w:p>
        </w:tc>
      </w:tr>
      <w:tr>
        <w:trPr>
          <w:trHeight w:val="192"/>
        </w:trPr>
        <w:tc>
          <w:tcPr>
            <w:tcW w:w="3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Fidelity National Title Group, Inc.</w:t>
            </w:r>
          </w:p>
        </w:tc>
        <w:tc>
          <w:tcPr>
            <w:tcW w:w="3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Delaware</w:t>
            </w:r>
          </w:p>
        </w:tc>
      </w:tr>
      <w:tr>
        <w:trPr>
          <w:trHeight w:val="191"/>
        </w:trPr>
        <w:tc>
          <w:tcPr>
            <w:tcW w:w="3520" w:type="dxa"/>
            <w:vAlign w:val="bottom"/>
          </w:tcPr>
          <w:p>
            <w:pPr>
              <w:ind w:left="20"/>
              <w:spacing w:after="0"/>
              <w:rPr>
                <w:sz w:val="20"/>
                <w:szCs w:val="20"/>
                <w:color w:val="auto"/>
              </w:rPr>
            </w:pPr>
            <w:r>
              <w:rPr>
                <w:rFonts w:ascii="Arial" w:cs="Arial" w:eastAsia="Arial" w:hAnsi="Arial"/>
                <w:sz w:val="15"/>
                <w:szCs w:val="15"/>
                <w:color w:val="auto"/>
              </w:rPr>
              <w:t>ServiceLink Holdings, Inc.</w:t>
            </w:r>
          </w:p>
        </w:tc>
        <w:tc>
          <w:tcPr>
            <w:tcW w:w="3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20" w:type="dxa"/>
            <w:vAlign w:val="bottom"/>
          </w:tcPr>
          <w:p>
            <w:pPr>
              <w:ind w:left="20"/>
              <w:spacing w:after="0"/>
              <w:rPr>
                <w:sz w:val="20"/>
                <w:szCs w:val="20"/>
                <w:color w:val="auto"/>
              </w:rPr>
            </w:pPr>
            <w:r>
              <w:rPr>
                <w:rFonts w:ascii="Arial" w:cs="Arial" w:eastAsia="Arial" w:hAnsi="Arial"/>
                <w:sz w:val="15"/>
                <w:szCs w:val="15"/>
                <w:color w:val="auto"/>
              </w:rPr>
              <w:t>Delaware</w:t>
            </w:r>
          </w:p>
        </w:tc>
      </w:tr>
      <w:tr>
        <w:trPr>
          <w:trHeight w:val="192"/>
        </w:trPr>
        <w:tc>
          <w:tcPr>
            <w:tcW w:w="3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Fidelity National Title Insurance Company</w:t>
            </w:r>
          </w:p>
        </w:tc>
        <w:tc>
          <w:tcPr>
            <w:tcW w:w="3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Florida</w:t>
            </w:r>
          </w:p>
        </w:tc>
      </w:tr>
      <w:tr>
        <w:trPr>
          <w:trHeight w:val="191"/>
        </w:trPr>
        <w:tc>
          <w:tcPr>
            <w:tcW w:w="3520" w:type="dxa"/>
            <w:vAlign w:val="bottom"/>
          </w:tcPr>
          <w:p>
            <w:pPr>
              <w:ind w:left="20"/>
              <w:spacing w:after="0"/>
              <w:rPr>
                <w:sz w:val="20"/>
                <w:szCs w:val="20"/>
                <w:color w:val="auto"/>
              </w:rPr>
            </w:pPr>
            <w:r>
              <w:rPr>
                <w:rFonts w:ascii="Arial" w:cs="Arial" w:eastAsia="Arial" w:hAnsi="Arial"/>
                <w:sz w:val="15"/>
                <w:szCs w:val="15"/>
                <w:color w:val="auto"/>
              </w:rPr>
              <w:t>Commonwealth Land Title Insurance Company</w:t>
            </w:r>
          </w:p>
        </w:tc>
        <w:tc>
          <w:tcPr>
            <w:tcW w:w="3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20" w:type="dxa"/>
            <w:vAlign w:val="bottom"/>
          </w:tcPr>
          <w:p>
            <w:pPr>
              <w:ind w:left="20"/>
              <w:spacing w:after="0"/>
              <w:rPr>
                <w:sz w:val="20"/>
                <w:szCs w:val="20"/>
                <w:color w:val="auto"/>
              </w:rPr>
            </w:pPr>
            <w:r>
              <w:rPr>
                <w:rFonts w:ascii="Arial" w:cs="Arial" w:eastAsia="Arial" w:hAnsi="Arial"/>
                <w:sz w:val="15"/>
                <w:szCs w:val="15"/>
                <w:color w:val="auto"/>
              </w:rPr>
              <w:t>Florida</w:t>
            </w:r>
          </w:p>
        </w:tc>
      </w:tr>
      <w:tr>
        <w:trPr>
          <w:trHeight w:val="192"/>
        </w:trPr>
        <w:tc>
          <w:tcPr>
            <w:tcW w:w="3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F&amp;G Annuities &amp; Life, Inc.</w:t>
            </w:r>
          </w:p>
        </w:tc>
        <w:tc>
          <w:tcPr>
            <w:tcW w:w="3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Delaware</w:t>
            </w:r>
          </w:p>
        </w:tc>
      </w:tr>
    </w:tbl>
    <w:p>
      <w:pPr>
        <w:sectPr>
          <w:pgSz w:w="11900" w:h="16838" w:orient="portrait"/>
          <w:cols w:equalWidth="0" w:num="1">
            <w:col w:w="11220"/>
          </w:cols>
          <w:pgMar w:left="360" w:top="767" w:right="3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5"/>
          <w:szCs w:val="15"/>
          <w:b w:val="1"/>
          <w:bCs w:val="1"/>
          <w:color w:val="auto"/>
        </w:rPr>
        <w:t>Exhibit 23.1</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ERNST &amp; YOUNG LLP,</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INDEPENDENT REGISTERED PUBLIC ACCOUNTING FIRM</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5" w:lineRule="exact"/>
        <w:rPr>
          <w:sz w:val="20"/>
          <w:szCs w:val="20"/>
          <w:color w:val="auto"/>
        </w:rPr>
      </w:pPr>
    </w:p>
    <w:p>
      <w:pPr>
        <w:ind w:left="540" w:hanging="279"/>
        <w:spacing w:after="0"/>
        <w:tabs>
          <w:tab w:leader="none" w:pos="5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Registration Statements (Form S-3 Nos. 333-157123, 333-147391, 333-174650, 333-238860, 333-239002) of Fidelity National Financial, Inc.</w:t>
      </w:r>
    </w:p>
    <w:p>
      <w:pPr>
        <w:ind w:left="540" w:hanging="279"/>
        <w:spacing w:after="0" w:line="235" w:lineRule="auto"/>
        <w:tabs>
          <w:tab w:leader="none" w:pos="5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Registration Statements (Form S-4 Nos. 333-231213, 333-194938, 333-190902, 333-237540) of Fidelity National Financial, Inc.</w:t>
      </w:r>
    </w:p>
    <w:p>
      <w:pPr>
        <w:ind w:left="540" w:hanging="279"/>
        <w:spacing w:after="0" w:line="242" w:lineRule="auto"/>
        <w:tabs>
          <w:tab w:leader="none" w:pos="5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Registration Statements (Form S-8 Nos. 333-197249, 333-190527, 333-157643, 333-132843, 333-138254, 333-129886, 333-129016, 333-176395, 333-213427, 333-238853) of Fidelity National Financial, Inc.</w:t>
      </w:r>
    </w:p>
    <w:p>
      <w:pPr>
        <w:spacing w:after="0" w:line="181"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of our reports dated February 25, 2022, with respect to the consolidated financial statements and schedules of Fidelity National Financial, Inc. and subsidiaries and the effectiveness of internal control over financial reporting of Fidelity National Financial, Inc. and subsidiaries included in this Annual Report on Form 10-K for the year ended December 31, 2021.</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Ernst &amp; Young LLP</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Jacksonville, Florida</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February 25, 2022</w:t>
      </w:r>
    </w:p>
    <w:p>
      <w:pPr>
        <w:sectPr>
          <w:pgSz w:w="11900" w:h="16838" w:orient="portrait"/>
          <w:cols w:equalWidth="0" w:num="1">
            <w:col w:w="11260"/>
          </w:cols>
          <w:pgMar w:left="320" w:top="767" w:right="3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5"/>
          <w:szCs w:val="15"/>
          <w:b w:val="1"/>
          <w:bCs w:val="1"/>
          <w:color w:val="auto"/>
        </w:rPr>
        <w:t>Exhibit 31.1</w:t>
      </w:r>
    </w:p>
    <w:p>
      <w:pPr>
        <w:spacing w:after="0" w:line="211"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CERTIFICATIONS</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5"/>
          <w:szCs w:val="15"/>
          <w:color w:val="auto"/>
        </w:rPr>
        <w:t>I, Michael J. Nolan, certify that:</w:t>
      </w:r>
    </w:p>
    <w:p>
      <w:pPr>
        <w:spacing w:after="0" w:line="133" w:lineRule="exact"/>
        <w:rPr>
          <w:sz w:val="20"/>
          <w:szCs w:val="20"/>
          <w:color w:val="auto"/>
        </w:rPr>
      </w:pPr>
    </w:p>
    <w:p>
      <w:pPr>
        <w:ind w:left="150" w:hanging="150"/>
        <w:spacing w:after="0"/>
        <w:tabs>
          <w:tab w:leader="none" w:pos="150" w:val="left"/>
        </w:tabs>
        <w:numPr>
          <w:ilvl w:val="0"/>
          <w:numId w:val="66"/>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Fidelity National Financial, Inc.;</w:t>
      </w:r>
    </w:p>
    <w:p>
      <w:pPr>
        <w:spacing w:after="0" w:line="143" w:lineRule="exact"/>
        <w:rPr>
          <w:rFonts w:ascii="Arial" w:cs="Arial" w:eastAsia="Arial" w:hAnsi="Arial"/>
          <w:sz w:val="15"/>
          <w:szCs w:val="15"/>
          <w:color w:val="auto"/>
        </w:rPr>
      </w:pPr>
    </w:p>
    <w:p>
      <w:pPr>
        <w:ind w:left="10" w:hanging="10"/>
        <w:spacing w:after="0" w:line="274" w:lineRule="auto"/>
        <w:tabs>
          <w:tab w:leader="none" w:pos="174"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5"/>
          <w:szCs w:val="15"/>
          <w:color w:val="auto"/>
        </w:rPr>
      </w:pPr>
    </w:p>
    <w:p>
      <w:pPr>
        <w:ind w:left="10" w:hanging="10"/>
        <w:spacing w:after="0" w:line="274" w:lineRule="auto"/>
        <w:tabs>
          <w:tab w:leader="none" w:pos="181"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5"/>
          <w:szCs w:val="15"/>
          <w:color w:val="auto"/>
        </w:rPr>
      </w:pPr>
    </w:p>
    <w:p>
      <w:pPr>
        <w:ind w:left="10" w:hanging="10"/>
        <w:spacing w:after="0" w:line="274" w:lineRule="auto"/>
        <w:tabs>
          <w:tab w:leader="none" w:pos="164"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5"/>
          <w:szCs w:val="15"/>
          <w:color w:val="auto"/>
        </w:rPr>
      </w:pPr>
    </w:p>
    <w:p>
      <w:pPr>
        <w:jc w:val="both"/>
        <w:ind w:left="1210" w:hanging="804"/>
        <w:spacing w:after="0" w:line="262" w:lineRule="auto"/>
        <w:tabs>
          <w:tab w:leader="none" w:pos="1207" w:val="left"/>
        </w:tabs>
        <w:numPr>
          <w:ilvl w:val="1"/>
          <w:numId w:val="6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jc w:val="both"/>
        <w:ind w:left="1210" w:hanging="804"/>
        <w:spacing w:after="0" w:line="262" w:lineRule="auto"/>
        <w:tabs>
          <w:tab w:leader="none" w:pos="1205" w:val="left"/>
        </w:tabs>
        <w:numPr>
          <w:ilvl w:val="1"/>
          <w:numId w:val="6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210" w:hanging="804"/>
        <w:spacing w:after="0" w:line="274" w:lineRule="auto"/>
        <w:tabs>
          <w:tab w:leader="none" w:pos="1207" w:val="left"/>
        </w:tabs>
        <w:numPr>
          <w:ilvl w:val="1"/>
          <w:numId w:val="6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jc w:val="both"/>
        <w:ind w:left="1210" w:hanging="804"/>
        <w:spacing w:after="0" w:line="262" w:lineRule="auto"/>
        <w:tabs>
          <w:tab w:leader="none" w:pos="1205" w:val="left"/>
        </w:tabs>
        <w:numPr>
          <w:ilvl w:val="1"/>
          <w:numId w:val="6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left="10" w:hanging="10"/>
        <w:spacing w:after="0" w:line="274" w:lineRule="auto"/>
        <w:tabs>
          <w:tab w:leader="none" w:pos="17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1" w:lineRule="exact"/>
        <w:rPr>
          <w:rFonts w:ascii="Arial" w:cs="Arial" w:eastAsia="Arial" w:hAnsi="Arial"/>
          <w:sz w:val="15"/>
          <w:szCs w:val="15"/>
          <w:color w:val="auto"/>
        </w:rPr>
      </w:pPr>
    </w:p>
    <w:p>
      <w:pPr>
        <w:ind w:left="1210" w:hanging="804"/>
        <w:spacing w:after="0" w:line="274" w:lineRule="auto"/>
        <w:tabs>
          <w:tab w:leader="none" w:pos="1207" w:val="left"/>
        </w:tabs>
        <w:numPr>
          <w:ilvl w:val="1"/>
          <w:numId w:val="6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210" w:hanging="804"/>
        <w:spacing w:after="0" w:line="274" w:lineRule="auto"/>
        <w:tabs>
          <w:tab w:leader="none" w:pos="1205" w:val="left"/>
        </w:tabs>
        <w:numPr>
          <w:ilvl w:val="1"/>
          <w:numId w:val="6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5"/>
          <w:szCs w:val="15"/>
          <w:color w:val="auto"/>
        </w:rPr>
        <w:t>Date: February 25, 2022</w:t>
      </w:r>
    </w:p>
    <w:p>
      <w:pPr>
        <w:spacing w:after="0" w:line="42" w:lineRule="exact"/>
        <w:rPr>
          <w:sz w:val="20"/>
          <w:szCs w:val="20"/>
          <w:color w:val="auto"/>
        </w:rPr>
      </w:pPr>
    </w:p>
    <w:p>
      <w:pPr>
        <w:ind w:left="510"/>
        <w:spacing w:after="0"/>
        <w:tabs>
          <w:tab w:leader="none" w:pos="1109"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11430</wp:posOffset>
            </wp:positionV>
            <wp:extent cx="264731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2647315" cy="6985"/>
                    </a:xfrm>
                    <a:prstGeom prst="rect">
                      <a:avLst/>
                    </a:prstGeom>
                    <a:noFill/>
                  </pic:spPr>
                </pic:pic>
              </a:graphicData>
            </a:graphic>
          </wp:anchor>
        </w:drawing>
      </w:r>
    </w:p>
    <w:p>
      <w:pPr>
        <w:ind w:left="1130"/>
        <w:spacing w:after="0"/>
        <w:rPr>
          <w:sz w:val="20"/>
          <w:szCs w:val="20"/>
          <w:color w:val="auto"/>
        </w:rPr>
      </w:pPr>
      <w:r>
        <w:rPr>
          <w:rFonts w:ascii="Arial" w:cs="Arial" w:eastAsia="Arial" w:hAnsi="Arial"/>
          <w:sz w:val="15"/>
          <w:szCs w:val="15"/>
          <w:color w:val="auto"/>
        </w:rPr>
        <w:t>Michael J. Nolan</w:t>
      </w:r>
    </w:p>
    <w:p>
      <w:pPr>
        <w:ind w:left="113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270"/>
          </w:cols>
          <w:pgMar w:left="310" w:top="767" w:right="3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5"/>
          <w:szCs w:val="15"/>
          <w:b w:val="1"/>
          <w:bCs w:val="1"/>
          <w:color w:val="auto"/>
        </w:rPr>
        <w:t>Exhibit 31.2</w:t>
      </w:r>
    </w:p>
    <w:p>
      <w:pPr>
        <w:spacing w:after="0" w:line="211"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CERTIFICATIONS</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5"/>
          <w:szCs w:val="15"/>
          <w:color w:val="auto"/>
        </w:rPr>
        <w:t>I, Anthony J. Park, certify that:</w:t>
      </w:r>
    </w:p>
    <w:p>
      <w:pPr>
        <w:spacing w:after="0" w:line="133" w:lineRule="exact"/>
        <w:rPr>
          <w:sz w:val="20"/>
          <w:szCs w:val="20"/>
          <w:color w:val="auto"/>
        </w:rPr>
      </w:pPr>
    </w:p>
    <w:p>
      <w:pPr>
        <w:ind w:left="150" w:hanging="150"/>
        <w:spacing w:after="0"/>
        <w:tabs>
          <w:tab w:leader="none" w:pos="15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Fidelity National Financial, Inc.;</w:t>
      </w:r>
    </w:p>
    <w:p>
      <w:pPr>
        <w:spacing w:after="0" w:line="143" w:lineRule="exact"/>
        <w:rPr>
          <w:rFonts w:ascii="Arial" w:cs="Arial" w:eastAsia="Arial" w:hAnsi="Arial"/>
          <w:sz w:val="15"/>
          <w:szCs w:val="15"/>
          <w:color w:val="auto"/>
        </w:rPr>
      </w:pPr>
    </w:p>
    <w:p>
      <w:pPr>
        <w:ind w:left="10" w:hanging="10"/>
        <w:spacing w:after="0" w:line="274" w:lineRule="auto"/>
        <w:tabs>
          <w:tab w:leader="none" w:pos="174"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5"/>
          <w:szCs w:val="15"/>
          <w:color w:val="auto"/>
        </w:rPr>
      </w:pPr>
    </w:p>
    <w:p>
      <w:pPr>
        <w:ind w:left="10" w:hanging="10"/>
        <w:spacing w:after="0" w:line="274" w:lineRule="auto"/>
        <w:tabs>
          <w:tab w:leader="none" w:pos="181"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5"/>
          <w:szCs w:val="15"/>
          <w:color w:val="auto"/>
        </w:rPr>
      </w:pPr>
    </w:p>
    <w:p>
      <w:pPr>
        <w:ind w:left="10" w:hanging="10"/>
        <w:spacing w:after="0" w:line="274" w:lineRule="auto"/>
        <w:tabs>
          <w:tab w:leader="none" w:pos="164"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5"/>
          <w:szCs w:val="15"/>
          <w:color w:val="auto"/>
        </w:rPr>
      </w:pPr>
    </w:p>
    <w:p>
      <w:pPr>
        <w:jc w:val="both"/>
        <w:ind w:left="1210" w:hanging="804"/>
        <w:spacing w:after="0" w:line="262" w:lineRule="auto"/>
        <w:tabs>
          <w:tab w:leader="none" w:pos="1207" w:val="left"/>
        </w:tabs>
        <w:numPr>
          <w:ilvl w:val="1"/>
          <w:numId w:val="6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jc w:val="both"/>
        <w:ind w:left="1210" w:hanging="804"/>
        <w:spacing w:after="0" w:line="262" w:lineRule="auto"/>
        <w:tabs>
          <w:tab w:leader="none" w:pos="1205" w:val="left"/>
        </w:tabs>
        <w:numPr>
          <w:ilvl w:val="1"/>
          <w:numId w:val="6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210" w:hanging="804"/>
        <w:spacing w:after="0" w:line="274" w:lineRule="auto"/>
        <w:tabs>
          <w:tab w:leader="none" w:pos="1207" w:val="left"/>
        </w:tabs>
        <w:numPr>
          <w:ilvl w:val="1"/>
          <w:numId w:val="6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jc w:val="both"/>
        <w:ind w:left="1210" w:hanging="804"/>
        <w:spacing w:after="0" w:line="262" w:lineRule="auto"/>
        <w:tabs>
          <w:tab w:leader="none" w:pos="1205" w:val="left"/>
        </w:tabs>
        <w:numPr>
          <w:ilvl w:val="1"/>
          <w:numId w:val="6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left="10" w:hanging="10"/>
        <w:spacing w:after="0" w:line="274" w:lineRule="auto"/>
        <w:tabs>
          <w:tab w:leader="none" w:pos="17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1" w:lineRule="exact"/>
        <w:rPr>
          <w:rFonts w:ascii="Arial" w:cs="Arial" w:eastAsia="Arial" w:hAnsi="Arial"/>
          <w:sz w:val="15"/>
          <w:szCs w:val="15"/>
          <w:color w:val="auto"/>
        </w:rPr>
      </w:pPr>
    </w:p>
    <w:p>
      <w:pPr>
        <w:ind w:left="1210" w:hanging="804"/>
        <w:spacing w:after="0" w:line="274" w:lineRule="auto"/>
        <w:tabs>
          <w:tab w:leader="none" w:pos="1207" w:val="left"/>
        </w:tabs>
        <w:numPr>
          <w:ilvl w:val="1"/>
          <w:numId w:val="6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210" w:hanging="804"/>
        <w:spacing w:after="0" w:line="274" w:lineRule="auto"/>
        <w:tabs>
          <w:tab w:leader="none" w:pos="1205" w:val="left"/>
        </w:tabs>
        <w:numPr>
          <w:ilvl w:val="1"/>
          <w:numId w:val="6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580" w:type="dxa"/>
            <w:vAlign w:val="bottom"/>
          </w:tcPr>
          <w:p>
            <w:pPr>
              <w:ind w:left="1960"/>
              <w:spacing w:after="0"/>
              <w:rPr>
                <w:sz w:val="20"/>
                <w:szCs w:val="20"/>
                <w:color w:val="auto"/>
              </w:rPr>
            </w:pPr>
            <w:r>
              <w:rPr>
                <w:rFonts w:ascii="Arial" w:cs="Arial" w:eastAsia="Arial" w:hAnsi="Arial"/>
                <w:sz w:val="15"/>
                <w:szCs w:val="15"/>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Anthony J. Park</w:t>
            </w:r>
          </w:p>
        </w:tc>
        <w:tc>
          <w:tcPr>
            <w:tcW w:w="0" w:type="dxa"/>
            <w:vAlign w:val="bottom"/>
          </w:tcPr>
          <w:p>
            <w:pPr>
              <w:spacing w:after="0"/>
              <w:rPr>
                <w:sz w:val="1"/>
                <w:szCs w:val="1"/>
                <w:color w:val="auto"/>
              </w:rPr>
            </w:pPr>
          </w:p>
        </w:tc>
      </w:tr>
      <w:tr>
        <w:trPr>
          <w:trHeight w:val="139"/>
        </w:trPr>
        <w:tc>
          <w:tcPr>
            <w:tcW w:w="2580" w:type="dxa"/>
            <w:vAlign w:val="bottom"/>
          </w:tcPr>
          <w:p>
            <w:pPr>
              <w:spacing w:after="0"/>
              <w:rPr>
                <w:sz w:val="12"/>
                <w:szCs w:val="12"/>
                <w:color w:val="auto"/>
              </w:rPr>
            </w:pPr>
          </w:p>
        </w:tc>
        <w:tc>
          <w:tcPr>
            <w:tcW w:w="4160" w:type="dxa"/>
            <w:vAlign w:val="bottom"/>
          </w:tcPr>
          <w:p>
            <w:pPr>
              <w:spacing w:after="0" w:line="139" w:lineRule="exact"/>
              <w:rPr>
                <w:sz w:val="20"/>
                <w:szCs w:val="20"/>
                <w:color w:val="auto"/>
              </w:rPr>
            </w:pPr>
            <w:r>
              <w:rPr>
                <w:rFonts w:ascii="Arial" w:cs="Arial" w:eastAsia="Arial" w:hAnsi="Arial"/>
                <w:sz w:val="15"/>
                <w:szCs w:val="15"/>
                <w:color w:val="auto"/>
              </w:rPr>
              <w:t>Anthony J. Park</w:t>
            </w:r>
          </w:p>
        </w:tc>
        <w:tc>
          <w:tcPr>
            <w:tcW w:w="0" w:type="dxa"/>
            <w:vAlign w:val="bottom"/>
          </w:tcPr>
          <w:p>
            <w:pPr>
              <w:spacing w:after="0"/>
              <w:rPr>
                <w:sz w:val="1"/>
                <w:szCs w:val="1"/>
                <w:color w:val="auto"/>
              </w:rPr>
            </w:pPr>
          </w:p>
        </w:tc>
      </w:tr>
      <w:tr>
        <w:trPr>
          <w:trHeight w:val="190"/>
        </w:trPr>
        <w:tc>
          <w:tcPr>
            <w:tcW w:w="2580" w:type="dxa"/>
            <w:vAlign w:val="bottom"/>
            <w:vMerge w:val="restart"/>
          </w:tcPr>
          <w:p>
            <w:pPr>
              <w:spacing w:after="0"/>
              <w:rPr>
                <w:sz w:val="20"/>
                <w:szCs w:val="20"/>
                <w:color w:val="auto"/>
              </w:rPr>
            </w:pPr>
            <w:r>
              <w:rPr>
                <w:rFonts w:ascii="Arial" w:cs="Arial" w:eastAsia="Arial" w:hAnsi="Arial"/>
                <w:sz w:val="15"/>
                <w:szCs w:val="15"/>
                <w:color w:val="auto"/>
              </w:rPr>
              <w:t>Date: February 25, 2022</w:t>
            </w:r>
          </w:p>
        </w:tc>
        <w:tc>
          <w:tcPr>
            <w:tcW w:w="4160" w:type="dxa"/>
            <w:vAlign w:val="bottom"/>
          </w:tcPr>
          <w:p>
            <w:pPr>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90"/>
        </w:trPr>
        <w:tc>
          <w:tcPr>
            <w:tcW w:w="258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70"/>
          </w:cols>
          <w:pgMar w:left="310" w:top="767" w:right="3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5"/>
          <w:szCs w:val="15"/>
          <w:b w:val="1"/>
          <w:bCs w:val="1"/>
          <w:color w:val="auto"/>
        </w:rPr>
        <w:t>Exhibit 32.1</w:t>
      </w:r>
    </w:p>
    <w:p>
      <w:pPr>
        <w:spacing w:after="0" w:line="211"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CERTIFICATION OF PERIODIC FINANCIAL REPORTS PURSUANT TO 18 U.S.C. §1350</w:t>
      </w:r>
    </w:p>
    <w:p>
      <w:pPr>
        <w:spacing w:after="0" w:line="215" w:lineRule="exact"/>
        <w:rPr>
          <w:sz w:val="20"/>
          <w:szCs w:val="20"/>
          <w:color w:val="auto"/>
        </w:rPr>
      </w:pPr>
    </w:p>
    <w:p>
      <w:pPr>
        <w:ind w:left="10" w:firstLine="228"/>
        <w:spacing w:after="0" w:line="274" w:lineRule="auto"/>
        <w:rPr>
          <w:sz w:val="20"/>
          <w:szCs w:val="20"/>
          <w:color w:val="auto"/>
        </w:rPr>
      </w:pPr>
      <w:r>
        <w:rPr>
          <w:rFonts w:ascii="Arial" w:cs="Arial" w:eastAsia="Arial" w:hAnsi="Arial"/>
          <w:sz w:val="15"/>
          <w:szCs w:val="15"/>
          <w:color w:val="auto"/>
        </w:rPr>
        <w:t>The undersigned hereby certifies that he is the duly appointed and acting Chief Executive Officer of Fidelity National Financial, Inc., a Delaware corporation (the “Company”), and hereby further certifies as follows.</w:t>
      </w:r>
    </w:p>
    <w:p>
      <w:pPr>
        <w:spacing w:after="0" w:line="102" w:lineRule="exact"/>
        <w:rPr>
          <w:sz w:val="20"/>
          <w:szCs w:val="20"/>
          <w:color w:val="auto"/>
        </w:rPr>
      </w:pPr>
    </w:p>
    <w:p>
      <w:pPr>
        <w:ind w:left="750" w:hanging="750"/>
        <w:spacing w:after="0" w:line="274" w:lineRule="auto"/>
        <w:tabs>
          <w:tab w:leader="none" w:pos="75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periodic report containing financial statements to which this certificate is an exhibit fully complies with the requirements of Section 13(a) or 15(d) of the Securities Exchange Act of 1934.</w:t>
      </w:r>
    </w:p>
    <w:p>
      <w:pPr>
        <w:spacing w:after="0" w:line="169" w:lineRule="exact"/>
        <w:rPr>
          <w:rFonts w:ascii="Arial" w:cs="Arial" w:eastAsia="Arial" w:hAnsi="Arial"/>
          <w:sz w:val="15"/>
          <w:szCs w:val="15"/>
          <w:color w:val="auto"/>
        </w:rPr>
      </w:pPr>
    </w:p>
    <w:p>
      <w:pPr>
        <w:ind w:left="750" w:hanging="750"/>
        <w:spacing w:after="0" w:line="274" w:lineRule="auto"/>
        <w:tabs>
          <w:tab w:leader="none" w:pos="75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left="190"/>
        <w:spacing w:after="0"/>
        <w:rPr>
          <w:sz w:val="20"/>
          <w:szCs w:val="20"/>
          <w:color w:val="auto"/>
        </w:rPr>
      </w:pPr>
      <w:r>
        <w:rPr>
          <w:rFonts w:ascii="Arial" w:cs="Arial" w:eastAsia="Arial" w:hAnsi="Arial"/>
          <w:sz w:val="15"/>
          <w:szCs w:val="15"/>
          <w:color w:val="auto"/>
        </w:rPr>
        <w:t>In witness whereof, the undersigned has executed and delivered this certificate as of the date set forth opposite his signature below.</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300" w:type="dxa"/>
            <w:vAlign w:val="bottom"/>
          </w:tcPr>
          <w:p>
            <w:pPr>
              <w:ind w:left="1480"/>
              <w:spacing w:after="0"/>
              <w:rPr>
                <w:sz w:val="20"/>
                <w:szCs w:val="20"/>
                <w:color w:val="auto"/>
              </w:rPr>
            </w:pPr>
            <w:r>
              <w:rPr>
                <w:rFonts w:ascii="Arial" w:cs="Arial" w:eastAsia="Arial" w:hAnsi="Arial"/>
                <w:sz w:val="15"/>
                <w:szCs w:val="15"/>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Michael J. Nolan</w:t>
            </w:r>
          </w:p>
        </w:tc>
        <w:tc>
          <w:tcPr>
            <w:tcW w:w="0" w:type="dxa"/>
            <w:vAlign w:val="bottom"/>
          </w:tcPr>
          <w:p>
            <w:pPr>
              <w:spacing w:after="0"/>
              <w:rPr>
                <w:sz w:val="1"/>
                <w:szCs w:val="1"/>
                <w:color w:val="auto"/>
              </w:rPr>
            </w:pPr>
          </w:p>
        </w:tc>
      </w:tr>
      <w:tr>
        <w:trPr>
          <w:trHeight w:val="182"/>
        </w:trPr>
        <w:tc>
          <w:tcPr>
            <w:tcW w:w="2300" w:type="dxa"/>
            <w:vAlign w:val="bottom"/>
          </w:tcPr>
          <w:p>
            <w:pPr>
              <w:spacing w:after="0"/>
              <w:rPr>
                <w:sz w:val="15"/>
                <w:szCs w:val="15"/>
                <w:color w:val="auto"/>
              </w:rPr>
            </w:pPr>
          </w:p>
        </w:tc>
        <w:tc>
          <w:tcPr>
            <w:tcW w:w="5280" w:type="dxa"/>
            <w:vAlign w:val="bottom"/>
          </w:tcPr>
          <w:p>
            <w:pPr>
              <w:ind w:left="20"/>
              <w:spacing w:after="0"/>
              <w:rPr>
                <w:sz w:val="20"/>
                <w:szCs w:val="20"/>
                <w:color w:val="auto"/>
              </w:rPr>
            </w:pPr>
            <w:r>
              <w:rPr>
                <w:rFonts w:ascii="Arial" w:cs="Arial" w:eastAsia="Arial" w:hAnsi="Arial"/>
                <w:sz w:val="15"/>
                <w:szCs w:val="15"/>
                <w:color w:val="auto"/>
              </w:rPr>
              <w:t>Michael J. Nolan</w:t>
            </w:r>
          </w:p>
        </w:tc>
        <w:tc>
          <w:tcPr>
            <w:tcW w:w="0" w:type="dxa"/>
            <w:vAlign w:val="bottom"/>
          </w:tcPr>
          <w:p>
            <w:pPr>
              <w:spacing w:after="0"/>
              <w:rPr>
                <w:sz w:val="1"/>
                <w:szCs w:val="1"/>
                <w:color w:val="auto"/>
              </w:rPr>
            </w:pPr>
          </w:p>
        </w:tc>
      </w:tr>
      <w:tr>
        <w:trPr>
          <w:trHeight w:val="192"/>
        </w:trPr>
        <w:tc>
          <w:tcPr>
            <w:tcW w:w="2300" w:type="dxa"/>
            <w:vAlign w:val="bottom"/>
            <w:vMerge w:val="restart"/>
          </w:tcPr>
          <w:p>
            <w:pPr>
              <w:spacing w:after="0"/>
              <w:rPr>
                <w:sz w:val="20"/>
                <w:szCs w:val="20"/>
                <w:color w:val="auto"/>
              </w:rPr>
            </w:pPr>
            <w:r>
              <w:rPr>
                <w:rFonts w:ascii="Arial" w:cs="Arial" w:eastAsia="Arial" w:hAnsi="Arial"/>
                <w:sz w:val="15"/>
                <w:szCs w:val="15"/>
                <w:color w:val="auto"/>
              </w:rPr>
              <w:t>Date: February 25, 2022</w:t>
            </w:r>
          </w:p>
        </w:tc>
        <w:tc>
          <w:tcPr>
            <w:tcW w:w="5280" w:type="dxa"/>
            <w:vAlign w:val="bottom"/>
          </w:tcPr>
          <w:p>
            <w:pPr>
              <w:ind w:left="20"/>
              <w:spacing w:after="0"/>
              <w:rPr>
                <w:sz w:val="20"/>
                <w:szCs w:val="20"/>
                <w:color w:val="auto"/>
              </w:rPr>
            </w:pPr>
            <w:r>
              <w:rPr>
                <w:rFonts w:ascii="Arial" w:cs="Arial" w:eastAsia="Arial" w:hAnsi="Arial"/>
                <w:sz w:val="15"/>
                <w:szCs w:val="15"/>
                <w:color w:val="auto"/>
              </w:rPr>
              <w:t>Chief Executive Officer</w:t>
            </w:r>
          </w:p>
        </w:tc>
        <w:tc>
          <w:tcPr>
            <w:tcW w:w="0" w:type="dxa"/>
            <w:vAlign w:val="bottom"/>
          </w:tcPr>
          <w:p>
            <w:pPr>
              <w:spacing w:after="0"/>
              <w:rPr>
                <w:sz w:val="1"/>
                <w:szCs w:val="1"/>
                <w:color w:val="auto"/>
              </w:rPr>
            </w:pPr>
          </w:p>
        </w:tc>
      </w:tr>
      <w:tr>
        <w:trPr>
          <w:trHeight w:val="90"/>
        </w:trPr>
        <w:tc>
          <w:tcPr>
            <w:tcW w:w="2300" w:type="dxa"/>
            <w:vAlign w:val="bottom"/>
            <w:vMerge w:val="continue"/>
          </w:tcPr>
          <w:p>
            <w:pPr>
              <w:spacing w:after="0"/>
              <w:rPr>
                <w:sz w:val="7"/>
                <w:szCs w:val="7"/>
                <w:color w:val="auto"/>
              </w:rPr>
            </w:pPr>
          </w:p>
        </w:tc>
        <w:tc>
          <w:tcPr>
            <w:tcW w:w="5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70"/>
          </w:cols>
          <w:pgMar w:left="310" w:top="970" w:right="3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5"/>
          <w:szCs w:val="15"/>
          <w:b w:val="1"/>
          <w:bCs w:val="1"/>
          <w:color w:val="auto"/>
        </w:rPr>
        <w:t>Exhibit 32.2</w:t>
      </w:r>
    </w:p>
    <w:p>
      <w:pPr>
        <w:spacing w:after="0" w:line="211"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CERTIFICATION OF PERIODIC FINANCIAL REPORTS PURSUANT TO 18 U.S.C. §1350</w:t>
      </w:r>
    </w:p>
    <w:p>
      <w:pPr>
        <w:spacing w:after="0" w:line="147" w:lineRule="exact"/>
        <w:rPr>
          <w:sz w:val="20"/>
          <w:szCs w:val="20"/>
          <w:color w:val="auto"/>
        </w:rPr>
      </w:pPr>
    </w:p>
    <w:p>
      <w:pPr>
        <w:ind w:left="10" w:firstLine="236"/>
        <w:spacing w:after="0" w:line="274" w:lineRule="auto"/>
        <w:rPr>
          <w:sz w:val="20"/>
          <w:szCs w:val="20"/>
          <w:color w:val="auto"/>
        </w:rPr>
      </w:pPr>
      <w:r>
        <w:rPr>
          <w:rFonts w:ascii="Arial" w:cs="Arial" w:eastAsia="Arial" w:hAnsi="Arial"/>
          <w:sz w:val="15"/>
          <w:szCs w:val="15"/>
          <w:color w:val="auto"/>
        </w:rPr>
        <w:t>The undersigned hereby certifies that he is the duly appointed and acting Chief Financial Officer of Fidelity National Financial, Inc., a Delaware corporation (the “Company”), and hereby further certifies as follows.</w:t>
      </w:r>
    </w:p>
    <w:p>
      <w:pPr>
        <w:spacing w:after="0" w:line="102" w:lineRule="exact"/>
        <w:rPr>
          <w:sz w:val="20"/>
          <w:szCs w:val="20"/>
          <w:color w:val="auto"/>
        </w:rPr>
      </w:pPr>
    </w:p>
    <w:p>
      <w:pPr>
        <w:ind w:left="750" w:hanging="750"/>
        <w:spacing w:after="0" w:line="274" w:lineRule="auto"/>
        <w:tabs>
          <w:tab w:leader="none" w:pos="75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periodic report containing financial statements to which this certificate is an exhibit fully complies with the requirements of Section 13(a) or 15(d) of the Securities Exchange Act of 1934.</w:t>
      </w:r>
    </w:p>
    <w:p>
      <w:pPr>
        <w:spacing w:after="0" w:line="169" w:lineRule="exact"/>
        <w:rPr>
          <w:rFonts w:ascii="Arial" w:cs="Arial" w:eastAsia="Arial" w:hAnsi="Arial"/>
          <w:sz w:val="15"/>
          <w:szCs w:val="15"/>
          <w:color w:val="auto"/>
        </w:rPr>
      </w:pPr>
    </w:p>
    <w:p>
      <w:pPr>
        <w:ind w:left="750" w:hanging="750"/>
        <w:spacing w:after="0" w:line="274" w:lineRule="auto"/>
        <w:tabs>
          <w:tab w:leader="none" w:pos="75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left="190"/>
        <w:spacing w:after="0"/>
        <w:rPr>
          <w:sz w:val="20"/>
          <w:szCs w:val="20"/>
          <w:color w:val="auto"/>
        </w:rPr>
      </w:pPr>
      <w:r>
        <w:rPr>
          <w:rFonts w:ascii="Arial" w:cs="Arial" w:eastAsia="Arial" w:hAnsi="Arial"/>
          <w:sz w:val="15"/>
          <w:szCs w:val="15"/>
          <w:color w:val="auto"/>
        </w:rPr>
        <w:t>In witness whereof, the undersigned has executed and delivered this certificate as of the date set forth opposite his signature below.</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240" w:type="dxa"/>
            <w:vAlign w:val="bottom"/>
          </w:tcPr>
          <w:p>
            <w:pPr>
              <w:ind w:left="1520"/>
              <w:spacing w:after="0"/>
              <w:rPr>
                <w:sz w:val="20"/>
                <w:szCs w:val="20"/>
                <w:color w:val="auto"/>
              </w:rPr>
            </w:pPr>
            <w:r>
              <w:rPr>
                <w:rFonts w:ascii="Arial" w:cs="Arial" w:eastAsia="Arial" w:hAnsi="Arial"/>
                <w:sz w:val="15"/>
                <w:szCs w:val="15"/>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Anthony J. Park</w:t>
            </w: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Anthony J. Park</w:t>
            </w:r>
          </w:p>
        </w:tc>
        <w:tc>
          <w:tcPr>
            <w:tcW w:w="0" w:type="dxa"/>
            <w:vAlign w:val="bottom"/>
          </w:tcPr>
          <w:p>
            <w:pPr>
              <w:spacing w:after="0"/>
              <w:rPr>
                <w:sz w:val="1"/>
                <w:szCs w:val="1"/>
                <w:color w:val="auto"/>
              </w:rPr>
            </w:pPr>
          </w:p>
        </w:tc>
      </w:tr>
      <w:tr>
        <w:trPr>
          <w:trHeight w:val="192"/>
        </w:trPr>
        <w:tc>
          <w:tcPr>
            <w:tcW w:w="2240" w:type="dxa"/>
            <w:vAlign w:val="bottom"/>
            <w:vMerge w:val="restart"/>
          </w:tcPr>
          <w:p>
            <w:pPr>
              <w:spacing w:after="0"/>
              <w:rPr>
                <w:sz w:val="20"/>
                <w:szCs w:val="20"/>
                <w:color w:val="auto"/>
              </w:rPr>
            </w:pPr>
            <w:r>
              <w:rPr>
                <w:rFonts w:ascii="Arial" w:cs="Arial" w:eastAsia="Arial" w:hAnsi="Arial"/>
                <w:sz w:val="15"/>
                <w:szCs w:val="15"/>
                <w:color w:val="auto"/>
              </w:rPr>
              <w:t>Date: February 25, 2022</w:t>
            </w:r>
          </w:p>
        </w:tc>
        <w:tc>
          <w:tcPr>
            <w:tcW w:w="5260" w:type="dxa"/>
            <w:vAlign w:val="bottom"/>
          </w:tcPr>
          <w:p>
            <w:pPr>
              <w:ind w:left="2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90"/>
        </w:trPr>
        <w:tc>
          <w:tcPr>
            <w:tcW w:w="2240" w:type="dxa"/>
            <w:vAlign w:val="bottom"/>
            <w:vMerge w:val="continue"/>
          </w:tcPr>
          <w:p>
            <w:pPr>
              <w:spacing w:after="0"/>
              <w:rPr>
                <w:sz w:val="7"/>
                <w:szCs w:val="7"/>
                <w:color w:val="auto"/>
              </w:rPr>
            </w:pPr>
          </w:p>
        </w:tc>
        <w:tc>
          <w:tcPr>
            <w:tcW w:w="5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70"/>
      </w:cols>
      <w:pgMar w:left="310" w:top="76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emdash "/>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1)"/>
      <w:numFmt w:val="lowerRoman"/>
      <w:start w:val="1"/>
    </w:lvl>
  </w:abstractNum>
  <w:abstractNum w:abstractNumId="19">
    <w:nsid w:val="2CD89A32"/>
    <w:multiLevelType w:val="hybridMultilevel"/>
    <w:lvl w:ilvl="0">
      <w:lvlJc w:val="left"/>
      <w:lvlText w:val="(%1)"/>
      <w:numFmt w:val="lowerRoman"/>
      <w:start w:val="2"/>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lowerRoman"/>
      <w:start w:val="1"/>
    </w:lvl>
  </w:abstractNum>
  <w:abstractNum w:abstractNumId="29">
    <w:nsid w:val="579478FE"/>
    <w:multiLevelType w:val="hybridMultilevel"/>
    <w:lvl w:ilvl="0">
      <w:lvlJc w:val="left"/>
      <w:lvlText w:val="(%1)"/>
      <w:numFmt w:val="lowerRoman"/>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lowerLetter"/>
      <w:start w:val="1"/>
    </w:lvl>
    <w:lvl w:ilvl="1">
      <w:lvlJc w:val="left"/>
      <w:lvlText w:val="•"/>
      <w:numFmt w:val="bullet"/>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1"/>
      <w:numFmt w:val="decimal"/>
      <w:start w:val="1"/>
    </w:lvl>
    <w:lvl w:ilvl="1">
      <w:lvlJc w:val="left"/>
      <w:lvlText w:val="%2"/>
      <w:numFmt w:val="decimal"/>
      <w:start w:val="104"/>
    </w:lvl>
  </w:abstractNum>
  <w:abstractNum w:abstractNumId="52">
    <w:nsid w:val="10233C99"/>
    <w:multiLevelType w:val="hybridMultilevel"/>
    <w:lvl w:ilvl="0">
      <w:lvlJc w:val="left"/>
      <w:lvlText w:val="(%1)"/>
      <w:numFmt w:val="decimal"/>
      <w:start w:val="1"/>
    </w:lvl>
    <w:lvl w:ilvl="1">
      <w:lvlJc w:val="left"/>
      <w:lvlText w:val="%2"/>
      <w:numFmt w:val="decimal"/>
      <w:start w:val="1"/>
    </w:lvl>
  </w:abstractNum>
  <w:abstractNum w:abstractNumId="53">
    <w:nsid w:val="3F6AB60F"/>
    <w:multiLevelType w:val="hybridMultilevel"/>
    <w:lvl w:ilvl="0">
      <w:lvlJc w:val="left"/>
      <w:lvlText w:val="%1."/>
      <w:numFmt w:val="upperLetter"/>
      <w:start w:val="1"/>
    </w:lvl>
  </w:abstractNum>
  <w:abstractNum w:abstractNumId="54">
    <w:nsid w:val="61574095"/>
    <w:multiLevelType w:val="hybridMultilevel"/>
    <w:lvl w:ilvl="0">
      <w:lvlJc w:val="left"/>
      <w:lvlText w:val="%1."/>
      <w:numFmt w:val="upperLetter"/>
      <w:start w:val="3"/>
    </w:lvl>
  </w:abstractNum>
  <w:abstractNum w:abstractNumId="55">
    <w:nsid w:val="7E0C57B1"/>
    <w:multiLevelType w:val="hybridMultilevel"/>
    <w:lvl w:ilvl="0">
      <w:lvlJc w:val="left"/>
      <w:lvlText w:val="%1."/>
      <w:numFmt w:val="upperLetter"/>
      <w:start w:val="4"/>
    </w:lvl>
  </w:abstractNum>
  <w:abstractNum w:abstractNumId="56">
    <w:nsid w:val="77AE35E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7">
    <w:nsid w:val="579BE4F1"/>
    <w:multiLevelType w:val="hybridMultilevel"/>
    <w:lvl w:ilvl="0">
      <w:lvlJc w:val="left"/>
      <w:lvlText w:val="%1."/>
      <w:numFmt w:val="lowerRoman"/>
      <w:start w:val="3"/>
    </w:lvl>
  </w:abstractNum>
  <w:abstractNum w:abstractNumId="58">
    <w:nsid w:val="310C50B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59">
    <w:nsid w:val="5FF87E0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60">
    <w:nsid w:val="2F305DEF"/>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61">
    <w:nsid w:val="25A70BF7"/>
    <w:multiLevelType w:val="hybridMultilevel"/>
    <w:lvl w:ilvl="0">
      <w:lvlJc w:val="left"/>
      <w:lvlText w:val="%1."/>
      <w:numFmt w:val="upperLetter"/>
      <w:start w:val="4"/>
    </w:lvl>
  </w:abstractNum>
  <w:abstractNum w:abstractNumId="62">
    <w:nsid w:val="1DBABF00"/>
    <w:multiLevelType w:val="hybridMultilevel"/>
    <w:lvl w:ilvl="0">
      <w:lvlJc w:val="left"/>
      <w:lvlText w:val="%1."/>
      <w:numFmt w:val="upperLetter"/>
      <w:start w:val="5"/>
    </w:lvl>
    <w:lvl w:ilvl="1">
      <w:lvlJc w:val="left"/>
      <w:lvlText w:val="%2."/>
      <w:numFmt w:val="lowerLetter"/>
      <w:start w:val="1"/>
    </w:lvl>
  </w:abstractNum>
  <w:abstractNum w:abstractNumId="63">
    <w:nsid w:val="4AD084E9"/>
    <w:multiLevelType w:val="hybridMultilevel"/>
    <w:lvl w:ilvl="0">
      <w:lvlJc w:val="left"/>
      <w:lvlText w:val="%1."/>
      <w:numFmt w:val="lowerLetter"/>
      <w:start w:val="6"/>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39"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24" Type="http://schemas.openxmlformats.org/officeDocument/2006/relationships/hyperlink" Target="http://www.sec.gov/Archives/edgar/data/1331875/000110465917069547/a17-27153_1ex2d1.htm#Exhibit2_1_101925" TargetMode="External"/><Relationship Id="rId225" Type="http://schemas.openxmlformats.org/officeDocument/2006/relationships/hyperlink" Target="http://www.sec.gov/Archives/edgar/data/1331875/000110465920012350/tm207083d1_ex2-1.htm" TargetMode="External"/><Relationship Id="rId226" Type="http://schemas.openxmlformats.org/officeDocument/2006/relationships/hyperlink" Target="http://www.sec.gov/Archives/edgar/data/1331875/000104746920002579/a2241436zs-4a.htm#annb" TargetMode="External"/><Relationship Id="rId227" Type="http://schemas.openxmlformats.org/officeDocument/2006/relationships/hyperlink" Target="http://www.sec.gov/Archives/edgar/data/1331875/000133187518000035/fnffifthamendedandrestated.htm" TargetMode="External"/><Relationship Id="rId228" Type="http://schemas.openxmlformats.org/officeDocument/2006/relationships/hyperlink" Target="https://www.sec.gov/Archives/edgar/data/0001331875/000133187522000006/ex32fifthamendedandrestate.htm" TargetMode="External"/><Relationship Id="rId229" Type="http://schemas.openxmlformats.org/officeDocument/2006/relationships/hyperlink" Target="http://www.sec.gov/Archives/edgar/data/1331875/000095013406005246/a16815exv4w1.txt" TargetMode="External"/><Relationship Id="rId230" Type="http://schemas.openxmlformats.org/officeDocument/2006/relationships/hyperlink" Target="http://www.sec.gov/Archives/edgar/data/1331875/000089256906000049/a16429exv4w1.htm" TargetMode="External"/><Relationship Id="rId231" Type="http://schemas.openxmlformats.org/officeDocument/2006/relationships/hyperlink" Target="http://www.sec.gov/Archives/edgar/data/1331875/000095012310044230/g23229exv4w1.htm" TargetMode="External"/><Relationship Id="rId232" Type="http://schemas.openxmlformats.org/officeDocument/2006/relationships/hyperlink" Target="http://www.sec.gov/Archives/edgar/data/1331875/000119312512371962/d403278dex41.htm" TargetMode="External"/><Relationship Id="rId233" Type="http://schemas.openxmlformats.org/officeDocument/2006/relationships/hyperlink" Target="http://www.sec.gov/Archives/edgar/data/1331875/000089256907001411/a35688exv4w2xay.htm" TargetMode="External"/><Relationship Id="rId234" Type="http://schemas.openxmlformats.org/officeDocument/2006/relationships/hyperlink" Target="http://www.sec.gov/Archives/edgar/data/1331875/000133187518000051/exhibit44-fourthsupplement.htm" TargetMode="External"/><Relationship Id="rId235" Type="http://schemas.openxmlformats.org/officeDocument/2006/relationships/hyperlink" Target="http://www.sec.gov/Archives/edgar/data/1331875/000119312514182698/d702315dex41.htm" TargetMode="External"/><Relationship Id="rId236" Type="http://schemas.openxmlformats.org/officeDocument/2006/relationships/hyperlink" Target="http://www.sec.gov/Archives/edgar/data/1331875/000133187520000008/ex49descriptionoffnfco.htm" TargetMode="External"/><Relationship Id="rId237" Type="http://schemas.openxmlformats.org/officeDocument/2006/relationships/hyperlink" Target="http://www.sec.gov/Archives/edgar/data/1331875/000110465920068392/tm2021453d4_ex4-1.htm" TargetMode="External"/><Relationship Id="rId238" Type="http://schemas.openxmlformats.org/officeDocument/2006/relationships/hyperlink" Target="http://www.sec.gov/Archives/edgar/data/1668428/000119312518131682/d553516dex41.htm" TargetMode="External"/><Relationship Id="rId240" Type="http://schemas.openxmlformats.org/officeDocument/2006/relationships/hyperlink" Target="http://www.sec.gov/Archives/edgar/data/1331875/000110465920072692/tm2021971d7_ex4-1.htm" TargetMode="External"/><Relationship Id="rId241" Type="http://schemas.openxmlformats.org/officeDocument/2006/relationships/hyperlink" Target="http://www.sec.gov/Archives/edgar/data/1331875/000110465920105249/tm2030447d4_ex4-1.htm" TargetMode="External"/><Relationship Id="rId242" Type="http://schemas.openxmlformats.org/officeDocument/2006/relationships/hyperlink" Target="https://www.sec.gov/Archives/edgar/data/0001331875/000110465921116748/tm2127512d4_ex4-1.htm" TargetMode="External"/><Relationship Id="rId243" Type="http://schemas.openxmlformats.org/officeDocument/2006/relationships/hyperlink" Target="http://www.sec.gov/Archives/edgar/data/1331875/000119312516569331/d157551ddef14a.htm#toc157551_18" TargetMode="External"/><Relationship Id="rId244" Type="http://schemas.openxmlformats.org/officeDocument/2006/relationships/hyperlink" Target="http://www.sec.gov/Archives/edgar/data/1331875/000133187519000010/exhibit103amendedandrestat.htm" TargetMode="External"/><Relationship Id="rId245" Type="http://schemas.openxmlformats.org/officeDocument/2006/relationships/hyperlink" Target="http://www.sec.gov/Archives/edgar/data/1331875/000119312516569331/d157551ddef14a.htm#toc157551_19" TargetMode="External"/><Relationship Id="rId246" Type="http://schemas.openxmlformats.org/officeDocument/2006/relationships/hyperlink" Target="http://www.sec.gov/Archives/edgar/data/1331875/000095014409001785/g17782exv10w18.htm" TargetMode="External"/><Relationship Id="rId247" Type="http://schemas.openxmlformats.org/officeDocument/2006/relationships/hyperlink" Target="http://www.sec.gov/Archives/edgar/data/1331875/000133187516000111/exhibit10122015.htm" TargetMode="External"/><Relationship Id="rId248" Type="http://schemas.openxmlformats.org/officeDocument/2006/relationships/hyperlink" Target="http://www.sec.gov/Archives/edgar/data/1331875/000095014409001785/g17782exv10w11.htm" TargetMode="External"/><Relationship Id="rId249" Type="http://schemas.openxmlformats.org/officeDocument/2006/relationships/hyperlink" Target="http://www.sec.gov/Archives/edgar/data/1331875/000095012310019326/g21797exv10w13.htm" TargetMode="External"/><Relationship Id="rId250" Type="http://schemas.openxmlformats.org/officeDocument/2006/relationships/hyperlink" Target="http://www.sec.gov/Archives/edgar/data/1331875/000133187516000111/exhibit10272015.htm" TargetMode="External"/><Relationship Id="rId251" Type="http://schemas.openxmlformats.org/officeDocument/2006/relationships/hyperlink" Target="https://www.sec.gov/Archives/edgar/data/0001331875/000133187522000016/ex102quirkemploymentagr02-.htm" TargetMode="External"/><Relationship Id="rId252" Type="http://schemas.openxmlformats.org/officeDocument/2006/relationships/hyperlink" Target="http://www.sec.gov/Archives/edgar/data/1331875/000133187513000012/exhibit1022.htm" TargetMode="External"/><Relationship Id="rId253" Type="http://schemas.openxmlformats.org/officeDocument/2006/relationships/hyperlink" Target="http://www.sec.gov/Archives/edgar/data/1331875/000133187515000019/exhibit1021q2015b.htm" TargetMode="External"/><Relationship Id="rId254" Type="http://schemas.openxmlformats.org/officeDocument/2006/relationships/hyperlink" Target="http://www.sec.gov/Archives/edgar/data/1331875/000133187513000012/exhibit1026.htm" TargetMode="External"/><Relationship Id="rId255" Type="http://schemas.openxmlformats.org/officeDocument/2006/relationships/hyperlink" Target="http://www.sec.gov/Archives/edgar/data/1331875/000119312514012055/d657527dex102.htm" TargetMode="External"/><Relationship Id="rId256" Type="http://schemas.openxmlformats.org/officeDocument/2006/relationships/hyperlink" Target="http://www.sec.gov/Archives/edgar/data/1331875/000119312514012055/d657527dex104.htm" TargetMode="External"/><Relationship Id="rId259" Type="http://schemas.openxmlformats.org/officeDocument/2006/relationships/hyperlink" Target="http://www.sec.gov/Archives/edgar/data/1331875/000133187516000144/exhibit101q22016foleyagree.htm" TargetMode="External"/><Relationship Id="rId260" Type="http://schemas.openxmlformats.org/officeDocument/2006/relationships/hyperlink" Target="http://www.sec.gov/Archives/edgar/data/1331875/000133187520000038/ex9915-28foleydirector.htm" TargetMode="External"/><Relationship Id="rId261" Type="http://schemas.openxmlformats.org/officeDocument/2006/relationships/hyperlink" Target="http://www.sec.gov/Archives/edgar/data/1331875/000133187516000144/exhibit104q22016parkagreem.htm" TargetMode="External"/><Relationship Id="rId262" Type="http://schemas.openxmlformats.org/officeDocument/2006/relationships/hyperlink" Target="http://www.sec.gov/Archives/edgar/data/1331875/000133187516000144/exhibit105q22016gravelleag.htm" TargetMode="External"/><Relationship Id="rId263" Type="http://schemas.openxmlformats.org/officeDocument/2006/relationships/hyperlink" Target="http://www.sec.gov/Archives/edgar/data/1331875/000133187516000144/exhibit106q22016sadowskiag.htm" TargetMode="External"/><Relationship Id="rId264" Type="http://schemas.openxmlformats.org/officeDocument/2006/relationships/hyperlink" Target="https://www.sec.gov/Archives/edgar/data/0001331875/000133187522000016/ex101nolanemploymentagr02-.htm" TargetMode="External"/><Relationship Id="rId265" Type="http://schemas.openxmlformats.org/officeDocument/2006/relationships/hyperlink" Target="http://www.sec.gov/Archives/edgar/data/1331875/000133187516000144/exhibit109q22016jewkesagre.htm" TargetMode="External"/><Relationship Id="rId266" Type="http://schemas.openxmlformats.org/officeDocument/2006/relationships/hyperlink" Target="http://www.sec.gov/Archives/edgar/data/1331875/000133187516000144/exhibit1010q22016jewkesame.htm" TargetMode="External"/><Relationship Id="rId267" Type="http://schemas.openxmlformats.org/officeDocument/2006/relationships/hyperlink" Target="http://www.sec.gov/Archives/edgar/data/1331875/000133187520000008/ex1033formofgrant2019.htm" TargetMode="External"/><Relationship Id="rId268" Type="http://schemas.openxmlformats.org/officeDocument/2006/relationships/hyperlink" Target="http://www.sec.gov/Archives/edgar/data/1331875/000110465917069547/a17-27153_1ex10d1.htm" TargetMode="External"/><Relationship Id="rId269" Type="http://schemas.openxmlformats.org/officeDocument/2006/relationships/hyperlink" Target="http://www.sec.gov/Archives/edgar/data/1331875/000133187519000053/exhibit102q32019gravel.htm" TargetMode="External"/><Relationship Id="rId270" Type="http://schemas.openxmlformats.org/officeDocument/2006/relationships/hyperlink" Target="http://www.sec.gov/Archives/edgar/data/1331875/000110465920068435/tm2021453d1_ex99-1.htm" TargetMode="External"/><Relationship Id="rId271" Type="http://schemas.openxmlformats.org/officeDocument/2006/relationships/hyperlink" Target="http://www.sec.gov/Archives/edgar/data/1331875/000110465920121229/tm2034956d1_ex10-1.htm" TargetMode="External"/><Relationship Id="rId272" Type="http://schemas.openxmlformats.org/officeDocument/2006/relationships/hyperlink" Target="http://www.sec.gov/Archives/edgar/data/1331875/000119312521018114/d102746dex101.htm" TargetMode="External"/><Relationship Id="rId273" Type="http://schemas.openxmlformats.org/officeDocument/2006/relationships/hyperlink" Target="http://www.sec.gov/Archives/edgar/data/1331875/000133187521000015/ex1034formofgrant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2022-02-25T16:18:32Z</dcterms:created>
  <dcterms:modified xsi:type="dcterms:W3CDTF">2022-02-25T16:18:32Z</dcterms:modified>
</cp:coreProperties>
</file>