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429d4_def14a.htm"/>
      <w:bookmarkStart w:id="1" w:name="kstm261429d4_def14a"/>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br/>
        <w:t>the Securities Exchange Act of 1934 (Amendment No.     )</w:t>
      </w:r>
    </w:p>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275"/>
        <w:gridCol w:w="9650"/>
      </w:tblGrid>
      <w:tr>
        <w:trPr/>
        <w:tc>
          <w:tcPr>
            <w:tcW w:w="9925" w:type="dxa"/>
            <w:gridSpan w:val="2"/>
            <w:tcBorders/>
            <w:vAlign w:val="center"/>
          </w:tcPr>
          <w:p>
            <w:pPr>
              <w:pStyle w:val="TableContents"/>
              <w:bidi w:val="0"/>
              <w:spacing w:before="0" w:after="283"/>
              <w:jc w:val="left"/>
              <w:rPr/>
            </w:pPr>
            <w:r>
              <w:rPr>
                <w:rFonts w:ascii="Times New Roman;Times;Serif" w:hAnsi="Times New Roman;Times;Serif"/>
                <w:sz w:val="20"/>
              </w:rPr>
              <w:t>Filed by the Registrant  </w:t>
            </w:r>
            <w:r>
              <w:rPr/>
              <w:t>☒</w:t>
            </w:r>
          </w:p>
        </w:tc>
      </w:tr>
      <w:tr>
        <w:trPr/>
        <w:tc>
          <w:tcPr>
            <w:tcW w:w="9925" w:type="dxa"/>
            <w:gridSpan w:val="2"/>
            <w:tcBorders/>
            <w:vAlign w:val="center"/>
          </w:tcPr>
          <w:p>
            <w:pPr>
              <w:pStyle w:val="TableContents"/>
              <w:bidi w:val="0"/>
              <w:spacing w:before="0" w:after="283"/>
              <w:jc w:val="left"/>
              <w:rPr/>
            </w:pPr>
            <w:r>
              <w:rPr/>
              <w:t> </w:t>
            </w:r>
          </w:p>
        </w:tc>
      </w:tr>
      <w:tr>
        <w:trPr/>
        <w:tc>
          <w:tcPr>
            <w:tcW w:w="9925" w:type="dxa"/>
            <w:gridSpan w:val="2"/>
            <w:tcBorders/>
            <w:vAlign w:val="center"/>
          </w:tcPr>
          <w:p>
            <w:pPr>
              <w:pStyle w:val="TableContents"/>
              <w:bidi w:val="0"/>
              <w:spacing w:before="0" w:after="283"/>
              <w:jc w:val="left"/>
              <w:rPr/>
            </w:pPr>
            <w:r>
              <w:rPr>
                <w:rFonts w:ascii="Times New Roman;Times;Serif" w:hAnsi="Times New Roman;Times;Serif"/>
                <w:sz w:val="20"/>
              </w:rPr>
              <w:t>Filed by a Party other than the Registrant</w:t>
            </w:r>
            <w:r>
              <w:rPr/>
              <w:t>  ☐</w:t>
            </w:r>
          </w:p>
        </w:tc>
      </w:tr>
      <w:tr>
        <w:trPr/>
        <w:tc>
          <w:tcPr>
            <w:tcW w:w="9925" w:type="dxa"/>
            <w:gridSpan w:val="2"/>
            <w:tcBorders/>
            <w:vAlign w:val="center"/>
          </w:tcPr>
          <w:p>
            <w:pPr>
              <w:pStyle w:val="TableContents"/>
              <w:bidi w:val="0"/>
              <w:spacing w:before="0" w:after="283"/>
              <w:jc w:val="left"/>
              <w:rPr/>
            </w:pPr>
            <w:r>
              <w:rPr/>
              <w:t> </w:t>
            </w:r>
          </w:p>
        </w:tc>
      </w:tr>
      <w:tr>
        <w:trPr/>
        <w:tc>
          <w:tcPr>
            <w:tcW w:w="99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w:t>
            </w:r>
          </w:p>
        </w:tc>
      </w:tr>
      <w:tr>
        <w:trPr/>
        <w:tc>
          <w:tcPr>
            <w:tcW w:w="275"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75"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75"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75"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75"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w:t>
            </w:r>
          </w:p>
        </w:tc>
      </w:tr>
      <w:tr>
        <w:trPr/>
        <w:tc>
          <w:tcPr>
            <w:tcW w:w="9925" w:type="dxa"/>
            <w:gridSpan w:val="2"/>
            <w:tcBorders/>
            <w:vAlign w:val="center"/>
          </w:tcPr>
          <w:p>
            <w:pPr>
              <w:pStyle w:val="TableContents"/>
              <w:bidi w:val="0"/>
              <w:spacing w:before="0" w:after="283"/>
              <w:jc w:val="center"/>
              <w:rPr/>
            </w:pPr>
            <w:r>
              <w:rPr/>
              <w:t> </w:t>
            </w:r>
          </w:p>
        </w:tc>
      </w:tr>
      <w:tr>
        <w:trPr/>
        <w:tc>
          <w:tcPr>
            <w:tcW w:w="9925" w:type="dxa"/>
            <w:gridSpan w:val="2"/>
            <w:tcBorders>
              <w:bottom w:val="single" w:sz="8" w:space="0" w:color="000000"/>
            </w:tcBorders>
            <w:tcMar>
              <w:bottom w:w="28" w:type="dxa"/>
            </w:tcMar>
            <w:vAlign w:val="center"/>
          </w:tcPr>
          <w:p>
            <w:pPr>
              <w:pStyle w:val="TableContents"/>
              <w:bidi w:val="0"/>
              <w:spacing w:before="0" w:after="283"/>
              <w:jc w:val="center"/>
              <w:rPr>
                <w:b/>
                <w:sz w:val="28"/>
              </w:rPr>
            </w:pPr>
            <w:r>
              <w:rPr>
                <w:b/>
                <w:sz w:val="28"/>
              </w:rPr>
              <w:t>Fidelity National Financial, Inc.</w:t>
            </w:r>
          </w:p>
        </w:tc>
      </w:tr>
      <w:tr>
        <w:trPr/>
        <w:tc>
          <w:tcPr>
            <w:tcW w:w="992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Registrant as Specified In Its Charter)</w:t>
            </w:r>
          </w:p>
        </w:tc>
      </w:tr>
      <w:tr>
        <w:trPr/>
        <w:tc>
          <w:tcPr>
            <w:tcW w:w="9925" w:type="dxa"/>
            <w:gridSpan w:val="2"/>
            <w:tcBorders/>
            <w:vAlign w:val="center"/>
          </w:tcPr>
          <w:p>
            <w:pPr>
              <w:pStyle w:val="TableContents"/>
              <w:bidi w:val="0"/>
              <w:spacing w:before="0" w:after="283"/>
              <w:jc w:val="center"/>
              <w:rPr/>
            </w:pPr>
            <w:r>
              <w:rPr/>
              <w:t> </w:t>
            </w:r>
          </w:p>
        </w:tc>
      </w:tr>
      <w:tr>
        <w:trPr/>
        <w:tc>
          <w:tcPr>
            <w:tcW w:w="992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9925"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Person(s) Filing Proxy Statement, if other than the Registrant)</w:t>
            </w:r>
          </w:p>
        </w:tc>
      </w:tr>
      <w:tr>
        <w:trPr/>
        <w:tc>
          <w:tcPr>
            <w:tcW w:w="9925" w:type="dxa"/>
            <w:gridSpan w:val="2"/>
            <w:tcBorders/>
            <w:vAlign w:val="center"/>
          </w:tcPr>
          <w:p>
            <w:pPr>
              <w:pStyle w:val="TableContents"/>
              <w:bidi w:val="0"/>
              <w:spacing w:before="0" w:after="283"/>
              <w:jc w:val="left"/>
              <w:rPr/>
            </w:pPr>
            <w:r>
              <w:rPr/>
              <w:t> </w:t>
            </w:r>
          </w:p>
        </w:tc>
      </w:tr>
      <w:tr>
        <w:trPr/>
        <w:tc>
          <w:tcPr>
            <w:tcW w:w="992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Filing Fee (Check the appropriate box):</w:t>
            </w:r>
          </w:p>
        </w:tc>
      </w:tr>
      <w:tr>
        <w:trPr/>
        <w:tc>
          <w:tcPr>
            <w:tcW w:w="275"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75"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75" w:type="dxa"/>
            <w:tcBorders/>
            <w:vAlign w:val="center"/>
          </w:tcPr>
          <w:p>
            <w:pPr>
              <w:pStyle w:val="TableContents"/>
              <w:bidi w:val="0"/>
              <w:spacing w:before="0" w:after="283"/>
              <w:jc w:val="left"/>
              <w:rPr/>
            </w:pPr>
            <w:r>
              <w:rPr/>
              <w:t>☐</w:t>
            </w:r>
          </w:p>
        </w:tc>
        <w:tc>
          <w:tcPr>
            <w:tcW w:w="9650"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0"/>
        <w:gridCol w:w="8375"/>
      </w:tblGrid>
      <w:tr>
        <w:trPr/>
        <w:tc>
          <w:tcPr>
            <w:tcW w:w="1830" w:type="dxa"/>
            <w:tcBorders/>
            <w:vAlign w:val="center"/>
          </w:tcPr>
          <w:p>
            <w:pPr>
              <w:pStyle w:val="TableContents"/>
              <w:bidi w:val="0"/>
              <w:spacing w:before="0" w:after="283"/>
              <w:jc w:val="left"/>
              <w:rPr/>
            </w:pPr>
            <w:r>
              <w:rPr/>
              <w:drawing>
                <wp:inline distT="0" distB="0" distL="0" distR="0">
                  <wp:extent cx="1095375" cy="9220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95375" cy="9220200"/>
                          </a:xfrm>
                          <a:prstGeom prst="rect">
                            <a:avLst/>
                          </a:prstGeom>
                        </pic:spPr>
                      </pic:pic>
                    </a:graphicData>
                  </a:graphic>
                </wp:inline>
              </w:drawing>
            </w:r>
            <w:r>
              <w:rPr/>
              <w:t> </w:t>
            </w:r>
          </w:p>
        </w:tc>
        <w:tc>
          <w:tcPr>
            <w:tcW w:w="8375" w:type="dxa"/>
            <w:tcBorders/>
            <w:vAlign w:val="center"/>
          </w:tcPr>
          <w:p>
            <w:pPr>
              <w:pStyle w:val="TableContents"/>
              <w:bidi w:val="0"/>
              <w:jc w:val="left"/>
              <w:rPr/>
            </w:pPr>
            <w:r>
              <w:rPr/>
              <w:t> </w:t>
            </w:r>
          </w:p>
          <w:p>
            <w:pPr>
              <w:pStyle w:val="TableContents"/>
              <w:bidi w:val="0"/>
              <w:jc w:val="left"/>
              <w:rPr/>
            </w:pPr>
            <w:r>
              <w:rPr/>
              <w:t> </w:t>
            </w:r>
          </w:p>
          <w:p>
            <w:pPr>
              <w:pStyle w:val="TableContents"/>
              <w:bidi w:val="0"/>
              <w:jc w:val="center"/>
              <w:rPr/>
            </w:pPr>
            <w:r>
              <w:rPr/>
              <w:t> </w:t>
            </w:r>
            <w:r>
              <w:rPr/>
              <w:drawing>
                <wp:inline distT="0" distB="0" distL="0" distR="0">
                  <wp:extent cx="2571750" cy="914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71750" cy="914400"/>
                          </a:xfrm>
                          <a:prstGeom prst="rect">
                            <a:avLst/>
                          </a:prstGeom>
                        </pic:spPr>
                      </pic:pic>
                    </a:graphicData>
                  </a:graphic>
                </wp:inline>
              </w:drawing>
            </w:r>
          </w:p>
          <w:p>
            <w:pPr>
              <w:pStyle w:val="TableContents"/>
              <w:bidi w:val="0"/>
              <w:jc w:val="left"/>
              <w:rPr/>
            </w:pPr>
            <w:r>
              <w:rPr/>
              <w:t> </w:t>
            </w:r>
          </w:p>
          <w:p>
            <w:pPr>
              <w:pStyle w:val="TableContents"/>
              <w:bidi w:val="0"/>
              <w:spacing w:before="0" w:after="0"/>
              <w:jc w:val="center"/>
              <w:rPr>
                <w:rFonts w:ascii="Arial;Helvetica;Sans-Serif" w:hAnsi="Arial;Helvetica;Sans-Serif"/>
                <w:b/>
                <w:i w:val="false"/>
                <w:caps w:val="false"/>
                <w:smallCaps w:val="false"/>
                <w:color w:val="58595B"/>
                <w:sz w:val="28"/>
              </w:rPr>
            </w:pPr>
            <w:r>
              <w:rPr>
                <w:rFonts w:ascii="Arial;Helvetica;Sans-Serif" w:hAnsi="Arial;Helvetica;Sans-Serif"/>
                <w:b/>
                <w:i w:val="false"/>
                <w:caps w:val="false"/>
                <w:smallCaps w:val="false"/>
                <w:color w:val="58595B"/>
                <w:sz w:val="28"/>
              </w:rPr>
              <w:t>FIDELITY NATIONAL FINANCIAL, INC.</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40"/>
              <w:jc w:val="center"/>
              <w:rPr>
                <w:rFonts w:ascii="Arial;Helvetica;Sans-Serif" w:hAnsi="Arial;Helvetica;Sans-Serif"/>
                <w:b w:val="false"/>
                <w:i w:val="false"/>
                <w:caps w:val="false"/>
                <w:smallCaps w:val="false"/>
                <w:color w:val="58595B"/>
                <w:sz w:val="22"/>
              </w:rPr>
            </w:pPr>
            <w:r>
              <w:rPr>
                <w:rFonts w:ascii="Arial;Helvetica;Sans-Serif" w:hAnsi="Arial;Helvetica;Sans-Serif"/>
                <w:b/>
                <w:i w:val="false"/>
                <w:caps w:val="false"/>
                <w:smallCaps w:val="false"/>
                <w:color w:val="58595B"/>
                <w:sz w:val="22"/>
              </w:rPr>
              <w:t>601 RIVERSIDE AVENUE</w:t>
            </w:r>
            <w:r>
              <w:rPr>
                <w:rFonts w:ascii="Arial;Helvetica;Sans-Serif" w:hAnsi="Arial;Helvetica;Sans-Serif"/>
                <w:b w:val="false"/>
                <w:i w:val="false"/>
                <w:caps w:val="false"/>
                <w:smallCaps w:val="false"/>
                <w:color w:val="58595B"/>
                <w:sz w:val="22"/>
              </w:rPr>
              <w:t> </w:t>
            </w:r>
          </w:p>
          <w:p>
            <w:pPr>
              <w:pStyle w:val="TableContents"/>
              <w:bidi w:val="0"/>
              <w:spacing w:before="0" w:after="0"/>
              <w:jc w:val="center"/>
              <w:rPr>
                <w:rFonts w:ascii="Arial;Helvetica;Sans-Serif" w:hAnsi="Arial;Helvetica;Sans-Serif"/>
                <w:b/>
                <w:i w:val="false"/>
                <w:caps w:val="false"/>
                <w:smallCaps w:val="false"/>
                <w:color w:val="58595B"/>
                <w:sz w:val="22"/>
              </w:rPr>
            </w:pPr>
            <w:r>
              <w:rPr>
                <w:rFonts w:ascii="Arial;Helvetica;Sans-Serif" w:hAnsi="Arial;Helvetica;Sans-Serif"/>
                <w:b/>
                <w:i w:val="false"/>
                <w:caps w:val="false"/>
                <w:smallCaps w:val="false"/>
                <w:color w:val="58595B"/>
                <w:sz w:val="22"/>
              </w:rPr>
              <w:t>JACKSONVILLE, FLORIDA 32204</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rFonts w:ascii="Arial;Helvetica;Sans-Serif" w:hAnsi="Arial;Helvetica;Sans-Serif"/>
                <w:b/>
                <w:i w:val="false"/>
                <w:caps w:val="false"/>
                <w:smallCaps w:val="false"/>
                <w:color w:val="58595B"/>
                <w:sz w:val="22"/>
              </w:rPr>
            </w:pPr>
            <w:r>
              <w:rPr>
                <w:rFonts w:ascii="Arial;Helvetica;Sans-Serif" w:hAnsi="Arial;Helvetica;Sans-Serif"/>
                <w:b/>
                <w:i w:val="false"/>
                <w:caps w:val="false"/>
                <w:smallCaps w:val="false"/>
                <w:color w:val="58595B"/>
                <w:sz w:val="22"/>
              </w:rPr>
              <w:t>APRIL 29, 2026</w:t>
            </w:r>
          </w:p>
          <w:p>
            <w:pPr>
              <w:pStyle w:val="TableContents"/>
              <w:bidi w:val="0"/>
              <w:spacing w:before="0" w:after="0"/>
              <w:ind w:left="0" w:right="0" w:hanging="0"/>
              <w:jc w:val="left"/>
              <w:rPr>
                <w:caps w:val="false"/>
                <w:smallCaps w:val="false"/>
                <w:color w:val="58595B"/>
              </w:rPr>
            </w:pPr>
            <w:r>
              <w:rPr>
                <w:caps w:val="false"/>
                <w:smallCaps w:val="false"/>
                <w:color w:val="58595B"/>
              </w:rPr>
              <w:t> </w:t>
            </w:r>
          </w:p>
          <w:p>
            <w:pPr>
              <w:pStyle w:val="TableContents"/>
              <w:bidi w:val="0"/>
              <w:spacing w:before="0" w:after="0"/>
              <w:ind w:left="0" w:right="0" w:hanging="0"/>
              <w:jc w:val="left"/>
              <w:rPr>
                <w:rFonts w:ascii="Arial;Helvetica;Sans-Serif" w:hAnsi="Arial;Helvetica;Sans-Serif"/>
                <w:b/>
                <w:i w:val="false"/>
                <w:caps w:val="false"/>
                <w:smallCaps w:val="false"/>
                <w:color w:val="58595B"/>
                <w:sz w:val="22"/>
              </w:rPr>
            </w:pPr>
            <w:r>
              <w:rPr>
                <w:rFonts w:ascii="Arial;Helvetica;Sans-Serif" w:hAnsi="Arial;Helvetica;Sans-Serif"/>
                <w:b/>
                <w:i w:val="false"/>
                <w:caps w:val="false"/>
                <w:smallCaps w:val="false"/>
                <w:color w:val="58595B"/>
                <w:sz w:val="22"/>
              </w:rPr>
              <w:t>Dear Shareholder:</w:t>
            </w:r>
          </w:p>
          <w:p>
            <w:pPr>
              <w:pStyle w:val="TableContents"/>
              <w:bidi w:val="0"/>
              <w:spacing w:before="0" w:after="0"/>
              <w:ind w:left="0" w:right="0" w:hanging="0"/>
              <w:jc w:val="left"/>
              <w:rPr>
                <w:caps w:val="false"/>
                <w:smallCaps w:val="false"/>
                <w:color w:val="58595B"/>
              </w:rPr>
            </w:pPr>
            <w:r>
              <w:rPr>
                <w:caps w:val="false"/>
                <w:smallCaps w:val="false"/>
                <w:color w:val="58595B"/>
              </w:rPr>
              <w:t> </w:t>
            </w:r>
          </w:p>
          <w:p>
            <w:pPr>
              <w:pStyle w:val="TableContents"/>
              <w:bidi w:val="0"/>
              <w:spacing w:before="0" w:after="0"/>
              <w:ind w:left="0" w:right="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On behalf of the board of directors, I cordially invite you to attend the annual meeting of the shareholders of Fidelity National Financial, Inc. The meeting will be held virtually on June 10, 2026 at 10:00 a.m., Eastern Time. Instructions for accessing the virtual meeting platform online are included in the Proxy Statement for this meeting. The formal Notice of Annual Meeting and Proxy Statement for this meeting are attached to this letter.</w:t>
            </w:r>
          </w:p>
          <w:p>
            <w:pPr>
              <w:pStyle w:val="TableContents"/>
              <w:bidi w:val="0"/>
              <w:spacing w:before="0" w:after="0"/>
              <w:ind w:left="0" w:right="0" w:hanging="0"/>
              <w:jc w:val="left"/>
              <w:rPr>
                <w:caps w:val="false"/>
                <w:smallCaps w:val="false"/>
                <w:color w:val="58595B"/>
              </w:rPr>
            </w:pPr>
            <w:r>
              <w:rPr>
                <w:caps w:val="false"/>
                <w:smallCaps w:val="false"/>
                <w:color w:val="58595B"/>
              </w:rPr>
              <w:t> </w:t>
            </w:r>
          </w:p>
          <w:p>
            <w:pPr>
              <w:pStyle w:val="TableContents"/>
              <w:bidi w:val="0"/>
              <w:spacing w:before="0" w:after="0"/>
              <w:ind w:left="80" w:right="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Notice of Annual Meeting and Proxy Statement contain more information about the annual meeting, including who can vote and the different methods you can use to vote, including the telephone, Internet and traditional paper proxy card. Whether or not you plan to attend the virtual annual meeting, please vote by one of the outlined methods to ensure that your shares are represented and voted in accordance with your wishes.</w:t>
            </w:r>
          </w:p>
          <w:p>
            <w:pPr>
              <w:pStyle w:val="TableContents"/>
              <w:bidi w:val="0"/>
              <w:spacing w:before="0" w:after="0"/>
              <w:ind w:left="0" w:right="0" w:hanging="0"/>
              <w:jc w:val="left"/>
              <w:rPr>
                <w:caps w:val="false"/>
                <w:smallCaps w:val="false"/>
                <w:color w:val="58595B"/>
              </w:rPr>
            </w:pPr>
            <w:r>
              <w:rPr>
                <w:caps w:val="false"/>
                <w:smallCaps w:val="false"/>
                <w:color w:val="58595B"/>
              </w:rPr>
              <w:t> </w:t>
            </w:r>
          </w:p>
          <w:p>
            <w:pPr>
              <w:pStyle w:val="TableContents"/>
              <w:bidi w:val="0"/>
              <w:spacing w:before="0" w:after="0"/>
              <w:ind w:left="0" w:right="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On behalf of the board of directors, I thank you for your support.</w:t>
            </w:r>
          </w:p>
          <w:p>
            <w:pPr>
              <w:pStyle w:val="TableContents"/>
              <w:bidi w:val="0"/>
              <w:spacing w:before="0" w:after="0"/>
              <w:ind w:left="0" w:right="0" w:hanging="0"/>
              <w:jc w:val="left"/>
              <w:rPr>
                <w:caps w:val="false"/>
                <w:smallCaps w:val="false"/>
                <w:color w:val="58595B"/>
              </w:rPr>
            </w:pPr>
            <w:r>
              <w:rPr>
                <w:caps w:val="false"/>
                <w:smallCaps w:val="false"/>
                <w:color w:val="58595B"/>
              </w:rPr>
              <w:t> </w:t>
            </w:r>
          </w:p>
          <w:p>
            <w:pPr>
              <w:pStyle w:val="TableContents"/>
              <w:bidi w:val="0"/>
              <w:spacing w:before="0" w:after="0"/>
              <w:ind w:left="0" w:right="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Sincerely,</w:t>
            </w:r>
          </w:p>
          <w:p>
            <w:pPr>
              <w:pStyle w:val="TableContents"/>
              <w:bidi w:val="0"/>
              <w:spacing w:before="0" w:after="0"/>
              <w:ind w:left="0" w:right="0" w:hanging="0"/>
              <w:jc w:val="left"/>
              <w:rPr>
                <w:caps w:val="false"/>
                <w:smallCaps w:val="false"/>
                <w:color w:val="58595B"/>
              </w:rPr>
            </w:pPr>
            <w:r>
              <w:rPr>
                <w:caps w:val="false"/>
                <w:smallCaps w:val="false"/>
                <w:color w:val="58595B"/>
              </w:rPr>
              <w:t> </w:t>
            </w:r>
          </w:p>
          <w:p>
            <w:pPr>
              <w:pStyle w:val="TableContents"/>
              <w:bidi w:val="0"/>
              <w:spacing w:before="0" w:after="0"/>
              <w:ind w:left="0" w:right="0" w:hanging="0"/>
              <w:jc w:val="left"/>
              <w:rPr>
                <w:caps w:val="false"/>
                <w:smallCaps w:val="false"/>
                <w:color w:val="58595B"/>
              </w:rPr>
            </w:pPr>
            <w:r>
              <w:rPr>
                <w:caps w:val="false"/>
                <w:smallCaps w:val="false"/>
                <w:color w:val="58595B"/>
              </w:rPr>
              <w:drawing>
                <wp:inline distT="0" distB="0" distL="0" distR="0">
                  <wp:extent cx="1409700" cy="752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09700" cy="752475"/>
                          </a:xfrm>
                          <a:prstGeom prst="rect">
                            <a:avLst/>
                          </a:prstGeom>
                        </pic:spPr>
                      </pic:pic>
                    </a:graphicData>
                  </a:graphic>
                </wp:inline>
              </w:drawing>
            </w:r>
            <w:r>
              <w:rPr>
                <w:caps w:val="false"/>
                <w:smallCaps w:val="false"/>
                <w:color w:val="58595B"/>
              </w:rPr>
              <w:t> </w:t>
            </w:r>
          </w:p>
          <w:p>
            <w:pPr>
              <w:pStyle w:val="TableContents"/>
              <w:bidi w:val="0"/>
              <w:spacing w:before="0" w:after="0"/>
              <w:ind w:left="0" w:right="0" w:hanging="0"/>
              <w:jc w:val="left"/>
              <w:rPr>
                <w:rFonts w:ascii="Arial;Helvetica;Sans-Serif" w:hAnsi="Arial;Helvetica;Sans-Serif"/>
                <w:b/>
                <w:i w:val="false"/>
                <w:caps w:val="false"/>
                <w:smallCaps w:val="false"/>
                <w:color w:val="58595B"/>
                <w:sz w:val="22"/>
              </w:rPr>
            </w:pPr>
            <w:r>
              <w:rPr>
                <w:rFonts w:ascii="Arial;Helvetica;Sans-Serif" w:hAnsi="Arial;Helvetica;Sans-Serif"/>
                <w:b/>
                <w:i w:val="false"/>
                <w:caps w:val="false"/>
                <w:smallCaps w:val="false"/>
                <w:color w:val="58595B"/>
                <w:sz w:val="22"/>
              </w:rPr>
              <w:t>Michael J. Nolan </w:t>
            </w:r>
          </w:p>
          <w:p>
            <w:pPr>
              <w:pStyle w:val="TableContents"/>
              <w:bidi w:val="0"/>
              <w:spacing w:before="0" w:after="0"/>
              <w:ind w:left="0" w:right="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caps w:val="false"/>
                <w:smallCaps w:val="false"/>
                <w:color w:val="58595B"/>
                <w:sz w:val="22"/>
              </w:rPr>
              <w:t>Chief Executive Officer</w:t>
            </w:r>
            <w:r>
              <w:rPr>
                <w:rFonts w:ascii="Arial;Helvetica;Sans-Serif" w:hAnsi="Arial;Helvetica;Sans-Serif"/>
                <w:b w:val="false"/>
                <w:i w:val="false"/>
                <w:caps w:val="false"/>
                <w:smallCaps w:val="false"/>
                <w:color w:val="58595B"/>
                <w:sz w:val="22"/>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color w:val="000E44"/>
        </w:rPr>
      </w:pPr>
      <w:r>
        <w:rPr>
          <w:caps w:val="false"/>
          <w:smallCaps w:val="false"/>
          <w:color w:val="000E44"/>
        </w:rPr>
        <w:t> </w:t>
      </w:r>
    </w:p>
    <w:p>
      <w:pPr>
        <w:pStyle w:val="TextBody"/>
        <w:bidi w:val="0"/>
        <w:spacing w:before="0" w:after="0"/>
        <w:ind w:left="1440" w:right="0" w:hanging="0"/>
        <w:jc w:val="left"/>
        <w:rPr>
          <w:rFonts w:ascii="Arial;Helvetica;Sans-Serif" w:hAnsi="Arial;Helvetica;Sans-Serif"/>
          <w:b/>
          <w:i w:val="false"/>
          <w:caps w:val="false"/>
          <w:smallCaps w:val="false"/>
          <w:color w:val="274F78"/>
          <w:sz w:val="40"/>
        </w:rPr>
      </w:pPr>
      <w:r>
        <w:rPr>
          <w:rFonts w:ascii="Arial;Helvetica;Sans-Serif" w:hAnsi="Arial;Helvetica;Sans-Serif"/>
          <w:b/>
          <w:i w:val="false"/>
          <w:caps w:val="false"/>
          <w:smallCaps w:val="false"/>
          <w:color w:val="274F78"/>
          <w:sz w:val="40"/>
        </w:rPr>
        <w:t>NOTICE OF ANNUAL</w:t>
      </w:r>
    </w:p>
    <w:p>
      <w:pPr>
        <w:pStyle w:val="TextBody"/>
        <w:bidi w:val="0"/>
        <w:spacing w:before="0" w:after="0"/>
        <w:ind w:left="1440" w:right="0" w:hanging="0"/>
        <w:jc w:val="left"/>
        <w:rPr>
          <w:rFonts w:ascii="Arial;Helvetica;Sans-Serif" w:hAnsi="Arial;Helvetica;Sans-Serif"/>
          <w:b w:val="false"/>
          <w:i w:val="false"/>
          <w:caps w:val="false"/>
          <w:smallCaps w:val="false"/>
          <w:color w:val="274F78"/>
          <w:sz w:val="40"/>
        </w:rPr>
      </w:pPr>
      <w:r>
        <w:rPr>
          <w:rFonts w:ascii="Arial;Helvetica;Sans-Serif" w:hAnsi="Arial;Helvetica;Sans-Serif"/>
          <w:b w:val="false"/>
          <w:i w:val="false"/>
          <w:caps w:val="false"/>
          <w:smallCaps w:val="false"/>
          <w:color w:val="274F78"/>
          <w:sz w:val="40"/>
        </w:rPr>
        <w:t>MEETING OF SHAREHOLDERS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58595B"/>
          <w:sz w:val="22"/>
        </w:rPr>
      </w:pPr>
      <w:r>
        <w:rPr>
          <w:rFonts w:ascii="Arial;Helvetica;Sans-Serif" w:hAnsi="Arial;Helvetica;Sans-Serif"/>
          <w:b/>
          <w:i w:val="false"/>
          <w:caps w:val="false"/>
          <w:smallCaps w:val="false"/>
          <w:color w:val="58595B"/>
          <w:sz w:val="22"/>
        </w:rPr>
        <w:t>To the Shareholders of Fidelity National Financial, Inc.:</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color w:val="333333"/>
          <w:sz w:val="22"/>
        </w:rPr>
        <w:t xml:space="preserve">Notice is hereby given that the 2026 Annual Meeting of Shareholders of Fidelity National Financial, Inc. will be held via live webcast on June 10, 2026, at 10:00 a.m., Eastern Time. The meeting can be accessed by visiting </w:t>
      </w:r>
      <w:r>
        <w:rPr>
          <w:rFonts w:ascii="Arial;Helvetica;Sans-Serif" w:hAnsi="Arial;Helvetica;Sans-Serif"/>
          <w:b/>
          <w:i w:val="false"/>
          <w:caps w:val="false"/>
          <w:smallCaps w:val="false"/>
          <w:color w:val="1E5E9E"/>
          <w:sz w:val="22"/>
        </w:rPr>
        <w:t>www.virtualshareholdermeeting.com/FNF2026</w:t>
      </w:r>
      <w:r>
        <w:rPr>
          <w:rFonts w:ascii="Arial;Helvetica;Sans-Serif" w:hAnsi="Arial;Helvetica;Sans-Serif"/>
          <w:b w:val="false"/>
          <w:i w:val="false"/>
          <w:caps w:val="false"/>
          <w:smallCaps w:val="false"/>
          <w:sz w:val="22"/>
        </w:rPr>
        <w:t xml:space="preserve"> </w:t>
      </w:r>
      <w:r>
        <w:rPr>
          <w:rFonts w:ascii="Arial;Helvetica;Sans-Serif" w:hAnsi="Arial;Helvetica;Sans-Serif"/>
          <w:b w:val="false"/>
          <w:i w:val="false"/>
          <w:caps w:val="false"/>
          <w:smallCaps w:val="false"/>
          <w:color w:val="58595B"/>
          <w:sz w:val="22"/>
        </w:rPr>
        <w:t>and using your 16-digit control number, where you will be able to listen to the meeting live and vote online. We encourage you to allow ample time for online check-in, which will open at 9:45 a.m. Eastern Time. Please note that there will not be a physical location for the 2026 Annual Meeting and that you will only be able to attend the meeting by means of remote communication. We designed the format of our virtual annual meeting to ensure that our shareholders who attend the virtual annual meeting will have the same rights and opportunities to participate as they would at an in-person meeting, including the ability to submit questions.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meeting is being held in order to:</w:t>
      </w:r>
    </w:p>
    <w:p>
      <w:pPr>
        <w:pStyle w:val="TextBody"/>
        <w:bidi w:val="0"/>
        <w:spacing w:before="0" w:after="0"/>
        <w:ind w:left="0" w:right="0" w:hanging="0"/>
        <w:jc w:val="left"/>
        <w:rPr>
          <w:caps w:val="false"/>
          <w:smallCaps w:val="false"/>
          <w:color w:val="58595B"/>
        </w:rPr>
      </w:pPr>
      <w:r>
        <w:rPr>
          <w:caps w:val="false"/>
          <w:smallCaps w:val="false"/>
          <w:color w:val="58595B"/>
        </w:rPr>
        <w:t>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3110230" cy="5276850"/>
                <wp:effectExtent l="0" t="0" r="0" b="0"/>
                <wp:wrapSquare wrapText="right"/>
                <wp:docPr id="4" name="Frame1"/>
                <a:graphic xmlns:a="http://schemas.openxmlformats.org/drawingml/2006/main">
                  <a:graphicData uri="http://schemas.microsoft.com/office/word/2010/wordprocessingShape">
                    <wps:wsp>
                      <wps:cNvSpPr txBox="1"/>
                      <wps:spPr>
                        <a:xfrm>
                          <a:off x="0" y="0"/>
                          <a:ext cx="3110230" cy="5276850"/>
                        </a:xfrm>
                        <a:prstGeom prst="rect"/>
                        <a:solidFill>
                          <a:srgbClr val="FFFFFF"/>
                        </a:solidFill>
                      </wps:spPr>
                      <wps:txbx>
                        <w:txbxContent>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02"/>
                              <w:gridCol w:w="9935"/>
                            </w:tblGrid>
                            <w:tr>
                              <w:trPr/>
                              <w:tc>
                                <w:tcPr>
                                  <w:tcW w:w="6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color w:val="274F78"/>
                                      <w:sz w:val="22"/>
                                    </w:rPr>
                                  </w:pPr>
                                  <w:r>
                                    <w:rPr>
                                      <w:color w:val="274F78"/>
                                      <w:sz w:val="22"/>
                                    </w:rPr>
                                    <w:t>1.</w:t>
                                  </w:r>
                                </w:p>
                              </w:tc>
                              <w:tc>
                                <w:tcPr>
                                  <w:tcW w:w="9935" w:type="dxa"/>
                                  <w:tcBorders/>
                                  <w:vAlign w:val="center"/>
                                </w:tcPr>
                                <w:p>
                                  <w:pPr>
                                    <w:pStyle w:val="TableContents"/>
                                    <w:bidi w:val="0"/>
                                    <w:spacing w:before="0" w:after="283"/>
                                    <w:jc w:val="left"/>
                                    <w:rPr>
                                      <w:color w:val="58595B"/>
                                      <w:sz w:val="22"/>
                                    </w:rPr>
                                  </w:pPr>
                                  <w:r>
                                    <w:rPr>
                                      <w:color w:val="58595B"/>
                                      <w:sz w:val="22"/>
                                    </w:rPr>
                                    <w:t xml:space="preserve">Elect four Class III directors to serve until the 2029 Annual Meeting of Shareholders or until their successors are duly elected and qualified or their earlier death, resignation or removal;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29"/>
                              <w:gridCol w:w="9908"/>
                            </w:tblGrid>
                            <w:tr>
                              <w:trPr/>
                              <w:tc>
                                <w:tcPr>
                                  <w:tcW w:w="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color w:val="264F78"/>
                                      <w:sz w:val="22"/>
                                    </w:rPr>
                                  </w:pPr>
                                  <w:r>
                                    <w:rPr>
                                      <w:color w:val="264F78"/>
                                      <w:sz w:val="22"/>
                                    </w:rPr>
                                    <w:t>2.</w:t>
                                  </w:r>
                                </w:p>
                              </w:tc>
                              <w:tc>
                                <w:tcPr>
                                  <w:tcW w:w="9908" w:type="dxa"/>
                                  <w:tcBorders/>
                                  <w:vAlign w:val="center"/>
                                </w:tcPr>
                                <w:p>
                                  <w:pPr>
                                    <w:pStyle w:val="TableContents"/>
                                    <w:bidi w:val="0"/>
                                    <w:spacing w:before="0" w:after="283"/>
                                    <w:jc w:val="left"/>
                                    <w:rPr>
                                      <w:color w:val="58595B"/>
                                      <w:sz w:val="22"/>
                                    </w:rPr>
                                  </w:pPr>
                                  <w:r>
                                    <w:rPr>
                                      <w:color w:val="58595B"/>
                                      <w:sz w:val="22"/>
                                    </w:rPr>
                                    <w:t xml:space="preserve">Approve the Amended and Restated Articles of Incorporation to implement annual elections of directors;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color w:val="264F78"/>
                                      <w:sz w:val="22"/>
                                    </w:rPr>
                                  </w:pPr>
                                  <w:r>
                                    <w:rPr>
                                      <w:color w:val="264F78"/>
                                      <w:sz w:val="22"/>
                                    </w:rPr>
                                    <w:t>3.</w:t>
                                  </w:r>
                                </w:p>
                              </w:tc>
                              <w:tc>
                                <w:tcPr>
                                  <w:tcW w:w="9922" w:type="dxa"/>
                                  <w:tcBorders/>
                                  <w:vAlign w:val="center"/>
                                </w:tcPr>
                                <w:p>
                                  <w:pPr>
                                    <w:pStyle w:val="TableContents"/>
                                    <w:bidi w:val="0"/>
                                    <w:spacing w:before="0" w:after="283"/>
                                    <w:jc w:val="left"/>
                                    <w:rPr>
                                      <w:color w:val="58595B"/>
                                      <w:sz w:val="22"/>
                                    </w:rPr>
                                  </w:pPr>
                                  <w:r>
                                    <w:rPr>
                                      <w:color w:val="58595B"/>
                                      <w:sz w:val="22"/>
                                    </w:rPr>
                                    <w:t xml:space="preserve">Approve a non-binding advisory resolution on the compensation paid to our named executive officers (the </w:t>
                                  </w:r>
                                  <w:r>
                                    <w:rPr>
                                      <w:i/>
                                      <w:color w:val="58595B"/>
                                      <w:sz w:val="22"/>
                                    </w:rPr>
                                    <w:t>Say-on-Pay Proposal</w:t>
                                  </w:r>
                                  <w:r>
                                    <w:rPr>
                                      <w:color w:val="58595B"/>
                                      <w:sz w:val="22"/>
                                    </w:rPr>
                                    <w:t xml:space="preserve">); and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24"/>
                              <w:gridCol w:w="9913"/>
                            </w:tblGrid>
                            <w:tr>
                              <w:trPr/>
                              <w:tc>
                                <w:tcPr>
                                  <w:tcW w:w="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color w:val="264F78"/>
                                      <w:sz w:val="22"/>
                                    </w:rPr>
                                  </w:pPr>
                                  <w:r>
                                    <w:rPr>
                                      <w:color w:val="264F78"/>
                                      <w:sz w:val="22"/>
                                    </w:rPr>
                                    <w:t>4.</w:t>
                                  </w:r>
                                </w:p>
                              </w:tc>
                              <w:tc>
                                <w:tcPr>
                                  <w:tcW w:w="9913" w:type="dxa"/>
                                  <w:tcBorders/>
                                  <w:vAlign w:val="center"/>
                                </w:tcPr>
                                <w:p>
                                  <w:pPr>
                                    <w:pStyle w:val="TableContents"/>
                                    <w:bidi w:val="0"/>
                                    <w:spacing w:before="0" w:after="283"/>
                                    <w:jc w:val="left"/>
                                    <w:rPr>
                                      <w:color w:val="58595B"/>
                                      <w:sz w:val="21"/>
                                    </w:rPr>
                                  </w:pPr>
                                  <w:r>
                                    <w:rPr>
                                      <w:color w:val="58595B"/>
                                      <w:sz w:val="21"/>
                                    </w:rPr>
                                    <w:t xml:space="preserve">Ratify the appointment of Ernst &amp; Young LLP as our independent registered public accounting firm for the 2026 fiscal year.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2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At the meeting, we will also transact such other business as may properly come before the meeting or any postponement or adjournment thereof.</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2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The board of directors set April 13, 2026 as the record date for the meeting. This means that owners of FNF’s common stock at the close of business on that date are entitled to:</w:t>
                            </w:r>
                          </w:p>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3633" w:type="dxa"/>
                              <w:jc w:val="left"/>
                              <w:tblInd w:w="0" w:type="dxa"/>
                              <w:tblLayout w:type="fixed"/>
                              <w:tblCellMar>
                                <w:top w:w="0" w:type="dxa"/>
                                <w:left w:w="0" w:type="dxa"/>
                                <w:bottom w:w="0" w:type="dxa"/>
                                <w:right w:w="0" w:type="dxa"/>
                              </w:tblCellMar>
                            </w:tblPr>
                            <w:tblGrid>
                              <w:gridCol w:w="68"/>
                              <w:gridCol w:w="200"/>
                              <w:gridCol w:w="33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58595B"/>
                                    </w:rPr>
                                  </w:pPr>
                                  <w:r>
                                    <w:rPr>
                                      <w:color w:val="58595B"/>
                                    </w:rPr>
                                    <w:t>●</w:t>
                                  </w:r>
                                </w:p>
                              </w:tc>
                              <w:tc>
                                <w:tcPr>
                                  <w:tcW w:w="3365" w:type="dxa"/>
                                  <w:tcBorders/>
                                  <w:vAlign w:val="center"/>
                                </w:tcPr>
                                <w:p>
                                  <w:pPr>
                                    <w:pStyle w:val="TableContents"/>
                                    <w:bidi w:val="0"/>
                                    <w:spacing w:before="0" w:after="283"/>
                                    <w:jc w:val="both"/>
                                    <w:rPr>
                                      <w:color w:val="58595B"/>
                                    </w:rPr>
                                  </w:pPr>
                                  <w:r>
                                    <w:rPr>
                                      <w:color w:val="58595B"/>
                                    </w:rPr>
                                    <w:t>Receive notice of the meeting; and</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02"/>
                        <w:gridCol w:w="9935"/>
                      </w:tblGrid>
                      <w:tr>
                        <w:trPr/>
                        <w:tc>
                          <w:tcPr>
                            <w:tcW w:w="6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color w:val="274F78"/>
                                <w:sz w:val="22"/>
                              </w:rPr>
                            </w:pPr>
                            <w:r>
                              <w:rPr>
                                <w:color w:val="274F78"/>
                                <w:sz w:val="22"/>
                              </w:rPr>
                              <w:t>1.</w:t>
                            </w:r>
                          </w:p>
                        </w:tc>
                        <w:tc>
                          <w:tcPr>
                            <w:tcW w:w="9935" w:type="dxa"/>
                            <w:tcBorders/>
                            <w:vAlign w:val="center"/>
                          </w:tcPr>
                          <w:p>
                            <w:pPr>
                              <w:pStyle w:val="TableContents"/>
                              <w:bidi w:val="0"/>
                              <w:spacing w:before="0" w:after="283"/>
                              <w:jc w:val="left"/>
                              <w:rPr>
                                <w:color w:val="58595B"/>
                                <w:sz w:val="22"/>
                              </w:rPr>
                            </w:pPr>
                            <w:r>
                              <w:rPr>
                                <w:color w:val="58595B"/>
                                <w:sz w:val="22"/>
                              </w:rPr>
                              <w:t xml:space="preserve">Elect four Class III directors to serve until the 2029 Annual Meeting of Shareholders or until their successors are duly elected and qualified or their earlier death, resignation or removal;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29"/>
                        <w:gridCol w:w="9908"/>
                      </w:tblGrid>
                      <w:tr>
                        <w:trPr/>
                        <w:tc>
                          <w:tcPr>
                            <w:tcW w:w="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color w:val="264F78"/>
                                <w:sz w:val="22"/>
                              </w:rPr>
                            </w:pPr>
                            <w:r>
                              <w:rPr>
                                <w:color w:val="264F78"/>
                                <w:sz w:val="22"/>
                              </w:rPr>
                              <w:t>2.</w:t>
                            </w:r>
                          </w:p>
                        </w:tc>
                        <w:tc>
                          <w:tcPr>
                            <w:tcW w:w="9908" w:type="dxa"/>
                            <w:tcBorders/>
                            <w:vAlign w:val="center"/>
                          </w:tcPr>
                          <w:p>
                            <w:pPr>
                              <w:pStyle w:val="TableContents"/>
                              <w:bidi w:val="0"/>
                              <w:spacing w:before="0" w:after="283"/>
                              <w:jc w:val="left"/>
                              <w:rPr>
                                <w:color w:val="58595B"/>
                                <w:sz w:val="22"/>
                              </w:rPr>
                            </w:pPr>
                            <w:r>
                              <w:rPr>
                                <w:color w:val="58595B"/>
                                <w:sz w:val="22"/>
                              </w:rPr>
                              <w:t xml:space="preserve">Approve the Amended and Restated Articles of Incorporation to implement annual elections of directors;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15"/>
                        <w:gridCol w:w="9922"/>
                      </w:tblGrid>
                      <w:tr>
                        <w:trPr/>
                        <w:tc>
                          <w:tcPr>
                            <w:tcW w:w="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color w:val="264F78"/>
                                <w:sz w:val="22"/>
                              </w:rPr>
                            </w:pPr>
                            <w:r>
                              <w:rPr>
                                <w:color w:val="264F78"/>
                                <w:sz w:val="22"/>
                              </w:rPr>
                              <w:t>3.</w:t>
                            </w:r>
                          </w:p>
                        </w:tc>
                        <w:tc>
                          <w:tcPr>
                            <w:tcW w:w="9922" w:type="dxa"/>
                            <w:tcBorders/>
                            <w:vAlign w:val="center"/>
                          </w:tcPr>
                          <w:p>
                            <w:pPr>
                              <w:pStyle w:val="TableContents"/>
                              <w:bidi w:val="0"/>
                              <w:spacing w:before="0" w:after="283"/>
                              <w:jc w:val="left"/>
                              <w:rPr>
                                <w:color w:val="58595B"/>
                                <w:sz w:val="22"/>
                              </w:rPr>
                            </w:pPr>
                            <w:r>
                              <w:rPr>
                                <w:color w:val="58595B"/>
                                <w:sz w:val="22"/>
                              </w:rPr>
                              <w:t xml:space="preserve">Approve a non-binding advisory resolution on the compensation paid to our named executive officers (the </w:t>
                            </w:r>
                            <w:r>
                              <w:rPr>
                                <w:i/>
                                <w:color w:val="58595B"/>
                                <w:sz w:val="22"/>
                              </w:rPr>
                              <w:t>Say-on-Pay Proposal</w:t>
                            </w:r>
                            <w:r>
                              <w:rPr>
                                <w:color w:val="58595B"/>
                                <w:sz w:val="22"/>
                              </w:rPr>
                              <w:t xml:space="preserve">); and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24"/>
                        <w:gridCol w:w="9913"/>
                      </w:tblGrid>
                      <w:tr>
                        <w:trPr/>
                        <w:tc>
                          <w:tcPr>
                            <w:tcW w:w="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color w:val="264F78"/>
                                <w:sz w:val="22"/>
                              </w:rPr>
                            </w:pPr>
                            <w:r>
                              <w:rPr>
                                <w:color w:val="264F78"/>
                                <w:sz w:val="22"/>
                              </w:rPr>
                              <w:t>4.</w:t>
                            </w:r>
                          </w:p>
                        </w:tc>
                        <w:tc>
                          <w:tcPr>
                            <w:tcW w:w="9913" w:type="dxa"/>
                            <w:tcBorders/>
                            <w:vAlign w:val="center"/>
                          </w:tcPr>
                          <w:p>
                            <w:pPr>
                              <w:pStyle w:val="TableContents"/>
                              <w:bidi w:val="0"/>
                              <w:spacing w:before="0" w:after="283"/>
                              <w:jc w:val="left"/>
                              <w:rPr>
                                <w:color w:val="58595B"/>
                                <w:sz w:val="21"/>
                              </w:rPr>
                            </w:pPr>
                            <w:r>
                              <w:rPr>
                                <w:color w:val="58595B"/>
                                <w:sz w:val="21"/>
                              </w:rPr>
                              <w:t xml:space="preserve">Ratify the appointment of Ernst &amp; Young LLP as our independent registered public accounting firm for the 2026 fiscal year.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2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At the meeting, we will also transact such other business as may properly come before the meeting or any postponement or adjournment thereof.</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2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The board of directors set April 13, 2026 as the record date for the meeting. This means that owners of FNF’s common stock at the close of business on that date are entitled to:</w:t>
                      </w:r>
                    </w:p>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3633" w:type="dxa"/>
                        <w:jc w:val="left"/>
                        <w:tblInd w:w="0" w:type="dxa"/>
                        <w:tblLayout w:type="fixed"/>
                        <w:tblCellMar>
                          <w:top w:w="0" w:type="dxa"/>
                          <w:left w:w="0" w:type="dxa"/>
                          <w:bottom w:w="0" w:type="dxa"/>
                          <w:right w:w="0" w:type="dxa"/>
                        </w:tblCellMar>
                      </w:tblPr>
                      <w:tblGrid>
                        <w:gridCol w:w="68"/>
                        <w:gridCol w:w="200"/>
                        <w:gridCol w:w="33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58595B"/>
                              </w:rPr>
                            </w:pPr>
                            <w:r>
                              <w:rPr>
                                <w:color w:val="58595B"/>
                              </w:rPr>
                              <w:t>●</w:t>
                            </w:r>
                          </w:p>
                        </w:tc>
                        <w:tc>
                          <w:tcPr>
                            <w:tcW w:w="3365" w:type="dxa"/>
                            <w:tcBorders/>
                            <w:vAlign w:val="center"/>
                          </w:tcPr>
                          <w:p>
                            <w:pPr>
                              <w:pStyle w:val="TableContents"/>
                              <w:bidi w:val="0"/>
                              <w:spacing w:before="0" w:after="283"/>
                              <w:jc w:val="both"/>
                              <w:rPr>
                                <w:color w:val="58595B"/>
                              </w:rPr>
                            </w:pPr>
                            <w:r>
                              <w:rPr>
                                <w:color w:val="58595B"/>
                              </w:rPr>
                              <w:t>Receive notice of the meeting; and</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xbxContent>
                </v:textbox>
                <w10:wrap type="square" side="right"/>
              </v:rect>
            </w:pict>
          </mc:Fallback>
        </mc:AlternateContent>
      </w:r>
      <w:r>
        <mc:AlternateContent>
          <mc:Choice Requires="wps">
            <w:drawing>
              <wp:anchor behindDoc="0" distT="0" distB="0" distL="0" distR="0" simplePos="0" locked="0" layoutInCell="1" allowOverlap="1" relativeHeight="21">
                <wp:simplePos x="0" y="0"/>
                <wp:positionH relativeFrom="column">
                  <wp:align>right</wp:align>
                </wp:positionH>
                <wp:positionV relativeFrom="line">
                  <wp:posOffset>635</wp:posOffset>
                </wp:positionV>
                <wp:extent cx="3110230" cy="5290185"/>
                <wp:effectExtent l="0" t="0" r="0" b="0"/>
                <wp:wrapSquare wrapText="left"/>
                <wp:docPr id="5" name="Frame2"/>
                <a:graphic xmlns:a="http://schemas.openxmlformats.org/drawingml/2006/main">
                  <a:graphicData uri="http://schemas.microsoft.com/office/word/2010/wordprocessingShape">
                    <wps:wsp>
                      <wps:cNvSpPr txBox="1"/>
                      <wps:spPr>
                        <a:xfrm>
                          <a:off x="0" y="0"/>
                          <a:ext cx="3110230" cy="5290185"/>
                        </a:xfrm>
                        <a:prstGeom prst="rect"/>
                        <a:solidFill>
                          <a:srgbClr val="FFFFFF"/>
                        </a:solidFill>
                      </wps:spPr>
                      <wps:txbx>
                        <w:txbxContent>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7593" w:type="dxa"/>
                              <w:jc w:val="left"/>
                              <w:tblInd w:w="0" w:type="dxa"/>
                              <w:tblLayout w:type="fixed"/>
                              <w:tblCellMar>
                                <w:top w:w="0" w:type="dxa"/>
                                <w:left w:w="0" w:type="dxa"/>
                                <w:bottom w:w="0" w:type="dxa"/>
                                <w:right w:w="0" w:type="dxa"/>
                              </w:tblCellMar>
                            </w:tblPr>
                            <w:tblGrid>
                              <w:gridCol w:w="68"/>
                              <w:gridCol w:w="200"/>
                              <w:gridCol w:w="73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58595B"/>
                                    </w:rPr>
                                  </w:pPr>
                                  <w:r>
                                    <w:rPr>
                                      <w:color w:val="58595B"/>
                                    </w:rPr>
                                    <w:t>●</w:t>
                                  </w:r>
                                </w:p>
                              </w:tc>
                              <w:tc>
                                <w:tcPr>
                                  <w:tcW w:w="7325" w:type="dxa"/>
                                  <w:tcBorders/>
                                  <w:vAlign w:val="center"/>
                                </w:tcPr>
                                <w:p>
                                  <w:pPr>
                                    <w:pStyle w:val="TableContents"/>
                                    <w:bidi w:val="0"/>
                                    <w:spacing w:before="0" w:after="283"/>
                                    <w:jc w:val="left"/>
                                    <w:rPr>
                                      <w:color w:val="58595B"/>
                                      <w:sz w:val="22"/>
                                    </w:rPr>
                                  </w:pPr>
                                  <w:r>
                                    <w:rPr>
                                      <w:color w:val="58595B"/>
                                      <w:sz w:val="22"/>
                                    </w:rPr>
                                    <w:t xml:space="preserve">Vote at the meeting and any adjournments or postponements of the meeting.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All shareholders are cordially invited to attend the virtual annual meeting. Please read these proxy materials and cast your vote on the matters that will be presented at the annual meeting.</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You may vote your shares through the Internet, by telephone, or by mailing your proxy card. Instructions for our registered shareholders are described under the question "How do I vote?" on page 3 of the proxy statement.</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Sincerely,</w:t>
                            </w:r>
                          </w:p>
                          <w:p>
                            <w:pPr>
                              <w:pStyle w:val="TextBody"/>
                              <w:bidi w:val="0"/>
                              <w:spacing w:before="0" w:after="0"/>
                              <w:ind w:left="1440" w:right="120" w:hanging="0"/>
                              <w:jc w:val="left"/>
                              <w:rPr>
                                <w:caps w:val="false"/>
                                <w:smallCaps w:val="false"/>
                                <w:color w:val="58595B"/>
                              </w:rPr>
                            </w:pPr>
                            <w:r>
                              <w:rPr>
                                <w:caps w:val="false"/>
                                <w:smallCaps w:val="false"/>
                                <w:color w:val="58595B"/>
                              </w:rPr>
                              <w:t> </w:t>
                            </w:r>
                          </w:p>
                          <w:p>
                            <w:pPr>
                              <w:pStyle w:val="TextBody"/>
                              <w:bidi w:val="0"/>
                              <w:spacing w:before="0" w:after="0"/>
                              <w:jc w:val="left"/>
                              <w:rPr>
                                <w:caps w:val="false"/>
                                <w:smallCaps w:val="false"/>
                                <w:color w:val="58595B"/>
                              </w:rPr>
                            </w:pPr>
                            <w:r>
                              <w:rPr>
                                <w:caps w:val="false"/>
                                <w:smallCaps w:val="false"/>
                                <w:color w:val="58595B"/>
                              </w:rPr>
                              <w:drawing>
                                <wp:inline distT="0" distB="0" distL="0" distR="0">
                                  <wp:extent cx="571500" cy="4381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571500" cy="438150"/>
                                          </a:xfrm>
                                          <a:prstGeom prst="rect">
                                            <a:avLst/>
                                          </a:prstGeom>
                                        </pic:spPr>
                                      </pic:pic>
                                    </a:graphicData>
                                  </a:graphic>
                                </wp:inline>
                              </w:drawing>
                            </w:r>
                          </w:p>
                          <w:p>
                            <w:pPr>
                              <w:pStyle w:val="TextBody"/>
                              <w:bidi w:val="0"/>
                              <w:spacing w:before="0" w:after="0"/>
                              <w:ind w:left="1440" w:right="120" w:hanging="0"/>
                              <w:jc w:val="left"/>
                              <w:rPr>
                                <w:caps w:val="false"/>
                                <w:smallCaps w:val="false"/>
                                <w:color w:val="58595B"/>
                              </w:rPr>
                            </w:pPr>
                            <w:r>
                              <w:rPr>
                                <w:caps w:val="false"/>
                                <w:smallCaps w:val="false"/>
                                <w:color w:val="58595B"/>
                              </w:rPr>
                              <w:t>  </w:t>
                            </w:r>
                          </w:p>
                          <w:p>
                            <w:pPr>
                              <w:pStyle w:val="TextBody"/>
                              <w:bidi w:val="0"/>
                              <w:spacing w:before="0" w:after="0"/>
                              <w:ind w:left="1440" w:right="12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i w:val="false"/>
                                <w:caps w:val="false"/>
                                <w:smallCaps w:val="false"/>
                                <w:color w:val="58595B"/>
                                <w:sz w:val="21"/>
                              </w:rPr>
                              <w:t>Michael L. Gravelle</w:t>
                            </w:r>
                            <w:r>
                              <w:rPr>
                                <w:rFonts w:ascii="Arial;Helvetica;Sans-Serif" w:hAnsi="Arial;Helvetica;Sans-Serif"/>
                                <w:b w:val="false"/>
                                <w:i w:val="false"/>
                                <w:caps w:val="false"/>
                                <w:smallCaps w:val="false"/>
                                <w:color w:val="58595B"/>
                                <w:sz w:val="21"/>
                              </w:rPr>
                              <w:t> </w:t>
                            </w:r>
                          </w:p>
                          <w:p>
                            <w:pPr>
                              <w:pStyle w:val="TextBody"/>
                              <w:bidi w:val="0"/>
                              <w:spacing w:before="0" w:after="0"/>
                              <w:jc w:val="left"/>
                              <w:rPr>
                                <w:rFonts w:ascii="Arial;Helvetica;Sans-Serif" w:hAnsi="Arial;Helvetica;Sans-Serif"/>
                                <w:b w:val="false"/>
                                <w:i/>
                                <w:caps w:val="false"/>
                                <w:smallCaps w:val="false"/>
                                <w:color w:val="58595B"/>
                                <w:sz w:val="21"/>
                              </w:rPr>
                            </w:pPr>
                            <w:r>
                              <w:rPr>
                                <w:rFonts w:ascii="Arial;Helvetica;Sans-Serif" w:hAnsi="Arial;Helvetica;Sans-Serif"/>
                                <w:b w:val="false"/>
                                <w:i/>
                                <w:caps w:val="false"/>
                                <w:smallCaps w:val="false"/>
                                <w:color w:val="58595B"/>
                                <w:sz w:val="21"/>
                              </w:rPr>
                              <w:t>Corporate Secretary</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Jacksonville, Florida </w:t>
                            </w:r>
                          </w:p>
                          <w:p>
                            <w:pPr>
                              <w:pStyle w:val="TextBody"/>
                              <w:bidi w:val="0"/>
                              <w:spacing w:before="0" w:after="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April 29, 2026</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jc w:val="left"/>
                              <w:rPr>
                                <w:rFonts w:ascii="Arial;Helvetica;Sans-Serif" w:hAnsi="Arial;Helvetica;Sans-Serif"/>
                                <w:b/>
                                <w:i w:val="false"/>
                                <w:caps w:val="false"/>
                                <w:smallCaps w:val="false"/>
                                <w:color w:val="58595B"/>
                                <w:sz w:val="21"/>
                              </w:rPr>
                            </w:pPr>
                            <w:r>
                              <w:rPr>
                                <w:rFonts w:ascii="Arial;Helvetica;Sans-Serif" w:hAnsi="Arial;Helvetica;Sans-Serif"/>
                                <w:b/>
                                <w:i w:val="false"/>
                                <w:caps w:val="false"/>
                                <w:smallCaps w:val="false"/>
                                <w:color w:val="58595B"/>
                                <w:sz w:val="21"/>
                              </w:rPr>
                              <w:t>PLEASE COMPLETE, DATE AND SIGN YOUR PROXY AND MAIL IT PROMPTLY IN AN ENVELOPE (OR VOTE VIA TELEPHONE OR INTERNET) TO ASSURE REPRESENTATION OF YOUR SHARES.</w:t>
                            </w:r>
                          </w:p>
                          <w:p>
                            <w:pPr>
                              <w:pStyle w:val="TextBody"/>
                              <w:bidi w:val="0"/>
                              <w:spacing w:before="0" w:after="0"/>
                              <w:ind w:left="0" w:right="0" w:hanging="0"/>
                              <w:jc w:val="left"/>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16.5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7593" w:type="dxa"/>
                        <w:jc w:val="left"/>
                        <w:tblInd w:w="0" w:type="dxa"/>
                        <w:tblLayout w:type="fixed"/>
                        <w:tblCellMar>
                          <w:top w:w="0" w:type="dxa"/>
                          <w:left w:w="0" w:type="dxa"/>
                          <w:bottom w:w="0" w:type="dxa"/>
                          <w:right w:w="0" w:type="dxa"/>
                        </w:tblCellMar>
                      </w:tblPr>
                      <w:tblGrid>
                        <w:gridCol w:w="68"/>
                        <w:gridCol w:w="200"/>
                        <w:gridCol w:w="73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58595B"/>
                              </w:rPr>
                            </w:pPr>
                            <w:r>
                              <w:rPr>
                                <w:color w:val="58595B"/>
                              </w:rPr>
                              <w:t>●</w:t>
                            </w:r>
                          </w:p>
                        </w:tc>
                        <w:tc>
                          <w:tcPr>
                            <w:tcW w:w="7325" w:type="dxa"/>
                            <w:tcBorders/>
                            <w:vAlign w:val="center"/>
                          </w:tcPr>
                          <w:p>
                            <w:pPr>
                              <w:pStyle w:val="TableContents"/>
                              <w:bidi w:val="0"/>
                              <w:spacing w:before="0" w:after="283"/>
                              <w:jc w:val="left"/>
                              <w:rPr>
                                <w:color w:val="58595B"/>
                                <w:sz w:val="22"/>
                              </w:rPr>
                            </w:pPr>
                            <w:r>
                              <w:rPr>
                                <w:color w:val="58595B"/>
                                <w:sz w:val="22"/>
                              </w:rPr>
                              <w:t xml:space="preserve">Vote at the meeting and any adjournments or postponements of the meeting.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All shareholders are cordially invited to attend the virtual annual meeting. Please read these proxy materials and cast your vote on the matters that will be presented at the annual meeting.</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You may vote your shares through the Internet, by telephone, or by mailing your proxy card. Instructions for our registered shareholders are described under the question "How do I vote?" on page 3 of the proxy statement.</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Sincerely,</w:t>
                      </w:r>
                    </w:p>
                    <w:p>
                      <w:pPr>
                        <w:pStyle w:val="TextBody"/>
                        <w:bidi w:val="0"/>
                        <w:spacing w:before="0" w:after="0"/>
                        <w:ind w:left="1440" w:right="120" w:hanging="0"/>
                        <w:jc w:val="left"/>
                        <w:rPr>
                          <w:caps w:val="false"/>
                          <w:smallCaps w:val="false"/>
                          <w:color w:val="58595B"/>
                        </w:rPr>
                      </w:pPr>
                      <w:r>
                        <w:rPr>
                          <w:caps w:val="false"/>
                          <w:smallCaps w:val="false"/>
                          <w:color w:val="58595B"/>
                        </w:rPr>
                        <w:t> </w:t>
                      </w:r>
                    </w:p>
                    <w:p>
                      <w:pPr>
                        <w:pStyle w:val="TextBody"/>
                        <w:bidi w:val="0"/>
                        <w:spacing w:before="0" w:after="0"/>
                        <w:jc w:val="left"/>
                        <w:rPr>
                          <w:caps w:val="false"/>
                          <w:smallCaps w:val="false"/>
                          <w:color w:val="58595B"/>
                        </w:rPr>
                      </w:pPr>
                      <w:r>
                        <w:rPr>
                          <w:caps w:val="false"/>
                          <w:smallCaps w:val="false"/>
                          <w:color w:val="58595B"/>
                        </w:rPr>
                        <w:drawing>
                          <wp:inline distT="0" distB="0" distL="0" distR="0">
                            <wp:extent cx="571500" cy="4381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6"/>
                                    <a:stretch>
                                      <a:fillRect/>
                                    </a:stretch>
                                  </pic:blipFill>
                                  <pic:spPr bwMode="auto">
                                    <a:xfrm>
                                      <a:off x="0" y="0"/>
                                      <a:ext cx="571500" cy="438150"/>
                                    </a:xfrm>
                                    <a:prstGeom prst="rect">
                                      <a:avLst/>
                                    </a:prstGeom>
                                  </pic:spPr>
                                </pic:pic>
                              </a:graphicData>
                            </a:graphic>
                          </wp:inline>
                        </w:drawing>
                      </w:r>
                    </w:p>
                    <w:p>
                      <w:pPr>
                        <w:pStyle w:val="TextBody"/>
                        <w:bidi w:val="0"/>
                        <w:spacing w:before="0" w:after="0"/>
                        <w:ind w:left="1440" w:right="120" w:hanging="0"/>
                        <w:jc w:val="left"/>
                        <w:rPr>
                          <w:caps w:val="false"/>
                          <w:smallCaps w:val="false"/>
                          <w:color w:val="58595B"/>
                        </w:rPr>
                      </w:pPr>
                      <w:r>
                        <w:rPr>
                          <w:caps w:val="false"/>
                          <w:smallCaps w:val="false"/>
                          <w:color w:val="58595B"/>
                        </w:rPr>
                        <w:t>  </w:t>
                      </w:r>
                    </w:p>
                    <w:p>
                      <w:pPr>
                        <w:pStyle w:val="TextBody"/>
                        <w:bidi w:val="0"/>
                        <w:spacing w:before="0" w:after="0"/>
                        <w:ind w:left="1440" w:right="12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i w:val="false"/>
                          <w:caps w:val="false"/>
                          <w:smallCaps w:val="false"/>
                          <w:color w:val="58595B"/>
                          <w:sz w:val="21"/>
                        </w:rPr>
                        <w:t>Michael L. Gravelle</w:t>
                      </w:r>
                      <w:r>
                        <w:rPr>
                          <w:rFonts w:ascii="Arial;Helvetica;Sans-Serif" w:hAnsi="Arial;Helvetica;Sans-Serif"/>
                          <w:b w:val="false"/>
                          <w:i w:val="false"/>
                          <w:caps w:val="false"/>
                          <w:smallCaps w:val="false"/>
                          <w:color w:val="58595B"/>
                          <w:sz w:val="21"/>
                        </w:rPr>
                        <w:t> </w:t>
                      </w:r>
                    </w:p>
                    <w:p>
                      <w:pPr>
                        <w:pStyle w:val="TextBody"/>
                        <w:bidi w:val="0"/>
                        <w:spacing w:before="0" w:after="0"/>
                        <w:jc w:val="left"/>
                        <w:rPr>
                          <w:rFonts w:ascii="Arial;Helvetica;Sans-Serif" w:hAnsi="Arial;Helvetica;Sans-Serif"/>
                          <w:b w:val="false"/>
                          <w:i/>
                          <w:caps w:val="false"/>
                          <w:smallCaps w:val="false"/>
                          <w:color w:val="58595B"/>
                          <w:sz w:val="21"/>
                        </w:rPr>
                      </w:pPr>
                      <w:r>
                        <w:rPr>
                          <w:rFonts w:ascii="Arial;Helvetica;Sans-Serif" w:hAnsi="Arial;Helvetica;Sans-Serif"/>
                          <w:b w:val="false"/>
                          <w:i/>
                          <w:caps w:val="false"/>
                          <w:smallCaps w:val="false"/>
                          <w:color w:val="58595B"/>
                          <w:sz w:val="21"/>
                        </w:rPr>
                        <w:t>Corporate Secretary</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Jacksonville, Florida </w:t>
                      </w:r>
                    </w:p>
                    <w:p>
                      <w:pPr>
                        <w:pStyle w:val="TextBody"/>
                        <w:bidi w:val="0"/>
                        <w:spacing w:before="0" w:after="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April 29, 2026</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jc w:val="left"/>
                        <w:rPr>
                          <w:rFonts w:ascii="Arial;Helvetica;Sans-Serif" w:hAnsi="Arial;Helvetica;Sans-Serif"/>
                          <w:b/>
                          <w:i w:val="false"/>
                          <w:caps w:val="false"/>
                          <w:smallCaps w:val="false"/>
                          <w:color w:val="58595B"/>
                          <w:sz w:val="21"/>
                        </w:rPr>
                      </w:pPr>
                      <w:r>
                        <w:rPr>
                          <w:rFonts w:ascii="Arial;Helvetica;Sans-Serif" w:hAnsi="Arial;Helvetica;Sans-Serif"/>
                          <w:b/>
                          <w:i w:val="false"/>
                          <w:caps w:val="false"/>
                          <w:smallCaps w:val="false"/>
                          <w:color w:val="58595B"/>
                          <w:sz w:val="21"/>
                        </w:rPr>
                        <w:t>PLEASE COMPLETE, DATE AND SIGN YOUR PROXY AND MAIL IT PROMPTLY IN AN ENVELOPE (OR VOTE VIA TELEPHONE OR INTERNET) TO ASSURE REPRESENTATION OF YOUR SHARES.</w:t>
                      </w:r>
                    </w:p>
                    <w:p>
                      <w:pPr>
                        <w:pStyle w:val="TextBody"/>
                        <w:bidi w:val="0"/>
                        <w:spacing w:before="0" w:after="0"/>
                        <w:ind w:left="0" w:right="0" w:hanging="0"/>
                        <w:jc w:val="left"/>
                        <w:rPr>
                          <w:caps w:val="false"/>
                          <w:smallCaps w:val="false"/>
                          <w:color w:val="58595B"/>
                        </w:rPr>
                      </w:pPr>
                      <w:r>
                        <w:rPr>
                          <w:caps w:val="false"/>
                          <w:smallCaps w:val="false"/>
                          <w:color w:val="58595B"/>
                        </w:rPr>
                        <w:t>  </w:t>
                      </w:r>
                    </w:p>
                  </w:txbxContent>
                </v:textbox>
                <w10:wrap type="square" side="left"/>
              </v:rect>
            </w:pict>
          </mc:Fallback>
        </mc:AlternateContent>
      </w:r>
    </w:p>
    <w:p>
      <w:pPr>
        <w:pStyle w:val="TextBody"/>
        <w:bidi w:val="0"/>
        <w:spacing w:before="0" w:after="0"/>
        <w:ind w:left="1440" w:right="120" w:hanging="0"/>
        <w:jc w:val="left"/>
        <w:rPr>
          <w:rFonts w:ascii="Arial;Helvetica;Sans-Serif" w:hAnsi="Arial;Helvetica;Sans-Serif"/>
          <w:b w:val="false"/>
          <w:i w:val="false"/>
          <w:caps w:val="false"/>
          <w:smallCaps w:val="false"/>
          <w:sz w:val="21"/>
        </w:rPr>
      </w:pPr>
      <w:r>
        <w:rPr>
          <w:rFonts w:ascii="Arial;Helvetica;Sans-Serif" w:hAnsi="Arial;Helvetica;Sans-Serif"/>
          <w:b/>
          <w:i w:val="false"/>
          <w:caps w:val="false"/>
          <w:smallCaps w:val="false"/>
          <w:color w:val="58595B"/>
          <w:sz w:val="21"/>
        </w:rPr>
        <w:t>IMPORTANT NOTICE REGARDING THE AVAILABILITY OF PROXY MATERIALS FOR THE 2026 ANNUAL MEETING OF SHAREHOLDERS TO BE HELD ON JUNE 10, 2026: The Company’s Proxy Statement for the 2026 Annual Meeting of Shareholders and the Annual Report on Form 10-K for the fiscal year ended December 31, 2025 are available</w:t>
      </w:r>
      <w:r>
        <w:rPr>
          <w:rFonts w:ascii="Arial;Helvetica;Sans-Serif" w:hAnsi="Arial;Helvetica;Sans-Serif"/>
          <w:b w:val="false"/>
          <w:i w:val="false"/>
          <w:caps w:val="false"/>
          <w:smallCaps w:val="false"/>
          <w:sz w:val="21"/>
        </w:rPr>
        <w:t xml:space="preserve"> </w:t>
      </w:r>
      <w:r>
        <w:rPr>
          <w:rFonts w:ascii="Arial;Helvetica;Sans-Serif" w:hAnsi="Arial;Helvetica;Sans-Serif"/>
          <w:b/>
          <w:i w:val="false"/>
          <w:caps w:val="false"/>
          <w:smallCaps w:val="false"/>
          <w:color w:val="1E5E9E"/>
          <w:sz w:val="21"/>
        </w:rPr>
        <w:t>www.proxyvote.com</w:t>
      </w:r>
      <w:r>
        <w:rPr>
          <w:rFonts w:ascii="Arial;Helvetica;Sans-Serif" w:hAnsi="Arial;Helvetica;Sans-Serif"/>
          <w:b/>
          <w:i w:val="false"/>
          <w:caps w:val="false"/>
          <w:smallCaps w:val="false"/>
          <w:color w:val="333333"/>
          <w:sz w:val="21"/>
        </w:rPr>
        <w:t>.</w:t>
      </w:r>
    </w:p>
    <w:p>
      <w:pPr>
        <w:pStyle w:val="TextBody"/>
        <w:bidi w:val="0"/>
        <w:spacing w:before="0" w:after="0"/>
        <w:ind w:left="1440" w:right="12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2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274F78"/>
          <w:sz w:val="40"/>
        </w:rPr>
      </w:pPr>
      <w:r>
        <w:rPr>
          <w:rFonts w:ascii="Arial;Helvetica;Sans-Serif" w:hAnsi="Arial;Helvetica;Sans-Serif"/>
          <w:b/>
          <w:i w:val="false"/>
          <w:caps w:val="false"/>
          <w:smallCaps w:val="false"/>
          <w:color w:val="274F78"/>
          <w:sz w:val="40"/>
        </w:rPr>
        <w:t>TABLE OF CONTENTS</w:t>
      </w:r>
    </w:p>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120" w:type="dxa"/>
        <w:jc w:val="left"/>
        <w:tblInd w:w="0" w:type="dxa"/>
        <w:tblLayout w:type="fixed"/>
        <w:tblCellMar>
          <w:top w:w="0" w:type="dxa"/>
          <w:left w:w="0" w:type="dxa"/>
          <w:bottom w:w="0" w:type="dxa"/>
          <w:right w:w="0" w:type="dxa"/>
        </w:tblCellMar>
      </w:tblPr>
      <w:tblGrid>
        <w:gridCol w:w="105"/>
        <w:gridCol w:w="290"/>
        <w:gridCol w:w="9725"/>
      </w:tblGrid>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1</w:t>
            </w:r>
          </w:p>
        </w:tc>
        <w:tc>
          <w:tcPr>
            <w:tcW w:w="9725" w:type="dxa"/>
            <w:tcBorders/>
            <w:vAlign w:val="center"/>
          </w:tcPr>
          <w:p>
            <w:pPr>
              <w:pStyle w:val="TableContents"/>
              <w:bidi w:val="0"/>
              <w:spacing w:before="0" w:after="283"/>
              <w:jc w:val="both"/>
              <w:rPr>
                <w:color w:val="58595B"/>
                <w:sz w:val="22"/>
              </w:rPr>
            </w:pPr>
            <w:r>
              <w:rPr>
                <w:color w:val="58595B"/>
                <w:sz w:val="22"/>
              </w:rPr>
              <w:t xml:space="preserve">General Information About the Company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2</w:t>
            </w:r>
          </w:p>
        </w:tc>
        <w:tc>
          <w:tcPr>
            <w:tcW w:w="9725" w:type="dxa"/>
            <w:tcBorders/>
            <w:vAlign w:val="center"/>
          </w:tcPr>
          <w:p>
            <w:pPr>
              <w:pStyle w:val="TableContents"/>
              <w:bidi w:val="0"/>
              <w:spacing w:before="0" w:after="283"/>
              <w:jc w:val="both"/>
              <w:rPr>
                <w:color w:val="58595B"/>
                <w:sz w:val="22"/>
              </w:rPr>
            </w:pPr>
            <w:r>
              <w:rPr>
                <w:color w:val="58595B"/>
                <w:sz w:val="22"/>
              </w:rPr>
              <w:t xml:space="preserve">General Information About the Virtual Annual Meeting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8</w:t>
            </w:r>
          </w:p>
        </w:tc>
        <w:tc>
          <w:tcPr>
            <w:tcW w:w="9725" w:type="dxa"/>
            <w:tcBorders/>
            <w:vAlign w:val="center"/>
          </w:tcPr>
          <w:p>
            <w:pPr>
              <w:pStyle w:val="TableContents"/>
              <w:bidi w:val="0"/>
              <w:spacing w:before="0" w:after="283"/>
              <w:jc w:val="both"/>
              <w:rPr>
                <w:color w:val="58595B"/>
                <w:sz w:val="22"/>
              </w:rPr>
            </w:pPr>
            <w:r>
              <w:rPr>
                <w:color w:val="58595B"/>
                <w:sz w:val="22"/>
              </w:rPr>
              <w:t xml:space="preserve">Corporate Governance Highlights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8</w:t>
            </w:r>
          </w:p>
        </w:tc>
        <w:tc>
          <w:tcPr>
            <w:tcW w:w="9725" w:type="dxa"/>
            <w:tcBorders/>
            <w:vAlign w:val="center"/>
          </w:tcPr>
          <w:p>
            <w:pPr>
              <w:pStyle w:val="TableContents"/>
              <w:bidi w:val="0"/>
              <w:spacing w:before="0" w:after="283"/>
              <w:jc w:val="both"/>
              <w:rPr>
                <w:color w:val="58595B"/>
                <w:sz w:val="22"/>
              </w:rPr>
            </w:pPr>
            <w:r>
              <w:rPr>
                <w:color w:val="58595B"/>
                <w:sz w:val="22"/>
              </w:rPr>
              <w:t xml:space="preserve">Corporate Governance and Related Matters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21</w:t>
            </w:r>
          </w:p>
        </w:tc>
        <w:tc>
          <w:tcPr>
            <w:tcW w:w="9725" w:type="dxa"/>
            <w:tcBorders/>
            <w:vAlign w:val="center"/>
          </w:tcPr>
          <w:p>
            <w:pPr>
              <w:pStyle w:val="TableContents"/>
              <w:bidi w:val="0"/>
              <w:spacing w:before="0" w:after="283"/>
              <w:jc w:val="both"/>
              <w:rPr>
                <w:color w:val="58595B"/>
                <w:sz w:val="22"/>
              </w:rPr>
            </w:pPr>
            <w:r>
              <w:rPr>
                <w:color w:val="58595B"/>
                <w:sz w:val="22"/>
              </w:rPr>
              <w:t xml:space="preserve">Certain Information About Our Directors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30</w:t>
            </w:r>
          </w:p>
        </w:tc>
        <w:tc>
          <w:tcPr>
            <w:tcW w:w="9725" w:type="dxa"/>
            <w:tcBorders/>
            <w:vAlign w:val="center"/>
          </w:tcPr>
          <w:p>
            <w:pPr>
              <w:pStyle w:val="TableContents"/>
              <w:bidi w:val="0"/>
              <w:spacing w:before="0" w:after="283"/>
              <w:jc w:val="both"/>
              <w:rPr>
                <w:b/>
                <w:color w:val="58595B"/>
                <w:sz w:val="22"/>
              </w:rPr>
            </w:pPr>
            <w:r>
              <w:rPr>
                <w:b/>
                <w:color w:val="58595B"/>
                <w:sz w:val="22"/>
              </w:rPr>
              <w:t xml:space="preserve">Proposal No. 1: Election of Directors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31</w:t>
            </w:r>
          </w:p>
        </w:tc>
        <w:tc>
          <w:tcPr>
            <w:tcW w:w="9725" w:type="dxa"/>
            <w:tcBorders/>
            <w:vAlign w:val="center"/>
          </w:tcPr>
          <w:p>
            <w:pPr>
              <w:pStyle w:val="TableContents"/>
              <w:bidi w:val="0"/>
              <w:spacing w:before="0" w:after="283"/>
              <w:jc w:val="both"/>
              <w:rPr>
                <w:b/>
                <w:color w:val="58595B"/>
                <w:sz w:val="22"/>
              </w:rPr>
            </w:pPr>
            <w:r>
              <w:rPr>
                <w:b/>
                <w:color w:val="58595B"/>
                <w:sz w:val="22"/>
              </w:rPr>
              <w:t xml:space="preserve">Proposal No. 2: Amend Our Articles of Incorporation to Implement Annual Elections of Directors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32</w:t>
            </w:r>
          </w:p>
        </w:tc>
        <w:tc>
          <w:tcPr>
            <w:tcW w:w="9725" w:type="dxa"/>
            <w:tcBorders/>
            <w:vAlign w:val="center"/>
          </w:tcPr>
          <w:p>
            <w:pPr>
              <w:pStyle w:val="TableContents"/>
              <w:bidi w:val="0"/>
              <w:spacing w:before="0" w:after="283"/>
              <w:jc w:val="both"/>
              <w:rPr>
                <w:color w:val="58595B"/>
                <w:sz w:val="22"/>
              </w:rPr>
            </w:pPr>
            <w:r>
              <w:rPr>
                <w:color w:val="58595B"/>
                <w:sz w:val="22"/>
              </w:rPr>
              <w:t xml:space="preserve">Certain Information About Our Executive Officers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33</w:t>
            </w:r>
          </w:p>
        </w:tc>
        <w:tc>
          <w:tcPr>
            <w:tcW w:w="9725" w:type="dxa"/>
            <w:tcBorders/>
            <w:vAlign w:val="center"/>
          </w:tcPr>
          <w:p>
            <w:pPr>
              <w:pStyle w:val="TableContents"/>
              <w:bidi w:val="0"/>
              <w:spacing w:before="0" w:after="283"/>
              <w:jc w:val="both"/>
              <w:rPr>
                <w:color w:val="58595B"/>
                <w:sz w:val="22"/>
              </w:rPr>
            </w:pPr>
            <w:r>
              <w:rPr>
                <w:color w:val="58595B"/>
                <w:sz w:val="22"/>
              </w:rPr>
              <w:t xml:space="preserve">Compensation Discussion and Analysis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53</w:t>
            </w:r>
          </w:p>
        </w:tc>
        <w:tc>
          <w:tcPr>
            <w:tcW w:w="9725" w:type="dxa"/>
            <w:tcBorders/>
            <w:vAlign w:val="center"/>
          </w:tcPr>
          <w:p>
            <w:pPr>
              <w:pStyle w:val="TableContents"/>
              <w:bidi w:val="0"/>
              <w:spacing w:before="0" w:after="283"/>
              <w:jc w:val="both"/>
              <w:rPr>
                <w:color w:val="58595B"/>
                <w:sz w:val="22"/>
              </w:rPr>
            </w:pPr>
            <w:r>
              <w:rPr>
                <w:color w:val="58595B"/>
                <w:sz w:val="22"/>
              </w:rPr>
              <w:t>Executive Compensation</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78</w:t>
            </w:r>
          </w:p>
        </w:tc>
        <w:tc>
          <w:tcPr>
            <w:tcW w:w="9725" w:type="dxa"/>
            <w:tcBorders/>
            <w:vAlign w:val="center"/>
          </w:tcPr>
          <w:p>
            <w:pPr>
              <w:pStyle w:val="TableContents"/>
              <w:bidi w:val="0"/>
              <w:spacing w:before="0" w:after="283"/>
              <w:jc w:val="both"/>
              <w:rPr>
                <w:b/>
                <w:color w:val="58595B"/>
                <w:sz w:val="22"/>
              </w:rPr>
            </w:pPr>
            <w:r>
              <w:rPr>
                <w:b/>
                <w:color w:val="58595B"/>
                <w:sz w:val="22"/>
              </w:rPr>
              <w:t xml:space="preserve">Proposal No. 3: Advisory Vote on Executive Compensation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79</w:t>
            </w:r>
          </w:p>
        </w:tc>
        <w:tc>
          <w:tcPr>
            <w:tcW w:w="9725" w:type="dxa"/>
            <w:tcBorders/>
            <w:vAlign w:val="center"/>
          </w:tcPr>
          <w:p>
            <w:pPr>
              <w:pStyle w:val="TableContents"/>
              <w:bidi w:val="0"/>
              <w:spacing w:before="0" w:after="283"/>
              <w:jc w:val="both"/>
              <w:rPr>
                <w:b/>
                <w:color w:val="58595B"/>
                <w:sz w:val="22"/>
              </w:rPr>
            </w:pPr>
            <w:r>
              <w:rPr>
                <w:b/>
                <w:color w:val="58595B"/>
                <w:sz w:val="22"/>
              </w:rPr>
              <w:t xml:space="preserve">Proposal No. 4: Ratification of Independent Registered Public Accounting Firm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80</w:t>
            </w:r>
          </w:p>
        </w:tc>
        <w:tc>
          <w:tcPr>
            <w:tcW w:w="9725" w:type="dxa"/>
            <w:tcBorders/>
            <w:vAlign w:val="center"/>
          </w:tcPr>
          <w:p>
            <w:pPr>
              <w:pStyle w:val="TableContents"/>
              <w:bidi w:val="0"/>
              <w:spacing w:before="0" w:after="283"/>
              <w:jc w:val="both"/>
              <w:rPr>
                <w:color w:val="58595B"/>
                <w:sz w:val="22"/>
              </w:rPr>
            </w:pPr>
            <w:r>
              <w:rPr>
                <w:color w:val="58595B"/>
                <w:sz w:val="22"/>
              </w:rPr>
              <w:t xml:space="preserve">Security Ownership of Certain Beneficial Owners, Directors and Executive Officers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82</w:t>
            </w:r>
          </w:p>
        </w:tc>
        <w:tc>
          <w:tcPr>
            <w:tcW w:w="9725" w:type="dxa"/>
            <w:tcBorders/>
            <w:vAlign w:val="center"/>
          </w:tcPr>
          <w:p>
            <w:pPr>
              <w:pStyle w:val="TableContents"/>
              <w:bidi w:val="0"/>
              <w:spacing w:before="0" w:after="283"/>
              <w:jc w:val="both"/>
              <w:rPr>
                <w:color w:val="58595B"/>
                <w:sz w:val="22"/>
              </w:rPr>
            </w:pPr>
            <w:r>
              <w:rPr>
                <w:color w:val="58595B"/>
                <w:sz w:val="22"/>
              </w:rPr>
              <w:t xml:space="preserve">Certain Relationships and Related Person Transactions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88</w:t>
            </w:r>
          </w:p>
        </w:tc>
        <w:tc>
          <w:tcPr>
            <w:tcW w:w="9725" w:type="dxa"/>
            <w:tcBorders/>
            <w:vAlign w:val="center"/>
          </w:tcPr>
          <w:p>
            <w:pPr>
              <w:pStyle w:val="TableContents"/>
              <w:bidi w:val="0"/>
              <w:spacing w:before="0" w:after="283"/>
              <w:jc w:val="both"/>
              <w:rPr>
                <w:color w:val="58595B"/>
                <w:sz w:val="22"/>
              </w:rPr>
            </w:pPr>
            <w:r>
              <w:rPr>
                <w:color w:val="58595B"/>
                <w:sz w:val="22"/>
              </w:rPr>
              <w:t xml:space="preserve">Delinquent Section 16(a) Reports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88</w:t>
            </w:r>
          </w:p>
        </w:tc>
        <w:tc>
          <w:tcPr>
            <w:tcW w:w="9725" w:type="dxa"/>
            <w:tcBorders/>
            <w:vAlign w:val="center"/>
          </w:tcPr>
          <w:p>
            <w:pPr>
              <w:pStyle w:val="TableContents"/>
              <w:bidi w:val="0"/>
              <w:spacing w:before="0" w:after="283"/>
              <w:jc w:val="both"/>
              <w:rPr>
                <w:color w:val="58595B"/>
                <w:sz w:val="22"/>
              </w:rPr>
            </w:pPr>
            <w:r>
              <w:rPr>
                <w:color w:val="58595B"/>
                <w:sz w:val="22"/>
              </w:rPr>
              <w:t xml:space="preserve">Shareholder Proposals and Nominations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88</w:t>
            </w:r>
          </w:p>
        </w:tc>
        <w:tc>
          <w:tcPr>
            <w:tcW w:w="9725" w:type="dxa"/>
            <w:tcBorders/>
            <w:vAlign w:val="center"/>
          </w:tcPr>
          <w:p>
            <w:pPr>
              <w:pStyle w:val="TableContents"/>
              <w:bidi w:val="0"/>
              <w:spacing w:before="0" w:after="283"/>
              <w:jc w:val="both"/>
              <w:rPr>
                <w:color w:val="58595B"/>
                <w:sz w:val="22"/>
              </w:rPr>
            </w:pPr>
            <w:r>
              <w:rPr>
                <w:color w:val="58595B"/>
                <w:sz w:val="22"/>
              </w:rPr>
              <w:t xml:space="preserve">Other Matters </w:t>
            </w:r>
          </w:p>
        </w:tc>
      </w:tr>
      <w:tr>
        <w:trPr/>
        <w:tc>
          <w:tcPr>
            <w:tcW w:w="10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color w:val="274F78"/>
              </w:rPr>
            </w:pPr>
            <w:r>
              <w:rPr>
                <w:color w:val="274F78"/>
              </w:rPr>
              <w:t> </w:t>
            </w:r>
          </w:p>
        </w:tc>
        <w:tc>
          <w:tcPr>
            <w:tcW w:w="9725"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b/>
                <w:color w:val="274F78"/>
                <w:sz w:val="22"/>
              </w:rPr>
            </w:pPr>
            <w:r>
              <w:rPr>
                <w:b/>
                <w:color w:val="274F78"/>
                <w:sz w:val="22"/>
              </w:rPr>
              <w:t>89</w:t>
            </w:r>
          </w:p>
        </w:tc>
        <w:tc>
          <w:tcPr>
            <w:tcW w:w="9725" w:type="dxa"/>
            <w:tcBorders/>
            <w:vAlign w:val="center"/>
          </w:tcPr>
          <w:p>
            <w:pPr>
              <w:pStyle w:val="TableContents"/>
              <w:bidi w:val="0"/>
              <w:spacing w:before="0" w:after="283"/>
              <w:jc w:val="both"/>
              <w:rPr>
                <w:color w:val="58595B"/>
                <w:sz w:val="22"/>
              </w:rPr>
            </w:pPr>
            <w:r>
              <w:rPr>
                <w:color w:val="58595B"/>
                <w:sz w:val="22"/>
              </w:rPr>
              <w:t xml:space="preserve">Available Information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5778" w:type="dxa"/>
        <w:jc w:val="left"/>
        <w:tblInd w:w="0" w:type="dxa"/>
        <w:tblLayout w:type="fixed"/>
        <w:tblCellMar>
          <w:top w:w="0" w:type="dxa"/>
          <w:left w:w="0" w:type="dxa"/>
          <w:bottom w:w="0" w:type="dxa"/>
          <w:right w:w="0" w:type="dxa"/>
        </w:tblCellMar>
      </w:tblPr>
      <w:tblGrid>
        <w:gridCol w:w="68"/>
        <w:gridCol w:w="1025"/>
        <w:gridCol w:w="4685"/>
      </w:tblGrid>
      <w:tr>
        <w:trPr/>
        <w:tc>
          <w:tcPr>
            <w:tcW w:w="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color w:val="274F78"/>
              </w:rPr>
            </w:pPr>
            <w:r>
              <w:rPr>
                <w:b/>
                <w:color w:val="274F78"/>
              </w:rPr>
              <w:t>Annex A</w:t>
            </w:r>
            <w:r>
              <w:rPr>
                <w:color w:val="274F78"/>
              </w:rPr>
              <w:t>:</w:t>
            </w:r>
          </w:p>
        </w:tc>
        <w:tc>
          <w:tcPr>
            <w:tcW w:w="4685" w:type="dxa"/>
            <w:tcBorders/>
            <w:vAlign w:val="center"/>
          </w:tcPr>
          <w:p>
            <w:pPr>
              <w:pStyle w:val="TableContents"/>
              <w:bidi w:val="0"/>
              <w:spacing w:before="0" w:after="283"/>
              <w:jc w:val="both"/>
              <w:rPr>
                <w:color w:val="58595B"/>
              </w:rPr>
            </w:pPr>
            <w:r>
              <w:rPr>
                <w:color w:val="58595B"/>
              </w:rPr>
              <w:t>Amended and Restated Articles of Incorporation</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4158" w:type="dxa"/>
        <w:jc w:val="left"/>
        <w:tblInd w:w="0" w:type="dxa"/>
        <w:tblLayout w:type="fixed"/>
        <w:tblCellMar>
          <w:top w:w="0" w:type="dxa"/>
          <w:left w:w="0" w:type="dxa"/>
          <w:bottom w:w="0" w:type="dxa"/>
          <w:right w:w="0" w:type="dxa"/>
        </w:tblCellMar>
      </w:tblPr>
      <w:tblGrid>
        <w:gridCol w:w="68"/>
        <w:gridCol w:w="1010"/>
        <w:gridCol w:w="3080"/>
      </w:tblGrid>
      <w:tr>
        <w:trPr/>
        <w:tc>
          <w:tcPr>
            <w:tcW w:w="6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color w:val="274F78"/>
              </w:rPr>
            </w:pPr>
            <w:r>
              <w:rPr>
                <w:b/>
                <w:color w:val="274F78"/>
              </w:rPr>
              <w:t>Annex B</w:t>
            </w:r>
            <w:r>
              <w:rPr>
                <w:color w:val="274F78"/>
              </w:rPr>
              <w:t>:</w:t>
            </w:r>
          </w:p>
        </w:tc>
        <w:tc>
          <w:tcPr>
            <w:tcW w:w="3080" w:type="dxa"/>
            <w:tcBorders/>
            <w:vAlign w:val="center"/>
          </w:tcPr>
          <w:p>
            <w:pPr>
              <w:pStyle w:val="TableContents"/>
              <w:bidi w:val="0"/>
              <w:spacing w:before="0" w:after="283"/>
              <w:jc w:val="both"/>
              <w:rPr>
                <w:color w:val="58595B"/>
              </w:rPr>
            </w:pPr>
            <w:r>
              <w:rPr>
                <w:color w:val="58595B"/>
              </w:rPr>
              <w:t>Amended and Restated Bylaws</w:t>
            </w:r>
          </w:p>
        </w:tc>
      </w:tr>
    </w:tbl>
    <w:p>
      <w:pPr>
        <w:pStyle w:val="TextBody"/>
        <w:bidi w:val="0"/>
        <w:spacing w:before="0" w:after="0"/>
        <w:ind w:left="723" w:right="0" w:hanging="0"/>
        <w:jc w:val="left"/>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3" w:right="0" w:hanging="0"/>
        <w:jc w:val="left"/>
        <w:rPr>
          <w:caps w:val="false"/>
          <w:smallCaps w:val="false"/>
          <w:color w:val="333333"/>
        </w:rPr>
      </w:pPr>
      <w:r>
        <w:rPr>
          <w:caps w:val="false"/>
          <w:smallCaps w:val="false"/>
          <w:color w:val="333333"/>
        </w:rPr>
        <w:t> </w:t>
      </w:r>
    </w:p>
    <w:p>
      <w:pPr>
        <w:pStyle w:val="TextBody"/>
        <w:bidi w:val="0"/>
        <w:spacing w:before="0" w:after="0"/>
        <w:ind w:left="1440" w:right="1080" w:hanging="0"/>
        <w:jc w:val="left"/>
        <w:rPr>
          <w:rFonts w:ascii="Arial;Helvetica;Sans-Serif" w:hAnsi="Arial;Helvetica;Sans-Serif"/>
          <w:b/>
          <w:i w:val="false"/>
          <w:caps w:val="false"/>
          <w:smallCaps w:val="false"/>
          <w:color w:val="274F78"/>
          <w:sz w:val="40"/>
        </w:rPr>
      </w:pPr>
      <w:r>
        <w:rPr>
          <w:rFonts w:ascii="Arial;Helvetica;Sans-Serif" w:hAnsi="Arial;Helvetica;Sans-Serif"/>
          <w:b/>
          <w:i w:val="false"/>
          <w:caps w:val="false"/>
          <w:smallCaps w:val="false"/>
          <w:color w:val="274F78"/>
          <w:sz w:val="40"/>
        </w:rPr>
        <w:t>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color w:val="58595B"/>
          <w:sz w:val="22"/>
        </w:rPr>
        <w:t xml:space="preserve">The proxy is solicited by the board of directors, or the </w:t>
      </w:r>
      <w:r>
        <w:rPr>
          <w:rFonts w:ascii="Arial;Helvetica;Sans-Serif" w:hAnsi="Arial;Helvetica;Sans-Serif"/>
          <w:b w:val="false"/>
          <w:i/>
          <w:caps w:val="false"/>
          <w:smallCaps w:val="false"/>
          <w:color w:val="58595B"/>
          <w:sz w:val="22"/>
        </w:rPr>
        <w:t>board</w:t>
      </w:r>
      <w:r>
        <w:rPr>
          <w:rFonts w:ascii="Arial;Helvetica;Sans-Serif" w:hAnsi="Arial;Helvetica;Sans-Serif"/>
          <w:b w:val="false"/>
          <w:i w:val="false"/>
          <w:caps w:val="false"/>
          <w:smallCaps w:val="false"/>
          <w:color w:val="58595B"/>
          <w:sz w:val="22"/>
        </w:rPr>
        <w:t xml:space="preserve">, of Fidelity National Financial, Inc., or </w:t>
      </w:r>
      <w:r>
        <w:rPr>
          <w:rFonts w:ascii="Arial;Helvetica;Sans-Serif" w:hAnsi="Arial;Helvetica;Sans-Serif"/>
          <w:b w:val="false"/>
          <w:i/>
          <w:caps w:val="false"/>
          <w:smallCaps w:val="false"/>
          <w:color w:val="58595B"/>
          <w:sz w:val="22"/>
        </w:rPr>
        <w:t>FNF</w:t>
      </w:r>
      <w:r>
        <w:rPr>
          <w:rFonts w:ascii="Arial;Helvetica;Sans-Serif" w:hAnsi="Arial;Helvetica;Sans-Serif"/>
          <w:b w:val="false"/>
          <w:i w:val="false"/>
          <w:caps w:val="false"/>
          <w:smallCaps w:val="false"/>
          <w:color w:val="58595B"/>
          <w:sz w:val="22"/>
        </w:rPr>
        <w:t xml:space="preserve"> or the </w:t>
      </w:r>
      <w:r>
        <w:rPr>
          <w:rFonts w:ascii="Arial;Helvetica;Sans-Serif" w:hAnsi="Arial;Helvetica;Sans-Serif"/>
          <w:b w:val="false"/>
          <w:i/>
          <w:caps w:val="false"/>
          <w:smallCaps w:val="false"/>
          <w:color w:val="58595B"/>
          <w:sz w:val="22"/>
        </w:rPr>
        <w:t>Company</w:t>
      </w:r>
      <w:r>
        <w:rPr>
          <w:rFonts w:ascii="Arial;Helvetica;Sans-Serif" w:hAnsi="Arial;Helvetica;Sans-Serif"/>
          <w:b w:val="false"/>
          <w:i w:val="false"/>
          <w:caps w:val="false"/>
          <w:smallCaps w:val="false"/>
          <w:color w:val="58595B"/>
          <w:sz w:val="22"/>
        </w:rPr>
        <w:t>, for use at the Annual Meeting of Shareholders to be held on June 10, 2026 at 10:00 a.m., Eastern Time, or at any postponement or adjournment thereof, for the purposes set forth herein and in the accompanying Notice of Annual Meeting of Shareholders. The annual meeting will be held virtually at</w:t>
      </w:r>
      <w:r>
        <w:rPr>
          <w:rFonts w:ascii="Arial;Helvetica;Sans-Serif" w:hAnsi="Arial;Helvetica;Sans-Serif"/>
          <w:b w:val="false"/>
          <w:i w:val="false"/>
          <w:caps w:val="false"/>
          <w:smallCaps w:val="false"/>
          <w:sz w:val="22"/>
        </w:rPr>
        <w:t xml:space="preserve"> </w:t>
      </w:r>
      <w:r>
        <w:rPr>
          <w:rFonts w:ascii="Arial;Helvetica;Sans-Serif" w:hAnsi="Arial;Helvetica;Sans-Serif"/>
          <w:b/>
          <w:i w:val="false"/>
          <w:caps w:val="false"/>
          <w:smallCaps w:val="false"/>
          <w:color w:val="1E5E9E"/>
          <w:sz w:val="22"/>
        </w:rPr>
        <w:t>www.virtualshareholdermeeting.com/FNF2026</w:t>
      </w:r>
      <w:r>
        <w:rPr>
          <w:rFonts w:ascii="Arial;Helvetica;Sans-Serif" w:hAnsi="Arial;Helvetica;Sans-Serif"/>
          <w:b w:val="false"/>
          <w:i w:val="false"/>
          <w:caps w:val="false"/>
          <w:smallCaps w:val="false"/>
          <w:color w:val="333333"/>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It is anticipated that such proxy, together with this proxy statement, will first be mailed on or about April 29, 2026 to all shareholders entitled to vote at the meeting.</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Company’s principal executive offices are located at 601 Riverside Avenue, Jacksonville, Florida 32204, and its telephone number at that address is (904) 854-8100.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79B"/>
          <w:sz w:val="28"/>
        </w:rPr>
      </w:pPr>
      <w:r>
        <w:rPr>
          <w:rFonts w:ascii="Arial;Helvetica;Sans-Serif" w:hAnsi="Arial;Helvetica;Sans-Serif"/>
          <w:b/>
          <w:i w:val="false"/>
          <w:caps w:val="false"/>
          <w:smallCaps w:val="false"/>
          <w:color w:val="5E779B"/>
          <w:sz w:val="28"/>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This proxy statement includes forward-looking statements. These statements are not historical facts, but instead represent only our beliefs regarding future events, many of which, by their nature, are inherently uncertain and outside of our control. Forward-looking statements include statements about our business and future performance, as well as ESG targets, goals, and commitments outlined in this proxy statement or elsewhere. These statements can be identified by words such as "anticipates," "intends," "plans," "seeks," "believes," "estimates," "expects" and similar references to future periods, or by the inclusion of forecasts or projections. 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 For a discussion of some of the risks and important factors that could affect our future results and financial condition, see "Risk Factors"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274F78"/>
          <w:sz w:val="40"/>
        </w:rPr>
      </w:pPr>
      <w:r>
        <w:rPr>
          <w:rFonts w:ascii="Arial;Helvetica;Sans-Serif" w:hAnsi="Arial;Helvetica;Sans-Serif"/>
          <w:b/>
          <w:i w:val="false"/>
          <w:caps w:val="false"/>
          <w:smallCaps w:val="false"/>
          <w:color w:val="274F78"/>
          <w:sz w:val="40"/>
        </w:rPr>
        <w:t>GENERAL INFORMATION ABOUT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are a leading provider of (i) title insurance, escrow and other title-related services, including trust activities, trustee sales guarantees, recordings and reconveyances and home warranty products, (ii) technology and transaction services to the real estate and mortgage industries and (iii) annuity and life insurance products. FNF is one of the nation’s largest title insurance companies operating through its title insurance underwriters - Fidelity National Title Insurance Company, Chicago Title Insurance Company, Commonwealth Land Title Insurance Company, Alamo Title Insurance and National Title Insurance of New York Inc. - which collectively issue more title insurance policies than any other title company in the United States. Through our subsidiary ServiceLink Holdings, LLC, we provide mortgage transaction services including title-related services and facilitation of production and management of mortgage loans. We are also a leading provider of insurance solutions serving retail annuity and life customers and institutional clients through our majority-owned subsidiary, F&amp;G Annuities &amp; Life, Inc. (</w:t>
      </w:r>
      <w:r>
        <w:rPr>
          <w:rFonts w:ascii="Arial;Helvetica;Sans-Serif" w:hAnsi="Arial;Helvetica;Sans-Serif"/>
          <w:b w:val="false"/>
          <w:i/>
          <w:caps w:val="false"/>
          <w:smallCaps w:val="false"/>
          <w:color w:val="58595B"/>
          <w:sz w:val="22"/>
        </w:rPr>
        <w:t>F&amp;G</w:t>
      </w:r>
      <w:r>
        <w:rPr>
          <w:rFonts w:ascii="Arial;Helvetica;Sans-Serif" w:hAnsi="Arial;Helvetica;Sans-Serif"/>
          <w:b w:val="false"/>
          <w:i w:val="false"/>
          <w:caps w:val="false"/>
          <w:smallCaps w:val="false"/>
          <w:color w:val="58595B"/>
          <w:sz w:val="22"/>
        </w:rPr>
        <w:t>).</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 xml:space="preserve">On December 1, 2022, we completed the separation and distribution to our shareholders, on a pro rata basis, of approximately 15% of the common stock of F&amp;G (the First </w:t>
      </w:r>
      <w:r>
        <w:rPr>
          <w:rFonts w:ascii="Arial;Helvetica;Sans-Serif" w:hAnsi="Arial;Helvetica;Sans-Serif"/>
          <w:b w:val="false"/>
          <w:i/>
          <w:caps w:val="false"/>
          <w:smallCaps w:val="false"/>
          <w:color w:val="58595B"/>
          <w:sz w:val="22"/>
        </w:rPr>
        <w:t>F&amp;G Distribution</w:t>
      </w:r>
      <w:r>
        <w:rPr>
          <w:rFonts w:ascii="Arial;Helvetica;Sans-Serif" w:hAnsi="Arial;Helvetica;Sans-Serif"/>
          <w:b w:val="false"/>
          <w:i w:val="false"/>
          <w:caps w:val="false"/>
          <w:smallCaps w:val="false"/>
          <w:color w:val="58595B"/>
          <w:sz w:val="22"/>
        </w:rPr>
        <w:t>).</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185"/>
        <w:gridCol w:w="3005"/>
        <w:gridCol w:w="135"/>
      </w:tblGrid>
      <w:tr>
        <w:trPr/>
        <w:tc>
          <w:tcPr>
            <w:tcW w:w="18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1</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 xml:space="preserve">The First F&amp;G Distribution was accomplished by the distribution of 68 shares of common stock, par value $0.001 per share, of F&amp;G for every 1,000 shares of our common stock, par value $0.0001 per share, as a dividend to each holder of shares of our common stock as of the close of business on November 22, 2022, the record date for the First F&amp;G Distribution. Subsequently, on December 31, 2025, we distributed an additional 16,280,204 shares of F&amp;G common stock, representing approximately 12% of the outstanding shares of F&amp;G, to our shareholders of record on December 17, 2025 (the </w:t>
      </w:r>
      <w:r>
        <w:rPr>
          <w:rFonts w:ascii="Arial;Helvetica;Sans-Serif" w:hAnsi="Arial;Helvetica;Sans-Serif"/>
          <w:b w:val="false"/>
          <w:i/>
          <w:caps w:val="false"/>
          <w:smallCaps w:val="false"/>
          <w:color w:val="58595B"/>
          <w:sz w:val="22"/>
        </w:rPr>
        <w:t>Second F&amp;G Distribution</w:t>
      </w:r>
      <w:r>
        <w:rPr>
          <w:rFonts w:ascii="Arial;Helvetica;Sans-Serif" w:hAnsi="Arial;Helvetica;Sans-Serif"/>
          <w:b w:val="false"/>
          <w:i w:val="false"/>
          <w:caps w:val="false"/>
          <w:smallCaps w:val="false"/>
          <w:color w:val="58595B"/>
          <w:sz w:val="22"/>
        </w:rPr>
        <w:t>). We continue to control F&amp;G through our 70% ownership interest.</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Since the First F&amp;G Distribution, F&amp;G is a separate, publicly traded company and its businesses, assets and liabilities consist of those related to F&amp;G’s business as a provider of insurance solutions serving retail annuity and life customers and institutional clients. Through F&amp;G's insurance subsidiaries, including Fidelity &amp; Guaranty Life Insurance Company and Fidelity &amp; Guaranty Life Insurance Company of New York, F&amp;G intends to continue to market a broad portfolio of deferred annuities (including fixed indexed annuities and multi-year guarantee annuities or other fixed rate annuities), immediate annuities, indexed universal life insurance, funding agreements (through funding agreement-backed notes issuances and the Federal Home Loan Bank of Atlanta) and pension risk transfer solutions. All of FNF’s core title insurance, real estate, technology and mortgage related businesses, assets and liabilities that are not held by F&amp;G remain with FNF.</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FNF has a long history of delivering consistent, industry-leading results, driven by a steadfast focus on our customers and shareholders, a culture of employee excellence, and an ability to deliver outstanding performance even in a challenging market environment. FNF generated $14.3 billion of total revenue (excluding $160 million of noncash, valuation gains on investment securities) and $679 million of net earnings in 2025. Our strong performance despite one of the most challenging mortgage markets in more than three decades is a testament to our experienced leadership team, strong balance sheet, and diversified business model.</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consistent operating results have translated to strong returns for our shareholders. We also remain focused on deploying capital to best maximize shareholder value through investments in our business and returning capital to our shareholders. During the five-year period from January 1, 2021 through December 31, 2025, we returned approximately $2.5 billion to our shareholders in the form of cash dividends and approximately $1.3 billion through share repurchases.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274F78"/>
          <w:sz w:val="40"/>
        </w:rPr>
      </w:pPr>
      <w:r>
        <w:rPr>
          <w:rFonts w:ascii="Arial;Helvetica;Sans-Serif" w:hAnsi="Arial;Helvetica;Sans-Serif"/>
          <w:b/>
          <w:i w:val="false"/>
          <w:caps w:val="false"/>
          <w:smallCaps w:val="false"/>
          <w:color w:val="274F78"/>
          <w:sz w:val="40"/>
        </w:rPr>
        <w:t>GENERAL INFORMATION ABOUT THE VIRTUAL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Your shares can be voted at the virtual annual meeting only if you vote by proxy or if you are present and vote at the meeting. Even if you expect to attend the virtual annual meeting, please vote by proxy to assure that your shares will be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5779A"/>
          <w:sz w:val="28"/>
        </w:rPr>
      </w:pPr>
      <w:r>
        <w:rPr>
          <w:rFonts w:ascii="Arial;Helvetica;Sans-Serif" w:hAnsi="Arial;Helvetica;Sans-Serif"/>
          <w:b/>
          <w:i w:val="false"/>
          <w:caps w:val="false"/>
          <w:smallCaps w:val="false"/>
          <w:color w:val="55779A"/>
          <w:sz w:val="28"/>
        </w:rPr>
        <w:t>WHY DID I RECEIVE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 xml:space="preserve">The board is soliciting your proxy to vote at the virtual annual meeting because you were a holder of our common stock at the close of business on April 13, 2026, which we refer to as the </w:t>
      </w:r>
      <w:r>
        <w:rPr>
          <w:rFonts w:ascii="Arial;Helvetica;Sans-Serif" w:hAnsi="Arial;Helvetica;Sans-Serif"/>
          <w:b w:val="false"/>
          <w:i/>
          <w:caps w:val="false"/>
          <w:smallCaps w:val="false"/>
          <w:color w:val="58595B"/>
          <w:sz w:val="22"/>
        </w:rPr>
        <w:t>record date</w:t>
      </w:r>
      <w:r>
        <w:rPr>
          <w:rFonts w:ascii="Arial;Helvetica;Sans-Serif" w:hAnsi="Arial;Helvetica;Sans-Serif"/>
          <w:b w:val="false"/>
          <w:i w:val="false"/>
          <w:caps w:val="false"/>
          <w:smallCaps w:val="false"/>
          <w:color w:val="58595B"/>
          <w:sz w:val="22"/>
        </w:rPr>
        <w:t>, and therefore you are entitled to vote at the annual meeting. This proxy statement contains contains information about the matters to be voted on at the annual meeting, and the voting process, as well as information about the Company’s directors and executive officers.</w:t>
      </w:r>
    </w:p>
    <w:p>
      <w:pPr>
        <w:pStyle w:val="TextBody"/>
        <w:bidi w:val="0"/>
        <w:spacing w:before="0" w:after="0"/>
        <w:ind w:left="144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105"/>
        <w:gridCol w:w="3005"/>
        <w:gridCol w:w="21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21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2</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21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79B"/>
          <w:sz w:val="28"/>
        </w:rPr>
      </w:pPr>
      <w:r>
        <w:rPr>
          <w:rFonts w:ascii="Arial;Helvetica;Sans-Serif" w:hAnsi="Arial;Helvetica;Sans-Serif"/>
          <w:b/>
          <w:i w:val="false"/>
          <w:caps w:val="false"/>
          <w:smallCaps w:val="false"/>
          <w:color w:val="5E779B"/>
          <w:sz w:val="28"/>
        </w:rPr>
        <w:t>WHO IS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All record holders of our common stock as of the close of business on April 13, 2026 are entitled to vote. As of the close of business on that day, 269,157,540 shares of our common stock were issued and outstanding and eligible to vote. Each share is entitled to one vote on each matter presented at the virtual annual meeting.</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If you hold your shares of FNF common stock through a broker, bank or other holder of record, you are considered a "beneficial owner" of shares held in street name. As the beneficial owner, you have the right to direct your broker, bank or other holder of record on how to vote your shares by using the voting instruction form included in the mailing or by following their instructions for voting via the Internet or by telephone.</w:t>
      </w:r>
    </w:p>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WHAT SHARES ARE COVERED BY THE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proxy card covers all shares of FNF common stock held by you of record (i.e., shares registered in your name) and any shares of FNF common stock held for your benefit in our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HOW DO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You may vote using any of the following methods:</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274F78"/>
          <w:sz w:val="22"/>
        </w:rPr>
        <w:t>At the virtual annual meeting.</w:t>
      </w:r>
      <w:r>
        <w:rPr>
          <w:rFonts w:ascii="Arial;Helvetica;Sans-Serif" w:hAnsi="Arial;Helvetica;Sans-Serif"/>
          <w:b w:val="false"/>
          <w:i w:val="false"/>
          <w:caps w:val="false"/>
          <w:smallCaps w:val="false"/>
          <w:sz w:val="22"/>
        </w:rPr>
        <w:t xml:space="preserve"> </w:t>
      </w:r>
      <w:r>
        <w:rPr>
          <w:rFonts w:ascii="Arial;Helvetica;Sans-Serif" w:hAnsi="Arial;Helvetica;Sans-Serif"/>
          <w:b w:val="false"/>
          <w:i w:val="false"/>
          <w:caps w:val="false"/>
          <w:smallCaps w:val="false"/>
          <w:color w:val="58595B"/>
          <w:sz w:val="22"/>
        </w:rPr>
        <w:t>All shareholders may vote at the virtual annual meeting. Please see "How do I access the virtual annual meeting? Who may attend?" for additional information on how to vote at the annual meeting.</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274F78"/>
          <w:sz w:val="22"/>
        </w:rPr>
        <w:t>By proxy.</w:t>
      </w:r>
      <w:r>
        <w:rPr>
          <w:rFonts w:ascii="Arial;Helvetica;Sans-Serif" w:hAnsi="Arial;Helvetica;Sans-Serif"/>
          <w:b w:val="false"/>
          <w:i w:val="false"/>
          <w:caps w:val="false"/>
          <w:smallCaps w:val="false"/>
          <w:sz w:val="22"/>
        </w:rPr>
        <w:t xml:space="preserve"> </w:t>
      </w:r>
      <w:r>
        <w:rPr>
          <w:rFonts w:ascii="Arial;Helvetica;Sans-Serif" w:hAnsi="Arial;Helvetica;Sans-Serif"/>
          <w:b w:val="false"/>
          <w:i w:val="false"/>
          <w:caps w:val="false"/>
          <w:smallCaps w:val="false"/>
          <w:color w:val="58595B"/>
          <w:sz w:val="22"/>
        </w:rPr>
        <w:t>There are three ways to vote by proxy:</w:t>
      </w:r>
    </w:p>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5358" w:type="dxa"/>
        <w:jc w:val="left"/>
        <w:tblInd w:w="0" w:type="dxa"/>
        <w:tblLayout w:type="fixed"/>
        <w:tblCellMar>
          <w:top w:w="0" w:type="dxa"/>
          <w:left w:w="0" w:type="dxa"/>
          <w:bottom w:w="0" w:type="dxa"/>
          <w:right w:w="0" w:type="dxa"/>
        </w:tblCellMar>
      </w:tblPr>
      <w:tblGrid>
        <w:gridCol w:w="68"/>
        <w:gridCol w:w="200"/>
        <w:gridCol w:w="50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58595B"/>
              </w:rPr>
            </w:pPr>
            <w:r>
              <w:rPr>
                <w:color w:val="58595B"/>
              </w:rPr>
              <w:t>●</w:t>
            </w:r>
          </w:p>
        </w:tc>
        <w:tc>
          <w:tcPr>
            <w:tcW w:w="5090" w:type="dxa"/>
            <w:tcBorders/>
            <w:vAlign w:val="center"/>
          </w:tcPr>
          <w:p>
            <w:pPr>
              <w:pStyle w:val="TableContents"/>
              <w:bidi w:val="0"/>
              <w:spacing w:before="0" w:after="283"/>
              <w:jc w:val="left"/>
              <w:rPr>
                <w:color w:val="58595B"/>
                <w:sz w:val="22"/>
              </w:rPr>
            </w:pPr>
            <w:r>
              <w:rPr>
                <w:color w:val="58595B"/>
                <w:sz w:val="22"/>
              </w:rPr>
              <w:t xml:space="preserve">By mail, using your proxy card and return envelope;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color w:val="58595B"/>
                <w:sz w:val="22"/>
              </w:rPr>
            </w:pPr>
            <w:r>
              <w:rPr>
                <w:color w:val="58595B"/>
                <w:sz w:val="22"/>
              </w:rPr>
              <w:t xml:space="preserve">By telephone, using the telephone number printed on the proxy card and following the instructions on the proxy card; or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color w:val="58595B"/>
                <w:sz w:val="22"/>
              </w:rPr>
            </w:pPr>
            <w:r>
              <w:rPr>
                <w:color w:val="58595B"/>
                <w:sz w:val="22"/>
              </w:rPr>
              <w:t xml:space="preserve">By the Internet, using a unique password printed on your proxy card and following the instructions on the proxy card.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Even if you expect to attend the annual meeting virtually, please vote by proxy to assure that your shares will be represented.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WHAT DOES IT MEAN TO VOTE BY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It means that you give someone else the right to vote your shares in accordance with your instructions. In this case, we are asking you to give your proxy to our Chief Executive Officer, Corporate Secretary and Assistant Corporate Secretary, who are sometimes referred to as the "proxy holders." By giving your proxy to the proxy holders, you assure that your vote will be counted even if you are unable to attend the annual meeting. If you give your proxy but do not include specific instructions on how to vote on a particular proposal described in this proxy statement, the proxy holders will vote your shares in accordance with the recommendation of the board for such proposal.</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185"/>
        <w:gridCol w:w="3005"/>
        <w:gridCol w:w="135"/>
      </w:tblGrid>
      <w:tr>
        <w:trPr/>
        <w:tc>
          <w:tcPr>
            <w:tcW w:w="18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3</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color w:val="FFFFFF"/>
          <w:sz w:val="21"/>
        </w:rPr>
        <w:t>3</w:t>
      </w:r>
      <w:r>
        <w:rPr>
          <w:rFonts w:ascii="Arial;Helvetica;Sans-Serif" w:hAnsi="Arial;Helvetica;Sans-Serif"/>
          <w:b w:val="false"/>
          <w:i w:val="false"/>
          <w:caps w:val="false"/>
          <w:smallCaps w:val="false"/>
          <w:sz w:val="24"/>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ON WHAT AM I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You will be asked to consider five proposals at the annual meeting.</w:t>
      </w:r>
    </w:p>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64F78"/>
              </w:rPr>
            </w:pPr>
            <w:r>
              <w:rPr>
                <w:color w:val="264F78"/>
              </w:rPr>
              <w:t>●</w:t>
            </w:r>
          </w:p>
        </w:tc>
        <w:tc>
          <w:tcPr>
            <w:tcW w:w="9937" w:type="dxa"/>
            <w:tcBorders/>
            <w:vAlign w:val="center"/>
          </w:tcPr>
          <w:p>
            <w:pPr>
              <w:pStyle w:val="TableContents"/>
              <w:bidi w:val="0"/>
              <w:spacing w:before="0" w:after="283"/>
              <w:jc w:val="left"/>
              <w:rPr/>
            </w:pPr>
            <w:r>
              <w:rPr>
                <w:b/>
                <w:color w:val="264F78"/>
                <w:sz w:val="22"/>
              </w:rPr>
              <w:t xml:space="preserve">Proposal No. 1 </w:t>
            </w:r>
            <w:r>
              <w:rPr>
                <w:color w:val="58595B"/>
                <w:sz w:val="22"/>
              </w:rPr>
              <w:t xml:space="preserve">asks you to </w:t>
            </w:r>
            <w:r>
              <w:rPr>
                <w:b/>
                <w:color w:val="58595B"/>
                <w:sz w:val="22"/>
              </w:rPr>
              <w:t>elect four Class III directors to serve until the 2029 Annual</w:t>
            </w:r>
            <w:r>
              <w:rPr/>
              <w:t xml:space="preserve"> </w:t>
            </w:r>
            <w:r>
              <w:rPr>
                <w:b/>
                <w:color w:val="58595B"/>
              </w:rPr>
              <w:t xml:space="preserve">Meeting of Shareholders.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64F78"/>
              </w:rPr>
            </w:pPr>
            <w:r>
              <w:rPr>
                <w:color w:val="264F78"/>
              </w:rPr>
              <w:t>●</w:t>
            </w:r>
          </w:p>
        </w:tc>
        <w:tc>
          <w:tcPr>
            <w:tcW w:w="9937" w:type="dxa"/>
            <w:tcBorders/>
            <w:vAlign w:val="center"/>
          </w:tcPr>
          <w:p>
            <w:pPr>
              <w:pStyle w:val="TableContents"/>
              <w:bidi w:val="0"/>
              <w:spacing w:before="0" w:after="283"/>
              <w:jc w:val="left"/>
              <w:rPr/>
            </w:pPr>
            <w:r>
              <w:rPr>
                <w:b/>
                <w:color w:val="264F78"/>
                <w:sz w:val="22"/>
              </w:rPr>
              <w:t xml:space="preserve">Proposal No. 2 </w:t>
            </w:r>
            <w:r>
              <w:rPr>
                <w:color w:val="58595B"/>
                <w:sz w:val="22"/>
              </w:rPr>
              <w:t xml:space="preserve">asks you to </w:t>
            </w:r>
            <w:r>
              <w:rPr>
                <w:b/>
                <w:color w:val="58595B"/>
                <w:sz w:val="22"/>
              </w:rPr>
              <w:t>approve the Amended and Restated Articles of Incorporation to implement annual elections of directors.</w:t>
            </w:r>
            <w:r>
              <w:rPr/>
              <w:t xml:space="preserv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64F78"/>
              </w:rPr>
            </w:pPr>
            <w:r>
              <w:rPr>
                <w:color w:val="264F78"/>
              </w:rPr>
              <w:t>●</w:t>
            </w:r>
          </w:p>
        </w:tc>
        <w:tc>
          <w:tcPr>
            <w:tcW w:w="9937" w:type="dxa"/>
            <w:tcBorders/>
            <w:vAlign w:val="center"/>
          </w:tcPr>
          <w:p>
            <w:pPr>
              <w:pStyle w:val="TableContents"/>
              <w:bidi w:val="0"/>
              <w:spacing w:before="0" w:after="283"/>
              <w:jc w:val="left"/>
              <w:rPr/>
            </w:pPr>
            <w:r>
              <w:rPr>
                <w:b/>
                <w:color w:val="264F78"/>
                <w:sz w:val="21"/>
              </w:rPr>
              <w:t>Proposal No. 3</w:t>
            </w:r>
            <w:r>
              <w:rPr/>
              <w:t xml:space="preserve"> </w:t>
            </w:r>
            <w:r>
              <w:rPr>
                <w:color w:val="58595B"/>
                <w:sz w:val="21"/>
              </w:rPr>
              <w:t xml:space="preserve">asks you to </w:t>
            </w:r>
            <w:r>
              <w:rPr>
                <w:b/>
                <w:color w:val="58595B"/>
                <w:sz w:val="21"/>
              </w:rPr>
              <w:t xml:space="preserve">approve, on a non-binding advisory basis, the compensation paid to our named executive officers in 2025 (the </w:t>
            </w:r>
            <w:r>
              <w:rPr>
                <w:b/>
                <w:i/>
                <w:color w:val="58595B"/>
                <w:sz w:val="21"/>
              </w:rPr>
              <w:t>Say-on-Pay Proposal</w:t>
            </w:r>
            <w:r>
              <w:rPr>
                <w:b/>
                <w:color w:val="58595B"/>
                <w:sz w:val="21"/>
              </w:rPr>
              <w:t xml:space="preserv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64F78"/>
              </w:rPr>
            </w:pPr>
            <w:r>
              <w:rPr>
                <w:color w:val="264F78"/>
              </w:rPr>
              <w:t>●</w:t>
            </w:r>
          </w:p>
        </w:tc>
        <w:tc>
          <w:tcPr>
            <w:tcW w:w="9937" w:type="dxa"/>
            <w:tcBorders/>
            <w:vAlign w:val="center"/>
          </w:tcPr>
          <w:p>
            <w:pPr>
              <w:pStyle w:val="TableContents"/>
              <w:bidi w:val="0"/>
              <w:spacing w:before="0" w:after="283"/>
              <w:jc w:val="left"/>
              <w:rPr/>
            </w:pPr>
            <w:r>
              <w:rPr>
                <w:b/>
                <w:color w:val="58595B"/>
                <w:sz w:val="22"/>
              </w:rPr>
              <w:t xml:space="preserve">Proposal No. 4 </w:t>
            </w:r>
            <w:r>
              <w:rPr>
                <w:color w:val="58595B"/>
                <w:sz w:val="22"/>
              </w:rPr>
              <w:t xml:space="preserve">asks you to </w:t>
            </w:r>
            <w:r>
              <w:rPr>
                <w:b/>
                <w:color w:val="58595B"/>
                <w:sz w:val="22"/>
              </w:rPr>
              <w:t>ratify the appointment of Ernst &amp; Young LLP as our independent registered public accounting firm for the 2026 fiscal year.</w:t>
            </w:r>
            <w:r>
              <w:rPr/>
              <w:t xml:space="preserv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HOW DOES THE BOARD RECOMMEND THAT I VOTE ON THESE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board recommends that you vote "FOR ALL" director nominees in Proposal 1, and "FOR" Proposals 2, 3 and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WHAT HAPPENS IF OTHER MATTERS ARE RAISED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Although we are not aware of any matters to be presented at the virtual annual meeting other than those contained in the Notice of Annual Meeting, if other matters are properly raised at the virtual annual meeting in accordance with the procedures specified in our articles of incorporation and bylaws, or applicable law, all proxies given to the proxy holders will be voted in accordance with their best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WHAT IF I SUBMIT A PROXY AND LATER CHANGE MY MIND?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If you have submitted your proxy and later wish to revoke it, you may do so by doing one of the following: giving written notice to the Corporate Secretary prior to the virtual annual meeting; submitting another proxy bearing a later date (in any of the permitted forms) prior to the virtual annual meeting; or casting a ballot at the virtual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WHO WILL COUNT THE VOTES?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Broadridge Investor Communications Services will serve as proxy tabulator and count the votes, and the results will be certified by the inspector of election.</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105"/>
        <w:gridCol w:w="3005"/>
        <w:gridCol w:w="21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21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4</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21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440" w:right="74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HOW MANY VOTES MUST EACH PROPOSAL RECEIVE TO BE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74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following votes must be received:</w:t>
      </w:r>
    </w:p>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64F78"/>
              </w:rPr>
            </w:pPr>
            <w:r>
              <w:rPr>
                <w:color w:val="264F78"/>
              </w:rPr>
              <w:t>●</w:t>
            </w:r>
          </w:p>
        </w:tc>
        <w:tc>
          <w:tcPr>
            <w:tcW w:w="9937" w:type="dxa"/>
            <w:tcBorders/>
            <w:vAlign w:val="center"/>
          </w:tcPr>
          <w:p>
            <w:pPr>
              <w:pStyle w:val="TableContents"/>
              <w:bidi w:val="0"/>
              <w:spacing w:before="0" w:after="283"/>
              <w:jc w:val="left"/>
              <w:rPr/>
            </w:pPr>
            <w:r>
              <w:rPr>
                <w:b/>
                <w:color w:val="264F78"/>
                <w:sz w:val="22"/>
              </w:rPr>
              <w:t xml:space="preserve">For Proposal No. 1 </w:t>
            </w:r>
            <w:r>
              <w:rPr>
                <w:b/>
                <w:color w:val="58595B"/>
                <w:sz w:val="22"/>
              </w:rPr>
              <w:t>regarding the election of directors</w:t>
            </w:r>
            <w:r>
              <w:rPr>
                <w:color w:val="58595B"/>
                <w:sz w:val="22"/>
              </w:rPr>
              <w:t>, a majority of votes of our common stock cast is required to elect a director, meaning that the votes cast for a director nominee must exceed the number of votes cast against that director nominee. Abstentions and broker non-votes are not counted as votes cast and will therefore have no effect on the outcome of the election.</w:t>
            </w:r>
            <w:r>
              <w:rPr/>
              <w:t xml:space="preserv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64F78"/>
              </w:rPr>
            </w:pPr>
            <w:r>
              <w:rPr>
                <w:color w:val="264F78"/>
              </w:rPr>
              <w:t>●</w:t>
            </w:r>
          </w:p>
        </w:tc>
        <w:tc>
          <w:tcPr>
            <w:tcW w:w="9937" w:type="dxa"/>
            <w:tcBorders/>
            <w:vAlign w:val="center"/>
          </w:tcPr>
          <w:p>
            <w:pPr>
              <w:pStyle w:val="TableContents"/>
              <w:bidi w:val="0"/>
              <w:spacing w:before="0" w:after="283"/>
              <w:jc w:val="left"/>
              <w:rPr/>
            </w:pPr>
            <w:r>
              <w:rPr>
                <w:b/>
                <w:color w:val="264F78"/>
                <w:sz w:val="22"/>
              </w:rPr>
              <w:t xml:space="preserve">For Proposal No. 2 </w:t>
            </w:r>
            <w:r>
              <w:rPr>
                <w:b/>
                <w:color w:val="58595B"/>
                <w:sz w:val="22"/>
              </w:rPr>
              <w:t>regarding the approval of the Amended and Restated Articles of Incorporation to implement annual elections of directors</w:t>
            </w:r>
            <w:r>
              <w:rPr>
                <w:color w:val="58595B"/>
                <w:sz w:val="22"/>
              </w:rPr>
              <w:t>, the affirmative vote of the holders of a majority of the voting power of our outstanding common stock entitled to vote thereon is required for approval. Abstentions and broker non-votes will have the effect of a vote against Proposal No. 2.</w:t>
            </w:r>
            <w:r>
              <w:rPr/>
              <w:t xml:space="preserv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64F78"/>
              </w:rPr>
            </w:pPr>
            <w:r>
              <w:rPr>
                <w:color w:val="264F78"/>
              </w:rPr>
              <w:t>●</w:t>
            </w:r>
          </w:p>
        </w:tc>
        <w:tc>
          <w:tcPr>
            <w:tcW w:w="9937" w:type="dxa"/>
            <w:tcBorders/>
            <w:vAlign w:val="center"/>
          </w:tcPr>
          <w:p>
            <w:pPr>
              <w:pStyle w:val="TableContents"/>
              <w:bidi w:val="0"/>
              <w:spacing w:before="0" w:after="283"/>
              <w:jc w:val="left"/>
              <w:rPr/>
            </w:pPr>
            <w:r>
              <w:rPr>
                <w:b/>
                <w:color w:val="264F78"/>
                <w:sz w:val="22"/>
              </w:rPr>
              <w:t xml:space="preserve">For Proposal No. 3 </w:t>
            </w:r>
            <w:r>
              <w:rPr>
                <w:b/>
                <w:color w:val="58595B"/>
                <w:sz w:val="22"/>
              </w:rPr>
              <w:t>regarding a non-binding advisory vote on the compensation paid to our named executive officers</w:t>
            </w:r>
            <w:r>
              <w:rPr>
                <w:color w:val="58595B"/>
                <w:sz w:val="22"/>
              </w:rPr>
              <w:t xml:space="preserve">, this vote is advisory in nature. Our bylaws require that proposals relating to matters other than the election of directors be approved by the affirmative vote of a majority of the shares of our common stock represented and entitled </w:t>
            </w:r>
            <w:r>
              <w:rPr>
                <w:color w:val="58595B"/>
              </w:rPr>
              <w:t>to vote at the meeting, in which case abstentions and broker non-votes will have the effect of a vote against Proposal No. 3. Because the vote on Proposal No. 3 is advisory and therefore will not be binding on the Company, the board will review the voting result and take it into consideration when making future decisions regarding the compensation paid to our named executive officers.</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olor w:val="264F78"/>
              </w:rPr>
            </w:pPr>
            <w:r>
              <w:rPr>
                <w:color w:val="264F78"/>
              </w:rPr>
              <w:t>●</w:t>
            </w:r>
          </w:p>
        </w:tc>
        <w:tc>
          <w:tcPr>
            <w:tcW w:w="9937" w:type="dxa"/>
            <w:tcBorders/>
            <w:vAlign w:val="center"/>
          </w:tcPr>
          <w:p>
            <w:pPr>
              <w:pStyle w:val="TableContents"/>
              <w:bidi w:val="0"/>
              <w:spacing w:before="0" w:after="283"/>
              <w:jc w:val="left"/>
              <w:rPr/>
            </w:pPr>
            <w:r>
              <w:rPr>
                <w:b/>
                <w:color w:val="264F78"/>
                <w:sz w:val="22"/>
              </w:rPr>
              <w:t xml:space="preserve">For Proposal No. 4 </w:t>
            </w:r>
            <w:r>
              <w:rPr>
                <w:b/>
                <w:color w:val="58595B"/>
                <w:sz w:val="22"/>
              </w:rPr>
              <w:t>regarding the ratification of the appointment of Ernst &amp; Young LLP</w:t>
            </w:r>
            <w:r>
              <w:rPr>
                <w:color w:val="58595B"/>
                <w:sz w:val="22"/>
              </w:rPr>
              <w:t>, the affirmative vote of a majority of the shares of our common stock represented and entitled to vote at the meeting is required for approval. Abstentions and broker non-votes, if any, will have the effect of a vote against this proposal. Because this proposal is considered a "routine" matter under the rules of the New York Stock Exchange, nominees may vote in their discretion on this proposal on behalf of beneficial owners who have not furnished voting instructions, and, therefore, we do not anticipate that there will be any broker non-votes on this proposal.</w:t>
            </w:r>
            <w:r>
              <w:rPr/>
              <w:t xml:space="preserv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WHAT CONSTITUTES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 quorum is present if a majority of the outstanding shares of our capital stock issued and entitled to vote at the annual meeting are present in person or represented by proxy, regardless of whether the proxy has the authority to vote on any matter. Broker non-votes and abstentions will be counted for purposes of determining whether a quorum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WHAT ARE BROKER NON-VOTES? IF I DO NOT VOTE, WILL MY BROKER VOTE FOR 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Broker non-votes occur when nominees, such as banks and brokers holding shares on behalf of beneficial owners, do not receive voting instructions from the beneficial owners at least ten days before the meeting. If that happens, the nominees may vote those shares only on matters deemed "routine" by the Securities and Exchange Commission and the rules promulgated by the New York Stock Exchange thereunder.</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Company believes that all the proposals to be voted on at the annual meeting, except for Proposal No. 4 regarding the appointment of Ernst &amp; Young LLP as our independent registered public accounting firm, are not "routine" matters. On non-routine matters, such as Proposals No. 1, 2</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185"/>
        <w:gridCol w:w="3005"/>
        <w:gridCol w:w="135"/>
      </w:tblGrid>
      <w:tr>
        <w:trPr/>
        <w:tc>
          <w:tcPr>
            <w:tcW w:w="18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5</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and 3, nominees cannot vote unless they receive voting instructions from beneficial owners. Please be sure to give specific voting instructions to your nominee so that your vote can be counted. With respect to Proposals 2,3, and 4, broker non-votes, if any, will have the effect of a vote against such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WHAT EFFECT DOES AN ABSTENTION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With respect to Proposal No. 1, abstentions or directions to withhold authority will not be considered "votes cast" or included in vote totals and will not affect the outcome of the vote. With respect to each of Proposals No. 2, 3 and 4, abstentions will have the effect of a vote against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WHO PAYS THE COST OF SOLICITING PROXIES?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pay the cost of the solicitation of proxies, including preparing and mailing the Notice of Annual Meeting of Shareholders, this proxy statement and the proxy card. Following the mailing of this proxy statement, directors, officers and employees of the Company may solicit proxies by telephone, facsimile transmission or other personal contact. Such persons will receive no additional compensation for such services. Brokerage houses and other nominees, fiduciaries and custodians who are holders of record of shares of our common stock will be requested to forward proxy soliciting material to the beneficial owners of such shares and will be reimbursed by the Company for their charges and expenses in connection therewith at customary and reasonable rates. In addition, the Company has retained Georgeson Inc. to assist in the solicitation of proxies for an estimated fee of $12,000 plus reimbursement of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WHAT IF I SHARE A HOUSEHOLD WITH ANOTHER SHAREHOLDER?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have adopted a procedure approved by the Securities and Exchange Commission, called "householding." Under this procedure, FNF shareholders of record who have the same address and last name and do not participate in electronic delivery of proxy materials will receive only one copy of our Annual Report and Proxy Statement unless one or more of these shareholders notifies us that they wish to continue receiving individual copies. This procedure will reduce our printing costs and postage fees. Shareholders who participate in householding will continue to receive separate proxy cards. Also, householding will not in any way affect dividend check mailings. If you are a shareholder who resides in the same household with another shareholder, or if you hold more than one account registered in your name at the same address, and wish to receive a separate proxy statement and annual report or notice of internet availability of proxy materials for each account, please contact, Broadridge, toll free at 1-866-540-7095. You may also write to Broadridge, Householding Department, at 51 Mercedes Way, Edgewood, New York 11717. Beneficial shareholders can request information about householding from their banks, brokers or other holders of record. We hereby undertake to deliver promptly upon written or oral request, a separate copy of the Annual Report to Shareholders, or this Proxy Statement, as applicable, to a shareholder at a shared address to which a single copy of the document was delivered.</w:t>
      </w:r>
    </w:p>
    <w:p>
      <w:pPr>
        <w:pStyle w:val="TextBody"/>
        <w:bidi w:val="0"/>
        <w:spacing w:before="0" w:after="0"/>
        <w:ind w:left="1440" w:right="160" w:hanging="0"/>
        <w:jc w:val="left"/>
        <w:rPr>
          <w:caps w:val="false"/>
          <w:smallCaps w:val="false"/>
          <w:color w:val="333333"/>
        </w:rPr>
      </w:pPr>
      <w:r>
        <w:rPr>
          <w:caps w:val="false"/>
          <w:smallCaps w:val="false"/>
          <w:color w:val="333333"/>
        </w:rPr>
        <w:t> </w:t>
      </w:r>
    </w:p>
    <w:tbl>
      <w:tblPr>
        <w:tblW w:w="3325" w:type="dxa"/>
        <w:jc w:val="left"/>
        <w:tblInd w:w="0" w:type="dxa"/>
        <w:tblLayout w:type="fixed"/>
        <w:tblCellMar>
          <w:top w:w="0" w:type="dxa"/>
          <w:left w:w="0" w:type="dxa"/>
          <w:bottom w:w="0" w:type="dxa"/>
          <w:right w:w="0" w:type="dxa"/>
        </w:tblCellMar>
      </w:tblPr>
      <w:tblGrid>
        <w:gridCol w:w="105"/>
        <w:gridCol w:w="3005"/>
        <w:gridCol w:w="21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21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6</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21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WHY DID I RECEIVE A NOTICE IN THE MAIL REGARDING THE INTERNET AVAILABILITY OF THE PROXY MATERIALS INSTEAD OF A PAPER COPY OF THE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color w:val="58595B"/>
          <w:sz w:val="22"/>
        </w:rPr>
        <w:t>In accordance with the rules of the Securities and Exchange Commission, we have elected to furnish to our shareholders this Proxy Statement and our Annual Report on Form 10-K by providing access to these documents on the Internet rather than mailing printed copies. Accordingly, the Notice of Internet Availability is being mailed to our shareholders of record and beneficial owners (other than those who previously requested printed copies or electronic delivery of our proxy materials), which will direct shareholders to a website where they can access our proxy materials and view instructions on how to vote online or by telephone. If you would prefer to receive a paper copy of our proxy materials, please follow the instructions included in the Notice of Internet Availability. Our Proxy Statement and our Annual Report on Form 10-K for the fiscal year ended December 31, 2025 are available for shareholders at</w:t>
      </w:r>
      <w:r>
        <w:rPr>
          <w:rFonts w:ascii="Arial;Helvetica;Sans-Serif" w:hAnsi="Arial;Helvetica;Sans-Serif"/>
          <w:b w:val="false"/>
          <w:i w:val="false"/>
          <w:caps w:val="false"/>
          <w:smallCaps w:val="false"/>
          <w:sz w:val="22"/>
        </w:rPr>
        <w:t xml:space="preserve"> </w:t>
      </w:r>
      <w:r>
        <w:rPr>
          <w:rFonts w:ascii="Arial;Helvetica;Sans-Serif" w:hAnsi="Arial;Helvetica;Sans-Serif"/>
          <w:b/>
          <w:i w:val="false"/>
          <w:caps w:val="false"/>
          <w:smallCaps w:val="false"/>
          <w:color w:val="1E5E9E"/>
          <w:sz w:val="22"/>
        </w:rPr>
        <w:t>www.proxyvote.com</w:t>
      </w:r>
      <w:r>
        <w:rPr>
          <w:rFonts w:ascii="Arial;Helvetica;Sans-Serif" w:hAnsi="Arial;Helvetica;Sans-Serif"/>
          <w:b w:val="false"/>
          <w:i w:val="false"/>
          <w:caps w:val="false"/>
          <w:smallCaps w:val="false"/>
          <w:color w:val="333333"/>
          <w:sz w:val="22"/>
        </w:rPr>
        <w:t xml:space="preserve">. </w:t>
      </w:r>
      <w:r>
        <w:rPr>
          <w:rFonts w:ascii="Arial;Helvetica;Sans-Serif" w:hAnsi="Arial;Helvetica;Sans-Serif"/>
          <w:b w:val="false"/>
          <w:i w:val="false"/>
          <w:caps w:val="false"/>
          <w:smallCaps w:val="false"/>
          <w:color w:val="58595B"/>
          <w:sz w:val="22"/>
        </w:rPr>
        <w:t>Instead of receiving future copies of our Proxy Statement and Annual Report on Form 10-K by mail, shareholders can access these materials online. Opting to receive your proxy materials online will save us the cost of producing and mailing documents to you; an electronic link to the proxy voting site will be provided to you. Shareholders of record can enroll at</w:t>
      </w:r>
      <w:r>
        <w:rPr>
          <w:rFonts w:ascii="Arial;Helvetica;Sans-Serif" w:hAnsi="Arial;Helvetica;Sans-Serif"/>
          <w:b w:val="false"/>
          <w:i w:val="false"/>
          <w:caps w:val="false"/>
          <w:smallCaps w:val="false"/>
          <w:sz w:val="22"/>
        </w:rPr>
        <w:t xml:space="preserve"> </w:t>
      </w:r>
      <w:r>
        <w:rPr>
          <w:rFonts w:ascii="Arial;Helvetica;Sans-Serif" w:hAnsi="Arial;Helvetica;Sans-Serif"/>
          <w:b/>
          <w:i w:val="false"/>
          <w:caps w:val="false"/>
          <w:smallCaps w:val="false"/>
          <w:color w:val="1E5E9E"/>
          <w:sz w:val="22"/>
        </w:rPr>
        <w:t>www.proxyvote.com</w:t>
      </w:r>
      <w:r>
        <w:rPr>
          <w:rFonts w:ascii="Arial;Helvetica;Sans-Serif" w:hAnsi="Arial;Helvetica;Sans-Serif"/>
          <w:b w:val="false"/>
          <w:i w:val="false"/>
          <w:caps w:val="false"/>
          <w:smallCaps w:val="false"/>
          <w:sz w:val="22"/>
        </w:rPr>
        <w:t xml:space="preserve"> </w:t>
      </w:r>
      <w:r>
        <w:rPr>
          <w:rFonts w:ascii="Arial;Helvetica;Sans-Serif" w:hAnsi="Arial;Helvetica;Sans-Serif"/>
          <w:b w:val="false"/>
          <w:i w:val="false"/>
          <w:caps w:val="false"/>
          <w:smallCaps w:val="false"/>
          <w:color w:val="58595B"/>
          <w:sz w:val="22"/>
        </w:rPr>
        <w:t>for online access to future proxy materials. If you hold your shares in a bank or brokerage account, you also may have the opportunity to receive copies of these documents electronically. Please check the information provided in the proxy materials mailed to you by your bank or broker regarding the availability of this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HOW DO I ACCESS THE VIRTUAL ANNUAL MEETING? WHO MAY ATTEND?</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color w:val="58595B"/>
          <w:sz w:val="22"/>
        </w:rPr>
        <w:t>At the virtual annual meeting, shareholders will be able to listen to the meeting live and vote. To be admitted to the virtual annual meeting at</w:t>
      </w:r>
      <w:r>
        <w:rPr>
          <w:rFonts w:ascii="Arial;Helvetica;Sans-Serif" w:hAnsi="Arial;Helvetica;Sans-Serif"/>
          <w:b w:val="false"/>
          <w:i w:val="false"/>
          <w:caps w:val="false"/>
          <w:smallCaps w:val="false"/>
          <w:sz w:val="22"/>
        </w:rPr>
        <w:t xml:space="preserve"> </w:t>
      </w:r>
      <w:r>
        <w:rPr>
          <w:rFonts w:ascii="Arial;Helvetica;Sans-Serif" w:hAnsi="Arial;Helvetica;Sans-Serif"/>
          <w:b/>
          <w:i w:val="false"/>
          <w:caps w:val="false"/>
          <w:smallCaps w:val="false"/>
          <w:color w:val="1E5E9E"/>
          <w:sz w:val="22"/>
        </w:rPr>
        <w:t>www.virtualshareholdermeeting.com/FNF2026</w:t>
      </w:r>
      <w:r>
        <w:rPr>
          <w:rFonts w:ascii="Arial;Helvetica;Sans-Serif" w:hAnsi="Arial;Helvetica;Sans-Serif"/>
          <w:b w:val="false"/>
          <w:i w:val="false"/>
          <w:caps w:val="false"/>
          <w:smallCaps w:val="false"/>
          <w:color w:val="333333"/>
          <w:sz w:val="22"/>
        </w:rPr>
        <w:t xml:space="preserve">, </w:t>
      </w:r>
      <w:r>
        <w:rPr>
          <w:rFonts w:ascii="Arial;Helvetica;Sans-Serif" w:hAnsi="Arial;Helvetica;Sans-Serif"/>
          <w:b w:val="false"/>
          <w:i w:val="false"/>
          <w:caps w:val="false"/>
          <w:smallCaps w:val="false"/>
          <w:color w:val="58595B"/>
          <w:sz w:val="22"/>
        </w:rPr>
        <w:t>you must enter the 16-digit control number available on your proxy card if you are a shareholder of record or included in your voting instruction card and voting instructions you received from your broker, bank or other nominee. Although you may vote online during the annual meeting, we encourage you to vote via the Internet, by telephone or by mail as outlined in the Notice of Internet</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Availability of Proxy Materials or on your proxy card to ensure that your shares are represented and voted.</w:t>
      </w:r>
    </w:p>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meeting webcast will begin promptly at 10:00 a.m., Eastern Time, on June 10, 2026, and we encourage you to access the meeting prior to the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WILL I BE ABLE TO ASK QUESTIONS DURING THE VIRTUAL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color w:val="58595B"/>
          <w:sz w:val="22"/>
        </w:rPr>
        <w:t>Shareholders will be able to ask questions through the virtual meeting website during the meeting through</w:t>
      </w:r>
      <w:r>
        <w:rPr>
          <w:rFonts w:ascii="Arial;Helvetica;Sans-Serif" w:hAnsi="Arial;Helvetica;Sans-Serif"/>
          <w:b w:val="false"/>
          <w:i w:val="false"/>
          <w:caps w:val="false"/>
          <w:smallCaps w:val="false"/>
          <w:sz w:val="22"/>
        </w:rPr>
        <w:t xml:space="preserve"> </w:t>
      </w:r>
      <w:r>
        <w:rPr>
          <w:rFonts w:ascii="Arial;Helvetica;Sans-Serif" w:hAnsi="Arial;Helvetica;Sans-Serif"/>
          <w:b/>
          <w:i w:val="false"/>
          <w:caps w:val="false"/>
          <w:smallCaps w:val="false"/>
          <w:color w:val="1E5E9E"/>
          <w:sz w:val="22"/>
        </w:rPr>
        <w:t>www.virtualshareholdermeeting.com/FNF2026</w:t>
      </w:r>
      <w:r>
        <w:rPr>
          <w:rFonts w:ascii="Arial;Helvetica;Sans-Serif" w:hAnsi="Arial;Helvetica;Sans-Serif"/>
          <w:b w:val="false"/>
          <w:i w:val="false"/>
          <w:caps w:val="false"/>
          <w:smallCaps w:val="false"/>
          <w:color w:val="333333"/>
          <w:sz w:val="22"/>
        </w:rPr>
        <w:t xml:space="preserve">. </w:t>
      </w:r>
      <w:r>
        <w:rPr>
          <w:rFonts w:ascii="Arial;Helvetica;Sans-Serif" w:hAnsi="Arial;Helvetica;Sans-Serif"/>
          <w:b w:val="false"/>
          <w:i w:val="false"/>
          <w:caps w:val="false"/>
          <w:smallCaps w:val="false"/>
          <w:color w:val="58595B"/>
          <w:sz w:val="22"/>
        </w:rPr>
        <w:t>The Company will respond to as many appropriate questions during the annual meeting as time allows.</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185"/>
        <w:gridCol w:w="3005"/>
        <w:gridCol w:w="135"/>
      </w:tblGrid>
      <w:tr>
        <w:trPr/>
        <w:tc>
          <w:tcPr>
            <w:tcW w:w="18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7</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22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i w:val="false"/>
          <w:caps w:val="false"/>
          <w:smallCaps w:val="false"/>
          <w:color w:val="74909A"/>
          <w:sz w:val="28"/>
        </w:rPr>
      </w:pPr>
      <w:r>
        <w:rPr>
          <w:rFonts w:ascii="Arial;Helvetica;Sans-Serif" w:hAnsi="Arial;Helvetica;Sans-Serif"/>
          <w:b/>
          <w:i w:val="false"/>
          <w:caps w:val="false"/>
          <w:smallCaps w:val="false"/>
          <w:color w:val="74909A"/>
          <w:sz w:val="28"/>
        </w:rPr>
        <w:t>HOW CAN I REQUEST TECHNICAL ASSISTANCE DURING THE VIRTUAL ANNUAL MEETING?</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 technical support line will be available on the meeting website for any questions on how to participate in the virtual annual meeting or if you encounter any difficulties accessing the virtual meeting.</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i w:val="false"/>
          <w:caps w:val="false"/>
          <w:smallCaps w:val="false"/>
          <w:color w:val="274F78"/>
          <w:sz w:val="40"/>
        </w:rPr>
      </w:pPr>
      <w:r>
        <w:rPr>
          <w:rFonts w:ascii="Arial;Helvetica;Sans-Serif" w:hAnsi="Arial;Helvetica;Sans-Serif"/>
          <w:b/>
          <w:i w:val="false"/>
          <w:caps w:val="false"/>
          <w:smallCaps w:val="false"/>
          <w:color w:val="274F78"/>
          <w:sz w:val="40"/>
        </w:rPr>
        <w:t>CORPORATE GOVERNANCE HIGHLIGHTS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board is focused on good governance practices, which promote the long-term interests of our shareholders and support accountability of our board of directors and management. Our board of directors has implemented the following measures to improve our overall governance practices.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See "Corporate Governance and Related Matters" for more detail on FNF’s governance practices.</w:t>
      </w:r>
    </w:p>
    <w:p>
      <w:pPr>
        <w:pStyle w:val="TextBody"/>
        <w:bidi w:val="0"/>
        <w:spacing w:before="0" w:after="0"/>
        <w:ind w:left="0" w:right="0" w:hanging="0"/>
        <w:jc w:val="left"/>
        <w:rPr>
          <w:caps w:val="false"/>
          <w:smallCaps w:val="false"/>
          <w:color w:val="586D94"/>
        </w:rPr>
      </w:pPr>
      <w:r>
        <w:rPr>
          <w:caps w:val="false"/>
          <w:smallCaps w:val="false"/>
          <w:color w:val="586D94"/>
        </w:rPr>
        <w:t>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3110230" cy="3356610"/>
                <wp:effectExtent l="0" t="0" r="0" b="0"/>
                <wp:wrapSquare wrapText="right"/>
                <wp:docPr id="8" name="Frame3"/>
                <a:graphic xmlns:a="http://schemas.openxmlformats.org/drawingml/2006/main">
                  <a:graphicData uri="http://schemas.microsoft.com/office/word/2010/wordprocessingShape">
                    <wps:wsp>
                      <wps:cNvSpPr txBox="1"/>
                      <wps:spPr>
                        <a:xfrm>
                          <a:off x="0" y="0"/>
                          <a:ext cx="3110230" cy="3356610"/>
                        </a:xfrm>
                        <a:prstGeom prst="rect"/>
                        <a:solidFill>
                          <a:srgbClr val="FFFFFF"/>
                        </a:solidFill>
                      </wps:spPr>
                      <wps:txbx>
                        <w:txbxContent>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6768" w:type="dxa"/>
                              <w:jc w:val="left"/>
                              <w:tblInd w:w="0" w:type="dxa"/>
                              <w:tblLayout w:type="fixed"/>
                              <w:tblCellMar>
                                <w:top w:w="0" w:type="dxa"/>
                                <w:left w:w="0" w:type="dxa"/>
                                <w:bottom w:w="0" w:type="dxa"/>
                                <w:right w:w="0" w:type="dxa"/>
                              </w:tblCellMar>
                            </w:tblPr>
                            <w:tblGrid>
                              <w:gridCol w:w="68"/>
                              <w:gridCol w:w="140"/>
                              <w:gridCol w:w="656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sz w:val="22"/>
                                    </w:rPr>
                                  </w:pPr>
                                  <w:r>
                                    <w:rPr>
                                      <w:sz w:val="22"/>
                                    </w:rPr>
                                    <w:t xml:space="preserve">Proxy access right adopted in response to support from shareholders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7338" w:type="dxa"/>
                              <w:jc w:val="left"/>
                              <w:tblInd w:w="0" w:type="dxa"/>
                              <w:tblLayout w:type="fixed"/>
                              <w:tblCellMar>
                                <w:top w:w="0" w:type="dxa"/>
                                <w:left w:w="0" w:type="dxa"/>
                                <w:bottom w:w="0" w:type="dxa"/>
                                <w:right w:w="0" w:type="dxa"/>
                              </w:tblCellMar>
                            </w:tblPr>
                            <w:tblGrid>
                              <w:gridCol w:w="68"/>
                              <w:gridCol w:w="140"/>
                              <w:gridCol w:w="713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7130" w:type="dxa"/>
                                  <w:tcBorders/>
                                  <w:vAlign w:val="center"/>
                                </w:tcPr>
                                <w:p>
                                  <w:pPr>
                                    <w:pStyle w:val="TableContents"/>
                                    <w:bidi w:val="0"/>
                                    <w:spacing w:before="0" w:after="283"/>
                                    <w:jc w:val="left"/>
                                    <w:rPr>
                                      <w:color w:val="58595B"/>
                                      <w:sz w:val="22"/>
                                    </w:rPr>
                                  </w:pPr>
                                  <w:r>
                                    <w:rPr>
                                      <w:color w:val="58595B"/>
                                      <w:sz w:val="22"/>
                                    </w:rPr>
                                    <w:t xml:space="preserve">Majority voting in uncontested director elections, with a resignation policy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4608" w:type="dxa"/>
                              <w:jc w:val="left"/>
                              <w:tblInd w:w="0" w:type="dxa"/>
                              <w:tblLayout w:type="fixed"/>
                              <w:tblCellMar>
                                <w:top w:w="0" w:type="dxa"/>
                                <w:left w:w="0" w:type="dxa"/>
                                <w:bottom w:w="0" w:type="dxa"/>
                                <w:right w:w="0" w:type="dxa"/>
                              </w:tblCellMar>
                            </w:tblPr>
                            <w:tblGrid>
                              <w:gridCol w:w="68"/>
                              <w:gridCol w:w="140"/>
                              <w:gridCol w:w="440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4400" w:type="dxa"/>
                                  <w:tcBorders/>
                                  <w:vAlign w:val="center"/>
                                </w:tcPr>
                                <w:p>
                                  <w:pPr>
                                    <w:pStyle w:val="TableContents"/>
                                    <w:bidi w:val="0"/>
                                    <w:spacing w:before="0" w:after="283"/>
                                    <w:jc w:val="left"/>
                                    <w:rPr>
                                      <w:color w:val="58595B"/>
                                      <w:sz w:val="22"/>
                                    </w:rPr>
                                  </w:pPr>
                                  <w:r>
                                    <w:rPr>
                                      <w:color w:val="58595B"/>
                                      <w:sz w:val="22"/>
                                    </w:rPr>
                                    <w:t xml:space="preserve">Lead Independent Director with robust duties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4158" w:type="dxa"/>
                              <w:jc w:val="left"/>
                              <w:tblInd w:w="0" w:type="dxa"/>
                              <w:tblLayout w:type="fixed"/>
                              <w:tblCellMar>
                                <w:top w:w="0" w:type="dxa"/>
                                <w:left w:w="0" w:type="dxa"/>
                                <w:bottom w:w="0" w:type="dxa"/>
                                <w:right w:w="0" w:type="dxa"/>
                              </w:tblCellMar>
                            </w:tblPr>
                            <w:tblGrid>
                              <w:gridCol w:w="68"/>
                              <w:gridCol w:w="140"/>
                              <w:gridCol w:w="395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sz w:val="22"/>
                                    </w:rPr>
                                  </w:pPr>
                                  <w:r>
                                    <w:rPr>
                                      <w:sz w:val="22"/>
                                    </w:rPr>
                                    <w:t xml:space="preserve">Shareholders may act by written consent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8298" w:type="dxa"/>
                              <w:jc w:val="left"/>
                              <w:tblInd w:w="0" w:type="dxa"/>
                              <w:tblLayout w:type="fixed"/>
                              <w:tblCellMar>
                                <w:top w:w="0" w:type="dxa"/>
                                <w:left w:w="0" w:type="dxa"/>
                                <w:bottom w:w="0" w:type="dxa"/>
                                <w:right w:w="0" w:type="dxa"/>
                              </w:tblCellMar>
                            </w:tblPr>
                            <w:tblGrid>
                              <w:gridCol w:w="68"/>
                              <w:gridCol w:w="140"/>
                              <w:gridCol w:w="809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8090" w:type="dxa"/>
                                  <w:tcBorders/>
                                  <w:vAlign w:val="center"/>
                                </w:tcPr>
                                <w:p>
                                  <w:pPr>
                                    <w:pStyle w:val="TableContents"/>
                                    <w:bidi w:val="0"/>
                                    <w:spacing w:before="0" w:after="283"/>
                                    <w:jc w:val="left"/>
                                    <w:rPr>
                                      <w:color w:val="58595B"/>
                                      <w:sz w:val="22"/>
                                    </w:rPr>
                                  </w:pPr>
                                  <w:r>
                                    <w:rPr>
                                      <w:color w:val="58595B"/>
                                      <w:sz w:val="22"/>
                                    </w:rPr>
                                    <w:t xml:space="preserve">Independent audit, compensation, corporate governance and nominating committees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6528" w:type="dxa"/>
                              <w:jc w:val="left"/>
                              <w:tblInd w:w="0" w:type="dxa"/>
                              <w:tblLayout w:type="fixed"/>
                              <w:tblCellMar>
                                <w:top w:w="0" w:type="dxa"/>
                                <w:left w:w="0" w:type="dxa"/>
                                <w:bottom w:w="0" w:type="dxa"/>
                                <w:right w:w="0" w:type="dxa"/>
                              </w:tblCellMar>
                            </w:tblPr>
                            <w:tblGrid>
                              <w:gridCol w:w="68"/>
                              <w:gridCol w:w="140"/>
                              <w:gridCol w:w="632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6320" w:type="dxa"/>
                                  <w:tcBorders/>
                                  <w:vAlign w:val="center"/>
                                </w:tcPr>
                                <w:p>
                                  <w:pPr>
                                    <w:pStyle w:val="TableContents"/>
                                    <w:bidi w:val="0"/>
                                    <w:spacing w:before="0" w:after="283"/>
                                    <w:jc w:val="left"/>
                                    <w:rPr>
                                      <w:color w:val="58595B"/>
                                      <w:sz w:val="22"/>
                                    </w:rPr>
                                  </w:pPr>
                                  <w:r>
                                    <w:rPr>
                                      <w:color w:val="58595B"/>
                                      <w:sz w:val="22"/>
                                    </w:rPr>
                                    <w:t xml:space="preserve">Shareholder engagement on compensation and governance issues </w:t>
                                  </w:r>
                                </w:p>
                              </w:tc>
                            </w:tr>
                          </w:tbl>
                          <w:p>
                            <w:pPr>
                              <w:pStyle w:val="TextBody"/>
                              <w:bidi w:val="0"/>
                              <w:spacing w:before="0" w:after="0"/>
                              <w:ind w:left="0" w:right="0" w:hanging="0"/>
                              <w:jc w:val="left"/>
                              <w:rPr>
                                <w:caps w:val="false"/>
                                <w:smallCaps w:val="false"/>
                                <w:color w:val="586D94"/>
                              </w:rPr>
                            </w:pPr>
                            <w:r>
                              <w:rPr>
                                <w:caps w:val="false"/>
                                <w:smallCaps w:val="false"/>
                                <w:color w:val="586D94"/>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4.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6768" w:type="dxa"/>
                        <w:jc w:val="left"/>
                        <w:tblInd w:w="0" w:type="dxa"/>
                        <w:tblLayout w:type="fixed"/>
                        <w:tblCellMar>
                          <w:top w:w="0" w:type="dxa"/>
                          <w:left w:w="0" w:type="dxa"/>
                          <w:bottom w:w="0" w:type="dxa"/>
                          <w:right w:w="0" w:type="dxa"/>
                        </w:tblCellMar>
                      </w:tblPr>
                      <w:tblGrid>
                        <w:gridCol w:w="68"/>
                        <w:gridCol w:w="140"/>
                        <w:gridCol w:w="656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left"/>
                              <w:rPr>
                                <w:sz w:val="22"/>
                              </w:rPr>
                            </w:pPr>
                            <w:r>
                              <w:rPr>
                                <w:sz w:val="22"/>
                              </w:rPr>
                              <w:t xml:space="preserve">Proxy access right adopted in response to support from shareholders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7338" w:type="dxa"/>
                        <w:jc w:val="left"/>
                        <w:tblInd w:w="0" w:type="dxa"/>
                        <w:tblLayout w:type="fixed"/>
                        <w:tblCellMar>
                          <w:top w:w="0" w:type="dxa"/>
                          <w:left w:w="0" w:type="dxa"/>
                          <w:bottom w:w="0" w:type="dxa"/>
                          <w:right w:w="0" w:type="dxa"/>
                        </w:tblCellMar>
                      </w:tblPr>
                      <w:tblGrid>
                        <w:gridCol w:w="68"/>
                        <w:gridCol w:w="140"/>
                        <w:gridCol w:w="713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7130" w:type="dxa"/>
                            <w:tcBorders/>
                            <w:vAlign w:val="center"/>
                          </w:tcPr>
                          <w:p>
                            <w:pPr>
                              <w:pStyle w:val="TableContents"/>
                              <w:bidi w:val="0"/>
                              <w:spacing w:before="0" w:after="283"/>
                              <w:jc w:val="left"/>
                              <w:rPr>
                                <w:color w:val="58595B"/>
                                <w:sz w:val="22"/>
                              </w:rPr>
                            </w:pPr>
                            <w:r>
                              <w:rPr>
                                <w:color w:val="58595B"/>
                                <w:sz w:val="22"/>
                              </w:rPr>
                              <w:t xml:space="preserve">Majority voting in uncontested director elections, with a resignation policy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4608" w:type="dxa"/>
                        <w:jc w:val="left"/>
                        <w:tblInd w:w="0" w:type="dxa"/>
                        <w:tblLayout w:type="fixed"/>
                        <w:tblCellMar>
                          <w:top w:w="0" w:type="dxa"/>
                          <w:left w:w="0" w:type="dxa"/>
                          <w:bottom w:w="0" w:type="dxa"/>
                          <w:right w:w="0" w:type="dxa"/>
                        </w:tblCellMar>
                      </w:tblPr>
                      <w:tblGrid>
                        <w:gridCol w:w="68"/>
                        <w:gridCol w:w="140"/>
                        <w:gridCol w:w="440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4400" w:type="dxa"/>
                            <w:tcBorders/>
                            <w:vAlign w:val="center"/>
                          </w:tcPr>
                          <w:p>
                            <w:pPr>
                              <w:pStyle w:val="TableContents"/>
                              <w:bidi w:val="0"/>
                              <w:spacing w:before="0" w:after="283"/>
                              <w:jc w:val="left"/>
                              <w:rPr>
                                <w:color w:val="58595B"/>
                                <w:sz w:val="22"/>
                              </w:rPr>
                            </w:pPr>
                            <w:r>
                              <w:rPr>
                                <w:color w:val="58595B"/>
                                <w:sz w:val="22"/>
                              </w:rPr>
                              <w:t xml:space="preserve">Lead Independent Director with robust duties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4158" w:type="dxa"/>
                        <w:jc w:val="left"/>
                        <w:tblInd w:w="0" w:type="dxa"/>
                        <w:tblLayout w:type="fixed"/>
                        <w:tblCellMar>
                          <w:top w:w="0" w:type="dxa"/>
                          <w:left w:w="0" w:type="dxa"/>
                          <w:bottom w:w="0" w:type="dxa"/>
                          <w:right w:w="0" w:type="dxa"/>
                        </w:tblCellMar>
                      </w:tblPr>
                      <w:tblGrid>
                        <w:gridCol w:w="68"/>
                        <w:gridCol w:w="140"/>
                        <w:gridCol w:w="395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283"/>
                              <w:jc w:val="left"/>
                              <w:rPr>
                                <w:sz w:val="22"/>
                              </w:rPr>
                            </w:pPr>
                            <w:r>
                              <w:rPr>
                                <w:sz w:val="22"/>
                              </w:rPr>
                              <w:t xml:space="preserve">Shareholders may act by written consent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8298" w:type="dxa"/>
                        <w:jc w:val="left"/>
                        <w:tblInd w:w="0" w:type="dxa"/>
                        <w:tblLayout w:type="fixed"/>
                        <w:tblCellMar>
                          <w:top w:w="0" w:type="dxa"/>
                          <w:left w:w="0" w:type="dxa"/>
                          <w:bottom w:w="0" w:type="dxa"/>
                          <w:right w:w="0" w:type="dxa"/>
                        </w:tblCellMar>
                      </w:tblPr>
                      <w:tblGrid>
                        <w:gridCol w:w="68"/>
                        <w:gridCol w:w="140"/>
                        <w:gridCol w:w="809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8090" w:type="dxa"/>
                            <w:tcBorders/>
                            <w:vAlign w:val="center"/>
                          </w:tcPr>
                          <w:p>
                            <w:pPr>
                              <w:pStyle w:val="TableContents"/>
                              <w:bidi w:val="0"/>
                              <w:spacing w:before="0" w:after="283"/>
                              <w:jc w:val="left"/>
                              <w:rPr>
                                <w:color w:val="58595B"/>
                                <w:sz w:val="22"/>
                              </w:rPr>
                            </w:pPr>
                            <w:r>
                              <w:rPr>
                                <w:color w:val="58595B"/>
                                <w:sz w:val="22"/>
                              </w:rPr>
                              <w:t xml:space="preserve">Independent audit, compensation, corporate governance and nominating committees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6528" w:type="dxa"/>
                        <w:jc w:val="left"/>
                        <w:tblInd w:w="0" w:type="dxa"/>
                        <w:tblLayout w:type="fixed"/>
                        <w:tblCellMar>
                          <w:top w:w="0" w:type="dxa"/>
                          <w:left w:w="0" w:type="dxa"/>
                          <w:bottom w:w="0" w:type="dxa"/>
                          <w:right w:w="0" w:type="dxa"/>
                        </w:tblCellMar>
                      </w:tblPr>
                      <w:tblGrid>
                        <w:gridCol w:w="68"/>
                        <w:gridCol w:w="140"/>
                        <w:gridCol w:w="632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6320" w:type="dxa"/>
                            <w:tcBorders/>
                            <w:vAlign w:val="center"/>
                          </w:tcPr>
                          <w:p>
                            <w:pPr>
                              <w:pStyle w:val="TableContents"/>
                              <w:bidi w:val="0"/>
                              <w:spacing w:before="0" w:after="283"/>
                              <w:jc w:val="left"/>
                              <w:rPr>
                                <w:color w:val="58595B"/>
                                <w:sz w:val="22"/>
                              </w:rPr>
                            </w:pPr>
                            <w:r>
                              <w:rPr>
                                <w:color w:val="58595B"/>
                                <w:sz w:val="22"/>
                              </w:rPr>
                              <w:t xml:space="preserve">Shareholder engagement on compensation and governance issues </w:t>
                            </w:r>
                          </w:p>
                        </w:tc>
                      </w:tr>
                    </w:tbl>
                    <w:p>
                      <w:pPr>
                        <w:pStyle w:val="TextBody"/>
                        <w:bidi w:val="0"/>
                        <w:spacing w:before="0" w:after="0"/>
                        <w:ind w:left="0" w:right="0" w:hanging="0"/>
                        <w:jc w:val="left"/>
                        <w:rPr>
                          <w:caps w:val="false"/>
                          <w:smallCaps w:val="false"/>
                          <w:color w:val="586D94"/>
                        </w:rPr>
                      </w:pPr>
                      <w:r>
                        <w:rPr>
                          <w:caps w:val="false"/>
                          <w:smallCaps w:val="false"/>
                          <w:color w:val="586D94"/>
                        </w:rPr>
                        <w:t> </w:t>
                      </w:r>
                    </w:p>
                  </w:txbxContent>
                </v:textbox>
                <w10:wrap type="square" side="right"/>
              </v:rect>
            </w:pict>
          </mc:Fallback>
        </mc:AlternateContent>
      </w:r>
      <w:r>
        <mc:AlternateContent>
          <mc:Choice Requires="wps">
            <w:drawing>
              <wp:anchor behindDoc="0" distT="0" distB="0" distL="0" distR="0" simplePos="0" locked="0" layoutInCell="1" allowOverlap="1" relativeHeight="24">
                <wp:simplePos x="0" y="0"/>
                <wp:positionH relativeFrom="column">
                  <wp:align>right</wp:align>
                </wp:positionH>
                <wp:positionV relativeFrom="line">
                  <wp:posOffset>635</wp:posOffset>
                </wp:positionV>
                <wp:extent cx="3110230" cy="3682365"/>
                <wp:effectExtent l="0" t="0" r="0" b="0"/>
                <wp:wrapSquare wrapText="left"/>
                <wp:docPr id="9" name="Frame4"/>
                <a:graphic xmlns:a="http://schemas.openxmlformats.org/drawingml/2006/main">
                  <a:graphicData uri="http://schemas.microsoft.com/office/word/2010/wordprocessingShape">
                    <wps:wsp>
                      <wps:cNvSpPr txBox="1"/>
                      <wps:spPr>
                        <a:xfrm>
                          <a:off x="0" y="0"/>
                          <a:ext cx="3110230" cy="3682365"/>
                        </a:xfrm>
                        <a:prstGeom prst="rect"/>
                        <a:solidFill>
                          <a:srgbClr val="FFFFFF"/>
                        </a:solidFill>
                      </wps:spPr>
                      <wps:txbx>
                        <w:txbxContent>
                          <w:p>
                            <w:pPr>
                              <w:pStyle w:val="TextBody"/>
                              <w:bidi w:val="0"/>
                              <w:ind w:left="0" w:right="0" w:hanging="0"/>
                              <w:jc w:val="left"/>
                              <w:rPr/>
                            </w:pPr>
                            <w:r>
                              <w:rPr/>
                              <w:t> </w:t>
                            </w:r>
                          </w:p>
                          <w:tbl>
                            <w:tblPr>
                              <w:tblW w:w="7278" w:type="dxa"/>
                              <w:jc w:val="left"/>
                              <w:tblInd w:w="0" w:type="dxa"/>
                              <w:tblLayout w:type="fixed"/>
                              <w:tblCellMar>
                                <w:top w:w="0" w:type="dxa"/>
                                <w:left w:w="0" w:type="dxa"/>
                                <w:bottom w:w="0" w:type="dxa"/>
                                <w:right w:w="0" w:type="dxa"/>
                              </w:tblCellMar>
                            </w:tblPr>
                            <w:tblGrid>
                              <w:gridCol w:w="68"/>
                              <w:gridCol w:w="140"/>
                              <w:gridCol w:w="707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7070" w:type="dxa"/>
                                  <w:tcBorders/>
                                  <w:vAlign w:val="center"/>
                                </w:tcPr>
                                <w:p>
                                  <w:pPr>
                                    <w:pStyle w:val="TableContents"/>
                                    <w:bidi w:val="0"/>
                                    <w:spacing w:before="0" w:after="283"/>
                                    <w:jc w:val="left"/>
                                    <w:rPr>
                                      <w:color w:val="58595B"/>
                                      <w:sz w:val="22"/>
                                    </w:rPr>
                                  </w:pPr>
                                  <w:r>
                                    <w:rPr>
                                      <w:color w:val="58595B"/>
                                      <w:sz w:val="22"/>
                                    </w:rPr>
                                    <w:t xml:space="preserve">Annual performance evaluations of the board of directors and committees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7338" w:type="dxa"/>
                              <w:jc w:val="left"/>
                              <w:tblInd w:w="0" w:type="dxa"/>
                              <w:tblLayout w:type="fixed"/>
                              <w:tblCellMar>
                                <w:top w:w="0" w:type="dxa"/>
                                <w:left w:w="0" w:type="dxa"/>
                                <w:bottom w:w="0" w:type="dxa"/>
                                <w:right w:w="0" w:type="dxa"/>
                              </w:tblCellMar>
                            </w:tblPr>
                            <w:tblGrid>
                              <w:gridCol w:w="68"/>
                              <w:gridCol w:w="140"/>
                              <w:gridCol w:w="713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7130" w:type="dxa"/>
                                  <w:tcBorders/>
                                  <w:vAlign w:val="center"/>
                                </w:tcPr>
                                <w:p>
                                  <w:pPr>
                                    <w:pStyle w:val="TableContents"/>
                                    <w:bidi w:val="0"/>
                                    <w:spacing w:before="0" w:after="283"/>
                                    <w:jc w:val="left"/>
                                    <w:rPr>
                                      <w:color w:val="58595B"/>
                                      <w:sz w:val="22"/>
                                    </w:rPr>
                                  </w:pPr>
                                  <w:r>
                                    <w:rPr>
                                      <w:color w:val="58595B"/>
                                      <w:sz w:val="22"/>
                                    </w:rPr>
                                    <w:t xml:space="preserve">Robust stock ownership guidelines for our executive officers and directors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4938" w:type="dxa"/>
                              <w:jc w:val="left"/>
                              <w:tblInd w:w="0" w:type="dxa"/>
                              <w:tblLayout w:type="fixed"/>
                              <w:tblCellMar>
                                <w:top w:w="0" w:type="dxa"/>
                                <w:left w:w="0" w:type="dxa"/>
                                <w:bottom w:w="0" w:type="dxa"/>
                                <w:right w:w="0" w:type="dxa"/>
                              </w:tblCellMar>
                            </w:tblPr>
                            <w:tblGrid>
                              <w:gridCol w:w="68"/>
                              <w:gridCol w:w="140"/>
                              <w:gridCol w:w="473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4730" w:type="dxa"/>
                                  <w:tcBorders/>
                                  <w:vAlign w:val="center"/>
                                </w:tcPr>
                                <w:p>
                                  <w:pPr>
                                    <w:pStyle w:val="TableContents"/>
                                    <w:bidi w:val="0"/>
                                    <w:spacing w:before="0" w:after="283"/>
                                    <w:jc w:val="left"/>
                                    <w:rPr>
                                      <w:color w:val="58595B"/>
                                      <w:sz w:val="22"/>
                                    </w:rPr>
                                  </w:pPr>
                                  <w:r>
                                    <w:rPr>
                                      <w:color w:val="58595B"/>
                                      <w:sz w:val="22"/>
                                    </w:rPr>
                                    <w:t xml:space="preserve">Clawback policy in compliance with NYSE rules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5988" w:type="dxa"/>
                              <w:jc w:val="left"/>
                              <w:tblInd w:w="0" w:type="dxa"/>
                              <w:tblLayout w:type="fixed"/>
                              <w:tblCellMar>
                                <w:top w:w="0" w:type="dxa"/>
                                <w:left w:w="0" w:type="dxa"/>
                                <w:bottom w:w="0" w:type="dxa"/>
                                <w:right w:w="0" w:type="dxa"/>
                              </w:tblCellMar>
                            </w:tblPr>
                            <w:tblGrid>
                              <w:gridCol w:w="68"/>
                              <w:gridCol w:w="140"/>
                              <w:gridCol w:w="578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5780" w:type="dxa"/>
                                  <w:tcBorders/>
                                  <w:vAlign w:val="center"/>
                                </w:tcPr>
                                <w:p>
                                  <w:pPr>
                                    <w:pStyle w:val="TableContents"/>
                                    <w:bidi w:val="0"/>
                                    <w:spacing w:before="0" w:after="283"/>
                                    <w:jc w:val="left"/>
                                    <w:rPr>
                                      <w:color w:val="58595B"/>
                                      <w:sz w:val="22"/>
                                    </w:rPr>
                                  </w:pPr>
                                  <w:r>
                                    <w:rPr>
                                      <w:color w:val="58595B"/>
                                      <w:sz w:val="22"/>
                                    </w:rPr>
                                    <w:t xml:space="preserve">No supermajority voting requirement for shareholders to act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6183" w:type="dxa"/>
                              <w:jc w:val="left"/>
                              <w:tblInd w:w="0" w:type="dxa"/>
                              <w:tblLayout w:type="fixed"/>
                              <w:tblCellMar>
                                <w:top w:w="0" w:type="dxa"/>
                                <w:left w:w="0" w:type="dxa"/>
                                <w:bottom w:w="0" w:type="dxa"/>
                                <w:right w:w="0" w:type="dxa"/>
                              </w:tblCellMar>
                            </w:tblPr>
                            <w:tblGrid>
                              <w:gridCol w:w="68"/>
                              <w:gridCol w:w="140"/>
                              <w:gridCol w:w="597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5975" w:type="dxa"/>
                                  <w:tcBorders/>
                                  <w:vAlign w:val="center"/>
                                </w:tcPr>
                                <w:p>
                                  <w:pPr>
                                    <w:pStyle w:val="TableContents"/>
                                    <w:bidi w:val="0"/>
                                    <w:spacing w:before="0" w:after="283"/>
                                    <w:jc w:val="left"/>
                                    <w:rPr>
                                      <w:color w:val="58595B"/>
                                      <w:sz w:val="22"/>
                                    </w:rPr>
                                  </w:pPr>
                                  <w:r>
                                    <w:rPr>
                                      <w:color w:val="58595B"/>
                                      <w:sz w:val="22"/>
                                    </w:rPr>
                                    <w:t xml:space="preserve">Stand-alone independent related person transaction committee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9997" w:type="dxa"/>
                                  <w:tcBorders/>
                                  <w:vAlign w:val="center"/>
                                </w:tcPr>
                                <w:p>
                                  <w:pPr>
                                    <w:pStyle w:val="TableContents"/>
                                    <w:bidi w:val="0"/>
                                    <w:spacing w:before="0" w:after="283"/>
                                    <w:jc w:val="left"/>
                                    <w:rPr>
                                      <w:color w:val="58595B"/>
                                      <w:sz w:val="22"/>
                                    </w:rPr>
                                  </w:pPr>
                                  <w:r>
                                    <w:rPr>
                                      <w:color w:val="58595B"/>
                                      <w:sz w:val="22"/>
                                    </w:rPr>
                                    <w:t xml:space="preserve">Proposal to amend Articles of Incorporation to implement annual elections of directors following strong shareholder support at the 2025 annual meeting </w:t>
                                  </w:r>
                                </w:p>
                              </w:tc>
                            </w:tr>
                          </w:tbl>
                          <w:p>
                            <w:pPr>
                              <w:pStyle w:val="TextBody"/>
                              <w:bidi w:val="0"/>
                              <w:spacing w:before="0" w:after="283"/>
                              <w:ind w:left="0" w:right="0" w:hanging="0"/>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9.9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ind w:left="0" w:right="0" w:hanging="0"/>
                        <w:jc w:val="left"/>
                        <w:rPr/>
                      </w:pPr>
                      <w:r>
                        <w:rPr/>
                        <w:t> </w:t>
                      </w:r>
                    </w:p>
                    <w:tbl>
                      <w:tblPr>
                        <w:tblW w:w="7278" w:type="dxa"/>
                        <w:jc w:val="left"/>
                        <w:tblInd w:w="0" w:type="dxa"/>
                        <w:tblLayout w:type="fixed"/>
                        <w:tblCellMar>
                          <w:top w:w="0" w:type="dxa"/>
                          <w:left w:w="0" w:type="dxa"/>
                          <w:bottom w:w="0" w:type="dxa"/>
                          <w:right w:w="0" w:type="dxa"/>
                        </w:tblCellMar>
                      </w:tblPr>
                      <w:tblGrid>
                        <w:gridCol w:w="68"/>
                        <w:gridCol w:w="140"/>
                        <w:gridCol w:w="707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7070" w:type="dxa"/>
                            <w:tcBorders/>
                            <w:vAlign w:val="center"/>
                          </w:tcPr>
                          <w:p>
                            <w:pPr>
                              <w:pStyle w:val="TableContents"/>
                              <w:bidi w:val="0"/>
                              <w:spacing w:before="0" w:after="283"/>
                              <w:jc w:val="left"/>
                              <w:rPr>
                                <w:color w:val="58595B"/>
                                <w:sz w:val="22"/>
                              </w:rPr>
                            </w:pPr>
                            <w:r>
                              <w:rPr>
                                <w:color w:val="58595B"/>
                                <w:sz w:val="22"/>
                              </w:rPr>
                              <w:t xml:space="preserve">Annual performance evaluations of the board of directors and committees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7338" w:type="dxa"/>
                        <w:jc w:val="left"/>
                        <w:tblInd w:w="0" w:type="dxa"/>
                        <w:tblLayout w:type="fixed"/>
                        <w:tblCellMar>
                          <w:top w:w="0" w:type="dxa"/>
                          <w:left w:w="0" w:type="dxa"/>
                          <w:bottom w:w="0" w:type="dxa"/>
                          <w:right w:w="0" w:type="dxa"/>
                        </w:tblCellMar>
                      </w:tblPr>
                      <w:tblGrid>
                        <w:gridCol w:w="68"/>
                        <w:gridCol w:w="140"/>
                        <w:gridCol w:w="713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7130" w:type="dxa"/>
                            <w:tcBorders/>
                            <w:vAlign w:val="center"/>
                          </w:tcPr>
                          <w:p>
                            <w:pPr>
                              <w:pStyle w:val="TableContents"/>
                              <w:bidi w:val="0"/>
                              <w:spacing w:before="0" w:after="283"/>
                              <w:jc w:val="left"/>
                              <w:rPr>
                                <w:color w:val="58595B"/>
                                <w:sz w:val="22"/>
                              </w:rPr>
                            </w:pPr>
                            <w:r>
                              <w:rPr>
                                <w:color w:val="58595B"/>
                                <w:sz w:val="22"/>
                              </w:rPr>
                              <w:t xml:space="preserve">Robust stock ownership guidelines for our executive officers and directors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4938" w:type="dxa"/>
                        <w:jc w:val="left"/>
                        <w:tblInd w:w="0" w:type="dxa"/>
                        <w:tblLayout w:type="fixed"/>
                        <w:tblCellMar>
                          <w:top w:w="0" w:type="dxa"/>
                          <w:left w:w="0" w:type="dxa"/>
                          <w:bottom w:w="0" w:type="dxa"/>
                          <w:right w:w="0" w:type="dxa"/>
                        </w:tblCellMar>
                      </w:tblPr>
                      <w:tblGrid>
                        <w:gridCol w:w="68"/>
                        <w:gridCol w:w="140"/>
                        <w:gridCol w:w="473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4730" w:type="dxa"/>
                            <w:tcBorders/>
                            <w:vAlign w:val="center"/>
                          </w:tcPr>
                          <w:p>
                            <w:pPr>
                              <w:pStyle w:val="TableContents"/>
                              <w:bidi w:val="0"/>
                              <w:spacing w:before="0" w:after="283"/>
                              <w:jc w:val="left"/>
                              <w:rPr>
                                <w:color w:val="58595B"/>
                                <w:sz w:val="22"/>
                              </w:rPr>
                            </w:pPr>
                            <w:r>
                              <w:rPr>
                                <w:color w:val="58595B"/>
                                <w:sz w:val="22"/>
                              </w:rPr>
                              <w:t xml:space="preserve">Clawback policy in compliance with NYSE rules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5988" w:type="dxa"/>
                        <w:jc w:val="left"/>
                        <w:tblInd w:w="0" w:type="dxa"/>
                        <w:tblLayout w:type="fixed"/>
                        <w:tblCellMar>
                          <w:top w:w="0" w:type="dxa"/>
                          <w:left w:w="0" w:type="dxa"/>
                          <w:bottom w:w="0" w:type="dxa"/>
                          <w:right w:w="0" w:type="dxa"/>
                        </w:tblCellMar>
                      </w:tblPr>
                      <w:tblGrid>
                        <w:gridCol w:w="68"/>
                        <w:gridCol w:w="140"/>
                        <w:gridCol w:w="578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5780" w:type="dxa"/>
                            <w:tcBorders/>
                            <w:vAlign w:val="center"/>
                          </w:tcPr>
                          <w:p>
                            <w:pPr>
                              <w:pStyle w:val="TableContents"/>
                              <w:bidi w:val="0"/>
                              <w:spacing w:before="0" w:after="283"/>
                              <w:jc w:val="left"/>
                              <w:rPr>
                                <w:color w:val="58595B"/>
                                <w:sz w:val="22"/>
                              </w:rPr>
                            </w:pPr>
                            <w:r>
                              <w:rPr>
                                <w:color w:val="58595B"/>
                                <w:sz w:val="22"/>
                              </w:rPr>
                              <w:t xml:space="preserve">No supermajority voting requirement for shareholders to act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6183" w:type="dxa"/>
                        <w:jc w:val="left"/>
                        <w:tblInd w:w="0" w:type="dxa"/>
                        <w:tblLayout w:type="fixed"/>
                        <w:tblCellMar>
                          <w:top w:w="0" w:type="dxa"/>
                          <w:left w:w="0" w:type="dxa"/>
                          <w:bottom w:w="0" w:type="dxa"/>
                          <w:right w:w="0" w:type="dxa"/>
                        </w:tblCellMar>
                      </w:tblPr>
                      <w:tblGrid>
                        <w:gridCol w:w="68"/>
                        <w:gridCol w:w="140"/>
                        <w:gridCol w:w="597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5975" w:type="dxa"/>
                            <w:tcBorders/>
                            <w:vAlign w:val="center"/>
                          </w:tcPr>
                          <w:p>
                            <w:pPr>
                              <w:pStyle w:val="TableContents"/>
                              <w:bidi w:val="0"/>
                              <w:spacing w:before="0" w:after="283"/>
                              <w:jc w:val="left"/>
                              <w:rPr>
                                <w:color w:val="58595B"/>
                                <w:sz w:val="22"/>
                              </w:rPr>
                            </w:pPr>
                            <w:r>
                              <w:rPr>
                                <w:color w:val="58595B"/>
                                <w:sz w:val="22"/>
                              </w:rPr>
                              <w:t xml:space="preserve">Stand-alone independent related person transaction committee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9997" w:type="dxa"/>
                            <w:tcBorders/>
                            <w:vAlign w:val="center"/>
                          </w:tcPr>
                          <w:p>
                            <w:pPr>
                              <w:pStyle w:val="TableContents"/>
                              <w:bidi w:val="0"/>
                              <w:spacing w:before="0" w:after="283"/>
                              <w:jc w:val="left"/>
                              <w:rPr>
                                <w:color w:val="58595B"/>
                                <w:sz w:val="22"/>
                              </w:rPr>
                            </w:pPr>
                            <w:r>
                              <w:rPr>
                                <w:color w:val="58595B"/>
                                <w:sz w:val="22"/>
                              </w:rPr>
                              <w:t xml:space="preserve">Proposal to amend Articles of Incorporation to implement annual elections of directors following strong shareholder support at the 2025 annual meeting </w:t>
                            </w:r>
                          </w:p>
                        </w:tc>
                      </w:tr>
                    </w:tbl>
                    <w:p>
                      <w:pPr>
                        <w:pStyle w:val="TextBody"/>
                        <w:bidi w:val="0"/>
                        <w:spacing w:before="0" w:after="283"/>
                        <w:ind w:left="0" w:right="0" w:hanging="0"/>
                        <w:jc w:val="left"/>
                        <w:rPr/>
                      </w:pPr>
                      <w:r>
                        <w:rPr/>
                      </w:r>
                    </w:p>
                  </w:txbxContent>
                </v:textbox>
                <w10:wrap type="square" side="left"/>
              </v:rect>
            </w:pict>
          </mc:Fallback>
        </mc:AlternateConten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i w:val="false"/>
          <w:caps w:val="false"/>
          <w:smallCaps w:val="false"/>
          <w:color w:val="274F78"/>
          <w:sz w:val="40"/>
        </w:rPr>
      </w:pPr>
      <w:r>
        <w:rPr>
          <w:rFonts w:ascii="Arial;Helvetica;Sans-Serif" w:hAnsi="Arial;Helvetica;Sans-Serif"/>
          <w:b/>
          <w:i w:val="false"/>
          <w:caps w:val="false"/>
          <w:smallCaps w:val="false"/>
          <w:color w:val="274F78"/>
          <w:sz w:val="40"/>
        </w:rPr>
        <w:t>CORPORATE GOVERNANCE AND RELATED MATTERS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i w:val="false"/>
          <w:caps w:val="false"/>
          <w:smallCaps w:val="false"/>
          <w:color w:val="55779A"/>
          <w:sz w:val="28"/>
        </w:rPr>
      </w:pPr>
      <w:r>
        <w:rPr>
          <w:rFonts w:ascii="Arial;Helvetica;Sans-Serif" w:hAnsi="Arial;Helvetica;Sans-Serif"/>
          <w:b/>
          <w:i w:val="false"/>
          <w:caps w:val="false"/>
          <w:smallCaps w:val="false"/>
          <w:color w:val="55779A"/>
          <w:sz w:val="28"/>
        </w:rPr>
        <w:t>CORPORATE GOVERNANCE GUIDELINES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corporate governance guidelines provide, along with the charters of the committees of the board of directors, a framework for the functioning of the board of directors and its committees and establish a common set of expectations as to how the board of directors should perform its functions. The Corporate Governance Guidelines address a number of areas including the size and composition of the board, board membership criteria and director qualifications, director responsibilities, board agenda, roles of the Chairman of the board of directors, Chief Executive Officer and Lead Director, meetings of independent directors, committee responsibilities</w:t>
      </w:r>
    </w:p>
    <w:p>
      <w:pPr>
        <w:pStyle w:val="TextBody"/>
        <w:bidi w:val="0"/>
        <w:spacing w:before="0" w:after="0"/>
        <w:ind w:left="1440" w:right="1080" w:hanging="0"/>
        <w:jc w:val="left"/>
        <w:rPr>
          <w:caps w:val="false"/>
          <w:smallCaps w:val="false"/>
          <w:color w:val="58595B"/>
        </w:rPr>
      </w:pPr>
      <w:r>
        <w:rPr>
          <w:caps w:val="false"/>
          <w:smallCaps w:val="false"/>
          <w:color w:val="58595B"/>
        </w:rPr>
        <w:t> </w:t>
      </w:r>
    </w:p>
    <w:tbl>
      <w:tblPr>
        <w:tblW w:w="3325" w:type="dxa"/>
        <w:jc w:val="left"/>
        <w:tblInd w:w="0" w:type="dxa"/>
        <w:tblLayout w:type="fixed"/>
        <w:tblCellMar>
          <w:top w:w="0" w:type="dxa"/>
          <w:left w:w="0" w:type="dxa"/>
          <w:bottom w:w="0" w:type="dxa"/>
          <w:right w:w="0" w:type="dxa"/>
        </w:tblCellMar>
      </w:tblPr>
      <w:tblGrid>
        <w:gridCol w:w="105"/>
        <w:gridCol w:w="3005"/>
        <w:gridCol w:w="21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21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8</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21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1E5E9E"/>
          <w:sz w:val="22"/>
        </w:rPr>
      </w:pPr>
      <w:r>
        <w:rPr>
          <w:rFonts w:ascii="Arial;Helvetica;Sans-Serif" w:hAnsi="Arial;Helvetica;Sans-Serif"/>
          <w:b w:val="false"/>
          <w:i w:val="false"/>
          <w:caps w:val="false"/>
          <w:smallCaps w:val="false"/>
          <w:color w:val="58595B"/>
          <w:sz w:val="22"/>
        </w:rPr>
        <w:t>and assignments, board member access to management and independent advisors, director communications with third parties, director compensation, director orientation and continuing education, evaluation of senior management and management succession planning. These guidelines specifically provide that a majority of the members of the board of directors must be outside directors whom the board of directors has determined have no material relationship with us and who otherwise meet the independence criteria established by the New York Stock Exchange. The board of directors reviews these guidelines and other aspects of our governance at least annually. A copy of our Corporate Governance Guidelines is available for review on our website at</w:t>
      </w:r>
      <w:r>
        <w:rPr>
          <w:rFonts w:ascii="Arial;Helvetica;Sans-Serif" w:hAnsi="Arial;Helvetica;Sans-Serif"/>
          <w:b w:val="false"/>
          <w:i w:val="false"/>
          <w:caps w:val="false"/>
          <w:smallCaps w:val="false"/>
          <w:color w:val="1E5E9E"/>
          <w:sz w:val="22"/>
        </w:rPr>
        <w:t xml:space="preserve"> </w:t>
      </w:r>
      <w:r>
        <w:rPr>
          <w:rFonts w:ascii="Arial;Helvetica;Sans-Serif" w:hAnsi="Arial;Helvetica;Sans-Serif"/>
          <w:b/>
          <w:i w:val="false"/>
          <w:caps w:val="false"/>
          <w:smallCaps w:val="false"/>
          <w:color w:val="1E5E9E"/>
          <w:sz w:val="22"/>
        </w:rPr>
        <w:t>www.investor.fnf.com</w:t>
      </w:r>
      <w:r>
        <w:rPr>
          <w:rFonts w:ascii="Arial;Helvetica;Sans-Serif" w:hAnsi="Arial;Helvetica;Sans-Serif"/>
          <w:b w:val="false"/>
          <w:i w:val="false"/>
          <w:caps w:val="false"/>
          <w:smallCaps w:val="false"/>
          <w:color w:val="333333"/>
          <w:sz w:val="22"/>
        </w:rPr>
        <w:t>.</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i w:val="false"/>
          <w:caps w:val="false"/>
          <w:smallCaps w:val="false"/>
          <w:color w:val="55779A"/>
          <w:sz w:val="28"/>
        </w:rPr>
      </w:pPr>
      <w:r>
        <w:rPr>
          <w:rFonts w:ascii="Arial;Helvetica;Sans-Serif" w:hAnsi="Arial;Helvetica;Sans-Serif"/>
          <w:b/>
          <w:i w:val="false"/>
          <w:caps w:val="false"/>
          <w:smallCaps w:val="false"/>
          <w:color w:val="55779A"/>
          <w:sz w:val="28"/>
        </w:rPr>
        <w:t>CODES OF ETHICS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 xml:space="preserve">Our board of directors has adopted a Code of Ethics for Senior Financial Officers, which is applicable to our Chief Executive Officer, our Chief Financial Officer and our Chief Accounting Officer, and a Code of Business Conduct and Ethics, which is applicable to all our directors, officers and employees. The purpose of these codes is to: (i) promote honest and ethical conduct, including the ethical handling of conflicts of interest; (ii) promote full, fair, accurate, timely and understandable disclosure; (iii) promote compliance with applicable laws and governmental rules and regulations; (iv) ensure the protection of our legitimate business interests, including corporate opportunities, assets and confidential information; and (v) deter wrongdoing. Our codes of ethics are designed to maintain our commitment to our longstanding standards for ethical business practices. Our reputation for integrity is one of our most important assets and each of our employees and directors is expected to contribute to the care and preservation of that asset. Under our codes of ethics, an amendment to or a waiver or modification of any ethics policy applicable to our directors or executive officers must be disclosed to the extent required under Securities and Exchange Commission and/or New York Stock Exchange rules. We intend to disclose any such amendment or waiver by posting it on our website at </w:t>
      </w:r>
      <w:r>
        <w:rPr>
          <w:rFonts w:ascii="Arial;Helvetica;Sans-Serif" w:hAnsi="Arial;Helvetica;Sans-Serif"/>
          <w:b/>
          <w:i w:val="false"/>
          <w:caps w:val="false"/>
          <w:smallCaps w:val="false"/>
          <w:color w:val="1E5E9E"/>
          <w:sz w:val="22"/>
        </w:rPr>
        <w:t>www.investor.fnf.com</w:t>
      </w:r>
      <w:r>
        <w:rPr>
          <w:rFonts w:ascii="Arial;Helvetica;Sans-Serif" w:hAnsi="Arial;Helvetica;Sans-Serif"/>
          <w:b w:val="false"/>
          <w:i w:val="false"/>
          <w:caps w:val="false"/>
          <w:smallCaps w:val="false"/>
          <w:color w:val="333333"/>
          <w:sz w:val="22"/>
        </w:rPr>
        <w:t>.</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 xml:space="preserve">Copies of our Code of Business Conduct and Ethics and our Code of Ethics for Senior Financial Officers are available for review on our website at </w:t>
      </w:r>
      <w:r>
        <w:rPr>
          <w:rFonts w:ascii="Arial;Helvetica;Sans-Serif" w:hAnsi="Arial;Helvetica;Sans-Serif"/>
          <w:b/>
          <w:i w:val="false"/>
          <w:caps w:val="false"/>
          <w:smallCaps w:val="false"/>
          <w:color w:val="1E5E9E"/>
          <w:sz w:val="22"/>
        </w:rPr>
        <w:t>www.investor.fnf.com</w:t>
      </w:r>
      <w:r>
        <w:rPr>
          <w:rFonts w:ascii="Arial;Helvetica;Sans-Serif" w:hAnsi="Arial;Helvetica;Sans-Serif"/>
          <w:b w:val="false"/>
          <w:i w:val="false"/>
          <w:caps w:val="false"/>
          <w:smallCaps w:val="false"/>
          <w:color w:val="333333"/>
          <w:sz w:val="22"/>
        </w:rPr>
        <w:t>.</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i w:val="false"/>
          <w:caps w:val="false"/>
          <w:smallCaps w:val="false"/>
          <w:color w:val="55779A"/>
          <w:sz w:val="28"/>
        </w:rPr>
      </w:pPr>
      <w:r>
        <w:rPr>
          <w:rFonts w:ascii="Arial;Helvetica;Sans-Serif" w:hAnsi="Arial;Helvetica;Sans-Serif"/>
          <w:b/>
          <w:i w:val="false"/>
          <w:caps w:val="false"/>
          <w:smallCaps w:val="false"/>
          <w:color w:val="55779A"/>
          <w:sz w:val="28"/>
        </w:rPr>
        <w:t>SUSTAINABILITY</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Company and board of directors are committed to addressing sustainability issues to better serve our employees, business partners, and the communities impacted by our business operations.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 xml:space="preserve">Maintaining a sustainable business starts with being transparent about our business practices, corporate governance, environmental impact, and our commitments to our stakeholders. Each year we publish a Sustainability Report that discusses our progress. To learn more about our efforts, please view our most recent reports via our website, </w:t>
      </w:r>
      <w:r>
        <w:rPr>
          <w:rFonts w:ascii="Arial;Helvetica;Sans-Serif" w:hAnsi="Arial;Helvetica;Sans-Serif"/>
          <w:b/>
          <w:i w:val="false"/>
          <w:caps w:val="false"/>
          <w:smallCaps w:val="false"/>
          <w:color w:val="1E5E9E"/>
          <w:sz w:val="22"/>
        </w:rPr>
        <w:t>www.fnf.com/sustainability</w:t>
      </w:r>
      <w:r>
        <w:rPr>
          <w:rFonts w:ascii="Arial;Helvetica;Sans-Serif" w:hAnsi="Arial;Helvetica;Sans-Serif"/>
          <w:b w:val="false"/>
          <w:i w:val="false"/>
          <w:caps w:val="false"/>
          <w:smallCaps w:val="false"/>
          <w:color w:val="58595B"/>
          <w:sz w:val="22"/>
        </w:rPr>
        <w:t>. We expect to publish our 2025 report in Summer 2026.</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sustainability commitments focus on:</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i w:val="false"/>
          <w:caps w:val="false"/>
          <w:smallCaps w:val="false"/>
          <w:color w:val="58595B"/>
          <w:sz w:val="22"/>
        </w:rPr>
        <w:t xml:space="preserve">Protecting Property Owners: </w:t>
      </w:r>
      <w:r>
        <w:rPr>
          <w:rFonts w:ascii="Arial;Helvetica;Sans-Serif" w:hAnsi="Arial;Helvetica;Sans-Serif"/>
          <w:b w:val="false"/>
          <w:i w:val="false"/>
          <w:caps w:val="false"/>
          <w:smallCaps w:val="false"/>
          <w:color w:val="58595B"/>
          <w:sz w:val="22"/>
        </w:rPr>
        <w:t>Our policyholders depend on the strength and security of a reputable title insurance company to protect their property for years to come. As a provider of title insurance, we protect the rights of the insured – both residential and commercial property owners – against fraudulent and unexpected legal and financial claims that may arise after closing.</w:t>
      </w:r>
    </w:p>
    <w:p>
      <w:pPr>
        <w:pStyle w:val="TextBody"/>
        <w:bidi w:val="0"/>
        <w:spacing w:before="0" w:after="0"/>
        <w:ind w:left="1440" w:right="1080" w:hanging="0"/>
        <w:jc w:val="left"/>
        <w:rPr>
          <w:caps w:val="false"/>
          <w:smallCaps w:val="false"/>
          <w:color w:val="58595B"/>
        </w:rPr>
      </w:pPr>
      <w:r>
        <w:rPr>
          <w:caps w:val="false"/>
          <w:smallCaps w:val="false"/>
          <w:color w:val="58595B"/>
        </w:rPr>
        <w:t> </w:t>
      </w:r>
    </w:p>
    <w:tbl>
      <w:tblPr>
        <w:tblW w:w="3325" w:type="dxa"/>
        <w:jc w:val="left"/>
        <w:tblInd w:w="0" w:type="dxa"/>
        <w:tblLayout w:type="fixed"/>
        <w:tblCellMar>
          <w:top w:w="0" w:type="dxa"/>
          <w:left w:w="0" w:type="dxa"/>
          <w:bottom w:w="0" w:type="dxa"/>
          <w:right w:w="0" w:type="dxa"/>
        </w:tblCellMar>
      </w:tblPr>
      <w:tblGrid>
        <w:gridCol w:w="185"/>
        <w:gridCol w:w="3005"/>
        <w:gridCol w:w="135"/>
      </w:tblGrid>
      <w:tr>
        <w:trPr/>
        <w:tc>
          <w:tcPr>
            <w:tcW w:w="18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9</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18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F&amp;G's product solutions also support our clients in achieving their retirement goals and improving their financial lives, while protecting against unforeseen events through life insurance policies.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i w:val="false"/>
          <w:caps w:val="false"/>
          <w:smallCaps w:val="false"/>
          <w:color w:val="58595B"/>
          <w:sz w:val="22"/>
        </w:rPr>
        <w:t xml:space="preserve">Consumer Data and Fraud Protection: </w:t>
      </w:r>
      <w:r>
        <w:rPr>
          <w:rFonts w:ascii="Arial;Helvetica;Sans-Serif" w:hAnsi="Arial;Helvetica;Sans-Serif"/>
          <w:b w:val="false"/>
          <w:i w:val="false"/>
          <w:caps w:val="false"/>
          <w:smallCaps w:val="false"/>
          <w:color w:val="58595B"/>
          <w:sz w:val="22"/>
        </w:rPr>
        <w:t>The safety and security of our policyholders, customers, vendors and employees is a top priority. We maintain rigorous information security, internal auditing protocols and monitoring to protect funds and private information while in our custody. We continuously work hard to educate and protect our stakeholders from deceitful practices by enhancing fraud prevention programs.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i w:val="false"/>
          <w:caps w:val="false"/>
          <w:smallCaps w:val="false"/>
          <w:color w:val="58595B"/>
          <w:sz w:val="22"/>
        </w:rPr>
        <w:t xml:space="preserve">Preserving the Environment: </w:t>
      </w:r>
      <w:r>
        <w:rPr>
          <w:rFonts w:ascii="Arial;Helvetica;Sans-Serif" w:hAnsi="Arial;Helvetica;Sans-Serif"/>
          <w:b w:val="false"/>
          <w:i w:val="false"/>
          <w:caps w:val="false"/>
          <w:smallCaps w:val="false"/>
          <w:color w:val="58595B"/>
          <w:sz w:val="22"/>
        </w:rPr>
        <w:t>FNF integrates environmental management practices into our operations, including our facilities. As part of the Company's commitment to preserving the environment, we understand our duty to protect the local environments where we operate and that climate change may present risks and opportunities for our business. Annually, we conduct a climate risk assessment to understand climate-related risks that may impact our business and to manage these risks through our enterprise risk management systems.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are actively working to analyze and reduce FNF's environmental footprint across our locations. Efforts include monitoring and mitigating our carbon footprint, installing water filters to promote use of reusable water bottles, and participating in plastic, paper and electronic recycling programs. FNF monitors its Scope 1 and 2 emissions at Jacksonville Campus and other leased and owned office locations. Emissions data for our Jacksonville headquarters location, and for select subsidiaries, is published in the most recent Sustainability report. As part of a traditionally paper-intensive industry, we have implemented customer-focused technology to significantly reduce paper consumption in real estate transactions demonstrating our commitment to moving the title insurance industry in a more sustainable direction.</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i w:val="false"/>
          <w:caps w:val="false"/>
          <w:smallCaps w:val="false"/>
          <w:color w:val="58595B"/>
          <w:sz w:val="22"/>
        </w:rPr>
        <w:t xml:space="preserve">Supporting Our Employees and Communities: </w:t>
      </w:r>
      <w:r>
        <w:rPr>
          <w:rFonts w:ascii="Arial;Helvetica;Sans-Serif" w:hAnsi="Arial;Helvetica;Sans-Serif"/>
          <w:b w:val="false"/>
          <w:i w:val="false"/>
          <w:caps w:val="false"/>
          <w:smallCaps w:val="false"/>
          <w:color w:val="58595B"/>
          <w:sz w:val="22"/>
        </w:rPr>
        <w:t>As one of FNF's greatest assets, we are dedicated to providing employees with opportunities to expand their knowledge base and develop skills for career advancement. Additionally, we are committed to building a diverse and inclusive workplace and we strongly believe the diversity of our clients should be reflected among our employees. With over 1,300 locations throughout the United States and Canada and over 24,000 employees, we are positioned to make a difference within our communities. Through local community involvement, corporate initiatives, philanthropic giving and an active community volunteer ethos, we work hard each day to support the communities where we live and operate.</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i w:val="false"/>
          <w:caps w:val="false"/>
          <w:smallCaps w:val="false"/>
          <w:color w:val="58595B"/>
          <w:sz w:val="22"/>
        </w:rPr>
        <w:t xml:space="preserve">High Standard of Conduct: </w:t>
      </w:r>
      <w:r>
        <w:rPr>
          <w:rFonts w:ascii="Arial;Helvetica;Sans-Serif" w:hAnsi="Arial;Helvetica;Sans-Serif"/>
          <w:b w:val="false"/>
          <w:i w:val="false"/>
          <w:caps w:val="false"/>
          <w:smallCaps w:val="false"/>
          <w:color w:val="58595B"/>
          <w:sz w:val="22"/>
        </w:rPr>
        <w:t>The Company adheres to applicable laws, regulations and principles of conduct to protect the public's trust, ensure conscientious performance and preserve FNF's legacy of honesty and strong ethical standards. FNF has implemented strong governance practices, policies, training and reporting avenues designed to encourage all employees to adhere to our high standards for business integrity.</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0" w:hanging="0"/>
        <w:jc w:val="left"/>
        <w:rPr>
          <w:rFonts w:ascii="Arial;Helvetica;Sans-Serif" w:hAnsi="Arial;Helvetica;Sans-Serif"/>
          <w:b/>
          <w:i w:val="false"/>
          <w:caps w:val="false"/>
          <w:smallCaps w:val="false"/>
          <w:color w:val="8A9CBB"/>
          <w:sz w:val="24"/>
        </w:rPr>
      </w:pPr>
      <w:r>
        <w:rPr>
          <w:rFonts w:ascii="Arial;Helvetica;Sans-Serif" w:hAnsi="Arial;Helvetica;Sans-Serif"/>
          <w:b/>
          <w:i w:val="false"/>
          <w:caps w:val="false"/>
          <w:smallCaps w:val="false"/>
          <w:color w:val="8A9CBB"/>
          <w:sz w:val="24"/>
        </w:rPr>
        <w:t>KEY 2025 SUSTAINABILITY ACCOMPLISHMENTS</w:t>
      </w:r>
    </w:p>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8163" w:type="dxa"/>
        <w:jc w:val="left"/>
        <w:tblInd w:w="0" w:type="dxa"/>
        <w:tblLayout w:type="fixed"/>
        <w:tblCellMar>
          <w:top w:w="0" w:type="dxa"/>
          <w:left w:w="0" w:type="dxa"/>
          <w:bottom w:w="0" w:type="dxa"/>
          <w:right w:w="0" w:type="dxa"/>
        </w:tblCellMar>
      </w:tblPr>
      <w:tblGrid>
        <w:gridCol w:w="68"/>
        <w:gridCol w:w="140"/>
        <w:gridCol w:w="795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7955" w:type="dxa"/>
            <w:tcBorders/>
            <w:vAlign w:val="center"/>
          </w:tcPr>
          <w:p>
            <w:pPr>
              <w:pStyle w:val="TableContents"/>
              <w:bidi w:val="0"/>
              <w:spacing w:before="0" w:after="283"/>
              <w:jc w:val="left"/>
              <w:rPr>
                <w:sz w:val="22"/>
              </w:rPr>
            </w:pPr>
            <w:r>
              <w:rPr>
                <w:sz w:val="22"/>
              </w:rPr>
              <w:t xml:space="preserve">Continued to monitor risks and opportunities related to our climate risk assessment. </w:t>
            </w:r>
          </w:p>
        </w:tc>
      </w:tr>
    </w:tbl>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6273" w:type="dxa"/>
        <w:jc w:val="left"/>
        <w:tblInd w:w="0" w:type="dxa"/>
        <w:tblLayout w:type="fixed"/>
        <w:tblCellMar>
          <w:top w:w="0" w:type="dxa"/>
          <w:left w:w="0" w:type="dxa"/>
          <w:bottom w:w="0" w:type="dxa"/>
          <w:right w:w="0" w:type="dxa"/>
        </w:tblCellMar>
      </w:tblPr>
      <w:tblGrid>
        <w:gridCol w:w="68"/>
        <w:gridCol w:w="140"/>
        <w:gridCol w:w="606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left"/>
              <w:rPr>
                <w:sz w:val="22"/>
              </w:rPr>
            </w:pPr>
            <w:r>
              <w:rPr>
                <w:sz w:val="22"/>
              </w:rPr>
              <w:t>Calculated our emissions scopes across our real estate portfolio.</w:t>
            </w:r>
          </w:p>
        </w:tc>
      </w:tr>
    </w:tbl>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Revised and developed key policies and statements to reflect our ongoing commitment to sustainability-related risks. </w:t>
            </w:r>
          </w:p>
        </w:tc>
      </w:tr>
    </w:tbl>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10</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0" w:hanging="0"/>
        <w:jc w:val="left"/>
        <w:rPr>
          <w:rFonts w:ascii="Arial;Helvetica;Sans-Serif" w:hAnsi="Arial;Helvetica;Sans-Serif"/>
          <w:b/>
          <w:i w:val="false"/>
          <w:caps w:val="false"/>
          <w:smallCaps w:val="false"/>
          <w:color w:val="8A9CBB"/>
          <w:sz w:val="24"/>
        </w:rPr>
      </w:pPr>
      <w:r>
        <w:rPr>
          <w:rFonts w:ascii="Arial;Helvetica;Sans-Serif" w:hAnsi="Arial;Helvetica;Sans-Serif"/>
          <w:b/>
          <w:i w:val="false"/>
          <w:caps w:val="false"/>
          <w:smallCaps w:val="false"/>
          <w:color w:val="8A9CBB"/>
          <w:sz w:val="24"/>
        </w:rPr>
        <w:t>BOARD AND SUSTAINABILITY OVERSIGHT</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FNF is committed to strong governance systems and policies that ensure fair, transparent and efficient business practices. To honor that commitment, our management team leads our sustainability efforts with oversight from the audit committee, which reports to the board of directors.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0" w:hanging="0"/>
        <w:jc w:val="left"/>
        <w:rPr>
          <w:rFonts w:ascii="Arial;Helvetica;Sans-Serif" w:hAnsi="Arial;Helvetica;Sans-Serif"/>
          <w:b/>
          <w:i w:val="false"/>
          <w:caps w:val="false"/>
          <w:smallCaps w:val="false"/>
          <w:color w:val="8A9CBB"/>
          <w:sz w:val="24"/>
        </w:rPr>
      </w:pPr>
      <w:r>
        <w:rPr>
          <w:rFonts w:ascii="Arial;Helvetica;Sans-Serif" w:hAnsi="Arial;Helvetica;Sans-Serif"/>
          <w:b/>
          <w:i w:val="false"/>
          <w:caps w:val="false"/>
          <w:smallCaps w:val="false"/>
          <w:color w:val="8A9CBB"/>
          <w:sz w:val="24"/>
        </w:rPr>
        <w:t>SUSTAINABILITY DUE DILIGENCE</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Sustainability is embedded across FNF's approach to mergers and acquisitions. To maximize the value of each of our diverse assets, our management team takes a holistic approach and reviews sustainability practices that are material to a potential investment. We believe that managing sustainability issues in our mergers and acquisitions helps FNF generate stronger returns for our shareholders while improving our impact on the community.</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0" w:hanging="0"/>
        <w:jc w:val="left"/>
        <w:rPr>
          <w:rFonts w:ascii="Arial;Helvetica;Sans-Serif" w:hAnsi="Arial;Helvetica;Sans-Serif"/>
          <w:b/>
          <w:i w:val="false"/>
          <w:caps w:val="false"/>
          <w:smallCaps w:val="false"/>
          <w:color w:val="8A9CBB"/>
          <w:sz w:val="24"/>
        </w:rPr>
      </w:pPr>
      <w:r>
        <w:rPr>
          <w:rFonts w:ascii="Arial;Helvetica;Sans-Serif" w:hAnsi="Arial;Helvetica;Sans-Serif"/>
          <w:b/>
          <w:i w:val="false"/>
          <w:caps w:val="false"/>
          <w:smallCaps w:val="false"/>
          <w:color w:val="8A9CBB"/>
          <w:sz w:val="24"/>
        </w:rPr>
        <w:t>SUSTAINABILITY RISK MANAGEMENT</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FNF recognizes that sustainability risks, including climate change and severe weather conditions, cybersecurity breaches, geopolitical dynamics and other catastrophic events may impact our business. At FNF, we manage material risks through our Enterprise Risk Management (</w:t>
      </w:r>
      <w:r>
        <w:rPr>
          <w:rFonts w:ascii="Arial;Helvetica;Sans-Serif" w:hAnsi="Arial;Helvetica;Sans-Serif"/>
          <w:b w:val="false"/>
          <w:i/>
          <w:caps w:val="false"/>
          <w:smallCaps w:val="false"/>
          <w:color w:val="58595B"/>
          <w:sz w:val="22"/>
        </w:rPr>
        <w:t>ERM</w:t>
      </w:r>
      <w:r>
        <w:rPr>
          <w:rFonts w:ascii="Arial;Helvetica;Sans-Serif" w:hAnsi="Arial;Helvetica;Sans-Serif"/>
          <w:b w:val="false"/>
          <w:i w:val="false"/>
          <w:caps w:val="false"/>
          <w:smallCaps w:val="false"/>
          <w:color w:val="58595B"/>
          <w:sz w:val="22"/>
        </w:rPr>
        <w:t>) program. Our ERM program is overseen by our Chief Risk Officer. Our Chief Risk Officer reports to the audit committee of our board of directors regularly about our ERM and Business Continuity programs. At the management level, FNF manages risk through a cross-functional committee of members of senior management known as the Enterprise Risk Steering Committee (</w:t>
      </w:r>
      <w:r>
        <w:rPr>
          <w:rFonts w:ascii="Arial;Helvetica;Sans-Serif" w:hAnsi="Arial;Helvetica;Sans-Serif"/>
          <w:b w:val="false"/>
          <w:i/>
          <w:caps w:val="false"/>
          <w:smallCaps w:val="false"/>
          <w:color w:val="58595B"/>
          <w:sz w:val="22"/>
        </w:rPr>
        <w:t>ERSC</w:t>
      </w:r>
      <w:r>
        <w:rPr>
          <w:rFonts w:ascii="Arial;Helvetica;Sans-Serif" w:hAnsi="Arial;Helvetica;Sans-Serif"/>
          <w:b w:val="false"/>
          <w:i w:val="false"/>
          <w:caps w:val="false"/>
          <w:smallCaps w:val="false"/>
          <w:color w:val="58595B"/>
          <w:sz w:val="22"/>
        </w:rPr>
        <w:t>). This group identifies key enterprise risks, from strategic, operational, financial, legal, information technology and cyber and physical security, and compliance perspectives.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ERM program works diligently to identify, assess, and manage risks. This includes conducting risk assessments on our material risks and reviewing proposed new products and services for possible climate impacts outside of current operations. Consistent with FNF's processes for other risk assessments, our ERM team meets with key stakeholders in FNF's corporate control and operational groups to develop an overall risk inventory related to climate-related risk. In conjunction with our climate-related risk assessment, we enhanced and developed key policies and statements to further embed consideration of climate risk into our business strategy and financial planning. Our approach includes our Environmental Policy Statement, integration of climate-related and other sustainability risks into our ERM program, and consideration of climate-related and other sustainability risks when conducting due diligence for potential acquisitions and new product and service offerings.</w:t>
      </w:r>
    </w:p>
    <w:p>
      <w:pPr>
        <w:pStyle w:val="TextBody"/>
        <w:bidi w:val="0"/>
        <w:spacing w:before="0" w:after="0"/>
        <w:ind w:left="1440" w:right="108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As part of our investment strategy, we regularly identify and monitor numerous risks that could have a detrimental impact on our investment portfolio. We have revised our Investment Policy to incorporate consideration of material climate-related risk, including risks that relate to the changing domestic and global market for energy generation and the related regulatory environment, as part of our investment strategy.</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maintain a dedicated Business Continuity Office (</w:t>
      </w:r>
      <w:r>
        <w:rPr>
          <w:rFonts w:ascii="Arial;Helvetica;Sans-Serif" w:hAnsi="Arial;Helvetica;Sans-Serif"/>
          <w:b w:val="false"/>
          <w:i/>
          <w:caps w:val="false"/>
          <w:smallCaps w:val="false"/>
          <w:color w:val="58595B"/>
          <w:sz w:val="22"/>
        </w:rPr>
        <w:t>BCO</w:t>
      </w:r>
      <w:r>
        <w:rPr>
          <w:rFonts w:ascii="Arial;Helvetica;Sans-Serif" w:hAnsi="Arial;Helvetica;Sans-Serif"/>
          <w:b w:val="false"/>
          <w:i w:val="false"/>
          <w:caps w:val="false"/>
          <w:smallCaps w:val="false"/>
          <w:color w:val="58595B"/>
          <w:sz w:val="22"/>
        </w:rPr>
        <w:t>) that is responsible for the implementation of our business continuity program and reports to the Chief Risk Officer. Our business continuity program is part of our ERM program and establishes plans for our core products, processes, and services. This includes predetermined actions to be taken, resources to be used, and procedures to be followed before, during, and after a disaster or other crisis.</w:t>
      </w:r>
    </w:p>
    <w:p>
      <w:pPr>
        <w:pStyle w:val="TextBody"/>
        <w:bidi w:val="0"/>
        <w:spacing w:before="0" w:after="0"/>
        <w:ind w:left="1440" w:right="1080" w:hanging="0"/>
        <w:jc w:val="left"/>
        <w:rPr>
          <w:caps w:val="false"/>
          <w:smallCaps w:val="false"/>
          <w:color w:val="586D94"/>
        </w:rPr>
      </w:pPr>
      <w:r>
        <w:rPr>
          <w:caps w:val="false"/>
          <w:smallCaps w:val="false"/>
          <w:color w:val="586D94"/>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11</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FNF's headquarters are in Jacksonville, Florida, an area at high risk of hurricane and flood damage. We have taken steps to harden our corporate offices in Jacksonville and provided the majority of our employees with the tools they need to work remotely.</w:t>
      </w:r>
    </w:p>
    <w:p>
      <w:pPr>
        <w:pStyle w:val="TextBody"/>
        <w:bidi w:val="0"/>
        <w:spacing w:before="0" w:after="0"/>
        <w:ind w:left="1440" w:right="1080" w:hanging="0"/>
        <w:jc w:val="left"/>
        <w:rPr>
          <w:caps w:val="false"/>
          <w:smallCaps w:val="false"/>
          <w:color w:val="586D94"/>
        </w:rPr>
      </w:pPr>
      <w:r>
        <w:rPr>
          <w:caps w:val="false"/>
          <w:smallCaps w:val="false"/>
          <w:color w:val="586D94"/>
        </w:rPr>
        <w:t> </w:t>
      </w:r>
    </w:p>
    <w:p>
      <w:pPr>
        <w:pStyle w:val="TextBody"/>
        <w:bidi w:val="0"/>
        <w:spacing w:before="0" w:after="0"/>
        <w:ind w:left="1440" w:right="0" w:hanging="0"/>
        <w:jc w:val="left"/>
        <w:rPr>
          <w:rFonts w:ascii="Arial;Helvetica;Sans-Serif" w:hAnsi="Arial;Helvetica;Sans-Serif"/>
          <w:b/>
          <w:i w:val="false"/>
          <w:caps w:val="false"/>
          <w:smallCaps w:val="false"/>
          <w:color w:val="8A9CBB"/>
          <w:sz w:val="24"/>
        </w:rPr>
      </w:pPr>
      <w:r>
        <w:rPr>
          <w:rFonts w:ascii="Arial;Helvetica;Sans-Serif" w:hAnsi="Arial;Helvetica;Sans-Serif"/>
          <w:b/>
          <w:i w:val="false"/>
          <w:caps w:val="false"/>
          <w:smallCaps w:val="false"/>
          <w:color w:val="8A9CBB"/>
          <w:sz w:val="24"/>
        </w:rPr>
        <w:t>INCLUSION</w:t>
      </w:r>
    </w:p>
    <w:p>
      <w:pPr>
        <w:pStyle w:val="TextBody"/>
        <w:bidi w:val="0"/>
        <w:spacing w:before="0" w:after="0"/>
        <w:ind w:left="1440" w:right="108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FNF aims to implement diverse and inclusive practices in all aspects of business operations and the diversity of our employees contributes to our success by offering our clients meaningful customized products and services. We are committed to being an equal opportunity employer and complying with all applicable federal, state and local laws that prohibit employment discrimination on the basis of race, color, creed, religion, age, sex, pregnancy, national origin, ancestry, citizenship status, veteran status, marital status, physical or mental disability, sexual orientation, gender identity or expression (including transgender status), genetic information and any other characteristic protected by applicable federal, state or local laws.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FNF's corporate policies, including our Code of Business Conduct &amp; Ethics, Anti-Harassment, Discrimination, and Bullying Policy, Americans with Disabilities Act Compliance Policy, and Workplace Violence Prevention Policy, prohibit discrimination and harassment. Our Employee Handbook contains our Equal Employment Opportunity and other non-discrimination statements.</w:t>
      </w:r>
    </w:p>
    <w:p>
      <w:pPr>
        <w:pStyle w:val="TextBody"/>
        <w:bidi w:val="0"/>
        <w:spacing w:before="0" w:after="0"/>
        <w:ind w:left="1440" w:right="108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Annually, employees must acknowledge our key corporate non-discrimination policies and complete trainings on topics such as FNF Code of Business Conduct and Ethics, anti-harassment and discrimination. FNF maintains an open-door culture that encourages both employee feedback and provides employees several channels through which to report potential violations.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have many women in leadership roles throughout our organization. As of December 31, 2025, out of approximately 18,800 U.S.-based FNF employees, 69% are women and 31% are men. Two out of eleven board members are women, 43% percent of the members of FNF's leadership team are women and 68% of FNF's non-executive managers are women.</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board of directors leads by example in its commitment to diversity. Our board codified its commitment to considering diversity when selecting new director nominees, including diversity of viewpoints, background, experience, and other demographics such as age, nationality, race, ethnicity, and sexual orientation. FNF's corporate governance and nominating committee is responsible for identifying and nominating future FNF board members. The corporate governance and nominating committee's charter requires it to consider the characteristics of directors and director nominees with the goal of maintaining a mix of skills, background, gender diversity, ethnic diversity, and tenure on the board to support and promote the Company's strategic vision.</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0" w:hanging="0"/>
        <w:jc w:val="left"/>
        <w:rPr>
          <w:rFonts w:ascii="Arial;Helvetica;Sans-Serif" w:hAnsi="Arial;Helvetica;Sans-Serif"/>
          <w:b/>
          <w:i w:val="false"/>
          <w:caps w:val="false"/>
          <w:smallCaps w:val="false"/>
          <w:color w:val="8A9CBB"/>
          <w:sz w:val="24"/>
        </w:rPr>
      </w:pPr>
      <w:r>
        <w:rPr>
          <w:rFonts w:ascii="Arial;Helvetica;Sans-Serif" w:hAnsi="Arial;Helvetica;Sans-Serif"/>
          <w:b/>
          <w:i w:val="false"/>
          <w:caps w:val="false"/>
          <w:smallCaps w:val="false"/>
          <w:color w:val="8A9CBB"/>
          <w:sz w:val="24"/>
        </w:rPr>
        <w:t>DATA PRIVACY AND CYBERSECURITY</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are highly dependent on information technology in the operation of our various businesses. Cybersecurity is an integral part of our operations and is a focus of all employees, including senior management, and our board of directors.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assess, identify and manage cybersecurity risks through various processes within our Enterprise Risk Management Program and Information Security Program. We focus on all areas of cybersecurity, including threat and vulnerability management, security monitoring, identity and access management, phishing awareness, risk oversight, third-party risk management, disaster recovery and continuity management. We have established policies, including those related to</w:t>
      </w:r>
    </w:p>
    <w:p>
      <w:pPr>
        <w:pStyle w:val="TextBody"/>
        <w:bidi w:val="0"/>
        <w:spacing w:before="0" w:after="0"/>
        <w:ind w:left="1440" w:right="1080" w:hanging="0"/>
        <w:jc w:val="left"/>
        <w:rPr>
          <w:caps w:val="false"/>
          <w:smallCaps w:val="false"/>
          <w:color w:val="586D94"/>
        </w:rPr>
      </w:pPr>
      <w:r>
        <w:rPr>
          <w:caps w:val="false"/>
          <w:smallCaps w:val="false"/>
          <w:color w:val="586D94"/>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12</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privacy, information security and cybersecurity, and we employ a broad and diversified set of cybersecurity risk monitoring and risk mitigation techniques. Internal audits, external audits, and self-assessments are conducted to assess the effectiveness and maturity of our Enterprise Risk Management Program and Information Security Program.</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employees are one of our strongest assets in protecting our customers' information and mitigating cybersecurity risk. We maintain comprehensive and tailored training programs that focus on applicable privacy and cybersecurity requirements. Additionally, we make strategic investments in cybersecurity to protect our customers and information systems, including both capital expenditures and operating expenses for hardware, software, personnel and consulting services. To reduce the residual risk associated with cybersecurity, we maintain Miscellaneous Professional Liability Insurance, which provides coverage for cybersecurity incidents.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Corporate Information Security Group is led by our Chief Information Security Officer (</w:t>
      </w:r>
      <w:r>
        <w:rPr>
          <w:rFonts w:ascii="Arial;Helvetica;Sans-Serif" w:hAnsi="Arial;Helvetica;Sans-Serif"/>
          <w:b w:val="false"/>
          <w:i/>
          <w:caps w:val="false"/>
          <w:smallCaps w:val="false"/>
          <w:color w:val="58595B"/>
          <w:sz w:val="22"/>
        </w:rPr>
        <w:t>CISO</w:t>
      </w:r>
      <w:r>
        <w:rPr>
          <w:rFonts w:ascii="Arial;Helvetica;Sans-Serif" w:hAnsi="Arial;Helvetica;Sans-Serif"/>
          <w:b w:val="false"/>
          <w:i w:val="false"/>
          <w:caps w:val="false"/>
          <w:smallCaps w:val="false"/>
          <w:color w:val="58595B"/>
          <w:sz w:val="22"/>
        </w:rPr>
        <w:t>) who is responsible for our information security strategy. This strategy includes policy management, security engineering, identity and access management, vulnerability management and cyber threat detection and response through our Security Operations Center. Our CISO has extensive information technology and program management experience as do many of our employees in our information security group. We believe cybersecurity is a shared responsibility throughout the organization and thus we also manage cybersecurity risks through a cross-functional committee of members of senior management known as the Enterprise Risk Steering Committee, which includes the CISO.</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board has a strong focus on cybersecurity. Our approaches to cybersecurity and privacy risk are overseen by the audit committee. At each regular meeting of the audit committee of our board of directors, our Chief Risk Officer, Chief Compliance Officer, Chief Security Officer, Chief Information Security Officer and Chief Audit Officer provide reports relating to existing and emerging cyber and data security risks, as well as reports on the Company's risk assessments and security incidents. Our audit committee chairman reports on these discussions to our board of directors on a quarterly basis.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For additional information regarding our approach to cybersecurity and related risks, see Item 1A – "Risk Factors" and Item 1C – "Cybersecurity" in our Annual Report on Form 10-K for the year ended December 31, 2025, which was filed with the SEC on February 26, 2026.</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i w:val="false"/>
          <w:caps w:val="false"/>
          <w:smallCaps w:val="false"/>
          <w:color w:val="55779A"/>
          <w:sz w:val="28"/>
        </w:rPr>
      </w:pPr>
      <w:r>
        <w:rPr>
          <w:rFonts w:ascii="Arial;Helvetica;Sans-Serif" w:hAnsi="Arial;Helvetica;Sans-Serif"/>
          <w:b/>
          <w:i w:val="false"/>
          <w:caps w:val="false"/>
          <w:smallCaps w:val="false"/>
          <w:color w:val="55779A"/>
          <w:sz w:val="28"/>
        </w:rPr>
        <w:t>THE BOARD</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board is composed of William P. Foley, II (Chairman), Raymond R. Quirk (Executive Vice-Chairman), Douglas K. Ammerman, Halim Dhanidina, Thomas M. Hagerty, Daniel D. (Ron) Lane, Heather H. Miller, Sandra D. Morgan, John D. Rood, Peter O. Shea, Jr. and Cary H. Thompson.</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board met four times in 2025. All directors attended at least 75% of the meetings of the board and of the committees on which they served during 2025. Our non-management directors also met periodically in executive sessions without management, and our Lead Director presides over these executive sessions. We do not, as a general matter, require our board members to attend our annual meeting of shareholders, although each of our directors is invited to attend our 2026 annual meeting. During 2025, none of our board members attended the annual meeting of shareholders.</w:t>
      </w:r>
    </w:p>
    <w:p>
      <w:pPr>
        <w:pStyle w:val="TextBody"/>
        <w:bidi w:val="0"/>
        <w:spacing w:before="0" w:after="0"/>
        <w:ind w:left="1440" w:right="1080" w:hanging="0"/>
        <w:jc w:val="left"/>
        <w:rPr>
          <w:caps w:val="false"/>
          <w:smallCaps w:val="false"/>
          <w:color w:val="586D94"/>
        </w:rPr>
      </w:pPr>
      <w:r>
        <w:rPr>
          <w:caps w:val="false"/>
          <w:smallCaps w:val="false"/>
          <w:color w:val="586D94"/>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13</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440" w:right="1080" w:hanging="0"/>
        <w:jc w:val="left"/>
        <w:rPr>
          <w:caps w:val="false"/>
          <w:smallCaps w:val="false"/>
          <w:color w:val="586D94"/>
        </w:rPr>
      </w:pPr>
      <w:r>
        <w:rPr>
          <w:caps w:val="false"/>
          <w:smallCaps w:val="false"/>
          <w:color w:val="586D94"/>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i w:val="false"/>
          <w:caps w:val="false"/>
          <w:smallCaps w:val="false"/>
          <w:color w:val="55779A"/>
          <w:sz w:val="28"/>
        </w:rPr>
      </w:pPr>
      <w:r>
        <w:rPr>
          <w:rFonts w:ascii="Arial;Helvetica;Sans-Serif" w:hAnsi="Arial;Helvetica;Sans-Serif"/>
          <w:b/>
          <w:i w:val="false"/>
          <w:caps w:val="false"/>
          <w:smallCaps w:val="false"/>
          <w:color w:val="55779A"/>
          <w:sz w:val="28"/>
        </w:rPr>
        <w:t>MAJORITY VOTING</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board of directors has implemented "majority voting" in uncontested director elections. Pursuant to Section 2.7(h) of our bylaws, each director is elected by a majority of the votes cast with respect to the director at any meeting for the election of directors at which a quorum is present. However, if as of 10 days in advance of the date we file our proxy statement with the SEC the number of director nominees exceeds the number of directors to be elected in such election (</w:t>
      </w:r>
      <w:r>
        <w:rPr>
          <w:rFonts w:ascii="Arial;Helvetica;Sans-Serif" w:hAnsi="Arial;Helvetica;Sans-Serif"/>
          <w:b w:val="false"/>
          <w:i/>
          <w:caps w:val="false"/>
          <w:smallCaps w:val="false"/>
          <w:color w:val="58595B"/>
          <w:sz w:val="22"/>
        </w:rPr>
        <w:t>a contested election</w:t>
      </w:r>
      <w:r>
        <w:rPr>
          <w:rFonts w:ascii="Arial;Helvetica;Sans-Serif" w:hAnsi="Arial;Helvetica;Sans-Serif"/>
          <w:b w:val="false"/>
          <w:i w:val="false"/>
          <w:caps w:val="false"/>
          <w:smallCaps w:val="false"/>
          <w:color w:val="58595B"/>
          <w:sz w:val="22"/>
        </w:rPr>
        <w:t>), the directors are elected by a plurality of the votes cast.</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an uncontested election of directors, any incumbent director who does not receive a majority of the votes cast will promptly tender his resignation to the board of directors. The board will decide, after considering the recommendation of the corporate governance and nominating committee, whether to accept or reject the tendered resignation, or whether other action should be taken. The director nominee in question will not participate in the recommendation or decision-making process. We will publicly disclose an explanation by the board of its decision within 90 days after we publish the election results. If the board determines to accept a director's resignation, or if a director nominee who is not an incumbent director is not elected, then the board, in its sole discretion, may fill any resulting vacancy in accordance with our bylaws.</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i w:val="false"/>
          <w:caps w:val="false"/>
          <w:smallCaps w:val="false"/>
          <w:color w:val="55779A"/>
          <w:sz w:val="28"/>
        </w:rPr>
      </w:pPr>
      <w:r>
        <w:rPr>
          <w:rFonts w:ascii="Arial;Helvetica;Sans-Serif" w:hAnsi="Arial;Helvetica;Sans-Serif"/>
          <w:b/>
          <w:i w:val="false"/>
          <w:caps w:val="false"/>
          <w:smallCaps w:val="false"/>
          <w:color w:val="55779A"/>
          <w:sz w:val="28"/>
        </w:rPr>
        <w:t>DIRECTOR INDEPENDENCE</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All of our directors are non-employees other than Mr. Foley, who serves as Executive Chairman of our majority owned subsidiary F&amp;G since November 2022, and Mr. Quirk, who serves as our Executive Vice-Chairman. The board of directors has determined that Douglas K. Ammerman, Halim Dhanidina, Thomas M. Hagerty, Daniel D. Lane, Sandra D. Morgan, Heather H. Miller, John D. Rood, Peter O. Shea, Jr. and Cary H. Thompson are independent under the criteria established by the New York Stock Exchange and our Corporate Governance Guidelines. The board of directors also reviewed the additional New York Stock Exchange (</w:t>
      </w:r>
      <w:r>
        <w:rPr>
          <w:rFonts w:ascii="Arial;Helvetica;Sans-Serif" w:hAnsi="Arial;Helvetica;Sans-Serif"/>
          <w:b w:val="false"/>
          <w:i/>
          <w:caps w:val="false"/>
          <w:smallCaps w:val="false"/>
          <w:color w:val="58595B"/>
          <w:sz w:val="22"/>
        </w:rPr>
        <w:t>NYSE</w:t>
      </w:r>
      <w:r>
        <w:rPr>
          <w:rFonts w:ascii="Arial;Helvetica;Sans-Serif" w:hAnsi="Arial;Helvetica;Sans-Serif"/>
          <w:b w:val="false"/>
          <w:i w:val="false"/>
          <w:caps w:val="false"/>
          <w:smallCaps w:val="false"/>
          <w:color w:val="58595B"/>
          <w:sz w:val="22"/>
        </w:rPr>
        <w:t>) independence considerations applicable to compensation committee members and determined that Messrs. Hagerty, Lane and Thompson are independent for purposes of service on the compensation committee.</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determining independence, the board considered all relationships that might bear on our directors' independence from FNF. The board determined that Mr. Quirk is not independent because he is our Executive Vice-Chairman and an employee of FNF. The board of directors also determined that William P. Foley, II is not independent because he is Executive Chairman of F&amp;G and an employee of FNF and F&amp;G. For additional information concerning these transactions, see the section titled "Certain Relationships and Related Transactions" below.</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considering the independence of Douglas K. Ammerman, Thomas M. Hagerty, John D. Rood and Cary H. Thompson, the board of directors considered the following factors:</w:t>
      </w:r>
    </w:p>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Messrs. Ammerman, Hagerty and Rood each own a small non-voting minority interest in Black Knight Sports and Entertainment LLC (</w:t>
            </w:r>
            <w:r>
              <w:rPr>
                <w:i/>
                <w:sz w:val="22"/>
              </w:rPr>
              <w:t>BKSE</w:t>
            </w:r>
            <w:r>
              <w:rPr>
                <w:sz w:val="22"/>
              </w:rPr>
              <w:t>), which owns the Vegas Golden Knights. Mr. Foley is the majority interest holder and is Chairman and Chief Executive Officer of BKSE. Messrs. Ammerman, Hagerty and Rood also own a minority interest in Black Knight Football Club US, LP (</w:t>
            </w:r>
            <w:r>
              <w:rPr>
                <w:i/>
                <w:sz w:val="22"/>
              </w:rPr>
              <w:t>BKFC</w:t>
            </w:r>
            <w:r>
              <w:rPr>
                <w:sz w:val="22"/>
              </w:rPr>
              <w:t>), which owns the AFC Bournemouth football club. Mr. Foley is the general partner of BKFC and owns a 24% economic interest in BKFC.</w:t>
            </w:r>
          </w:p>
        </w:tc>
      </w:tr>
    </w:tbl>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Mr. Hagerty serves as a director of Dayforce, Inc., which provides certain payroll-related services to FNF. </w:t>
            </w:r>
          </w:p>
        </w:tc>
      </w:tr>
    </w:tbl>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14</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Mr. Ammerman is Chairman of the Board of Cannae Holdings, Inc. (Cannae). Mr. Foley serves as Vice Chairman of Cannae, and previously served as Chairman, Chief Executive Officer and Chief Investment Officer of Cannae from February 2024 until May 2025, and as Chairman of Cannae from July 2017 until May 2025. Cannae was split off from FNF in 2017. </w:t>
            </w:r>
          </w:p>
        </w:tc>
      </w:tr>
    </w:tbl>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Mr. Ammerman and Mr. Hagerty served on the board of directors of Dun &amp; Bradstreet Holdings, Inc. (DNB) until it was purchased by Clearlake Partners in August 2025 (the </w:t>
            </w:r>
            <w:r>
              <w:rPr>
                <w:i/>
                <w:sz w:val="22"/>
              </w:rPr>
              <w:t>DNB Take-Private</w:t>
            </w:r>
            <w:r>
              <w:rPr>
                <w:sz w:val="22"/>
              </w:rPr>
              <w:t xml:space="preserve">). Mr. Foley served as Executive Chairman of the board of directors of DNB and he and Cannae were significant investors in DNB until the DNB Take-Private. </w:t>
            </w:r>
          </w:p>
        </w:tc>
      </w:tr>
    </w:tbl>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Messrs. Ammerman and Rood serve on the board of directors of majority-owned subsidiary F&amp;G. Mr. Foley is Executive Chairman of the board of F&amp;G. </w:t>
            </w:r>
          </w:p>
        </w:tc>
      </w:tr>
    </w:tbl>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Mr. Thompson is Executive Vice Chairman of Investment at BofA Securities, and affiliate of Bank of America Merrill Lynch, and FNF and F&amp;G made payments to and received payments from entities affiliated with Bank of America Merrill Lynch in 2025. The board of directors determined that these payments do not impair Mr. Thompson's independence because his compensation from Bank of America Merrill Lynch is not dependent on the amount of business Bank of America Merrill Lynch or its affiliates does with FNF or its subsidiaries. The board also considered that BofA Securities provided services to DNB in connection with the DNB Take-Private. </w:t>
            </w:r>
          </w:p>
        </w:tc>
      </w:tr>
    </w:tbl>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board of directors determined that these relationships were not of a nature that would impair these directors' independence.</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i w:val="false"/>
          <w:caps w:val="false"/>
          <w:smallCaps w:val="false"/>
          <w:color w:val="55779A"/>
          <w:sz w:val="28"/>
        </w:rPr>
      </w:pPr>
      <w:r>
        <w:rPr>
          <w:rFonts w:ascii="Arial;Helvetica;Sans-Serif" w:hAnsi="Arial;Helvetica;Sans-Serif"/>
          <w:b/>
          <w:i w:val="false"/>
          <w:caps w:val="false"/>
          <w:smallCaps w:val="false"/>
          <w:color w:val="55779A"/>
          <w:sz w:val="28"/>
        </w:rPr>
        <w:t>COMMITTEES OF THE BOARD</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 xml:space="preserve">The board has four standing committees: an audit committee, a compensation committee, a corporate governance and nominating committee and a related person transaction committee. The charter of each standing committee is available on the Investor Info page of our website at </w:t>
      </w:r>
      <w:r>
        <w:rPr>
          <w:rFonts w:ascii="Arial;Helvetica;Sans-Serif" w:hAnsi="Arial;Helvetica;Sans-Serif"/>
          <w:b/>
          <w:i w:val="false"/>
          <w:caps w:val="false"/>
          <w:smallCaps w:val="false"/>
          <w:color w:val="1E5E9E"/>
          <w:sz w:val="22"/>
        </w:rPr>
        <w:t>www.fnf.com</w:t>
      </w:r>
      <w:r>
        <w:rPr>
          <w:rFonts w:ascii="Arial;Helvetica;Sans-Serif" w:hAnsi="Arial;Helvetica;Sans-Serif"/>
          <w:b w:val="false"/>
          <w:i w:val="false"/>
          <w:caps w:val="false"/>
          <w:smallCaps w:val="false"/>
          <w:color w:val="333333"/>
          <w:sz w:val="22"/>
        </w:rPr>
        <w:t xml:space="preserve">. </w:t>
      </w:r>
      <w:r>
        <w:rPr>
          <w:rFonts w:ascii="Arial;Helvetica;Sans-Serif" w:hAnsi="Arial;Helvetica;Sans-Serif"/>
          <w:b w:val="false"/>
          <w:i w:val="false"/>
          <w:caps w:val="false"/>
          <w:smallCaps w:val="false"/>
          <w:color w:val="58595B"/>
          <w:sz w:val="22"/>
        </w:rPr>
        <w:t>Each committee reviews its charter annually. Shareholders also may obtain a copy of any of these charters by writing to the Corporate Secretary at the address set forth under "Available Information" below.</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i w:val="false"/>
          <w:caps w:val="false"/>
          <w:smallCaps w:val="false"/>
          <w:color w:val="55779A"/>
          <w:sz w:val="28"/>
        </w:rPr>
      </w:pPr>
      <w:r>
        <w:rPr>
          <w:rFonts w:ascii="Arial;Helvetica;Sans-Serif" w:hAnsi="Arial;Helvetica;Sans-Serif"/>
          <w:b/>
          <w:i w:val="false"/>
          <w:caps w:val="false"/>
          <w:smallCaps w:val="false"/>
          <w:color w:val="55779A"/>
          <w:sz w:val="28"/>
        </w:rPr>
        <w:t>CORPORATE GOVERNANCE AND NOMINATING COMMITTEE</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members of the corporate governance and nominating committee are Peter O. Shea, Jr. (Chair), Sandra D. Morgan and John D. Rood. Each of Messrs. Shea, Rood and Ms. Morgan was deemed to be independent by the board, as required by the New York Stock Exchange. The corporate governance and nominating committee met one time in 2025.</w:t>
      </w:r>
    </w:p>
    <w:p>
      <w:pPr>
        <w:pStyle w:val="TextBody"/>
        <w:bidi w:val="0"/>
        <w:spacing w:before="0" w:after="0"/>
        <w:ind w:left="0" w:right="0" w:hanging="0"/>
        <w:jc w:val="left"/>
        <w:rPr>
          <w:caps w:val="false"/>
          <w:smallCaps w:val="false"/>
          <w:color w:val="586D94"/>
        </w:rPr>
      </w:pPr>
      <w:r>
        <w:rPr>
          <w:caps w:val="false"/>
          <w:smallCaps w:val="false"/>
          <w:color w:val="586D94"/>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primary functions of the corporate governance and nominating committee, as identified in its charter, are:</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3110230" cy="851535"/>
                <wp:effectExtent l="0" t="0" r="0" b="0"/>
                <wp:wrapSquare wrapText="right"/>
                <wp:docPr id="10" name="Frame5"/>
                <a:graphic xmlns:a="http://schemas.openxmlformats.org/drawingml/2006/main">
                  <a:graphicData uri="http://schemas.microsoft.com/office/word/2010/wordprocessingShape">
                    <wps:wsp>
                      <wps:cNvSpPr txBox="1"/>
                      <wps:spPr>
                        <a:xfrm>
                          <a:off x="0" y="0"/>
                          <a:ext cx="3110230" cy="851535"/>
                        </a:xfrm>
                        <a:prstGeom prst="rect"/>
                        <a:solidFill>
                          <a:srgbClr val="FFFFFF"/>
                        </a:solidFill>
                      </wps:spPr>
                      <wps:txbx>
                        <w:txbxContent>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Identifying individuals qualified to become members of the board and making recommendations to the board regarding nominees for election; </w:t>
                                  </w:r>
                                </w:p>
                              </w:tc>
                            </w:tr>
                          </w:tbl>
                          <w:p>
                            <w:pPr>
                              <w:pStyle w:val="TextBody"/>
                              <w:bidi w:val="0"/>
                              <w:spacing w:before="0" w:after="0"/>
                              <w:ind w:left="0" w:right="0" w:hanging="0"/>
                              <w:jc w:val="left"/>
                              <w:rPr>
                                <w:caps w:val="false"/>
                                <w:smallCaps w:val="false"/>
                                <w:color w:val="586D94"/>
                              </w:rPr>
                            </w:pPr>
                            <w:r>
                              <w:rPr>
                                <w:caps w:val="false"/>
                                <w:smallCaps w:val="false"/>
                                <w:color w:val="586D94"/>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caps w:val="false"/>
                          <w:smallCaps w:val="false"/>
                          <w:color w:val="586D94"/>
                        </w:rPr>
                      </w:pPr>
                      <w:r>
                        <w:rPr>
                          <w:caps w:val="false"/>
                          <w:smallCaps w:val="false"/>
                          <w:color w:val="586D94"/>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Identifying individuals qualified to become members of the board and making recommendations to the board regarding nominees for election; </w:t>
                            </w:r>
                          </w:p>
                        </w:tc>
                      </w:tr>
                    </w:tbl>
                    <w:p>
                      <w:pPr>
                        <w:pStyle w:val="TextBody"/>
                        <w:bidi w:val="0"/>
                        <w:spacing w:before="0" w:after="0"/>
                        <w:ind w:left="0" w:right="0" w:hanging="0"/>
                        <w:jc w:val="left"/>
                        <w:rPr>
                          <w:caps w:val="false"/>
                          <w:smallCaps w:val="false"/>
                          <w:color w:val="586D94"/>
                        </w:rPr>
                      </w:pPr>
                      <w:r>
                        <w:rPr>
                          <w:caps w:val="false"/>
                          <w:smallCaps w:val="false"/>
                          <w:color w:val="586D94"/>
                        </w:rPr>
                        <w:t>  </w:t>
                      </w:r>
                    </w:p>
                  </w:txbxContent>
                </v:textbox>
                <w10:wrap type="square" side="right"/>
              </v:rect>
            </w:pict>
          </mc:Fallback>
        </mc:AlternateContent>
      </w:r>
      <w:r>
        <mc:AlternateContent>
          <mc:Choice Requires="wps">
            <w:drawing>
              <wp:anchor behindDoc="0" distT="0" distB="0" distL="0" distR="0" simplePos="0" locked="0" layoutInCell="1" allowOverlap="1" relativeHeight="26">
                <wp:simplePos x="0" y="0"/>
                <wp:positionH relativeFrom="column">
                  <wp:align>right</wp:align>
                </wp:positionH>
                <wp:positionV relativeFrom="line">
                  <wp:posOffset>635</wp:posOffset>
                </wp:positionV>
                <wp:extent cx="3110230" cy="851535"/>
                <wp:effectExtent l="0" t="0" r="0" b="0"/>
                <wp:wrapSquare wrapText="left"/>
                <wp:docPr id="11" name="Frame6"/>
                <a:graphic xmlns:a="http://schemas.openxmlformats.org/drawingml/2006/main">
                  <a:graphicData uri="http://schemas.microsoft.com/office/word/2010/wordprocessingShape">
                    <wps:wsp>
                      <wps:cNvSpPr txBox="1"/>
                      <wps:spPr>
                        <a:xfrm>
                          <a:off x="0" y="0"/>
                          <a:ext cx="3110230" cy="85153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rPr>
                            </w:pPr>
                            <w:r>
                              <w:rPr>
                                <w:rFonts w:ascii="Arial;Helvetica;Sans-Serif" w:hAnsi="Arial;Helvetica;Sans-Serif"/>
                              </w:rPr>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Reviewing the independence of each director and making a recommendation to the board with respect to each director’s independence; </w:t>
                                  </w:r>
                                </w:p>
                              </w:tc>
                            </w:tr>
                          </w:tbl>
                          <w:p>
                            <w:pPr>
                              <w:pStyle w:val="TextBody"/>
                              <w:bidi w:val="0"/>
                              <w:spacing w:before="0" w:after="0"/>
                              <w:ind w:left="0" w:right="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7.0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Helvetica;Sans-Serif" w:hAnsi="Arial;Helvetica;Sans-Serif"/>
                        </w:rPr>
                      </w:pPr>
                      <w:r>
                        <w:rPr>
                          <w:rFonts w:ascii="Arial;Helvetica;Sans-Serif" w:hAnsi="Arial;Helvetica;Sans-Serif"/>
                        </w:rPr>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Reviewing the independence of each director and making a recommendation to the board with respect to each director’s independence; </w:t>
                            </w:r>
                          </w:p>
                        </w:tc>
                      </w:tr>
                    </w:tbl>
                    <w:p>
                      <w:pPr>
                        <w:pStyle w:val="TextBody"/>
                        <w:bidi w:val="0"/>
                        <w:spacing w:before="0" w:after="0"/>
                        <w:ind w:left="0" w:right="0" w:hanging="0"/>
                        <w:jc w:val="left"/>
                        <w:rPr>
                          <w:caps w:val="false"/>
                          <w:smallCaps w:val="false"/>
                        </w:rPr>
                      </w:pPr>
                      <w:r>
                        <w:rPr>
                          <w:caps w:val="false"/>
                          <w:smallCaps w:val="false"/>
                        </w:rPr>
                        <w:t> </w:t>
                      </w:r>
                    </w:p>
                  </w:txbxContent>
                </v:textbox>
                <w10:wrap type="square" side="left"/>
              </v:rect>
            </w:pict>
          </mc:Fallback>
        </mc:AlternateConten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15</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color w:val="55779A"/>
        </w:rPr>
      </w:pPr>
      <w:r>
        <w:rPr>
          <w:caps w:val="false"/>
          <w:smallCaps w:val="false"/>
          <w:color w:val="55779A"/>
        </w:rPr>
        <w:t>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3110230" cy="1527810"/>
                <wp:effectExtent l="0" t="0" r="0" b="0"/>
                <wp:wrapSquare wrapText="right"/>
                <wp:docPr id="12" name="Frame7"/>
                <a:graphic xmlns:a="http://schemas.openxmlformats.org/drawingml/2006/main">
                  <a:graphicData uri="http://schemas.microsoft.com/office/word/2010/wordprocessingShape">
                    <wps:wsp>
                      <wps:cNvSpPr txBox="1"/>
                      <wps:spPr>
                        <a:xfrm>
                          <a:off x="0" y="0"/>
                          <a:ext cx="3110230" cy="1527810"/>
                        </a:xfrm>
                        <a:prstGeom prst="rect"/>
                        <a:solidFill>
                          <a:srgbClr val="FFFFFF"/>
                        </a:solidFill>
                      </wps:spPr>
                      <wps:txbx>
                        <w:txbxContent>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Overseeing the evaluation of the performance of the board and its committees on a continuing basis, including an annual self-evaluation of the performance of the corporate governance and nominating committee;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Developing and recommending to the board the corporate governance principles applicable to us and reviewing our corporate governance guidelines at least annually;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0.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Overseeing the evaluation of the performance of the board and its committees on a continuing basis, including an annual self-evaluation of the performance of the corporate governance and nominating committee;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Developing and recommending to the board the corporate governance principles applicable to us and reviewing our corporate governance guidelines at least annually;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xbxContent>
                </v:textbox>
                <w10:wrap type="square" side="right"/>
              </v:rect>
            </w:pict>
          </mc:Fallback>
        </mc:AlternateContent>
      </w:r>
      <w:r>
        <mc:AlternateContent>
          <mc:Choice Requires="wps">
            <w:drawing>
              <wp:anchor behindDoc="0" distT="0" distB="0" distL="0" distR="0" simplePos="0" locked="0" layoutInCell="1" allowOverlap="1" relativeHeight="28">
                <wp:simplePos x="0" y="0"/>
                <wp:positionH relativeFrom="column">
                  <wp:align>right</wp:align>
                </wp:positionH>
                <wp:positionV relativeFrom="line">
                  <wp:posOffset>635</wp:posOffset>
                </wp:positionV>
                <wp:extent cx="3110230" cy="2091690"/>
                <wp:effectExtent l="0" t="0" r="0" b="0"/>
                <wp:wrapSquare wrapText="left"/>
                <wp:docPr id="13" name="Frame8"/>
                <a:graphic xmlns:a="http://schemas.openxmlformats.org/drawingml/2006/main">
                  <a:graphicData uri="http://schemas.microsoft.com/office/word/2010/wordprocessingShape">
                    <wps:wsp>
                      <wps:cNvSpPr txBox="1"/>
                      <wps:spPr>
                        <a:xfrm>
                          <a:off x="0" y="0"/>
                          <a:ext cx="3110230" cy="2091690"/>
                        </a:xfrm>
                        <a:prstGeom prst="rect"/>
                        <a:solidFill>
                          <a:srgbClr val="FFFFFF"/>
                        </a:solidFill>
                      </wps:spPr>
                      <wps:txbx>
                        <w:txbxContent>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Making recommendations to the board with respect to the membership of the audit, compensation, corporate governance and nominating, and related person transaction committees;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6648" w:type="dxa"/>
                              <w:jc w:val="left"/>
                              <w:tblInd w:w="0" w:type="dxa"/>
                              <w:tblLayout w:type="fixed"/>
                              <w:tblCellMar>
                                <w:top w:w="0" w:type="dxa"/>
                                <w:left w:w="0" w:type="dxa"/>
                                <w:bottom w:w="0" w:type="dxa"/>
                                <w:right w:w="0" w:type="dxa"/>
                              </w:tblCellMar>
                            </w:tblPr>
                            <w:tblGrid>
                              <w:gridCol w:w="68"/>
                              <w:gridCol w:w="140"/>
                              <w:gridCol w:w="644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left"/>
                                    <w:rPr>
                                      <w:sz w:val="22"/>
                                    </w:rPr>
                                  </w:pPr>
                                  <w:r>
                                    <w:rPr>
                                      <w:sz w:val="22"/>
                                    </w:rPr>
                                    <w:t xml:space="preserve">Considering director nominees recommended by shareholders; and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Reviewing our overall corporate governance and reporting to the board on its findings and any recommendations. </w:t>
                                  </w:r>
                                </w:p>
                              </w:tc>
                            </w:tr>
                          </w:tbl>
                          <w:p>
                            <w:pPr>
                              <w:pStyle w:val="TextBody"/>
                              <w:bidi w:val="0"/>
                              <w:spacing w:before="0" w:after="283"/>
                              <w:ind w:left="0" w:right="0" w:hanging="0"/>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4.7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Making recommendations to the board with respect to the membership of the audit, compensation, corporate governance and nominating, and related person transaction committees;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6648" w:type="dxa"/>
                        <w:jc w:val="left"/>
                        <w:tblInd w:w="0" w:type="dxa"/>
                        <w:tblLayout w:type="fixed"/>
                        <w:tblCellMar>
                          <w:top w:w="0" w:type="dxa"/>
                          <w:left w:w="0" w:type="dxa"/>
                          <w:bottom w:w="0" w:type="dxa"/>
                          <w:right w:w="0" w:type="dxa"/>
                        </w:tblCellMar>
                      </w:tblPr>
                      <w:tblGrid>
                        <w:gridCol w:w="68"/>
                        <w:gridCol w:w="140"/>
                        <w:gridCol w:w="644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440" w:type="dxa"/>
                            <w:tcBorders/>
                            <w:vAlign w:val="center"/>
                          </w:tcPr>
                          <w:p>
                            <w:pPr>
                              <w:pStyle w:val="TableContents"/>
                              <w:bidi w:val="0"/>
                              <w:spacing w:before="0" w:after="283"/>
                              <w:jc w:val="left"/>
                              <w:rPr>
                                <w:sz w:val="22"/>
                              </w:rPr>
                            </w:pPr>
                            <w:r>
                              <w:rPr>
                                <w:sz w:val="22"/>
                              </w:rPr>
                              <w:t xml:space="preserve">Considering director nominees recommended by shareholders; and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Reviewing our overall corporate governance and reporting to the board on its findings and any recommendations. </w:t>
                            </w:r>
                          </w:p>
                        </w:tc>
                      </w:tr>
                    </w:tbl>
                    <w:p>
                      <w:pPr>
                        <w:pStyle w:val="TextBody"/>
                        <w:bidi w:val="0"/>
                        <w:spacing w:before="0" w:after="283"/>
                        <w:ind w:left="0" w:right="0" w:hanging="0"/>
                        <w:jc w:val="left"/>
                        <w:rPr/>
                      </w:pPr>
                      <w:r>
                        <w:rPr/>
                      </w:r>
                    </w:p>
                  </w:txbxContent>
                </v:textbox>
                <w10:wrap type="square" side="left"/>
              </v:rect>
            </w:pict>
          </mc:Fallback>
        </mc:AlternateContent>
      </w:r>
    </w:p>
    <w:p>
      <w:pPr>
        <w:pStyle w:val="TextBody"/>
        <w:bidi w:val="0"/>
        <w:spacing w:before="0" w:after="0"/>
        <w:ind w:left="1440" w:right="1080" w:hanging="0"/>
        <w:jc w:val="left"/>
        <w:rPr>
          <w:caps w:val="false"/>
          <w:smallCaps w:val="false"/>
          <w:color w:val="55779A"/>
        </w:rPr>
      </w:pPr>
      <w:r>
        <w:rPr>
          <w:caps w:val="false"/>
          <w:smallCaps w:val="false"/>
          <w:color w:val="55779A"/>
        </w:rPr>
        <w:t> </w:t>
      </w:r>
    </w:p>
    <w:p>
      <w:pPr>
        <w:pStyle w:val="TextBody"/>
        <w:bidi w:val="0"/>
        <w:spacing w:before="0" w:after="0"/>
        <w:ind w:left="1440" w:right="1080" w:hanging="0"/>
        <w:jc w:val="left"/>
        <w:rPr>
          <w:rFonts w:ascii="Arial;Helvetica;Sans-Serif" w:hAnsi="Arial;Helvetica;Sans-Serif"/>
          <w:b/>
          <w:i w:val="false"/>
          <w:caps w:val="false"/>
          <w:smallCaps w:val="false"/>
          <w:color w:val="55779A"/>
          <w:sz w:val="28"/>
        </w:rPr>
      </w:pPr>
      <w:r>
        <w:rPr>
          <w:rFonts w:ascii="Arial;Helvetica;Sans-Serif" w:hAnsi="Arial;Helvetica;Sans-Serif"/>
          <w:b/>
          <w:i w:val="false"/>
          <w:caps w:val="false"/>
          <w:smallCaps w:val="false"/>
          <w:color w:val="55779A"/>
          <w:sz w:val="28"/>
        </w:rPr>
        <w:t>AUDIT COMMITTEE</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members of the audit committee are Douglas K. Ammerman (Chair), John D. Rood and Peter O. Shea, Jr. The board has determined that each of the audit committee members is financially literate and independent as required by the rules of the Securities and Exchange Commission and the New York Stock Exchange, and that each of Messrs. Ammerman, Rood and Shea is an audit committee financial expert, as defined by the rules of the Securities and Exchange Commission. The audit committee met five times in 2025.</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primary functions of the audit committee include:</w:t>
      </w:r>
    </w:p>
    <w:p>
      <w:pPr>
        <w:pStyle w:val="TextBody"/>
        <w:bidi w:val="0"/>
        <w:spacing w:before="0" w:after="0"/>
        <w:ind w:left="0" w:right="0" w:hanging="0"/>
        <w:jc w:val="left"/>
        <w:rPr>
          <w:caps w:val="false"/>
          <w:smallCaps w:val="false"/>
          <w:color w:val="333333"/>
        </w:rPr>
      </w:pPr>
      <w:r>
        <w:rPr>
          <w:caps w:val="false"/>
          <w:smallCaps w:val="false"/>
          <w:color w:val="333333"/>
        </w:rPr>
        <w:t>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3110230" cy="3648710"/>
                <wp:effectExtent l="0" t="0" r="0" b="0"/>
                <wp:wrapSquare wrapText="right"/>
                <wp:docPr id="14" name="Frame9"/>
                <a:graphic xmlns:a="http://schemas.openxmlformats.org/drawingml/2006/main">
                  <a:graphicData uri="http://schemas.microsoft.com/office/word/2010/wordprocessingShape">
                    <wps:wsp>
                      <wps:cNvSpPr txBox="1"/>
                      <wps:spPr>
                        <a:xfrm>
                          <a:off x="0" y="0"/>
                          <a:ext cx="3110230" cy="3648710"/>
                        </a:xfrm>
                        <a:prstGeom prst="rect"/>
                        <a:solidFill>
                          <a:srgbClr val="FFFFFF"/>
                        </a:solidFill>
                      </wps:spPr>
                      <wps:txbx>
                        <w:txbxContent>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9153" w:type="dxa"/>
                              <w:jc w:val="left"/>
                              <w:tblInd w:w="0" w:type="dxa"/>
                              <w:tblLayout w:type="fixed"/>
                              <w:tblCellMar>
                                <w:top w:w="0" w:type="dxa"/>
                                <w:left w:w="0" w:type="dxa"/>
                                <w:bottom w:w="0" w:type="dxa"/>
                                <w:right w:w="0" w:type="dxa"/>
                              </w:tblCellMar>
                            </w:tblPr>
                            <w:tblGrid>
                              <w:gridCol w:w="68"/>
                              <w:gridCol w:w="140"/>
                              <w:gridCol w:w="894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sz w:val="22"/>
                                    </w:rPr>
                                  </w:pPr>
                                  <w:r>
                                    <w:rPr>
                                      <w:sz w:val="22"/>
                                    </w:rPr>
                                    <w:t xml:space="preserve">Appointing, compensating and overseeing our independent registered public accounting firm;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Overseeing the integrity of our financial statements and our compliance with legal and regulatory requirements;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Discussing the annual audited financial statements and unaudited quarterly financial statements with management and the independent registered public accounting firm;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Establishing procedures for the receipt, retention and treatment of complaints (including anonymous complaints) we receive concerning accounting, internal accounting controls, auditing matters or potential violations of law;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098" w:type="dxa"/>
                              <w:jc w:val="left"/>
                              <w:tblInd w:w="0" w:type="dxa"/>
                              <w:tblLayout w:type="fixed"/>
                              <w:tblCellMar>
                                <w:top w:w="0" w:type="dxa"/>
                                <w:left w:w="0" w:type="dxa"/>
                                <w:bottom w:w="0" w:type="dxa"/>
                                <w:right w:w="0" w:type="dxa"/>
                              </w:tblCellMar>
                            </w:tblPr>
                            <w:tblGrid>
                              <w:gridCol w:w="68"/>
                              <w:gridCol w:w="140"/>
                              <w:gridCol w:w="989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left"/>
                                    <w:rPr>
                                      <w:sz w:val="22"/>
                                    </w:rPr>
                                  </w:pPr>
                                  <w:r>
                                    <w:rPr>
                                      <w:sz w:val="22"/>
                                    </w:rPr>
                                    <w:t xml:space="preserve">Approving audit and non-audit services provided by our independent registered public accounting firm;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9888" w:type="dxa"/>
                              <w:jc w:val="left"/>
                              <w:tblInd w:w="0" w:type="dxa"/>
                              <w:tblLayout w:type="fixed"/>
                              <w:tblCellMar>
                                <w:top w:w="0" w:type="dxa"/>
                                <w:left w:w="0" w:type="dxa"/>
                                <w:bottom w:w="0" w:type="dxa"/>
                                <w:right w:w="0" w:type="dxa"/>
                              </w:tblCellMar>
                            </w:tblPr>
                            <w:tblGrid>
                              <w:gridCol w:w="68"/>
                              <w:gridCol w:w="140"/>
                              <w:gridCol w:w="968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sz w:val="22"/>
                                    </w:rPr>
                                  </w:pPr>
                                  <w:r>
                                    <w:rPr>
                                      <w:sz w:val="22"/>
                                    </w:rPr>
                                    <w:t xml:space="preserve">Discussing earnings press releases and financial information provided to analysts and rating agencies;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9153" w:type="dxa"/>
                        <w:jc w:val="left"/>
                        <w:tblInd w:w="0" w:type="dxa"/>
                        <w:tblLayout w:type="fixed"/>
                        <w:tblCellMar>
                          <w:top w:w="0" w:type="dxa"/>
                          <w:left w:w="0" w:type="dxa"/>
                          <w:bottom w:w="0" w:type="dxa"/>
                          <w:right w:w="0" w:type="dxa"/>
                        </w:tblCellMar>
                      </w:tblPr>
                      <w:tblGrid>
                        <w:gridCol w:w="68"/>
                        <w:gridCol w:w="140"/>
                        <w:gridCol w:w="894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left"/>
                              <w:rPr>
                                <w:sz w:val="22"/>
                              </w:rPr>
                            </w:pPr>
                            <w:r>
                              <w:rPr>
                                <w:sz w:val="22"/>
                              </w:rPr>
                              <w:t xml:space="preserve">Appointing, compensating and overseeing our independent registered public accounting firm;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Overseeing the integrity of our financial statements and our compliance with legal and regulatory requirements;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Discussing the annual audited financial statements and unaudited quarterly financial statements with management and the independent registered public accounting firm;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Establishing procedures for the receipt, retention and treatment of complaints (including anonymous complaints) we receive concerning accounting, internal accounting controls, auditing matters or potential violations of law;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098" w:type="dxa"/>
                        <w:jc w:val="left"/>
                        <w:tblInd w:w="0" w:type="dxa"/>
                        <w:tblLayout w:type="fixed"/>
                        <w:tblCellMar>
                          <w:top w:w="0" w:type="dxa"/>
                          <w:left w:w="0" w:type="dxa"/>
                          <w:bottom w:w="0" w:type="dxa"/>
                          <w:right w:w="0" w:type="dxa"/>
                        </w:tblCellMar>
                      </w:tblPr>
                      <w:tblGrid>
                        <w:gridCol w:w="68"/>
                        <w:gridCol w:w="140"/>
                        <w:gridCol w:w="989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890" w:type="dxa"/>
                            <w:tcBorders/>
                            <w:vAlign w:val="center"/>
                          </w:tcPr>
                          <w:p>
                            <w:pPr>
                              <w:pStyle w:val="TableContents"/>
                              <w:bidi w:val="0"/>
                              <w:spacing w:before="0" w:after="283"/>
                              <w:jc w:val="left"/>
                              <w:rPr>
                                <w:sz w:val="22"/>
                              </w:rPr>
                            </w:pPr>
                            <w:r>
                              <w:rPr>
                                <w:sz w:val="22"/>
                              </w:rPr>
                              <w:t xml:space="preserve">Approving audit and non-audit services provided by our independent registered public accounting firm;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9888" w:type="dxa"/>
                        <w:jc w:val="left"/>
                        <w:tblInd w:w="0" w:type="dxa"/>
                        <w:tblLayout w:type="fixed"/>
                        <w:tblCellMar>
                          <w:top w:w="0" w:type="dxa"/>
                          <w:left w:w="0" w:type="dxa"/>
                          <w:bottom w:w="0" w:type="dxa"/>
                          <w:right w:w="0" w:type="dxa"/>
                        </w:tblCellMar>
                      </w:tblPr>
                      <w:tblGrid>
                        <w:gridCol w:w="68"/>
                        <w:gridCol w:w="140"/>
                        <w:gridCol w:w="968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680" w:type="dxa"/>
                            <w:tcBorders/>
                            <w:vAlign w:val="center"/>
                          </w:tcPr>
                          <w:p>
                            <w:pPr>
                              <w:pStyle w:val="TableContents"/>
                              <w:bidi w:val="0"/>
                              <w:spacing w:before="0" w:after="283"/>
                              <w:jc w:val="left"/>
                              <w:rPr>
                                <w:sz w:val="22"/>
                              </w:rPr>
                            </w:pPr>
                            <w:r>
                              <w:rPr>
                                <w:sz w:val="22"/>
                              </w:rPr>
                              <w:t xml:space="preserve">Discussing earnings press releases and financial information provided to analysts and rating agencies;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xbxContent>
                </v:textbox>
                <w10:wrap type="square" side="right"/>
              </v:rect>
            </w:pict>
          </mc:Fallback>
        </mc:AlternateContent>
      </w:r>
      <w:r>
        <mc:AlternateContent>
          <mc:Choice Requires="wps">
            <w:drawing>
              <wp:anchor behindDoc="0" distT="0" distB="0" distL="0" distR="0" simplePos="0" locked="0" layoutInCell="1" allowOverlap="1" relativeHeight="30">
                <wp:simplePos x="0" y="0"/>
                <wp:positionH relativeFrom="column">
                  <wp:align>right</wp:align>
                </wp:positionH>
                <wp:positionV relativeFrom="line">
                  <wp:posOffset>635</wp:posOffset>
                </wp:positionV>
                <wp:extent cx="3110230" cy="2686050"/>
                <wp:effectExtent l="0" t="0" r="0" b="0"/>
                <wp:wrapSquare wrapText="left"/>
                <wp:docPr id="15" name="Frame10"/>
                <a:graphic xmlns:a="http://schemas.openxmlformats.org/drawingml/2006/main">
                  <a:graphicData uri="http://schemas.microsoft.com/office/word/2010/wordprocessingShape">
                    <wps:wsp>
                      <wps:cNvSpPr txBox="1"/>
                      <wps:spPr>
                        <a:xfrm>
                          <a:off x="0" y="0"/>
                          <a:ext cx="3110230" cy="268605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rPr>
                            </w:pPr>
                            <w:r>
                              <w:rPr>
                                <w:rFonts w:ascii="Arial;Helvetica;Sans-Serif" w:hAnsi="Arial;Helvetica;Sans-Serif"/>
                              </w:rPr>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Discussing with management our policies and practices with respect to risk assessment and risk management, including those relating to information technology and cybersecurity risk and ESG risk, including human capital management and health and safety risk;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Except to the extent authority has been delegated to the related person transaction committee, reviewing any material transaction between our Chief Financial Officer or Chief Accounting Officer that has been approved in accordance with our Code of Ethics for Senior Financial Officers, and providing prior written approval of any material transaction between us and our Chief Executive Officer; and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Producing an annual report for inclusion in our proxy statement, in accordance with applicable rules and regulations.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1.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rFonts w:ascii="Arial;Helvetica;Sans-Serif" w:hAnsi="Arial;Helvetica;Sans-Serif"/>
                        </w:rPr>
                      </w:pPr>
                      <w:r>
                        <w:rPr>
                          <w:rFonts w:ascii="Arial;Helvetica;Sans-Serif" w:hAnsi="Arial;Helvetica;Sans-Serif"/>
                        </w:rPr>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Discussing with management our policies and practices with respect to risk assessment and risk management, including those relating to information technology and cybersecurity risk and ESG risk, including human capital management and health and safety risk;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Except to the extent authority has been delegated to the related person transaction committee, reviewing any material transaction between our Chief Financial Officer or Chief Accounting Officer that has been approved in accordance with our Code of Ethics for Senior Financial Officers, and providing prior written approval of any material transaction between us and our Chief Executive Officer; and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Producing an annual report for inclusion in our proxy statement, in accordance with applicable rules and regulations.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xbxContent>
                </v:textbox>
                <w10:wrap type="square" side="left"/>
              </v:rect>
            </w:pict>
          </mc:Fallback>
        </mc:AlternateConten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16</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1440" w:right="1080" w:hanging="0"/>
        <w:jc w:val="left"/>
        <w:rPr>
          <w:rFonts w:ascii="Arial;Helvetica;Sans-Serif" w:hAnsi="Arial;Helvetica;Sans-Serif"/>
          <w:b/>
          <w:i w:val="false"/>
          <w:caps w:val="false"/>
          <w:smallCaps w:val="false"/>
          <w:color w:val="55779A"/>
          <w:sz w:val="28"/>
        </w:rPr>
      </w:pPr>
      <w:r>
        <w:rPr>
          <w:rFonts w:ascii="Arial;Helvetica;Sans-Serif" w:hAnsi="Arial;Helvetica;Sans-Serif"/>
          <w:b/>
          <w:i w:val="false"/>
          <w:caps w:val="false"/>
          <w:smallCaps w:val="false"/>
          <w:color w:val="55779A"/>
          <w:sz w:val="28"/>
        </w:rPr>
        <w:t>REPORT OF THE AUDIT COMMITTEE</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audit committee of the board of directors submits the following report on the performance of certain of its responsibilities for the year 2025:</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primary function of our audit committee is oversight of (i) the quality and integrity of our financial statements and related disclosures, (ii) our compliance with legal and regulatory requirements, (iii) the independent registered public accounting firm's qualifications and independence, and (iv) the performance of our internal audit function and independent registered public accounting firm. The audit committee also oversees information technology and cybersecurity risk and ESG risk and is responsible for reporting to the board on those matters. Our audit committee acts under a written charter, and we review the adequacy of our charter at least annually. Our audit committee is comprised of the three directors named below, each of whom has been determined by the board of directors to be independent as defined by New York Stock Exchange independence standards. In addition, our board of directors has determined that each of Messrs. Ammerman, Rood and Shea is an audit committee financial expert as defined by the rules of the Securities and Exchange Commission.</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 xml:space="preserve">In performing our oversight function, we reviewed and discussed with management and Ernst &amp; Young LLP, or </w:t>
      </w:r>
      <w:r>
        <w:rPr>
          <w:rFonts w:ascii="Arial;Helvetica;Sans-Serif" w:hAnsi="Arial;Helvetica;Sans-Serif"/>
          <w:b w:val="false"/>
          <w:i/>
          <w:caps w:val="false"/>
          <w:smallCaps w:val="false"/>
          <w:color w:val="58595B"/>
          <w:sz w:val="22"/>
        </w:rPr>
        <w:t>EY</w:t>
      </w:r>
      <w:r>
        <w:rPr>
          <w:rFonts w:ascii="Arial;Helvetica;Sans-Serif" w:hAnsi="Arial;Helvetica;Sans-Serif"/>
          <w:b w:val="false"/>
          <w:i w:val="false"/>
          <w:caps w:val="false"/>
          <w:smallCaps w:val="false"/>
          <w:color w:val="58595B"/>
          <w:sz w:val="22"/>
        </w:rPr>
        <w:t>, our independent registered public accounting firm, our audited financial statements as of and for the year ended December 31, 2025. Management and EY reported to us that our consolidated financial statements present fairly, in all material respects, the consolidated financial position and results of operations and cash flows of FNF and its subsidiaries in conformity with generally accepted accounting principles. We also discussed with EY matters required to be discussed by the applicable requirements of the Public Company Accounting Oversight Board and the SEC.</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have received and reviewed the written disclosures and the letter from EY required by applicable requirements of the Public Company Accounting Oversight Board regarding the independent accountant's communications with the audit committee concerning independence and have discussed with EY their independence. In addition, we have considered whether EY's provision of non-audit services to us is compatible with their independence.</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Finally, we discussed with our internal auditors and EY the overall scope and plans for their respective audits. We met with EY at each meeting. Management was present for some, but not all, of these discussions. These discussions included the results of their examinations, their evaluations of our internal controls and the overall quality of our financial reporting.</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Based on the reviews and discussions referred to above, we recommended to our board of directors that the audited financial statements referred to above be included in our Annual Report on Form 10-K for the fiscal year ended December 31, 2025, and that EY be appointed independent registered public accounting firm for FNF for 2026.</w:t>
      </w:r>
    </w:p>
    <w:p>
      <w:pPr>
        <w:pStyle w:val="TextBody"/>
        <w:bidi w:val="0"/>
        <w:spacing w:before="0" w:after="0"/>
        <w:ind w:left="0" w:right="0" w:hanging="0"/>
        <w:jc w:val="left"/>
        <w:rPr>
          <w:caps w:val="false"/>
          <w:smallCaps w:val="false"/>
          <w:color w:val="333333"/>
        </w:rPr>
      </w:pPr>
      <w:r>
        <w:rPr>
          <w:caps w:val="false"/>
          <w:smallCaps w:val="false"/>
          <w:color w:val="333333"/>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carrying out our responsibilities, we look to management and the independent registered public accounting firm. Management is responsible for the preparation and fair presentation of our financial statements and for maintaining effective internal control. Management is also responsible for assessing and maintaining the effectiveness of internal control over the financial reporting process. The independent registered public accounting firm is responsible for auditing our annual financial statements and expressing an opinion as to whether the statements are fairly stated in conformity with generally accepted accounting principles. The independent registered public accounting firm</w:t>
      </w:r>
    </w:p>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17</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260" w:hanging="0"/>
        <w:jc w:val="left"/>
        <w:rPr>
          <w:caps w:val="false"/>
          <w:smallCaps w:val="false"/>
          <w:color w:val="333333"/>
        </w:rPr>
      </w:pPr>
      <w:r>
        <w:rPr>
          <w:caps w:val="false"/>
          <w:smallCaps w:val="false"/>
          <w:color w:val="333333"/>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is also responsible for auditing our internal controls and expressing an opinion as to whether the Company maintained, in all material respects, effective internal control over financial reporting based on criteria established in Internal Control – Integrated Framework (2013) issued by the Committee of Sponsoring Organizations of the Treadway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independent registered public accounting firm performs its responsibilities in accordance with the standards of the Public Company Accounting Oversight Board. Our members are not professionally engaged in the practice of accounting or auditing, and are not experts under the Securities Exchange Act of 1934, as amended, in either of those fields or in auditor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foregoing report is provided by the following independent directors, who constitute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color w:val="49678E"/>
          <w:sz w:val="22"/>
        </w:rPr>
      </w:pPr>
      <w:r>
        <w:rPr>
          <w:rFonts w:ascii="Arial;Helvetica;Sans-Serif" w:hAnsi="Arial;Helvetica;Sans-Serif"/>
          <w:b/>
          <w:i w:val="false"/>
          <w:caps w:val="false"/>
          <w:smallCaps w:val="false"/>
          <w:color w:val="49678E"/>
          <w:sz w:val="22"/>
        </w:rPr>
        <w:t>AUDIT COMMITTEE</w:t>
      </w:r>
    </w:p>
    <w:p>
      <w:pPr>
        <w:pStyle w:val="TextBody"/>
        <w:bidi w:val="0"/>
        <w:spacing w:before="0" w:after="0"/>
        <w:ind w:left="0" w:right="0" w:hanging="0"/>
        <w:jc w:val="center"/>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Douglas K. Ammerman (</w:t>
      </w:r>
      <w:r>
        <w:rPr>
          <w:rFonts w:ascii="Arial;Helvetica;Sans-Serif" w:hAnsi="Arial;Helvetica;Sans-Serif"/>
          <w:b w:val="false"/>
          <w:i/>
          <w:caps w:val="false"/>
          <w:smallCaps w:val="false"/>
          <w:color w:val="58595B"/>
          <w:sz w:val="22"/>
        </w:rPr>
        <w:t>Chair)</w:t>
      </w:r>
      <w:r>
        <w:rPr>
          <w:rFonts w:ascii="Arial;Helvetica;Sans-Serif" w:hAnsi="Arial;Helvetica;Sans-Serif"/>
          <w:b w:val="false"/>
          <w:i w:val="false"/>
          <w:caps w:val="false"/>
          <w:smallCaps w:val="false"/>
          <w:color w:val="58595B"/>
          <w:sz w:val="22"/>
        </w:rPr>
        <w:t> </w:t>
      </w:r>
    </w:p>
    <w:p>
      <w:pPr>
        <w:pStyle w:val="TextBody"/>
        <w:bidi w:val="0"/>
        <w:spacing w:before="0" w:after="0"/>
        <w:ind w:left="0" w:right="0" w:hanging="0"/>
        <w:jc w:val="center"/>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John D. Rood </w:t>
      </w:r>
    </w:p>
    <w:p>
      <w:pPr>
        <w:pStyle w:val="TextBody"/>
        <w:bidi w:val="0"/>
        <w:spacing w:before="0" w:after="0"/>
        <w:ind w:left="0" w:right="0" w:hanging="0"/>
        <w:jc w:val="center"/>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Peter O. Shea, Jr.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5779A"/>
          <w:sz w:val="28"/>
        </w:rPr>
      </w:pPr>
      <w:r>
        <w:rPr>
          <w:rFonts w:ascii="Arial;Helvetica;Sans-Serif" w:hAnsi="Arial;Helvetica;Sans-Serif"/>
          <w:b/>
          <w:i w:val="false"/>
          <w:caps w:val="false"/>
          <w:smallCaps w:val="false"/>
          <w:color w:val="55779A"/>
          <w:sz w:val="28"/>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members of the compensation committee are Thomas M. Hagerty (Chair), Daniel D. Lane and Cary H. Thompson. Each of Messrs. Hagerty, Lane and Thompson was deemed to be independent by the board, as required by the New York Stock Exchange. The compensation committee met three times during 2025. The functions of the compensation committee include the following:</w:t>
      </w:r>
    </w:p>
    <w:p>
      <w:pPr>
        <w:pStyle w:val="TextBody"/>
        <w:bidi w:val="0"/>
        <w:spacing w:before="0" w:after="0"/>
        <w:ind w:left="1440" w:right="1080" w:hanging="0"/>
        <w:jc w:val="left"/>
        <w:rPr>
          <w:caps w:val="false"/>
          <w:smallCaps w:val="false"/>
          <w:color w:val="58595B"/>
        </w:rPr>
      </w:pPr>
      <w:r>
        <w:rPr>
          <w:caps w:val="false"/>
          <w:smallCaps w:val="false"/>
          <w:color w:val="58595B"/>
        </w:rPr>
        <w:t>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3110230" cy="2240915"/>
                <wp:effectExtent l="0" t="0" r="0" b="0"/>
                <wp:wrapSquare wrapText="right"/>
                <wp:docPr id="16" name="Frame11"/>
                <a:graphic xmlns:a="http://schemas.openxmlformats.org/drawingml/2006/main">
                  <a:graphicData uri="http://schemas.microsoft.com/office/word/2010/wordprocessingShape">
                    <wps:wsp>
                      <wps:cNvSpPr txBox="1"/>
                      <wps:spPr>
                        <a:xfrm>
                          <a:off x="0" y="0"/>
                          <a:ext cx="3110230" cy="2240915"/>
                        </a:xfrm>
                        <a:prstGeom prst="rect"/>
                        <a:solidFill>
                          <a:srgbClr val="FFFFFF"/>
                        </a:solidFill>
                      </wps:spPr>
                      <wps:txbx>
                        <w:txbxContent>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sz w:val="21"/>
                                    </w:rPr>
                                    <w:t xml:space="preserve">Reviewing and approving corporate goals and objectives relevant to the Chief Executive Officer's compensation, </w:t>
                                  </w:r>
                                  <w:r>
                                    <w:rPr/>
                                    <w:t>evaluating his performance in light of those goals and objectives, and setting the Chief Executive Officer's compensation level based on this evaluation;</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Setting salaries and approving incentive compensation and equity awards, as well as compensation policies, for all other officers who are designated as Section 16 officers by our board;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7878" w:type="dxa"/>
                              <w:jc w:val="left"/>
                              <w:tblInd w:w="0" w:type="dxa"/>
                              <w:tblLayout w:type="fixed"/>
                              <w:tblCellMar>
                                <w:top w:w="0" w:type="dxa"/>
                                <w:left w:w="0" w:type="dxa"/>
                                <w:bottom w:w="0" w:type="dxa"/>
                                <w:right w:w="0" w:type="dxa"/>
                              </w:tblCellMar>
                            </w:tblPr>
                            <w:tblGrid>
                              <w:gridCol w:w="68"/>
                              <w:gridCol w:w="200"/>
                              <w:gridCol w:w="76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left"/>
                                    <w:rPr>
                                      <w:sz w:val="22"/>
                                    </w:rPr>
                                  </w:pPr>
                                  <w:r>
                                    <w:rPr>
                                      <w:sz w:val="22"/>
                                    </w:rPr>
                                    <w:t xml:space="preserve">Administering and interpreting the Company's incentive-based recovery policy; </w:t>
                                  </w:r>
                                </w:p>
                              </w:tc>
                            </w:tr>
                          </w:tbl>
                          <w:p>
                            <w:pPr>
                              <w:pStyle w:val="TextBody"/>
                              <w:bidi w:val="0"/>
                              <w:spacing w:before="0" w:after="0"/>
                              <w:ind w:left="0" w:right="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sz w:val="21"/>
                              </w:rPr>
                              <w:t xml:space="preserve">Reviewing and approving corporate goals and objectives relevant to the Chief Executive Officer's compensation, </w:t>
                            </w:r>
                            <w:r>
                              <w:rPr/>
                              <w:t>evaluating his performance in light of those goals and objectives, and setting the Chief Executive Officer's compensation level based on this evaluation;</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Setting salaries and approving incentive compensation and equity awards, as well as compensation policies, for all other officers who are designated as Section 16 officers by our board;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7878" w:type="dxa"/>
                        <w:jc w:val="left"/>
                        <w:tblInd w:w="0" w:type="dxa"/>
                        <w:tblLayout w:type="fixed"/>
                        <w:tblCellMar>
                          <w:top w:w="0" w:type="dxa"/>
                          <w:left w:w="0" w:type="dxa"/>
                          <w:bottom w:w="0" w:type="dxa"/>
                          <w:right w:w="0" w:type="dxa"/>
                        </w:tblCellMar>
                      </w:tblPr>
                      <w:tblGrid>
                        <w:gridCol w:w="68"/>
                        <w:gridCol w:w="200"/>
                        <w:gridCol w:w="76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left"/>
                              <w:rPr>
                                <w:sz w:val="22"/>
                              </w:rPr>
                            </w:pPr>
                            <w:r>
                              <w:rPr>
                                <w:sz w:val="22"/>
                              </w:rPr>
                              <w:t xml:space="preserve">Administering and interpreting the Company's incentive-based recovery policy; </w:t>
                            </w:r>
                          </w:p>
                        </w:tc>
                      </w:tr>
                    </w:tbl>
                    <w:p>
                      <w:pPr>
                        <w:pStyle w:val="TextBody"/>
                        <w:bidi w:val="0"/>
                        <w:spacing w:before="0" w:after="0"/>
                        <w:ind w:left="0" w:right="0" w:hanging="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32">
                <wp:simplePos x="0" y="0"/>
                <wp:positionH relativeFrom="column">
                  <wp:align>right</wp:align>
                </wp:positionH>
                <wp:positionV relativeFrom="line">
                  <wp:posOffset>635</wp:posOffset>
                </wp:positionV>
                <wp:extent cx="3110230" cy="2734310"/>
                <wp:effectExtent l="0" t="0" r="0" b="0"/>
                <wp:wrapSquare wrapText="left"/>
                <wp:docPr id="17" name="Frame12"/>
                <a:graphic xmlns:a="http://schemas.openxmlformats.org/drawingml/2006/main">
                  <a:graphicData uri="http://schemas.microsoft.com/office/word/2010/wordprocessingShape">
                    <wps:wsp>
                      <wps:cNvSpPr txBox="1"/>
                      <wps:spPr>
                        <a:xfrm>
                          <a:off x="0" y="0"/>
                          <a:ext cx="3110230" cy="2734310"/>
                        </a:xfrm>
                        <a:prstGeom prst="rect"/>
                        <a:solidFill>
                          <a:srgbClr val="FFFFFF"/>
                        </a:solidFill>
                      </wps:spPr>
                      <wps:txbx>
                        <w:txbxContent>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Producing an annual report for inclusion in our proxy statement, in accordance with applicable rules and regulations;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Making recommendations to the board with respect to incentive compensation programs and equity-based plans that are subject to board approval;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Granting any awards under equity compensation plans and annual bonus plans to our Chief Executive Officer and other Section 16 Officers; and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4713" w:type="dxa"/>
                              <w:jc w:val="left"/>
                              <w:tblInd w:w="0" w:type="dxa"/>
                              <w:tblLayout w:type="fixed"/>
                              <w:tblCellMar>
                                <w:top w:w="0" w:type="dxa"/>
                                <w:left w:w="0" w:type="dxa"/>
                                <w:bottom w:w="0" w:type="dxa"/>
                                <w:right w:w="0" w:type="dxa"/>
                              </w:tblCellMar>
                            </w:tblPr>
                            <w:tblGrid>
                              <w:gridCol w:w="68"/>
                              <w:gridCol w:w="200"/>
                              <w:gridCol w:w="44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left"/>
                                    <w:rPr>
                                      <w:sz w:val="22"/>
                                    </w:rPr>
                                  </w:pPr>
                                  <w:r>
                                    <w:rPr>
                                      <w:sz w:val="22"/>
                                    </w:rPr>
                                    <w:t xml:space="preserve">Approving the compensation of our directors. </w:t>
                                  </w:r>
                                </w:p>
                              </w:tc>
                            </w:tr>
                          </w:tbl>
                          <w:p>
                            <w:pPr>
                              <w:pStyle w:val="TextBody"/>
                              <w:bidi w:val="0"/>
                              <w:spacing w:before="0" w:after="283"/>
                              <w:ind w:left="0" w:right="0" w:hanging="0"/>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5.3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Producing an annual report for inclusion in our proxy statement, in accordance with applicable rules and regulations;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Making recommendations to the board with respect to incentive compensation programs and equity-based plans that are subject to board approval;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Granting any awards under equity compensation plans and annual bonus plans to our Chief Executive Officer and other Section 16 Officers; and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4713" w:type="dxa"/>
                        <w:jc w:val="left"/>
                        <w:tblInd w:w="0" w:type="dxa"/>
                        <w:tblLayout w:type="fixed"/>
                        <w:tblCellMar>
                          <w:top w:w="0" w:type="dxa"/>
                          <w:left w:w="0" w:type="dxa"/>
                          <w:bottom w:w="0" w:type="dxa"/>
                          <w:right w:w="0" w:type="dxa"/>
                        </w:tblCellMar>
                      </w:tblPr>
                      <w:tblGrid>
                        <w:gridCol w:w="68"/>
                        <w:gridCol w:w="200"/>
                        <w:gridCol w:w="44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left"/>
                              <w:rPr>
                                <w:sz w:val="22"/>
                              </w:rPr>
                            </w:pPr>
                            <w:r>
                              <w:rPr>
                                <w:sz w:val="22"/>
                              </w:rPr>
                              <w:t xml:space="preserve">Approving the compensation of our directors. </w:t>
                            </w:r>
                          </w:p>
                        </w:tc>
                      </w:tr>
                    </w:tbl>
                    <w:p>
                      <w:pPr>
                        <w:pStyle w:val="TextBody"/>
                        <w:bidi w:val="0"/>
                        <w:spacing w:before="0" w:after="283"/>
                        <w:ind w:left="0" w:right="0" w:hanging="0"/>
                        <w:jc w:val="left"/>
                        <w:rPr/>
                      </w:pPr>
                      <w:r>
                        <w:rPr/>
                      </w:r>
                    </w:p>
                  </w:txbxContent>
                </v:textbox>
                <w10:wrap type="square" side="left"/>
              </v:rect>
            </w:pict>
          </mc:Fallback>
        </mc:AlternateConten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For more information regarding the responsibilities of the compensation committee, please refer to the section of this proxy statement entitled "Compensation Discussion and Analysis and Executive and Director Compensation" above.</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18</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both"/>
        <w:rPr>
          <w:rFonts w:ascii="Arial;Helvetica;Sans-Serif" w:hAnsi="Arial;Helvetica;Sans-Serif"/>
          <w:b/>
          <w:i w:val="false"/>
          <w:caps w:val="false"/>
          <w:smallCaps w:val="false"/>
          <w:color w:val="5E779B"/>
          <w:sz w:val="28"/>
        </w:rPr>
      </w:pPr>
      <w:r>
        <w:rPr>
          <w:rFonts w:ascii="Arial;Helvetica;Sans-Serif" w:hAnsi="Arial;Helvetica;Sans-Serif"/>
          <w:b/>
          <w:i w:val="false"/>
          <w:caps w:val="false"/>
          <w:smallCaps w:val="false"/>
          <w:color w:val="5E779B"/>
          <w:sz w:val="28"/>
        </w:rPr>
        <w:t>RELATED PERSON TRANSACTION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members of the related person transaction committee are Halim Dhanidina (Chair) and Sandra D. Morgan. Each of Judge Dhanidina and Ms. Morgan was deemed to be independent by the board, as defined by the New York Stock Exchange. The related person transaction committee was established by our board in August 2022 and met two times in 2025. The functions of the related person transaction committee include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Reviewing and considering the approval or ratification of transactions that arise under the Company’s Related Person Transaction Policy (the </w:t>
            </w:r>
            <w:r>
              <w:rPr>
                <w:i/>
                <w:sz w:val="22"/>
              </w:rPr>
              <w:t>RPT Policy</w:t>
            </w:r>
            <w:r>
              <w:rPr>
                <w:sz w:val="22"/>
              </w:rPr>
              <w:t xml:space="preserve">);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9753" w:type="dxa"/>
        <w:jc w:val="left"/>
        <w:tblInd w:w="0" w:type="dxa"/>
        <w:tblLayout w:type="fixed"/>
        <w:tblCellMar>
          <w:top w:w="0" w:type="dxa"/>
          <w:left w:w="0" w:type="dxa"/>
          <w:bottom w:w="0" w:type="dxa"/>
          <w:right w:w="0" w:type="dxa"/>
        </w:tblCellMar>
      </w:tblPr>
      <w:tblGrid>
        <w:gridCol w:w="68"/>
        <w:gridCol w:w="200"/>
        <w:gridCol w:w="94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sz w:val="22"/>
              </w:rPr>
            </w:pPr>
            <w:r>
              <w:rPr>
                <w:sz w:val="22"/>
              </w:rPr>
              <w:t xml:space="preserve">Conducting an annual review of all Related Person Transactions (as defined in the RPT Policy); and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sz w:val="22"/>
              </w:rPr>
            </w:pPr>
            <w:r>
              <w:rPr>
                <w:sz w:val="22"/>
              </w:rPr>
              <w:t xml:space="preserve">Performing any other duties or responsibilities expressly delegated to the related person transaction committee by the board from time to time.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79B"/>
          <w:sz w:val="28"/>
        </w:rPr>
      </w:pPr>
      <w:r>
        <w:rPr>
          <w:rFonts w:ascii="Arial;Helvetica;Sans-Serif" w:hAnsi="Arial;Helvetica;Sans-Serif"/>
          <w:b/>
          <w:i w:val="false"/>
          <w:caps w:val="false"/>
          <w:smallCaps w:val="false"/>
          <w:color w:val="5E779B"/>
          <w:sz w:val="28"/>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Board believes that stockholders are best served by the Board having flexibility to consider and determine the best leadership structure for the Company based on current relevant facts and circumstances rather than by adhering to a formal standing policy on the subject. The Board periodically reviews its leadership structure to evaluate whether the structure remains appropriate to effectively address the specific needs of our business and the long-term interests of our stockholders. We have separated the positions of CEO and Chairman of the board of directors in recognition of the differences between the two roles. As our non-executive Chairman of the board, Mr. Foley, while no longer an executive or involved in the day-to-day operation of FNF, continues to be the driving force behind the development and execution of our strategic direction. Raymond R. Quirk serves as Executive Vice-Chairman of our board and Michael J. Nolan serves as our Chief Executive Officer. As Executive Vice-Chairman, Mr. Quirk promotes our real estate technology efforts, the expansion of our digital initiatives, and strategic investments in title insurance and technology related M&amp;A activities. Mr. Nolan leads all activities related to the growth and expansion of our title insurance related businesses and operations, overall financial performance, and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Douglas K. Ammerman, one of our independent directors, serves as our independent Lead Director. The board believes there are advantages to having an independent Lead Director and considers it to be useful and appropriate for the Lead Director to coordinate the activities of the other non-employee directors and to perform such other duties and responsibilities as the board may determine. Our Board believes that stockholders are best served by the Board's current leadership structure because it provides the Company with the benefits of the leadership roles of Chair and Chief Executive Officer, while at the same time featuring a strong and empowered independent Lead Director who provides an effective independent voice and further enhances the contributions of our independent directors. Mr. Ammerman has extensive board governance experience and has a deep understanding of the Company's business from serving on our board for over 16 years and serving as a partner of KPMG for 18 years. Since commencing service as our independent Lead Director, Mr. Ammerman has provided a clear and independent voice on the board that appropriately balances our leadership structure.</w:t>
      </w:r>
    </w:p>
    <w:p>
      <w:pPr>
        <w:pStyle w:val="TextBody"/>
        <w:bidi w:val="0"/>
        <w:spacing w:before="0" w:after="0"/>
        <w:ind w:left="1440" w:right="1080" w:hanging="0"/>
        <w:jc w:val="left"/>
        <w:rPr>
          <w:caps w:val="false"/>
          <w:smallCaps w:val="false"/>
          <w:color w:val="58595B"/>
        </w:rPr>
      </w:pPr>
      <w:r>
        <w:rPr>
          <w:caps w:val="false"/>
          <w:smallCaps w:val="false"/>
          <w:color w:val="58595B"/>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19</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Corporate Governance Guidelines define the responsibilities of the Lead Director, which include:</w:t>
      </w:r>
    </w:p>
    <w:p>
      <w:pPr>
        <w:pStyle w:val="TextBody"/>
        <w:bidi w:val="0"/>
        <w:spacing w:before="0" w:after="0"/>
        <w:ind w:left="1440" w:right="1080" w:hanging="0"/>
        <w:jc w:val="left"/>
        <w:rPr>
          <w:caps w:val="false"/>
          <w:smallCaps w:val="false"/>
          <w:color w:val="55779A"/>
        </w:rPr>
      </w:pPr>
      <w:r>
        <w:rPr>
          <w:caps w:val="false"/>
          <w:smallCaps w:val="false"/>
          <w:color w:val="55779A"/>
        </w:rPr>
        <w:t>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3110230" cy="2072640"/>
                <wp:effectExtent l="0" t="0" r="0" b="0"/>
                <wp:wrapSquare wrapText="right"/>
                <wp:docPr id="18" name="Frame13"/>
                <a:graphic xmlns:a="http://schemas.openxmlformats.org/drawingml/2006/main">
                  <a:graphicData uri="http://schemas.microsoft.com/office/word/2010/wordprocessingShape">
                    <wps:wsp>
                      <wps:cNvSpPr txBox="1"/>
                      <wps:spPr>
                        <a:xfrm>
                          <a:off x="0" y="0"/>
                          <a:ext cx="3110230" cy="2072640"/>
                        </a:xfrm>
                        <a:prstGeom prst="rect"/>
                        <a:solidFill>
                          <a:srgbClr val="FFFFFF"/>
                        </a:solidFill>
                      </wps:spPr>
                      <wps:txbx>
                        <w:txbxContent>
                          <w:p>
                            <w:pPr>
                              <w:pStyle w:val="TextBody"/>
                              <w:bidi w:val="0"/>
                              <w:spacing w:before="0" w:after="0"/>
                              <w:ind w:left="0" w:right="0" w:hanging="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68"/>
                              <w:gridCol w:w="200"/>
                              <w:gridCol w:w="95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left"/>
                                    <w:rPr>
                                      <w:sz w:val="22"/>
                                    </w:rPr>
                                  </w:pPr>
                                  <w:r>
                                    <w:rPr>
                                      <w:sz w:val="22"/>
                                    </w:rPr>
                                    <w:t xml:space="preserve">Preside at meetings of the board of directors in the absence of, or upon the request of, the Chairman;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Review board meeting agendas and schedules in collaboration with the Chairman and recommend matters for the board to consider and information to be provided to the board;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sz w:val="22"/>
                                    </w:rPr>
                                    <w:t>Serve as a liaison and supplemental channel of communication between non-employee/ independent directors and the Chairman without inhibiting direct communications between the Chairman and other directors;</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3.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68"/>
                        <w:gridCol w:w="200"/>
                        <w:gridCol w:w="95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left"/>
                              <w:rPr>
                                <w:sz w:val="22"/>
                              </w:rPr>
                            </w:pPr>
                            <w:r>
                              <w:rPr>
                                <w:sz w:val="22"/>
                              </w:rPr>
                              <w:t xml:space="preserve">Preside at meetings of the board of directors in the absence of, or upon the request of, the Chairman;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Review board meeting agendas and schedules in collaboration with the Chairman and recommend matters for the board to consider and information to be provided to the board;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sz w:val="22"/>
                              </w:rPr>
                              <w:t>Serve as a liaison and supplemental channel of communication between non-employee/ independent directors and the Chairman without inhibiting direct communications between the Chairman and other directors;</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34">
                <wp:simplePos x="0" y="0"/>
                <wp:positionH relativeFrom="column">
                  <wp:align>right</wp:align>
                </wp:positionH>
                <wp:positionV relativeFrom="line">
                  <wp:posOffset>635</wp:posOffset>
                </wp:positionV>
                <wp:extent cx="3110230" cy="1911985"/>
                <wp:effectExtent l="0" t="0" r="0" b="0"/>
                <wp:wrapSquare wrapText="left"/>
                <wp:docPr id="19" name="Frame14"/>
                <a:graphic xmlns:a="http://schemas.openxmlformats.org/drawingml/2006/main">
                  <a:graphicData uri="http://schemas.microsoft.com/office/word/2010/wordprocessingShape">
                    <wps:wsp>
                      <wps:cNvSpPr txBox="1"/>
                      <wps:spPr>
                        <a:xfrm>
                          <a:off x="0" y="0"/>
                          <a:ext cx="3110230" cy="1911985"/>
                        </a:xfrm>
                        <a:prstGeom prst="rect"/>
                        <a:solidFill>
                          <a:srgbClr val="FFFFFF"/>
                        </a:solidFill>
                      </wps:spPr>
                      <wps:txbx>
                        <w:txbxContent>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Serve as the principal liaison for consultation and communication between the non-employee/independent directors and shareholders;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Advise the Chairman concerning the retention of advisors and consultants who report directly to the board; and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7758" w:type="dxa"/>
                              <w:jc w:val="left"/>
                              <w:tblInd w:w="0" w:type="dxa"/>
                              <w:tblLayout w:type="fixed"/>
                              <w:tblCellMar>
                                <w:top w:w="0" w:type="dxa"/>
                                <w:left w:w="0" w:type="dxa"/>
                                <w:bottom w:w="0" w:type="dxa"/>
                                <w:right w:w="0" w:type="dxa"/>
                              </w:tblCellMar>
                            </w:tblPr>
                            <w:tblGrid>
                              <w:gridCol w:w="68"/>
                              <w:gridCol w:w="200"/>
                              <w:gridCol w:w="74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left"/>
                                    <w:rPr/>
                                  </w:pPr>
                                  <w:r>
                                    <w:rPr>
                                      <w:sz w:val="22"/>
                                    </w:rPr>
                                    <w:t>Be available to major shareholders for consultation and direct communication.</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0.5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Serve as the principal liaison for consultation and communication between the non-employee/independent directors and shareholders;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Advise the Chairman concerning the retention of advisors and consultants who report directly to the board; and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7758" w:type="dxa"/>
                        <w:jc w:val="left"/>
                        <w:tblInd w:w="0" w:type="dxa"/>
                        <w:tblLayout w:type="fixed"/>
                        <w:tblCellMar>
                          <w:top w:w="0" w:type="dxa"/>
                          <w:left w:w="0" w:type="dxa"/>
                          <w:bottom w:w="0" w:type="dxa"/>
                          <w:right w:w="0" w:type="dxa"/>
                        </w:tblCellMar>
                      </w:tblPr>
                      <w:tblGrid>
                        <w:gridCol w:w="68"/>
                        <w:gridCol w:w="200"/>
                        <w:gridCol w:w="74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283"/>
                              <w:jc w:val="left"/>
                              <w:rPr/>
                            </w:pPr>
                            <w:r>
                              <w:rPr>
                                <w:sz w:val="22"/>
                              </w:rPr>
                              <w:t>Be available to major shareholders for consultation and direct communication.</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txbxContent>
                </v:textbox>
                <w10:wrap type="square" side="left"/>
              </v:rect>
            </w:pict>
          </mc:Fallback>
        </mc:AlternateContent>
      </w:r>
    </w:p>
    <w:p>
      <w:pPr>
        <w:pStyle w:val="TextBody"/>
        <w:bidi w:val="0"/>
        <w:spacing w:before="0" w:after="0"/>
        <w:ind w:left="1440" w:right="1080" w:hanging="0"/>
        <w:jc w:val="left"/>
        <w:rPr>
          <w:rFonts w:ascii="Arial;Helvetica;Sans-Serif" w:hAnsi="Arial;Helvetica;Sans-Serif"/>
          <w:b/>
          <w:i w:val="false"/>
          <w:caps w:val="false"/>
          <w:smallCaps w:val="false"/>
          <w:color w:val="5E779B"/>
          <w:sz w:val="28"/>
        </w:rPr>
      </w:pPr>
      <w:r>
        <w:rPr>
          <w:rFonts w:ascii="Arial;Helvetica;Sans-Serif" w:hAnsi="Arial;Helvetica;Sans-Serif"/>
          <w:b/>
          <w:i w:val="false"/>
          <w:caps w:val="false"/>
          <w:smallCaps w:val="false"/>
          <w:color w:val="5E779B"/>
          <w:sz w:val="28"/>
        </w:rPr>
        <w:t>BOARD ROLE IN RISK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board of directors administers its risk oversight function directly and through committees. The audit committee oversees FNF's financial reporting process, risk management program, including information technology and cybersecurity risk, ESG risk, legal and regulatory compliance, performance of the independent auditor, the internal audit function, and financial and disclosure controls. Management also reports quarterly to the audit committee and the board of directors regarding claims, and the audit committee receives quarterly reports on compliance matters. Our audit committee oversees our environmental sustainability policies and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board has a strong focus on cybersecurity. Our approach to cybersecurity and privacy risk are overseen by the audit committee. At each regular meeting of the audit committee of our board of directors, our Chief Risk Officer, Chief Compliance Officer, Chief Security Officer, Chief Information Security Officer and Chief Audit Officer provide reports relating to existing and emerging cyber and data security risks, as well as reports on the Company's risk assessments and security incidents. Our audit committee chairman reports on these discussions to our board of directors on a quarterly basis. Mr. Ammerman, Ms. Morgan and Mr. Rood have attended third-party director education courses on cybersecurity and privacy issues and trends. Ms. Morgan has also attended continuing education courses on corporate governance, artificial intelligence and, in her role as President of the Las Vegas Raiders football club, diversity, equity and inclusion. Judge Dhanidina holds a certificate in Board Governance from the UCLA Anderson School of Management and certain of our other directors have attended various director continuing education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related person transaction committee reviews and considers all transactions that arise under the RPT Policy. The compensation committee reviews and approves FNF's compensation and other benefit plans, policies and programs and considers whether any of those plans, policies or programs creates risks that are likely to have a material adverse effect on FNF. The corporate governance and nominating committee considers the adequacy of FNF's governance structures and policies. Each committee provides reports on its activities to the full board of directors.</w:t>
      </w:r>
    </w:p>
    <w:p>
      <w:pPr>
        <w:pStyle w:val="TextBody"/>
        <w:bidi w:val="0"/>
        <w:spacing w:before="0" w:after="0"/>
        <w:ind w:left="1440" w:right="1080" w:hanging="0"/>
        <w:jc w:val="left"/>
        <w:rPr>
          <w:caps w:val="false"/>
          <w:smallCaps w:val="false"/>
          <w:color w:val="58595B"/>
        </w:rPr>
      </w:pPr>
      <w:r>
        <w:rPr>
          <w:caps w:val="false"/>
          <w:smallCaps w:val="false"/>
          <w:color w:val="58595B"/>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20</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On an ongoing basis management identifies our strategic risks and aligns both our disclosure controls and procedures and our annual audit plan with the identified and addressable risks. Risks are evaluated over all timeframes, however the focus of management's risk assessment is on risks to the long-term viability of FNF. Risks with the potential for an adverse impact to the Company in the near term are prioritized to the extent they present a risk to the viability of the Company. Management presents updates on the current year progress of the Company's risk management program to the audit committee quarterly.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79B"/>
          <w:sz w:val="28"/>
        </w:rPr>
      </w:pPr>
      <w:r>
        <w:rPr>
          <w:rFonts w:ascii="Arial;Helvetica;Sans-Serif" w:hAnsi="Arial;Helvetica;Sans-Serif"/>
          <w:b/>
          <w:i w:val="false"/>
          <w:caps w:val="false"/>
          <w:smallCaps w:val="false"/>
          <w:color w:val="5E779B"/>
          <w:sz w:val="28"/>
        </w:rPr>
        <w:t>CONTACTING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Any shareholder or other interested person who desires to contact any member of the board or the non-management members of the board as a group may do so by writing to: Board of Directors, c/o Corporate Secretary, Fidelity National Financial, Inc., 601 Riverside Avenue, Jacksonville, FL 32204. Communications received are distributed by the Corporate Secretary to the appropriate member or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both"/>
        <w:rPr>
          <w:rFonts w:ascii="Arial;Helvetica;Sans-Serif" w:hAnsi="Arial;Helvetica;Sans-Serif"/>
          <w:b/>
          <w:i w:val="false"/>
          <w:caps w:val="false"/>
          <w:smallCaps w:val="false"/>
          <w:color w:val="264F78"/>
          <w:sz w:val="40"/>
        </w:rPr>
      </w:pPr>
      <w:r>
        <w:rPr>
          <w:rFonts w:ascii="Arial;Helvetica;Sans-Serif" w:hAnsi="Arial;Helvetica;Sans-Serif"/>
          <w:b/>
          <w:i w:val="false"/>
          <w:caps w:val="false"/>
          <w:smallCaps w:val="false"/>
          <w:color w:val="264F78"/>
          <w:sz w:val="40"/>
        </w:rPr>
        <w:t>CERTAIN INFORMATION ABOUT OUR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both"/>
        <w:rPr>
          <w:rFonts w:ascii="Arial;Helvetica;Sans-Serif" w:hAnsi="Arial;Helvetica;Sans-Serif"/>
          <w:b/>
          <w:i w:val="false"/>
          <w:caps w:val="false"/>
          <w:smallCaps w:val="false"/>
          <w:color w:val="5E779B"/>
          <w:sz w:val="28"/>
        </w:rPr>
      </w:pPr>
      <w:r>
        <w:rPr>
          <w:rFonts w:ascii="Arial;Helvetica;Sans-Serif" w:hAnsi="Arial;Helvetica;Sans-Serif"/>
          <w:b/>
          <w:i w:val="false"/>
          <w:caps w:val="false"/>
          <w:smallCaps w:val="false"/>
          <w:color w:val="5E779B"/>
          <w:sz w:val="28"/>
        </w:rPr>
        <w:t>DIRECTOR CRITERIA, QUALIFICATIONS AND EXPERIENCE AND PROCESS FOR SELECTING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FNF is a leading provider of title insurance, escrow and other title-related services, including trust activities, trustee sales guarantees, recordings and reconveyances and home warranty products, as well as transaction services to the real estate and mortgage industries. 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As of February 2026, the MBA expected mortgage originations to increase in 2026 when compared to 2025 as a result of an increase in refinance activity, followed by relatively flat mortgage origination markets in 2027 and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continually monitor mortgage origination trends and believe that, based on our ability to produce industry-leading operating margins through all economic cycles, we are well-positioned to adjust our operations for adverse changes in real estate activity and to take advantage of increased volume when demand increases.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are also a provider of annuity and life insurance products through our majority-owned subsidiary F&amp;G. F&amp;G provides a diversification of our cash and income streams away from title insurance and is expected to provide predictable counter-cyclical income that performs best in a rising long-term interest rate environment through an attractive retirement insurance business with strong growth tailwinds as demand for retirement insurance products are propelled by an aging demographic.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F&amp;G is a great example of our long history of making strategic investments and acquisitions in other companies, both within and outside of our core title business, and driving shareholder value creation through identifying cost savings, undertaking strategy shifts, eliminating siloed organizational structures and accelerating product expansion.</w:t>
      </w:r>
    </w:p>
    <w:p>
      <w:pPr>
        <w:pStyle w:val="TextBody"/>
        <w:bidi w:val="0"/>
        <w:spacing w:before="0" w:after="0"/>
        <w:ind w:left="1440" w:right="1080" w:hanging="0"/>
        <w:jc w:val="left"/>
        <w:rPr>
          <w:caps w:val="false"/>
          <w:smallCaps w:val="false"/>
          <w:color w:val="58595B"/>
        </w:rPr>
      </w:pPr>
      <w:r>
        <w:rPr>
          <w:caps w:val="false"/>
          <w:smallCaps w:val="false"/>
          <w:color w:val="58595B"/>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21</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2026, our board and management team will continue to focus on the organic growth of our core title operations while carefully managing expenses to address any changes in the mortgage industry in the current economic and political environment, including impacts from the difficulty of predicting long-term title market and economic conditions, uncertainty related to geopolitical conflicts and unrest, an uncertain long-term regulatory environment and other factors that could impact our long-term growth and performance. The board and management team, especially Messrs. Foley, Ammerman, Nolan, Quirk and Rood who serve on the F&amp;G board, will also be focused on the successful execution of F&amp;G's strategic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board and the corporate governance and nominating committee are committed to including the best available candidates for nomination for election to our board based on merit. Certain of our directors have attended director continuing education programs on various matters including cybersecurity and corporate governance. Our board and our corporate governance and nominating committee periodically evaluate our board's composition with the goal of developing a board that meets our strategic goals, and one that includes diverse, experienced and highly qualified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corporate governance and nominating committee does not set specific, minimum qualifications that nominees must meet for the committee to recommend them to the board, but rather believes that each nominee should be evaluated based on his or her individual merits, taking into account our needs and the overall composition of the board. In accordance with our Corporate Governance Guidelines, the corporate governance and nominating committee considers, among other things, the following criteria in fulfilling its duty to recommend nominees for election as directors:</w:t>
      </w:r>
    </w:p>
    <w:p>
      <w:pPr>
        <w:pStyle w:val="TextBody"/>
        <w:bidi w:val="0"/>
        <w:spacing w:before="0" w:after="0"/>
        <w:ind w:left="0" w:right="0" w:hanging="0"/>
        <w:jc w:val="left"/>
        <w:rPr>
          <w:caps w:val="false"/>
          <w:smallCaps w:val="false"/>
        </w:rPr>
      </w:pPr>
      <w:r>
        <w:rPr>
          <w:caps w:val="false"/>
          <w:smallCaps w:val="false"/>
        </w:rPr>
        <w:t> </w:t>
      </w:r>
    </w:p>
    <w:tbl>
      <w:tblPr>
        <w:tblW w:w="9618" w:type="dxa"/>
        <w:jc w:val="left"/>
        <w:tblInd w:w="0" w:type="dxa"/>
        <w:tblLayout w:type="fixed"/>
        <w:tblCellMar>
          <w:top w:w="0" w:type="dxa"/>
          <w:left w:w="0" w:type="dxa"/>
          <w:bottom w:w="0" w:type="dxa"/>
          <w:right w:w="0" w:type="dxa"/>
        </w:tblCellMar>
      </w:tblPr>
      <w:tblGrid>
        <w:gridCol w:w="68"/>
        <w:gridCol w:w="200"/>
        <w:gridCol w:w="93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283"/>
              <w:jc w:val="left"/>
              <w:rPr>
                <w:sz w:val="22"/>
              </w:rPr>
            </w:pPr>
            <w:r>
              <w:rPr>
                <w:sz w:val="22"/>
              </w:rPr>
              <w:t xml:space="preserve">Personal qualities and characteristics, accomplishments and reputation in the business community;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Current knowledge and contacts in the communities in which we do business and in our industry or other industries relevant to our business;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8373" w:type="dxa"/>
        <w:jc w:val="left"/>
        <w:tblInd w:w="0" w:type="dxa"/>
        <w:tblLayout w:type="fixed"/>
        <w:tblCellMar>
          <w:top w:w="0" w:type="dxa"/>
          <w:left w:w="0" w:type="dxa"/>
          <w:bottom w:w="0" w:type="dxa"/>
          <w:right w:w="0" w:type="dxa"/>
        </w:tblCellMar>
      </w:tblPr>
      <w:tblGrid>
        <w:gridCol w:w="68"/>
        <w:gridCol w:w="200"/>
        <w:gridCol w:w="81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105" w:type="dxa"/>
            <w:tcBorders/>
            <w:vAlign w:val="center"/>
          </w:tcPr>
          <w:p>
            <w:pPr>
              <w:pStyle w:val="TableContents"/>
              <w:bidi w:val="0"/>
              <w:spacing w:before="0" w:after="283"/>
              <w:jc w:val="left"/>
              <w:rPr>
                <w:sz w:val="22"/>
              </w:rPr>
            </w:pPr>
            <w:r>
              <w:rPr>
                <w:sz w:val="22"/>
              </w:rPr>
              <w:t xml:space="preserve">Ability and willingness to commit adequate time to the board and committee matters;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The fit of the individual's skills and personality with those of other directors and potential directors in building a board that is effective, collegial and responsive to our needs; and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Diversity of viewpoints, background, experience, and other demographics, and all aspects of diversity to enable the Board to perform its duties and responsibilities effectively.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Each year in connection with the nomination of candidates for election to the board, the corporate governance and nominating committee evaluates the background of each candidate, including any candidates that may be submitted by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79B"/>
          <w:sz w:val="28"/>
        </w:rPr>
      </w:pPr>
      <w:r>
        <w:rPr>
          <w:rFonts w:ascii="Arial;Helvetica;Sans-Serif" w:hAnsi="Arial;Helvetica;Sans-Serif"/>
          <w:b/>
          <w:i w:val="false"/>
          <w:caps w:val="false"/>
          <w:smallCaps w:val="false"/>
          <w:color w:val="5E779B"/>
          <w:sz w:val="28"/>
        </w:rPr>
        <w:t>BOARD COMPOSITION, TENURE AND RECENT REFRESHMENT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believe that the current composition of our board serves us well and that our current directors possess relevant experience, skills and qualifications that contribute to a well-functioning board that effectively oversees our long-term strategy. As the need arises, we selectively add new board members who have important skill sets, experience or diversity of viewpoint. For example, in 2020, our board elected Sandra D. Morgan to serve as a director. Ms. Morgan brings to our board a strong legal and regulatory background as an attorney and former Chair of the Nevada Gaming Control Board. In 2021, we added the Honorable Halim Dhanidina, who has a strong legal background and understanding of the regulatory landscape and corporate governance. Both Ms. Morgan and Judge Dhanidina add to the diversity of our</w:t>
      </w:r>
    </w:p>
    <w:p>
      <w:pPr>
        <w:pStyle w:val="TextBody"/>
        <w:bidi w:val="0"/>
        <w:spacing w:before="0" w:after="0"/>
        <w:ind w:left="1440" w:right="1080" w:hanging="0"/>
        <w:jc w:val="left"/>
        <w:rPr>
          <w:caps w:val="false"/>
          <w:smallCaps w:val="false"/>
          <w:color w:val="58595B"/>
        </w:rPr>
      </w:pPr>
      <w:r>
        <w:rPr>
          <w:caps w:val="false"/>
          <w:smallCaps w:val="false"/>
          <w:color w:val="58595B"/>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22</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board. Our board is composed of a mix of directors, some of whom have served on our board since our initial public offering and have a strong understanding of our business, operational and strategic goals, as well as our industry and the risks we face, and others who have joined our board in more recent years and bring new skills, experience and perspectives to our board. We recognize the importance of having directors with a longevity of service and deep understanding of our business to our ability to effectively execute on our long-term strategy as we selectively identify new highly talented directors to broaden the skills and experience of our board as a whole and add new and diverse viewpoints.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corporate governance and nominating committee regularly examines ways that it can foster the diversity of our board across many dimensions to maintain its ability to operate at a high-functioning level and to reflect the board's commitment to inclusiveness. In connection with this examination, our corporate governance and nominating committee considers a variety of skills, qualifications and other factors, including age, gender, nationality, race, ethnicity, and sexual orientation as a part of the criteria the committee may consider when selecting nominees for election to the board, all in the context of the needs of our board at any given point in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As of January 1, 2026, two of our 11 directors are gender diverse and two of our 11 directors are of diverse race/ethnicity.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corporate governance and nominating committee also considers whether our directors have sufficient time to devote to service on our board. Mr. Foley, who also serves as Vice Chairman of Cannae and as Chairman of the boards of several other public companies, provides high-value added services to our Company and board. Mr. Foley is a founder of FNF and has served as Chairman of our board of directors since 1984. He served as our Chief Executive Officer until May 2007 and as President of FNF until December 1994. He has unparalleled knowledge of our business, industry and customers that is invaluable to our Company and our board as we continually evaluate, evolve and execute on our long-term strategy. Mr. Foley has a strong track record of building and maintaining shareholder value and successfully negotiating and executing mergers, acquisitions and other strategic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Mr. Foley's service as Executive Chairman of F&amp;G is part of our board's strategy for the long-term success of F&amp;G as our majority-owned subsidiary and we believe his service in that role will drive long-term value for both our shareholders and F&amp;G shareholders. Based on these factors and Mr. Foley's unique skills and history with FNF, we believe he has sufficient time to devote to his service as non-executive Chairman of FNF and that his continued involvement in our strategy and execution is an important factor in our long-term and future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79B"/>
          <w:sz w:val="28"/>
        </w:rPr>
      </w:pPr>
      <w:r>
        <w:rPr>
          <w:rFonts w:ascii="Arial;Helvetica;Sans-Serif" w:hAnsi="Arial;Helvetica;Sans-Serif"/>
          <w:b/>
          <w:i w:val="false"/>
          <w:caps w:val="false"/>
          <w:smallCaps w:val="false"/>
          <w:color w:val="5E779B"/>
          <w:sz w:val="28"/>
        </w:rPr>
        <w:t>PROXY ACCESS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bylaws include a "proxy access" procedure for shareholder director nominations. Pursuant to Section 2.13(e) of our bylaws, a shareholder, or a group of up to 25 shareholders, may include in our proxy materials director nominees constituting up to two individuals or 20% of our board, whichever is greater, provided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The nominating shareholder(s) own several shares representing 3% or more of the total voting power of the Company's outstanding shares of capital stock entitled to vote in the election of directors; </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23</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The nominating shareholder(s) have owned that number of shares continuously for at least three years; and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sz w:val="22"/>
              </w:rPr>
            </w:pPr>
            <w:r>
              <w:rPr>
                <w:sz w:val="22"/>
              </w:rPr>
              <w:t xml:space="preserve">The nominating shareholder(s) and their director nominee(s) otherwise satisfy the applicable requirements of Section 2.13(e) of our bylaws.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corporate governance and nominating committee considers qualified candidates suggested by current directors, management and our shareholders. A shareholder who wishes to suggest a qualified candidate for director to the corporate governance and nominating committee but does not meet the requirements described above may do so by writing to our Corporate Secretary at 601 Riverside Avenue, Jacksonville, Florida 32204. The submission must provide the information required by, and otherwise comply with the procedures set forth in, Section 3.1 of our bylaws. Section 3.1 also requires that the nomination notice be submitted by a prescribed time in advance of the meeting. See "Shareholder Proposals and Nominations"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79B"/>
          <w:sz w:val="28"/>
        </w:rPr>
      </w:pPr>
      <w:r>
        <w:rPr>
          <w:rFonts w:ascii="Arial;Helvetica;Sans-Serif" w:hAnsi="Arial;Helvetica;Sans-Serif"/>
          <w:b/>
          <w:i w:val="false"/>
          <w:caps w:val="false"/>
          <w:smallCaps w:val="false"/>
          <w:color w:val="5E779B"/>
          <w:sz w:val="28"/>
        </w:rPr>
        <w:t>INFORMATION ABOUT THE DIRECTOR NOMINEES AND CONTINUING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matrix on the next page lists the skills and experience that we consider most important for our directors in light of our current business and structure. In addition, biographical information concerning our nominees proposed for election at the annual meeting as Class III directors of the Company, as well as our continuing Class I and Class II directors, including each director's relevant experience, qualifications, skills and diversity, is included.</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24</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100" w:type="dxa"/>
          <w:right w:w="40" w:type="dxa"/>
        </w:tblCellMar>
      </w:tblPr>
      <w:tblGrid>
        <w:gridCol w:w="1596"/>
        <w:gridCol w:w="1106"/>
        <w:gridCol w:w="1040"/>
        <w:gridCol w:w="785"/>
        <w:gridCol w:w="822"/>
        <w:gridCol w:w="611"/>
        <w:gridCol w:w="633"/>
        <w:gridCol w:w="744"/>
        <w:gridCol w:w="748"/>
        <w:gridCol w:w="543"/>
        <w:gridCol w:w="833"/>
        <w:gridCol w:w="744"/>
      </w:tblGrid>
      <w:tr>
        <w:trPr/>
        <w:tc>
          <w:tcPr>
            <w:tcW w:w="1596" w:type="dxa"/>
            <w:vMerge w:val="restart"/>
            <w:tcBorders>
              <w:bottom w:val="single" w:sz="8" w:space="0" w:color="58595B"/>
              <w:right w:val="single" w:sz="8" w:space="0" w:color="58595B"/>
            </w:tcBorders>
            <w:vAlign w:val="center"/>
          </w:tcPr>
          <w:p>
            <w:pPr>
              <w:pStyle w:val="TableContents"/>
              <w:bidi w:val="0"/>
              <w:spacing w:before="0" w:after="283"/>
              <w:jc w:val="left"/>
              <w:rPr>
                <w:rFonts w:ascii="Arial;Helvetica;Sans-Serif" w:hAnsi="Arial;Helvetica;Sans-Serif"/>
                <w:b/>
                <w:color w:val="49678E"/>
                <w:sz w:val="14"/>
              </w:rPr>
            </w:pPr>
            <w:r>
              <w:rPr>
                <w:rFonts w:ascii="Arial;Helvetica;Sans-Serif" w:hAnsi="Arial;Helvetica;Sans-Serif"/>
                <w:b/>
                <w:color w:val="49678E"/>
                <w:sz w:val="14"/>
              </w:rPr>
              <w:t>Knowledge, Skills &amp; Experience:</w:t>
            </w:r>
          </w:p>
        </w:tc>
        <w:tc>
          <w:tcPr>
            <w:tcW w:w="8609" w:type="dxa"/>
            <w:gridSpan w:val="11"/>
            <w:tcBorders>
              <w:top w:val="single" w:sz="8" w:space="0" w:color="231F20"/>
              <w:bottom w:val="single" w:sz="8" w:space="0" w:color="58595B"/>
              <w:right w:val="single" w:sz="8" w:space="0" w:color="231F20"/>
            </w:tcBorders>
            <w:shd w:fill="274F78" w:val="clear"/>
            <w:tcMar>
              <w:top w:w="100" w:type="dxa"/>
              <w:right w:w="2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BOARD OF DIRECTORS</w:t>
            </w:r>
          </w:p>
        </w:tc>
      </w:tr>
      <w:tr>
        <w:trPr/>
        <w:tc>
          <w:tcPr>
            <w:tcW w:w="1596" w:type="dxa"/>
            <w:vMerge w:val="continue"/>
            <w:tcBorders>
              <w:bottom w:val="single" w:sz="8" w:space="0" w:color="58595B"/>
              <w:right w:val="single" w:sz="8" w:space="0" w:color="58595B"/>
            </w:tcBorders>
            <w:shd w:fill="E6E7E8" w:val="clear"/>
            <w:vAlign w:val="center"/>
          </w:tcPr>
          <w:p>
            <w:pPr>
              <w:pStyle w:val="Normal"/>
              <w:bidi w:val="0"/>
              <w:jc w:val="left"/>
              <w:rPr/>
            </w:pPr>
            <w:r>
              <w:rPr/>
            </w:r>
          </w:p>
        </w:tc>
        <w:tc>
          <w:tcPr>
            <w:tcW w:w="1106" w:type="dxa"/>
            <w:tcBorders>
              <w:bottom w:val="single" w:sz="8" w:space="0" w:color="58595B"/>
              <w:right w:val="single" w:sz="8" w:space="0" w:color="58595B"/>
            </w:tcBorders>
            <w:shd w:fill="E6E7E8" w:val="cle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William P. Foley, II</w:t>
              <w:br/>
              <w:t>(Non-Executive</w:t>
              <w:br/>
              <w:t>Chairman)</w:t>
            </w:r>
          </w:p>
        </w:tc>
        <w:tc>
          <w:tcPr>
            <w:tcW w:w="1040" w:type="dxa"/>
            <w:tcBorders>
              <w:bottom w:val="single" w:sz="8" w:space="0" w:color="58595B"/>
              <w:right w:val="single" w:sz="8" w:space="0" w:color="58595B"/>
            </w:tcBorders>
            <w:shd w:fill="E6E7E8" w:val="cle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Raymond R.</w:t>
              <w:br/>
              <w:t>Quirk (Executive</w:t>
              <w:br/>
              <w:t>Vice-Chairman)</w:t>
            </w:r>
          </w:p>
        </w:tc>
        <w:tc>
          <w:tcPr>
            <w:tcW w:w="785" w:type="dxa"/>
            <w:tcBorders>
              <w:bottom w:val="single" w:sz="8" w:space="0" w:color="58595B"/>
              <w:right w:val="single" w:sz="8" w:space="0" w:color="58595B"/>
            </w:tcBorders>
            <w:shd w:fill="E6E7E8" w:val="cle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Douglas K.</w:t>
              <w:br/>
              <w:t>Ammerman</w:t>
            </w:r>
          </w:p>
        </w:tc>
        <w:tc>
          <w:tcPr>
            <w:tcW w:w="822" w:type="dxa"/>
            <w:tcBorders>
              <w:bottom w:val="single" w:sz="8" w:space="0" w:color="58595B"/>
              <w:right w:val="single" w:sz="8" w:space="0" w:color="58595B"/>
            </w:tcBorders>
            <w:shd w:fill="E6E7E8" w:val="cle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Halim Dhanidina</w:t>
            </w:r>
          </w:p>
        </w:tc>
        <w:tc>
          <w:tcPr>
            <w:tcW w:w="611" w:type="dxa"/>
            <w:tcBorders>
              <w:bottom w:val="single" w:sz="8" w:space="0" w:color="58595B"/>
              <w:right w:val="single" w:sz="8" w:space="0" w:color="58595B"/>
            </w:tcBorders>
            <w:shd w:fill="E6E7E8" w:val="cle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Thomas M.</w:t>
              <w:br/>
              <w:t>Hagerty</w:t>
            </w:r>
          </w:p>
        </w:tc>
        <w:tc>
          <w:tcPr>
            <w:tcW w:w="633" w:type="dxa"/>
            <w:tcBorders>
              <w:bottom w:val="single" w:sz="8" w:space="0" w:color="58595B"/>
              <w:right w:val="single" w:sz="8" w:space="0" w:color="58595B"/>
            </w:tcBorders>
            <w:shd w:fill="E6E7E8" w:val="cle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Daniel D. Lane</w:t>
            </w:r>
          </w:p>
        </w:tc>
        <w:tc>
          <w:tcPr>
            <w:tcW w:w="744" w:type="dxa"/>
            <w:tcBorders>
              <w:bottom w:val="single" w:sz="8" w:space="0" w:color="58595B"/>
              <w:right w:val="single" w:sz="8" w:space="0" w:color="58595B"/>
            </w:tcBorders>
            <w:shd w:fill="E6E7E8" w:val="cle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Sandra D. Morgan</w:t>
            </w:r>
          </w:p>
        </w:tc>
        <w:tc>
          <w:tcPr>
            <w:tcW w:w="748" w:type="dxa"/>
            <w:tcBorders>
              <w:bottom w:val="single" w:sz="8" w:space="0" w:color="58595B"/>
              <w:right w:val="single" w:sz="8" w:space="0" w:color="58595B"/>
            </w:tcBorders>
            <w:shd w:fill="E6E7E8" w:val="cle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Heather H. Miller</w:t>
            </w:r>
          </w:p>
        </w:tc>
        <w:tc>
          <w:tcPr>
            <w:tcW w:w="543" w:type="dxa"/>
            <w:tcBorders>
              <w:bottom w:val="single" w:sz="8" w:space="0" w:color="58595B"/>
              <w:right w:val="single" w:sz="8" w:space="0" w:color="58595B"/>
            </w:tcBorders>
            <w:shd w:fill="E6E7E8" w:val="cle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John D. Rood</w:t>
            </w:r>
          </w:p>
        </w:tc>
        <w:tc>
          <w:tcPr>
            <w:tcW w:w="833" w:type="dxa"/>
            <w:tcBorders>
              <w:bottom w:val="single" w:sz="8" w:space="0" w:color="58595B"/>
              <w:right w:val="single" w:sz="8" w:space="0" w:color="58595B"/>
            </w:tcBorders>
            <w:shd w:fill="E6E7E8" w:val="cle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Peter O. Shea, Jr.</w:t>
            </w:r>
          </w:p>
        </w:tc>
        <w:tc>
          <w:tcPr>
            <w:tcW w:w="744" w:type="dxa"/>
            <w:tcBorders>
              <w:bottom w:val="single" w:sz="8" w:space="0" w:color="58595B"/>
              <w:right w:val="single" w:sz="8" w:space="0" w:color="58595B"/>
            </w:tcBorders>
            <w:shd w:fill="E6E7E8" w:val="cle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Cary H.</w:t>
              <w:br/>
              <w:t>Thompson</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Board of Directors Experience</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Industry Experience</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CEO/Business Head/Leadership</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International</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Human Capital Management/ Compensation</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Finance/Capital Allocation</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Financial Literacy</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Regulatory</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Real Estate</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Risk Management</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Corporate Governance</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Technology/Systems</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Legal</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Marketing/Sales</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 </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color w:val="58595B"/>
              </w:rPr>
            </w:pPr>
            <w:r>
              <w:rPr>
                <w:color w:val="58595B"/>
              </w:rPr>
              <w:t>●</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Board Tenure</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20</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9</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20</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5</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20</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20</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6</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9</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12</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19</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20</w:t>
            </w:r>
          </w:p>
        </w:tc>
      </w:tr>
      <w:tr>
        <w:trPr/>
        <w:tc>
          <w:tcPr>
            <w:tcW w:w="1596" w:type="dxa"/>
            <w:tcBorders>
              <w:left w:val="single" w:sz="8" w:space="0" w:color="58595B"/>
              <w:bottom w:val="single" w:sz="8" w:space="0" w:color="58595B"/>
              <w:right w:val="single" w:sz="8" w:space="0" w:color="58595B"/>
            </w:tcBorders>
            <w:shd w:fill="E6E7E8" w:val="clear"/>
            <w:tcMar>
              <w:left w:w="60" w:type="dxa"/>
            </w:tcMar>
            <w:vAlign w:val="center"/>
          </w:tcPr>
          <w:p>
            <w:pPr>
              <w:pStyle w:val="TableContents"/>
              <w:bidi w:val="0"/>
              <w:spacing w:before="0" w:after="283"/>
              <w:jc w:val="left"/>
              <w:rPr>
                <w:rFonts w:ascii="Arial;Helvetica;Sans-Serif" w:hAnsi="Arial;Helvetica;Sans-Serif"/>
                <w:b/>
                <w:color w:val="58595B"/>
                <w:sz w:val="14"/>
              </w:rPr>
            </w:pPr>
            <w:r>
              <w:rPr>
                <w:rFonts w:ascii="Arial;Helvetica;Sans-Serif" w:hAnsi="Arial;Helvetica;Sans-Serif"/>
                <w:b/>
                <w:color w:val="58595B"/>
                <w:sz w:val="14"/>
              </w:rPr>
              <w:t>Age</w:t>
            </w:r>
          </w:p>
        </w:tc>
        <w:tc>
          <w:tcPr>
            <w:tcW w:w="1106"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81</w:t>
            </w:r>
          </w:p>
        </w:tc>
        <w:tc>
          <w:tcPr>
            <w:tcW w:w="1040"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79</w:t>
            </w:r>
          </w:p>
        </w:tc>
        <w:tc>
          <w:tcPr>
            <w:tcW w:w="785"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74</w:t>
            </w:r>
          </w:p>
        </w:tc>
        <w:tc>
          <w:tcPr>
            <w:tcW w:w="822"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53</w:t>
            </w:r>
          </w:p>
        </w:tc>
        <w:tc>
          <w:tcPr>
            <w:tcW w:w="611"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63</w:t>
            </w:r>
          </w:p>
        </w:tc>
        <w:tc>
          <w:tcPr>
            <w:tcW w:w="633"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91</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48</w:t>
            </w:r>
          </w:p>
        </w:tc>
        <w:tc>
          <w:tcPr>
            <w:tcW w:w="748"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59</w:t>
            </w:r>
          </w:p>
        </w:tc>
        <w:tc>
          <w:tcPr>
            <w:tcW w:w="543"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71</w:t>
            </w:r>
          </w:p>
        </w:tc>
        <w:tc>
          <w:tcPr>
            <w:tcW w:w="833"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59</w:t>
            </w:r>
          </w:p>
        </w:tc>
        <w:tc>
          <w:tcPr>
            <w:tcW w:w="744" w:type="dxa"/>
            <w:tcBorders>
              <w:bottom w:val="single" w:sz="8" w:space="0" w:color="58595B"/>
              <w:right w:val="single" w:sz="8" w:space="0" w:color="58595B"/>
            </w:tcBorders>
            <w:tcMar>
              <w:right w:w="28" w:type="dxa"/>
            </w:tcMar>
            <w:vAlign w:val="center"/>
          </w:tcPr>
          <w:p>
            <w:pPr>
              <w:pStyle w:val="TableContents"/>
              <w:bidi w:val="0"/>
              <w:spacing w:before="0" w:after="283"/>
              <w:jc w:val="center"/>
              <w:rPr>
                <w:rFonts w:ascii="Arial;Helvetica;Sans-Serif" w:hAnsi="Arial;Helvetica;Sans-Serif"/>
                <w:color w:val="211E1F"/>
                <w:sz w:val="14"/>
              </w:rPr>
            </w:pPr>
            <w:r>
              <w:rPr>
                <w:rFonts w:ascii="Arial;Helvetica;Sans-Serif" w:hAnsi="Arial;Helvetica;Sans-Serif"/>
                <w:color w:val="211E1F"/>
                <w:sz w:val="14"/>
              </w:rPr>
              <w:t>68</w:t>
            </w:r>
          </w:p>
        </w:tc>
      </w:tr>
    </w:tbl>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10" w:type="dxa"/>
        <w:tblLayout w:type="fixed"/>
        <w:tblCellMar>
          <w:top w:w="120" w:type="dxa"/>
          <w:left w:w="187" w:type="dxa"/>
          <w:bottom w:w="91" w:type="dxa"/>
          <w:right w:w="28" w:type="dxa"/>
        </w:tblCellMar>
      </w:tblPr>
      <w:tblGrid>
        <w:gridCol w:w="1955"/>
        <w:gridCol w:w="8210"/>
      </w:tblGrid>
      <w:tr>
        <w:trPr/>
        <w:tc>
          <w:tcPr>
            <w:tcW w:w="10165" w:type="dxa"/>
            <w:gridSpan w:val="2"/>
            <w:tcBorders>
              <w:top w:val="single" w:sz="8" w:space="0" w:color="58595B"/>
              <w:left w:val="single" w:sz="8" w:space="0" w:color="58595B"/>
              <w:bottom w:val="single" w:sz="8" w:space="0" w:color="58595B"/>
              <w:right w:val="single" w:sz="8" w:space="0" w:color="58595B"/>
            </w:tcBorders>
            <w:shd w:fill="274F78"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Class III Directors – Term Expiring 2029 (if Re-elected)</w:t>
            </w:r>
          </w:p>
        </w:tc>
      </w:tr>
      <w:tr>
        <w:trPr/>
        <w:tc>
          <w:tcPr>
            <w:tcW w:w="1955" w:type="dxa"/>
            <w:tcBorders>
              <w:left w:val="single" w:sz="8" w:space="0" w:color="58595B"/>
              <w:bottom w:val="single" w:sz="8" w:space="0" w:color="58595B"/>
              <w:right w:val="single" w:sz="8" w:space="0" w:color="58595B"/>
            </w:tcBorders>
            <w:shd w:fill="E6E7E8" w:val="clear"/>
            <w:tcMar>
              <w:top w:w="0" w:type="dxa"/>
            </w:tcMar>
            <w:vAlign w:val="center"/>
          </w:tcPr>
          <w:p>
            <w:pPr>
              <w:pStyle w:val="TableContents"/>
              <w:bidi w:val="0"/>
              <w:spacing w:before="0" w:after="283"/>
              <w:jc w:val="left"/>
              <w:rPr>
                <w:rFonts w:ascii="Arial;Helvetica;Sans-Serif" w:hAnsi="Arial;Helvetica;Sans-Serif"/>
                <w:b/>
                <w:color w:val="58595B"/>
                <w:sz w:val="18"/>
              </w:rPr>
            </w:pPr>
            <w:r>
              <w:rPr>
                <w:rFonts w:ascii="Arial;Helvetica;Sans-Serif" w:hAnsi="Arial;Helvetica;Sans-Serif"/>
                <w:b/>
                <w:color w:val="58595B"/>
                <w:sz w:val="18"/>
              </w:rPr>
              <w:t>Name</w:t>
            </w:r>
          </w:p>
        </w:tc>
        <w:tc>
          <w:tcPr>
            <w:tcW w:w="8210" w:type="dxa"/>
            <w:tcBorders>
              <w:bottom w:val="single" w:sz="8" w:space="0" w:color="58595B"/>
              <w:right w:val="single" w:sz="8" w:space="0" w:color="58595B"/>
            </w:tcBorders>
            <w:shd w:fill="E6E7E8" w:val="clear"/>
            <w:tcMar>
              <w:top w:w="0" w:type="dxa"/>
              <w:left w:w="0" w:type="dxa"/>
            </w:tcMar>
            <w:vAlign w:val="center"/>
          </w:tcPr>
          <w:p>
            <w:pPr>
              <w:pStyle w:val="TableContents"/>
              <w:bidi w:val="0"/>
              <w:spacing w:before="0" w:after="283"/>
              <w:jc w:val="left"/>
              <w:rPr>
                <w:rFonts w:ascii="Arial;Helvetica;Sans-Serif" w:hAnsi="Arial;Helvetica;Sans-Serif"/>
                <w:b/>
                <w:color w:val="58595B"/>
                <w:sz w:val="18"/>
              </w:rPr>
            </w:pPr>
            <w:r>
              <w:rPr>
                <w:rFonts w:ascii="Arial;Helvetica;Sans-Serif" w:hAnsi="Arial;Helvetica;Sans-Serif"/>
                <w:b/>
                <w:color w:val="58595B"/>
                <w:sz w:val="18"/>
              </w:rPr>
              <w:t>Position</w:t>
            </w:r>
          </w:p>
        </w:tc>
      </w:tr>
      <w:tr>
        <w:trPr/>
        <w:tc>
          <w:tcPr>
            <w:tcW w:w="1955"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William P. Foley, II</w:t>
            </w:r>
          </w:p>
        </w:tc>
        <w:tc>
          <w:tcPr>
            <w:tcW w:w="821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Chairman of the Board</w:t>
            </w:r>
          </w:p>
        </w:tc>
      </w:tr>
      <w:tr>
        <w:trPr/>
        <w:tc>
          <w:tcPr>
            <w:tcW w:w="1955"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Douglas K. Ammerman</w:t>
            </w:r>
          </w:p>
        </w:tc>
        <w:tc>
          <w:tcPr>
            <w:tcW w:w="821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Lead Independent Director and Chairman of the Audit Committee</w:t>
            </w:r>
          </w:p>
        </w:tc>
      </w:tr>
      <w:tr>
        <w:trPr/>
        <w:tc>
          <w:tcPr>
            <w:tcW w:w="1955"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Thomas M. Hagerty</w:t>
            </w:r>
          </w:p>
        </w:tc>
        <w:tc>
          <w:tcPr>
            <w:tcW w:w="821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Chairman of the Compensation Committee</w:t>
            </w:r>
          </w:p>
        </w:tc>
      </w:tr>
      <w:tr>
        <w:trPr/>
        <w:tc>
          <w:tcPr>
            <w:tcW w:w="1955"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Peter O. Shea, Jr</w:t>
            </w:r>
          </w:p>
        </w:tc>
        <w:tc>
          <w:tcPr>
            <w:tcW w:w="821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Chairman of the Corporate Governance and Nominating Committee Member of the Audit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13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William P. Foley, II.</w:t>
      </w:r>
      <w:r>
        <w:rPr>
          <w:rFonts w:ascii="Arial;Helvetica;Sans-Serif" w:hAnsi="Arial;Helvetica;Sans-Serif"/>
          <w:b w:val="false"/>
          <w:i w:val="false"/>
          <w:caps w:val="false"/>
          <w:smallCaps w:val="false"/>
          <w:sz w:val="22"/>
        </w:rPr>
        <w:t xml:space="preserve"> </w:t>
      </w:r>
      <w:r>
        <w:rPr>
          <w:rFonts w:ascii="Arial;Helvetica;Sans-Serif" w:hAnsi="Arial;Helvetica;Sans-Serif"/>
          <w:b w:val="false"/>
          <w:i w:val="false"/>
          <w:caps w:val="false"/>
          <w:smallCaps w:val="false"/>
          <w:color w:val="58595B"/>
          <w:sz w:val="22"/>
        </w:rPr>
        <w:t>Mr. Foley is a founder of Fidelity National Financial, Inc. and has served as Chairman of the board of directors of FNF since 1984. He served as Chief Executive Officer of FNF until May 2007 and as President of FNF until December 1994. Mr. Foley has served as</w:t>
      </w:r>
    </w:p>
    <w:p>
      <w:pPr>
        <w:pStyle w:val="TextBody"/>
        <w:bidi w:val="0"/>
        <w:spacing w:before="0" w:after="0"/>
        <w:ind w:left="180" w:right="180" w:hanging="0"/>
        <w:jc w:val="left"/>
        <w:rPr>
          <w:caps w:val="false"/>
          <w:smallCaps w:val="false"/>
          <w:color w:val="333333"/>
        </w:rPr>
      </w:pPr>
      <w:r>
        <w:rPr>
          <w:caps w:val="false"/>
          <w:smallCaps w:val="false"/>
          <w:color w:val="333333"/>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25</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80" w:right="180" w:hanging="0"/>
        <w:jc w:val="left"/>
        <w:rPr>
          <w:caps w:val="false"/>
          <w:smallCaps w:val="false"/>
          <w:color w:val="333333"/>
        </w:rPr>
      </w:pPr>
      <w:r>
        <w:rPr>
          <w:caps w:val="false"/>
          <w:smallCaps w:val="false"/>
          <w:color w:val="333333"/>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non-executive Vice Chairman of Cannae Holdings, Inc. (</w:t>
      </w:r>
      <w:r>
        <w:rPr>
          <w:rFonts w:ascii="Arial;Helvetica;Sans-Serif" w:hAnsi="Arial;Helvetica;Sans-Serif"/>
          <w:b w:val="false"/>
          <w:i/>
          <w:caps w:val="false"/>
          <w:smallCaps w:val="false"/>
          <w:color w:val="58595B"/>
          <w:sz w:val="22"/>
        </w:rPr>
        <w:t>Cannae</w:t>
      </w:r>
      <w:r>
        <w:rPr>
          <w:rFonts w:ascii="Arial;Helvetica;Sans-Serif" w:hAnsi="Arial;Helvetica;Sans-Serif"/>
          <w:b w:val="false"/>
          <w:i w:val="false"/>
          <w:caps w:val="false"/>
          <w:smallCaps w:val="false"/>
          <w:color w:val="58595B"/>
          <w:sz w:val="22"/>
        </w:rPr>
        <w:t>) since May 2025. He previously served as Chairman, Chief Executive Officer and Chief Investment Officer of Cannae from February 2024 until May 2025, and as Chairman of Cannae from July 2017 until May 2025. Mr. Foley has served as Executive Chairman of F&amp;G since November 2022. Mr. Foley has served as a director of Alight since 2021 and previously served as the non-executive Chairman of the board of directors of Alight from April 2021 through February 2025 and on the board of its predecessor, FTAC, from May 2020 until April 2021. Mr. Foley also serves as a director of Jena Acquisition Corporation II, a blank check company, since May 2025, and as a non-executive director of Foley Wines Ltd., a New Zealand company, since January 2025. Mr. Foley served as Chairman of the board of directors of Dun &amp; Bradstreet Holdings, Inc. (</w:t>
      </w:r>
      <w:r>
        <w:rPr>
          <w:rFonts w:ascii="Arial;Helvetica;Sans-Serif" w:hAnsi="Arial;Helvetica;Sans-Serif"/>
          <w:b w:val="false"/>
          <w:i/>
          <w:caps w:val="false"/>
          <w:smallCaps w:val="false"/>
          <w:color w:val="58595B"/>
          <w:sz w:val="22"/>
        </w:rPr>
        <w:t>Dun &amp; Bradstreet</w:t>
      </w:r>
      <w:r>
        <w:rPr>
          <w:rFonts w:ascii="Arial;Helvetica;Sans-Serif" w:hAnsi="Arial;Helvetica;Sans-Serif"/>
          <w:b w:val="false"/>
          <w:i w:val="false"/>
          <w:caps w:val="false"/>
          <w:smallCaps w:val="false"/>
          <w:color w:val="58595B"/>
          <w:sz w:val="22"/>
        </w:rPr>
        <w:t>) from February 2019 until its acquisition by Clearlake Capital Group in August 2025. Mr. Foley served as a director of System1 from January 2022 to March 2023. From January 2014 to June 2021, Mr. Foley served as Chairman of the Board of Black Knight and its predecessors. He served as non-executive Chairman of the board of directors of Paysafe Limited and its predecessor, Foley Trasimene Acquisition Corp. II (</w:t>
      </w:r>
      <w:r>
        <w:rPr>
          <w:rFonts w:ascii="Arial;Helvetica;Sans-Serif" w:hAnsi="Arial;Helvetica;Sans-Serif"/>
          <w:b w:val="false"/>
          <w:i/>
          <w:caps w:val="false"/>
          <w:smallCaps w:val="false"/>
          <w:color w:val="58595B"/>
          <w:sz w:val="22"/>
        </w:rPr>
        <w:t>FTAC II</w:t>
      </w:r>
      <w:r>
        <w:rPr>
          <w:rFonts w:ascii="Arial;Helvetica;Sans-Serif" w:hAnsi="Arial;Helvetica;Sans-Serif"/>
          <w:b w:val="false"/>
          <w:i w:val="false"/>
          <w:caps w:val="false"/>
          <w:smallCaps w:val="false"/>
          <w:color w:val="58595B"/>
          <w:sz w:val="22"/>
        </w:rPr>
        <w:t xml:space="preserve">) ffrom March 2020 until March 2022. Mr. Foley formerly served as Co-Chairman of FGL Holdings, as a director of Ceridian HCM Holding, Inc. (now known as </w:t>
      </w:r>
      <w:r>
        <w:rPr>
          <w:rFonts w:ascii="Arial;Helvetica;Sans-Serif" w:hAnsi="Arial;Helvetica;Sans-Serif"/>
          <w:b w:val="false"/>
          <w:i/>
          <w:caps w:val="false"/>
          <w:smallCaps w:val="false"/>
          <w:color w:val="58595B"/>
          <w:sz w:val="22"/>
        </w:rPr>
        <w:t>Dayforce, Inc.</w:t>
      </w:r>
      <w:r>
        <w:rPr>
          <w:rFonts w:ascii="Arial;Helvetica;Sans-Serif" w:hAnsi="Arial;Helvetica;Sans-Serif"/>
          <w:b w:val="false"/>
          <w:i w:val="false"/>
          <w:caps w:val="false"/>
          <w:smallCaps w:val="false"/>
          <w:color w:val="58595B"/>
          <w:sz w:val="22"/>
        </w:rPr>
        <w:t>) and as Vice Chairman of Fidelity National Information Services, Inc. (</w:t>
      </w:r>
      <w:r>
        <w:rPr>
          <w:rFonts w:ascii="Arial;Helvetica;Sans-Serif" w:hAnsi="Arial;Helvetica;Sans-Serif"/>
          <w:b w:val="false"/>
          <w:i/>
          <w:caps w:val="false"/>
          <w:smallCaps w:val="false"/>
          <w:color w:val="58595B"/>
          <w:sz w:val="22"/>
        </w:rPr>
        <w:t>FIS</w:t>
      </w:r>
      <w:r>
        <w:rPr>
          <w:rFonts w:ascii="Arial;Helvetica;Sans-Serif" w:hAnsi="Arial;Helvetica;Sans-Serif"/>
          <w:b w:val="false"/>
          <w:i w:val="false"/>
          <w:caps w:val="false"/>
          <w:smallCaps w:val="false"/>
          <w:color w:val="58595B"/>
          <w:sz w:val="22"/>
        </w:rPr>
        <w:t>). Mr. Foley formerly served on the boards of Austerlitz Acquisition Corporation I (</w:t>
      </w:r>
      <w:r>
        <w:rPr>
          <w:rFonts w:ascii="Arial;Helvetica;Sans-Serif" w:hAnsi="Arial;Helvetica;Sans-Serif"/>
          <w:b w:val="false"/>
          <w:i/>
          <w:caps w:val="false"/>
          <w:smallCaps w:val="false"/>
          <w:color w:val="58595B"/>
          <w:sz w:val="22"/>
        </w:rPr>
        <w:t>AUS</w:t>
      </w:r>
      <w:r>
        <w:rPr>
          <w:rFonts w:ascii="Arial;Helvetica;Sans-Serif" w:hAnsi="Arial;Helvetica;Sans-Serif"/>
          <w:b w:val="false"/>
          <w:i w:val="false"/>
          <w:caps w:val="false"/>
          <w:smallCaps w:val="false"/>
          <w:color w:val="58595B"/>
          <w:sz w:val="22"/>
        </w:rPr>
        <w:t>) and Austerlitz Acquisition Corporation II (</w:t>
      </w:r>
      <w:r>
        <w:rPr>
          <w:rFonts w:ascii="Arial;Helvetica;Sans-Serif" w:hAnsi="Arial;Helvetica;Sans-Serif"/>
          <w:b w:val="false"/>
          <w:i/>
          <w:caps w:val="false"/>
          <w:smallCaps w:val="false"/>
          <w:color w:val="58595B"/>
          <w:sz w:val="22"/>
        </w:rPr>
        <w:t>ASZ</w:t>
      </w:r>
      <w:r>
        <w:rPr>
          <w:rFonts w:ascii="Arial;Helvetica;Sans-Serif" w:hAnsi="Arial;Helvetica;Sans-Serif"/>
          <w:b w:val="false"/>
          <w:i w:val="false"/>
          <w:caps w:val="false"/>
          <w:smallCaps w:val="false"/>
          <w:color w:val="58595B"/>
          <w:sz w:val="22"/>
        </w:rPr>
        <w:t>) and Trebia Acquisition Corp., which were blank check companies, but resigned from those boards in April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After receiving his B.S. degree in engineering from the United States Military Academy at West Point, Mr. Foley served in the U.S. Air Force, where he attained the rank of captain. Mr. Foley received his Master of Business Administration from Seattle University and his Juris Doctor from the University of Washington. Mr. Foley serves on the boards of various foundations and charitable 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Mr. Foley provides high-value added services to our Company and board. He is a founder of FNF and his qualifications to serve on the FNF board include 40 years as a director and executive officer of FNF, his strategic vision, his experience as a board member and executive officer of public and private companies in a wide variety of industries, and his strong track record of building and maintaining shareholder value and successfully negotiating and executing mergers, acquisitions and other strategic transactions. He has unparalleled knowledge of our business, industry and customers that is invaluable to our Company and our board as we continually evaluate, evolve and execute on our long-term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believe that Mr. Foley is able to fulfill his role and devote sufficient time to FNF while serving on other boards. Several of Mr. Foley's directorships, including Alight, and Jena Acquisition Corp. are related to his role at Cannae. Cannae is a holding company engaged in managing and operating a group of companies and investments, as well as making additional majority and minority equity portfolio investments in businesses. Additionally, Mr. Foley's service as Executive Chairman of F&amp;G is part of our board's strategy for the long-term success of F&amp;G as our majority-owned subsidiary and we believe his service in that role will drive long-term value for both our shareholders and F&amp;G shareholders. Based on these factors and Mr. Foley's unique skills and history with FNF, we believe he has sufficient time to devote to his service as non-executive Chairman of FNF and that his continued involvement in our strategy and execution is an important factor in our long-term and future success.</w:t>
      </w:r>
    </w:p>
    <w:p>
      <w:pPr>
        <w:pStyle w:val="TextBody"/>
        <w:bidi w:val="0"/>
        <w:spacing w:before="0" w:after="0"/>
        <w:ind w:left="1440" w:right="1080" w:hanging="0"/>
        <w:jc w:val="left"/>
        <w:rPr>
          <w:caps w:val="false"/>
          <w:smallCaps w:val="false"/>
          <w:color w:val="58595B"/>
        </w:rPr>
      </w:pPr>
      <w:r>
        <w:rPr>
          <w:caps w:val="false"/>
          <w:smallCaps w:val="false"/>
          <w:color w:val="58595B"/>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26</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color w:val="062A5D"/>
        </w:rPr>
      </w:pPr>
      <w:r>
        <w:rPr>
          <w:caps w:val="false"/>
          <w:smallCaps w:val="false"/>
          <w:color w:val="062A5D"/>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i w:val="false"/>
          <w:caps w:val="false"/>
          <w:smallCaps w:val="false"/>
          <w:color w:val="49678E"/>
          <w:sz w:val="22"/>
        </w:rPr>
        <w:t>Douglas K. Ammerman.</w:t>
      </w:r>
      <w:r>
        <w:rPr>
          <w:rFonts w:ascii="Arial;Helvetica;Sans-Serif" w:hAnsi="Arial;Helvetica;Sans-Serif"/>
          <w:b w:val="false"/>
          <w:i w:val="false"/>
          <w:caps w:val="false"/>
          <w:smallCaps w:val="false"/>
          <w:color w:val="58595B"/>
          <w:sz w:val="22"/>
        </w:rPr>
        <w:t xml:space="preserve"> Mr. Ammerman has served as a director of the Company since 2005. Mr. Ammerman is a retired partner of KPMG LLP, where he became a partner in 1984. Mr. Ammerman formally retired from KPMG in 2002. He also serves as a director of Stantec Inc. since 2011, where he serves as Chairman, a director of Cannae since February 2024, where he has served as Chairman since May 2025, and a director of F&amp;G since December 2022. Mr. Ammerman formerly served on the boards of Dun &amp; Bradstreet, J. Alexander's Holdings, Inc. and FTAC.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Mr. Ammerman's qualifications to serve on the FNF board of directors include his financial and accounting background and expertise, including his 18 years as a partner with KPMG, and his experience as a director on the boards of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13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Thomas M. Hagerty.</w:t>
      </w:r>
      <w:r>
        <w:rPr>
          <w:rFonts w:ascii="Arial;Helvetica;Sans-Serif" w:hAnsi="Arial;Helvetica;Sans-Serif"/>
          <w:b w:val="false"/>
          <w:i w:val="false"/>
          <w:caps w:val="false"/>
          <w:smallCaps w:val="false"/>
          <w:sz w:val="22"/>
        </w:rPr>
        <w:t xml:space="preserve"> </w:t>
      </w:r>
      <w:r>
        <w:rPr>
          <w:rFonts w:ascii="Arial;Helvetica;Sans-Serif" w:hAnsi="Arial;Helvetica;Sans-Serif"/>
          <w:b w:val="false"/>
          <w:i w:val="false"/>
          <w:caps w:val="false"/>
          <w:smallCaps w:val="false"/>
          <w:color w:val="333333"/>
          <w:sz w:val="22"/>
        </w:rPr>
        <w:t xml:space="preserve">Mr. </w:t>
      </w:r>
      <w:r>
        <w:rPr>
          <w:rFonts w:ascii="Arial;Helvetica;Sans-Serif" w:hAnsi="Arial;Helvetica;Sans-Serif"/>
          <w:b w:val="false"/>
          <w:i w:val="false"/>
          <w:caps w:val="false"/>
          <w:smallCaps w:val="false"/>
          <w:color w:val="58595B"/>
          <w:sz w:val="22"/>
        </w:rPr>
        <w:t>Hagerty has served as a director of the Company since 2005 and as a director of predecessors of FNF since 2014. Mr. Hagerty is a Managing Director of Thomas H. Lee Partners (THL), which he joined in 1988. Mr. Hagerty also serves as a director of Corpay, Inc. since November 2014 and Dayforce since September 2013. Mr. Hagerty formerly served on the boards of Dun &amp; Bradstreet, Black Knight, FTAC, First Bancorp, MoneyGram International and FIS.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Mr. Hagerty's qualifications to serve on the FNF board of directors include his managerial and strategic expertise working with large growth-oriented companies as a Managing Director of THL, a leading private equity firm, and his experience in enhancing value at such companies, along with his expertise in corporate finance.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i w:val="false"/>
          <w:caps w:val="false"/>
          <w:smallCaps w:val="false"/>
          <w:color w:val="49678E"/>
          <w:sz w:val="22"/>
        </w:rPr>
        <w:t xml:space="preserve">Peter O. Shea, Jr. </w:t>
      </w:r>
      <w:r>
        <w:rPr>
          <w:rFonts w:ascii="Arial;Helvetica;Sans-Serif" w:hAnsi="Arial;Helvetica;Sans-Serif"/>
          <w:b w:val="false"/>
          <w:i w:val="false"/>
          <w:caps w:val="false"/>
          <w:smallCaps w:val="false"/>
          <w:color w:val="49678E"/>
          <w:sz w:val="22"/>
        </w:rPr>
        <w:t>.</w:t>
      </w:r>
      <w:r>
        <w:rPr>
          <w:rFonts w:ascii="Arial;Helvetica;Sans-Serif" w:hAnsi="Arial;Helvetica;Sans-Serif"/>
          <w:b w:val="false"/>
          <w:i w:val="false"/>
          <w:caps w:val="false"/>
          <w:smallCaps w:val="false"/>
          <w:color w:val="58595B"/>
          <w:sz w:val="22"/>
        </w:rPr>
        <w:t xml:space="preserve"> Mr. Shea has served as a director of the Company since April 2006. Mr. Shea is the President and Chief Executive Officer of J.F. Shea Co., Inc., a private company with operations in home building, commercial property development and management and heavy civil construction. Prior to his service as President and Chief Executive Officer, he served as Chief Operating Officer of J.F. Shea 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Mr. Shea's qualifications to serve on the FNF board of directors include his experience in managing multiple and diverse operating companies and his knowledge of the real estate industry, particularly as President and Chief Executive Officer of J.F. Shea Co., Inc.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25" w:type="dxa"/>
          <w:left w:w="183" w:type="dxa"/>
          <w:bottom w:w="76" w:type="dxa"/>
          <w:right w:w="28" w:type="dxa"/>
        </w:tblCellMar>
      </w:tblPr>
      <w:tblGrid>
        <w:gridCol w:w="1466"/>
        <w:gridCol w:w="8739"/>
      </w:tblGrid>
      <w:tr>
        <w:trPr/>
        <w:tc>
          <w:tcPr>
            <w:tcW w:w="10205" w:type="dxa"/>
            <w:gridSpan w:val="2"/>
            <w:tcBorders>
              <w:top w:val="single" w:sz="8" w:space="0" w:color="000000"/>
              <w:left w:val="single" w:sz="8" w:space="0" w:color="000000"/>
              <w:bottom w:val="single" w:sz="8" w:space="0" w:color="000000"/>
              <w:right w:val="single" w:sz="8" w:space="0" w:color="000000"/>
            </w:tcBorders>
            <w:shd w:fill="234E77"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Class I Directors – Term Expiring 2027</w:t>
            </w:r>
          </w:p>
        </w:tc>
      </w:tr>
      <w:tr>
        <w:trPr/>
        <w:tc>
          <w:tcPr>
            <w:tcW w:w="1466" w:type="dxa"/>
            <w:tcBorders>
              <w:left w:val="single" w:sz="8" w:space="0" w:color="000000"/>
              <w:bottom w:val="single" w:sz="8" w:space="0" w:color="000000"/>
              <w:right w:val="single" w:sz="8" w:space="0" w:color="000000"/>
            </w:tcBorders>
            <w:shd w:fill="E9EBEB" w:val="clear"/>
            <w:tcMar>
              <w:top w:w="0" w:type="dxa"/>
              <w:bottom w:w="77" w:type="dxa"/>
            </w:tcMar>
            <w:vAlign w:val="center"/>
          </w:tcPr>
          <w:p>
            <w:pPr>
              <w:pStyle w:val="TableContents"/>
              <w:bidi w:val="0"/>
              <w:spacing w:before="0" w:after="283"/>
              <w:jc w:val="left"/>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Name</w:t>
            </w:r>
          </w:p>
        </w:tc>
        <w:tc>
          <w:tcPr>
            <w:tcW w:w="8739" w:type="dxa"/>
            <w:tcBorders>
              <w:bottom w:val="single" w:sz="8" w:space="0" w:color="000000"/>
              <w:right w:val="single" w:sz="8" w:space="0" w:color="000000"/>
            </w:tcBorders>
            <w:shd w:fill="E9EBEB" w:val="clear"/>
            <w:tcMar>
              <w:top w:w="0" w:type="dxa"/>
              <w:left w:w="0" w:type="dxa"/>
              <w:bottom w:w="77" w:type="dxa"/>
            </w:tcMar>
            <w:vAlign w:val="center"/>
          </w:tcPr>
          <w:p>
            <w:pPr>
              <w:pStyle w:val="TableContents"/>
              <w:bidi w:val="0"/>
              <w:spacing w:before="0" w:after="283"/>
              <w:jc w:val="left"/>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Position</w:t>
            </w:r>
          </w:p>
        </w:tc>
      </w:tr>
      <w:tr>
        <w:trPr/>
        <w:tc>
          <w:tcPr>
            <w:tcW w:w="1466" w:type="dxa"/>
            <w:tcBorders>
              <w:left w:val="single" w:sz="8" w:space="0" w:color="000000"/>
              <w:bottom w:val="single" w:sz="8" w:space="0" w:color="000000"/>
              <w:right w:val="single" w:sz="8" w:space="0" w:color="000000"/>
            </w:tcBorders>
            <w:tcMar>
              <w:top w:w="0" w:type="dxa"/>
              <w:bottom w:w="91"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Raymond R. Quirk</w:t>
            </w:r>
          </w:p>
        </w:tc>
        <w:tc>
          <w:tcPr>
            <w:tcW w:w="8739" w:type="dxa"/>
            <w:tcBorders>
              <w:bottom w:val="single" w:sz="8" w:space="0" w:color="000000"/>
              <w:right w:val="single" w:sz="8" w:space="0" w:color="000000"/>
            </w:tcBorders>
            <w:tcMar>
              <w:top w:w="0" w:type="dxa"/>
              <w:left w:w="0" w:type="dxa"/>
              <w:bottom w:w="92"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Executive Vice-Chairman and Director</w:t>
            </w:r>
          </w:p>
        </w:tc>
      </w:tr>
      <w:tr>
        <w:trPr/>
        <w:tc>
          <w:tcPr>
            <w:tcW w:w="1466" w:type="dxa"/>
            <w:tcBorders>
              <w:left w:val="single" w:sz="8" w:space="0" w:color="000000"/>
              <w:bottom w:val="single" w:sz="8" w:space="0" w:color="000000"/>
              <w:right w:val="single" w:sz="8" w:space="0" w:color="000000"/>
            </w:tcBorders>
            <w:tcMar>
              <w:top w:w="0" w:type="dxa"/>
              <w:bottom w:w="206"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Sandra D. Morgan</w:t>
            </w:r>
          </w:p>
        </w:tc>
        <w:tc>
          <w:tcPr>
            <w:tcW w:w="8739" w:type="dxa"/>
            <w:tcBorders>
              <w:bottom w:val="single" w:sz="8" w:space="0" w:color="000000"/>
              <w:right w:val="single" w:sz="8" w:space="0" w:color="000000"/>
            </w:tcBorders>
            <w:tcMar>
              <w:top w:w="0" w:type="dxa"/>
              <w:left w:w="0" w:type="dxa"/>
              <w:bottom w:w="97" w:type="dxa"/>
              <w:right w:w="36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Member of the Corporate Governance and Nominating Committee Member of the Related Person Transaction Committee</w:t>
            </w:r>
          </w:p>
        </w:tc>
      </w:tr>
      <w:tr>
        <w:trPr/>
        <w:tc>
          <w:tcPr>
            <w:tcW w:w="1466" w:type="dxa"/>
            <w:tcBorders>
              <w:left w:val="single" w:sz="8" w:space="0" w:color="000000"/>
              <w:bottom w:val="single" w:sz="8" w:space="0" w:color="000000"/>
              <w:right w:val="single" w:sz="8" w:space="0" w:color="000000"/>
            </w:tcBorders>
            <w:tcMar>
              <w:top w:w="0" w:type="dxa"/>
              <w:bottom w:w="8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Heather H. Miller</w:t>
            </w:r>
          </w:p>
        </w:tc>
        <w:tc>
          <w:tcPr>
            <w:tcW w:w="8739" w:type="dxa"/>
            <w:tcBorders>
              <w:bottom w:val="single" w:sz="8" w:space="0" w:color="000000"/>
              <w:right w:val="single" w:sz="8" w:space="0" w:color="000000"/>
            </w:tcBorders>
            <w:tcMar>
              <w:top w:w="0" w:type="dxa"/>
              <w:left w:w="0" w:type="dxa"/>
              <w:bottom w:w="8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Director</w:t>
            </w:r>
          </w:p>
        </w:tc>
      </w:tr>
      <w:tr>
        <w:trPr/>
        <w:tc>
          <w:tcPr>
            <w:tcW w:w="1466" w:type="dxa"/>
            <w:tcBorders>
              <w:left w:val="single" w:sz="8" w:space="0" w:color="000000"/>
              <w:bottom w:val="single" w:sz="8" w:space="0" w:color="000000"/>
              <w:right w:val="single" w:sz="8" w:space="0" w:color="000000"/>
            </w:tcBorders>
            <w:tcMar>
              <w:top w:w="0" w:type="dxa"/>
              <w:bottom w:w="202"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John D. Rood</w:t>
            </w:r>
          </w:p>
        </w:tc>
        <w:tc>
          <w:tcPr>
            <w:tcW w:w="8739"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187" w:right="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Member of the Audit Committee</w:t>
            </w:r>
          </w:p>
          <w:p>
            <w:pPr>
              <w:pStyle w:val="TableContents"/>
              <w:bidi w:val="0"/>
              <w:spacing w:before="0" w:after="0"/>
              <w:ind w:left="187" w:right="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Member of the Corporate Governance and Nominating Committee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i w:val="false"/>
          <w:caps w:val="false"/>
          <w:smallCaps w:val="false"/>
          <w:color w:val="49678E"/>
          <w:sz w:val="22"/>
        </w:rPr>
        <w:t>Raymond R. Quirk.</w:t>
      </w:r>
      <w:r>
        <w:rPr>
          <w:rFonts w:ascii="Arial;Helvetica;Sans-Serif" w:hAnsi="Arial;Helvetica;Sans-Serif"/>
          <w:b w:val="false"/>
          <w:i w:val="false"/>
          <w:caps w:val="false"/>
          <w:smallCaps w:val="false"/>
          <w:color w:val="58595B"/>
          <w:sz w:val="22"/>
        </w:rPr>
        <w:t xml:space="preserve"> Mr. Quirk has served as Executive Vice-Chairman of our board since February 2022 and formerly served as Chief Executive Officer of FNF since December 2013. He has served as a director of FNF since February 2017. Previously, Mr. Quirk served as the President of FNF from May 2007 until December 2013. Mr. Quirk served as Co-Chief Operating Officer of FNF from October 2006 until May 2007. Since joining FNF in 1985, Mr. Quirk has served in numerous executive and management positions, including Executive Vice President, Division Manager and Regional Manager, with responsibilities for managing direct and agency operations nationally. Mr. Quirk has also served on the board of directors of F&amp;G since August 2020 and formerly served on the board of directors of J. Alexander's Holdings, Inc.</w:t>
      </w:r>
    </w:p>
    <w:p>
      <w:pPr>
        <w:pStyle w:val="TextBody"/>
        <w:bidi w:val="0"/>
        <w:spacing w:before="0" w:after="0"/>
        <w:ind w:left="1440" w:right="1080" w:hanging="0"/>
        <w:jc w:val="left"/>
        <w:rPr>
          <w:caps w:val="false"/>
          <w:smallCaps w:val="false"/>
          <w:color w:val="58595B"/>
        </w:rPr>
      </w:pPr>
      <w:r>
        <w:rPr>
          <w:caps w:val="false"/>
          <w:smallCaps w:val="false"/>
          <w:color w:val="58595B"/>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27</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440" w:right="1080" w:hanging="0"/>
        <w:jc w:val="left"/>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4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Mr. Quirk's qualifications to serve on the FNF board of directors include his 40 years of experience with FNF, his deep knowledge of our business and industry and his strong leadership abilities.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 xml:space="preserve">Sandra D. Morgan. </w:t>
      </w:r>
      <w:r>
        <w:rPr>
          <w:rFonts w:ascii="Arial;Helvetica;Sans-Serif" w:hAnsi="Arial;Helvetica;Sans-Serif"/>
          <w:b w:val="false"/>
          <w:i w:val="false"/>
          <w:caps w:val="false"/>
          <w:smallCaps w:val="false"/>
          <w:color w:val="58595B"/>
          <w:sz w:val="22"/>
        </w:rPr>
        <w:t>Ms. Morgan has served on our board since 2020. Ms. Morgan is the President of the Las Vegas Raiders, a member club of the National Football League. She is a past Chairwoman of the Nevada Gaming Control Board. She was appointed to this role by Governor Steve Sisolak and is the first African American to have served as Chair. Ms. Morgan was previously appointed to the Nevada Gaming Commission by Governor Brian Sandoval in April 2018. While serving as a Commissioner, Ms. Morgan also served as Director of External Affairs for AT&amp;T Services, Inc. from September 2016 to January 2019 and was responsible for managing AT&amp;T's government and community affairs in Nevada. She previously served as the City Attorney for the City of North Las Vegas from May 2008 to August 2016 and was the first African American City Attorney in the State of Nevada. Prior to her public service with the City of North Las Vegas, Ms. Morgan served as Litigation Attorney for MGM Mirage (now known as MGM Resorts) from 2005 to May 2008. Ms. Morgan previously served as an Athletic Commissioner on the Nevada State Athletic Commission and served on the Board of Directors for Jobs for Nevada's Graduates. In 2021, Ms. Morgan was Of Counsel with Covington &amp; Burling LLP in multiple practice areas, including gaming, sports and technology, as well as the firm's regulatory, data privacy and cybersecurity practice, litigation and investigations and white-collar defense practices. She also serves on the board of directors of Allegiant Travel Company since 2021, the Raiders Foundation since 2022, the UNLV Foundation since 2023, and formerly served on the board of directors of Caesars Entertainment from November 2021 to July 2022.</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Ms. Morgan's qualifications to serve on our board include her legal expertise and experience, her governmental and regulatory experience on the Nevada Gaming Commission, her leadership in both the private and public sectors, and her independence. Ms. Morgan also serves on the related person transaction committee of our board.</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 xml:space="preserve">Heather H. Miller. </w:t>
      </w:r>
      <w:r>
        <w:rPr>
          <w:rFonts w:ascii="Arial;Helvetica;Sans-Serif" w:hAnsi="Arial;Helvetica;Sans-Serif"/>
          <w:b w:val="false"/>
          <w:i w:val="false"/>
          <w:caps w:val="false"/>
          <w:smallCaps w:val="false"/>
          <w:color w:val="58595B"/>
          <w:sz w:val="22"/>
        </w:rPr>
        <w:t>Ms. Miller has served on our board since 2017. Ms. Miller is a private investor. She retired as a Managing Director and group head of Global Securities and Economics at Merrill Lynch in 2002 after more than a decade on Wall Street. In 2002, Ms. Miller founded the nonprofit Nevada Cancer Institute, a cancer research and treatment center, where she served as Chairwoman and CEO and then as a board member until the institute merged into Roseman University in 2013. She was appointed by Congress to serve on the Financial Crisis Inquiry Commission from 2009 to 2011. The Commission's findings, "The Financial Crisis Inquiry Report" was listed on the New York Times bestseller list. Ms. Miller was appointed and served as a Commissioner on the White House Commission on Enhancing National Cybersecurity in 2016. The Commission's findings were presented to President Obama in December 2016. She serves on the Board of Trustees of the Johns Hopkins University and Johns Hopkins Medicine and as the Chair of Johns Hopkins University Applied Physics Laboratory. Ms. Miller formerly served on the board of MannKind Corporation.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Ms. Miller's qualifications include her strong background in finance gained during her time at Merrill Lynch, her leadership experience as a group leader at a leading Wall Street firm and as founder, Chair and CEO at various non-profits, and her regulatory and cyber-security knowledge from serving on the Financial Crisis Inquiry Commission and Commission on Enhancing National Cybersecurity.</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1"/>
        </w:rPr>
      </w:pPr>
      <w:r>
        <w:rPr>
          <w:rFonts w:ascii="Arial;Helvetica;Sans-Serif" w:hAnsi="Arial;Helvetica;Sans-Serif"/>
          <w:b/>
          <w:i w:val="false"/>
          <w:caps w:val="false"/>
          <w:smallCaps w:val="false"/>
          <w:color w:val="49678E"/>
          <w:sz w:val="21"/>
        </w:rPr>
        <w:t xml:space="preserve">John D. Rood. </w:t>
      </w:r>
      <w:r>
        <w:rPr>
          <w:rFonts w:ascii="Arial;Helvetica;Sans-Serif" w:hAnsi="Arial;Helvetica;Sans-Serif"/>
          <w:b w:val="false"/>
          <w:i w:val="false"/>
          <w:caps w:val="false"/>
          <w:smallCaps w:val="false"/>
          <w:color w:val="58595B"/>
          <w:sz w:val="21"/>
        </w:rPr>
        <w:t>Mr. Rood has served on our board of directors since May 2013. Mr. Rood is the founder and Chairman of The Vestcor Companies, a real estate firm with more than 30 years of experience in multifamily development and investment. Mr. Rood has also served on the board of</w:t>
      </w:r>
    </w:p>
    <w:p>
      <w:pPr>
        <w:pStyle w:val="TextBody"/>
        <w:bidi w:val="0"/>
        <w:spacing w:before="0" w:after="0"/>
        <w:jc w:val="center"/>
        <w:rPr>
          <w:caps w:val="false"/>
          <w:smallCaps w:val="false"/>
          <w:color w:val="58595B"/>
        </w:rPr>
      </w:pPr>
      <w:r>
        <w:rPr>
          <w:caps w:val="false"/>
          <w:smallCaps w:val="false"/>
          <w:color w:val="58595B"/>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28</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directors of F&amp;G since December 2022 and served as a director of Black Knight from December 2013 until it was acquired by Intercontinental Exchange, Inc. in September 2023. From 2004 to 2007, Mr. Rood served as the US Ambassador to the Commonwealth of the Bahamas. He was appointed by Governor Jeb Bush to serve on the Florida Fish and Wildlife Commission where he served until 2004. He was appointed by Governor Charlie Crist to the Florida Board of Governors, which oversees the State of Florida University System, where he served until 2013. Mr. Rood served on the board of directors of Alico Inc. from May 2009 until November 2013 when the company was sold. Mr. Rood was appointed by Mayor Lenny Curry to the JAXPORT Board of Directors, where he served from October 2015 to July 2016. Governor Rick Scott appointed Mr. Rood to the Florida Prepaid College Board in July 2016, where Mr. Rood serves as Chairman of the Board. Mr. Rood served on the Enterprise Florida and Space Coast Florida board of directors from September 2016 until February 2019. He was elected to the Board of Trustees of Flagler College in October 2010 and has served as Chairman since May 2022. Mr. Rood is the founder of Jacksonville Classical Academy which opened in the fall of 2018 and has an enrollment of over 1,000 children.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Mr. Rood’s qualifications to serve on the FNF board of directors include his experience in the real estate industry, his leadership experience as a United States Ambassador, his financial literacy, his understanding of cyber-security risks gained through director training programs, and his experience as a director on boards of both public and private companies. Mr. Rood has participated in numerous risk and audit training programs with KPMG, Booz Allen and the National Association of Corporate Directors, or NACD. He is a Board Leadership Fellow with NACD.</w:t>
      </w:r>
    </w:p>
    <w:p>
      <w:pPr>
        <w:pStyle w:val="TextBody"/>
        <w:bidi w:val="0"/>
        <w:spacing w:before="0" w:after="0"/>
        <w:ind w:left="1440" w:right="1080" w:hanging="0"/>
        <w:jc w:val="both"/>
        <w:rPr>
          <w:caps w:val="false"/>
          <w:smallCaps w:val="false"/>
          <w:color w:val="58595B"/>
        </w:rPr>
      </w:pPr>
      <w:r>
        <w:rPr>
          <w:caps w:val="false"/>
          <w:smallCaps w:val="false"/>
          <w:color w:val="58595B"/>
        </w:rPr>
        <w:t> </w:t>
      </w:r>
    </w:p>
    <w:tbl>
      <w:tblPr>
        <w:tblW w:w="6535" w:type="dxa"/>
        <w:jc w:val="left"/>
        <w:tblInd w:w="-10" w:type="dxa"/>
        <w:tblLayout w:type="fixed"/>
        <w:tblCellMar>
          <w:top w:w="125" w:type="dxa"/>
          <w:left w:w="183" w:type="dxa"/>
          <w:bottom w:w="76" w:type="dxa"/>
          <w:right w:w="28" w:type="dxa"/>
        </w:tblCellMar>
      </w:tblPr>
      <w:tblGrid>
        <w:gridCol w:w="1880"/>
        <w:gridCol w:w="4655"/>
      </w:tblGrid>
      <w:tr>
        <w:trPr/>
        <w:tc>
          <w:tcPr>
            <w:tcW w:w="6535" w:type="dxa"/>
            <w:gridSpan w:val="2"/>
            <w:tcBorders>
              <w:top w:val="single" w:sz="8" w:space="0" w:color="000000"/>
              <w:left w:val="single" w:sz="8" w:space="0" w:color="000000"/>
              <w:bottom w:val="single" w:sz="8" w:space="0" w:color="000000"/>
              <w:right w:val="single" w:sz="8" w:space="0" w:color="000000"/>
            </w:tcBorders>
            <w:shd w:fill="234E77"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Class II Directors – Term Expiring 2028</w:t>
            </w:r>
          </w:p>
        </w:tc>
      </w:tr>
      <w:tr>
        <w:trPr/>
        <w:tc>
          <w:tcPr>
            <w:tcW w:w="1880" w:type="dxa"/>
            <w:tcBorders>
              <w:left w:val="single" w:sz="8" w:space="0" w:color="000000"/>
              <w:bottom w:val="single" w:sz="8" w:space="0" w:color="000000"/>
              <w:right w:val="single" w:sz="8" w:space="0" w:color="000000"/>
            </w:tcBorders>
            <w:shd w:fill="E9EBEB" w:val="clear"/>
            <w:tcMar>
              <w:top w:w="0" w:type="dxa"/>
              <w:bottom w:w="77" w:type="dxa"/>
            </w:tcMar>
            <w:vAlign w:val="center"/>
          </w:tcPr>
          <w:p>
            <w:pPr>
              <w:pStyle w:val="TableContents"/>
              <w:bidi w:val="0"/>
              <w:spacing w:before="0" w:after="283"/>
              <w:jc w:val="left"/>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Name</w:t>
            </w:r>
          </w:p>
        </w:tc>
        <w:tc>
          <w:tcPr>
            <w:tcW w:w="4655" w:type="dxa"/>
            <w:tcBorders>
              <w:bottom w:val="single" w:sz="8" w:space="0" w:color="000000"/>
              <w:right w:val="single" w:sz="8" w:space="0" w:color="000000"/>
            </w:tcBorders>
            <w:shd w:fill="E9EBEB" w:val="clear"/>
            <w:tcMar>
              <w:top w:w="0" w:type="dxa"/>
              <w:left w:w="0" w:type="dxa"/>
              <w:bottom w:w="77" w:type="dxa"/>
            </w:tcMar>
            <w:vAlign w:val="center"/>
          </w:tcPr>
          <w:p>
            <w:pPr>
              <w:pStyle w:val="TableContents"/>
              <w:bidi w:val="0"/>
              <w:spacing w:before="0" w:after="283"/>
              <w:jc w:val="left"/>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Position</w:t>
            </w:r>
          </w:p>
        </w:tc>
      </w:tr>
      <w:tr>
        <w:trPr/>
        <w:tc>
          <w:tcPr>
            <w:tcW w:w="1880" w:type="dxa"/>
            <w:tcBorders>
              <w:left w:val="single" w:sz="8" w:space="0" w:color="000000"/>
              <w:bottom w:val="single" w:sz="8" w:space="0" w:color="000000"/>
              <w:right w:val="single" w:sz="8" w:space="0" w:color="000000"/>
            </w:tcBorders>
            <w:tcMar>
              <w:top w:w="0" w:type="dxa"/>
              <w:bottom w:w="91"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Hon. Halim Dhanidina</w:t>
            </w:r>
          </w:p>
        </w:tc>
        <w:tc>
          <w:tcPr>
            <w:tcW w:w="4655" w:type="dxa"/>
            <w:tcBorders>
              <w:bottom w:val="single" w:sz="8" w:space="0" w:color="000000"/>
              <w:right w:val="single" w:sz="8" w:space="0" w:color="000000"/>
            </w:tcBorders>
            <w:tcMar>
              <w:top w:w="0" w:type="dxa"/>
              <w:left w:w="0" w:type="dxa"/>
              <w:bottom w:w="92"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Chairman of the Related Person Transaction Committee</w:t>
            </w:r>
          </w:p>
        </w:tc>
      </w:tr>
      <w:tr>
        <w:trPr/>
        <w:tc>
          <w:tcPr>
            <w:tcW w:w="1880" w:type="dxa"/>
            <w:tcBorders>
              <w:left w:val="single" w:sz="8" w:space="0" w:color="000000"/>
              <w:bottom w:val="single" w:sz="8" w:space="0" w:color="000000"/>
              <w:right w:val="single" w:sz="8" w:space="0" w:color="000000"/>
            </w:tcBorders>
            <w:tcMar>
              <w:top w:w="0" w:type="dxa"/>
              <w:bottom w:w="206"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Daniel D. (Ron) Lane</w:t>
            </w:r>
          </w:p>
        </w:tc>
        <w:tc>
          <w:tcPr>
            <w:tcW w:w="4655" w:type="dxa"/>
            <w:tcBorders>
              <w:bottom w:val="single" w:sz="8" w:space="0" w:color="000000"/>
              <w:right w:val="single" w:sz="8" w:space="0" w:color="000000"/>
            </w:tcBorders>
            <w:tcMar>
              <w:top w:w="0" w:type="dxa"/>
              <w:left w:w="0" w:type="dxa"/>
              <w:bottom w:w="97" w:type="dxa"/>
              <w:right w:w="36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Member of the Compensation Committee</w:t>
            </w:r>
          </w:p>
        </w:tc>
      </w:tr>
      <w:tr>
        <w:trPr/>
        <w:tc>
          <w:tcPr>
            <w:tcW w:w="1880" w:type="dxa"/>
            <w:tcBorders>
              <w:left w:val="single" w:sz="8" w:space="0" w:color="000000"/>
              <w:bottom w:val="single" w:sz="8" w:space="0" w:color="000000"/>
              <w:right w:val="single" w:sz="8" w:space="0" w:color="000000"/>
            </w:tcBorders>
            <w:tcMar>
              <w:top w:w="0" w:type="dxa"/>
              <w:bottom w:w="8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Cary H. Thompson</w:t>
            </w:r>
          </w:p>
        </w:tc>
        <w:tc>
          <w:tcPr>
            <w:tcW w:w="4655" w:type="dxa"/>
            <w:tcBorders>
              <w:bottom w:val="single" w:sz="8" w:space="0" w:color="000000"/>
              <w:right w:val="single" w:sz="8" w:space="0" w:color="000000"/>
            </w:tcBorders>
            <w:tcMar>
              <w:top w:w="0" w:type="dxa"/>
              <w:left w:w="0" w:type="dxa"/>
              <w:bottom w:w="8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Member of the Compensation Committee</w:t>
            </w:r>
          </w:p>
        </w:tc>
      </w:tr>
    </w:tbl>
    <w:p>
      <w:pPr>
        <w:pStyle w:val="TextBody"/>
        <w:bidi w:val="0"/>
        <w:spacing w:before="0" w:after="0"/>
        <w:ind w:left="1440" w:right="1080" w:hanging="0"/>
        <w:jc w:val="both"/>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 xml:space="preserve">The Honorable Halim Dhanidina. </w:t>
      </w:r>
      <w:r>
        <w:rPr>
          <w:rFonts w:ascii="Arial;Helvetica;Sans-Serif" w:hAnsi="Arial;Helvetica;Sans-Serif"/>
          <w:b w:val="false"/>
          <w:i w:val="false"/>
          <w:caps w:val="false"/>
          <w:smallCaps w:val="false"/>
          <w:color w:val="58595B"/>
          <w:sz w:val="22"/>
        </w:rPr>
        <w:t>Judge Dhanidina has served as a director of the Company since May 2021. Judge Dhanidina is a retired Associate Justice of the California Court of Appeal where he served from 2018 until April 2021. He was previously appointed as a Judge of the Los Angeles County Superior Court in 2012, making him the first Muslim judge in California history. Judge Dhanidina served as a Partner with the firms Werksman, Jackson &amp; Quinn LLP from April 2022 until May 2023 and Umberg/Zipser from April 2021 to April 2022. He is currently a mediator and arbitrator at Signature Resolution. He also teaches law at the University of California Irvine, University of California Los Angeles and Chapman University. He earned a Bachelor of Arts in International Relations from Pomona College and a Juris Doctorate from the University of California, Los Angeles. Judge Dhanidina holds a certificate in Board Governance from the UCLA Anderson School of Management.</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Judge Dhanidina's qualifications to sit on our board include his long and distinguished career as a practicing attorney and judge and his extensive teaching experience in various areas of law. He also serves as a member of the related person transaction committee of our board.</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1"/>
        </w:rPr>
      </w:pPr>
      <w:r>
        <w:rPr>
          <w:rFonts w:ascii="Arial;Helvetica;Sans-Serif" w:hAnsi="Arial;Helvetica;Sans-Serif"/>
          <w:b/>
          <w:i w:val="false"/>
          <w:caps w:val="false"/>
          <w:smallCaps w:val="false"/>
          <w:color w:val="49678E"/>
          <w:sz w:val="21"/>
        </w:rPr>
        <w:t xml:space="preserve">Daniel D. (Ron) Lane. </w:t>
      </w:r>
      <w:r>
        <w:rPr>
          <w:rFonts w:ascii="Arial;Helvetica;Sans-Serif" w:hAnsi="Arial;Helvetica;Sans-Serif"/>
          <w:b w:val="false"/>
          <w:i w:val="false"/>
          <w:caps w:val="false"/>
          <w:smallCaps w:val="false"/>
          <w:color w:val="58595B"/>
          <w:sz w:val="21"/>
        </w:rPr>
        <w:t>Mr. Lane has served as a director of the Company since 2005, and as a director of predecessors of FNF since 1989. Since February 1983, Mr. Lane has been a principal, Chairman and Chief Executive Officer of Lane/Kuhn Pacific, Inc., a corporation comprising several</w:t>
      </w:r>
    </w:p>
    <w:p>
      <w:pPr>
        <w:pStyle w:val="TextBody"/>
        <w:bidi w:val="0"/>
        <w:spacing w:before="0" w:after="0"/>
        <w:ind w:left="280" w:right="280" w:hanging="0"/>
        <w:jc w:val="left"/>
        <w:rPr>
          <w:caps w:val="false"/>
          <w:smallCaps w:val="false"/>
          <w:color w:val="58595B"/>
        </w:rPr>
      </w:pPr>
      <w:r>
        <w:rPr>
          <w:caps w:val="false"/>
          <w:smallCaps w:val="false"/>
          <w:color w:val="58595B"/>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29</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280" w:hanging="0"/>
        <w:jc w:val="left"/>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community development and home building partnerships, all of which are headquartered in Newport Beach, California. Mr. Lane served as a director of CKE Restaurants, Inc. from 1993 through 2010, and served as a director of FIS from February 2006 to July 2008, and as a director of Lender Processing Services, Inc. from July 2008 until March 2009. Mr. Lane is also a member of the Board of Trustees of the University of Southern California.</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Mr. Lane's qualifications to serve on the FNF board include his extensive experience in and knowledge of the real estate industry, particularly as Chairman and Chief Executive Officer of Lane/ Kuhn Pacific, Inc., his deep knowledge of FNF and our business landscape as a long-time director, and his experience as a member of the boards of directors of other companies.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1"/>
        </w:rPr>
      </w:pPr>
      <w:r>
        <w:rPr>
          <w:rFonts w:ascii="Arial;Helvetica;Sans-Serif" w:hAnsi="Arial;Helvetica;Sans-Serif"/>
          <w:b/>
          <w:i w:val="false"/>
          <w:caps w:val="false"/>
          <w:smallCaps w:val="false"/>
          <w:color w:val="49678E"/>
          <w:sz w:val="21"/>
        </w:rPr>
        <w:t xml:space="preserve">Cary H. Thompson. </w:t>
      </w:r>
      <w:r>
        <w:rPr>
          <w:rFonts w:ascii="Arial;Helvetica;Sans-Serif" w:hAnsi="Arial;Helvetica;Sans-Serif"/>
          <w:b w:val="false"/>
          <w:i w:val="false"/>
          <w:caps w:val="false"/>
          <w:smallCaps w:val="false"/>
          <w:color w:val="58595B"/>
          <w:sz w:val="21"/>
        </w:rPr>
        <w:t>Mr. Thompson has served as a director of the Company since 2005, and as a director of predecessors of FNF since 1992. Mr. Thompson currently is Executive Vice Chairman of Global Corporate and Investment Banking, BofA Securities, Inc., having joined that firm in May 2008. From 1999 to May 2008, Mr. Thompson was Senior Managing Director and Head of West Coast Investment Banking at Bear Stearns &amp; Co., Inc. Mr. Thompson served as a director of FIS from February 2006 to July 2008 and as a director of Lender Processing Services, Inc. from July 2008 to March 2009.</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Mr. Thompson's qualifications to serve on the FNF board include his experience in corporate finance and investment banking, his knowledge of financial markets, and his expertise in running a large and complex business organization and negotiating and consummating complicated financial transactions.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 w:name="sp4_001"/>
      <w:bookmarkStart w:id="3" w:name="sp4_001"/>
      <w:bookmarkEnd w:id="3"/>
    </w:p>
    <w:tbl>
      <w:tblPr>
        <w:tblW w:w="8075" w:type="dxa"/>
        <w:jc w:val="left"/>
        <w:tblInd w:w="0" w:type="dxa"/>
        <w:shd w:fill="254F79" w:val="clear"/>
        <w:tblLayout w:type="fixed"/>
        <w:tblCellMar>
          <w:top w:w="0" w:type="dxa"/>
          <w:left w:w="0" w:type="dxa"/>
          <w:bottom w:w="0" w:type="dxa"/>
          <w:right w:w="0" w:type="dxa"/>
        </w:tblCellMar>
      </w:tblPr>
      <w:tblGrid>
        <w:gridCol w:w="8075"/>
      </w:tblGrid>
      <w:tr>
        <w:trPr/>
        <w:tc>
          <w:tcPr>
            <w:tcW w:w="8075" w:type="dxa"/>
            <w:tcBorders/>
            <w:shd w:fill="254F79" w:val="clear"/>
            <w:vAlign w:val="center"/>
          </w:tcPr>
          <w:p>
            <w:pPr>
              <w:pStyle w:val="TableContents"/>
              <w:bidi w:val="0"/>
              <w:spacing w:before="0" w:after="283"/>
              <w:jc w:val="left"/>
              <w:rPr>
                <w:rFonts w:ascii="Arial;Helvetica;Sans-Serif" w:hAnsi="Arial;Helvetica;Sans-Serif"/>
                <w:b/>
                <w:color w:val="FFFFFF"/>
                <w:sz w:val="36"/>
              </w:rPr>
            </w:pPr>
            <w:r>
              <w:rPr>
                <w:rFonts w:ascii="Arial;Helvetica;Sans-Serif" w:hAnsi="Arial;Helvetica;Sans-Serif"/>
                <w:b/>
                <w:color w:val="FFFFFF"/>
                <w:sz w:val="36"/>
              </w:rPr>
              <w:t>PROPOSAL NO. 1: ELECTION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articles of incorporation and bylaws provide that our board shall consist of at least one and no more than fourteen directors. Our directors are divided into three classes. The board determines the number of directors within these limits. The term of office of only one class of directors expires in each year. The Class III directors elected at this annual meeting will hold office for their respective terms or until their successors are elected and qualified. The current number of directors is eleven. The board believes that each of the nominees will stand for election and will serve if elected as a director.</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8595B"/>
          <w:sz w:val="22"/>
        </w:rPr>
      </w:pPr>
      <w:r>
        <w:rPr>
          <w:rFonts w:ascii="Arial;Helvetica;Sans-Serif" w:hAnsi="Arial;Helvetica;Sans-Serif"/>
          <w:b/>
          <w:i w:val="false"/>
          <w:caps w:val="false"/>
          <w:smallCaps w:val="false"/>
          <w:color w:val="58595B"/>
          <w:sz w:val="22"/>
        </w:rPr>
        <w:t>At this annual meeting, the persons listed below have been nominated to stand for election to the board as Class III directors for a three-year term expiring in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color w:val="58595B"/>
          <w:sz w:val="22"/>
        </w:rPr>
      </w:pPr>
      <w:r>
        <w:rPr>
          <w:rFonts w:ascii="Arial;Helvetica;Sans-Serif" w:hAnsi="Arial;Helvetica;Sans-Serif"/>
          <w:b/>
          <w:i w:val="false"/>
          <w:caps w:val="false"/>
          <w:smallCaps w:val="false"/>
          <w:color w:val="58595B"/>
          <w:sz w:val="22"/>
        </w:rPr>
        <w:t>William P. Foley, II</w:t>
        <w:br/>
        <w:t>Douglas K. Ammerman</w:t>
        <w:br/>
        <w:t>Thomas M. Hagerty</w:t>
        <w:br/>
        <w:t>Peter O. Shea. Jr.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8595B"/>
          <w:sz w:val="22"/>
        </w:rPr>
      </w:pPr>
      <w:r>
        <w:rPr>
          <w:rFonts w:ascii="Arial;Helvetica;Sans-Serif" w:hAnsi="Arial;Helvetica;Sans-Serif"/>
          <w:b/>
          <w:i w:val="false"/>
          <w:caps w:val="false"/>
          <w:smallCaps w:val="false"/>
          <w:color w:val="58595B"/>
          <w:sz w:val="22"/>
        </w:rPr>
        <w:t>THE BOARD RECOMMENDS THAT THE SHAREHOLDERS VOTE “FOR” THE ELECTION OF EACH OF THE LISTED NOMINEES.</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30</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4" w:name="sp4_002"/>
      <w:bookmarkStart w:id="5" w:name="sp4_002"/>
      <w:bookmarkEnd w:id="5"/>
    </w:p>
    <w:tbl>
      <w:tblPr>
        <w:tblW w:w="10205" w:type="dxa"/>
        <w:jc w:val="left"/>
        <w:tblInd w:w="0" w:type="dxa"/>
        <w:shd w:fill="254F79" w:val="clear"/>
        <w:tblLayout w:type="fixed"/>
        <w:tblCellMar>
          <w:top w:w="0" w:type="dxa"/>
          <w:left w:w="0" w:type="dxa"/>
          <w:bottom w:w="0" w:type="dxa"/>
          <w:right w:w="0" w:type="dxa"/>
        </w:tblCellMar>
      </w:tblPr>
      <w:tblGrid>
        <w:gridCol w:w="10205"/>
      </w:tblGrid>
      <w:tr>
        <w:trPr/>
        <w:tc>
          <w:tcPr>
            <w:tcW w:w="10205" w:type="dxa"/>
            <w:tcBorders/>
            <w:shd w:fill="254F79" w:val="clear"/>
            <w:vAlign w:val="center"/>
          </w:tcPr>
          <w:p>
            <w:pPr>
              <w:pStyle w:val="TableContents"/>
              <w:bidi w:val="0"/>
              <w:spacing w:before="0" w:after="283"/>
              <w:jc w:val="left"/>
              <w:rPr>
                <w:rFonts w:ascii="Arial;Helvetica;Sans-Serif" w:hAnsi="Arial;Helvetica;Sans-Serif"/>
                <w:b/>
                <w:color w:val="FFFFFF"/>
                <w:sz w:val="36"/>
              </w:rPr>
            </w:pPr>
            <w:r>
              <w:rPr>
                <w:rFonts w:ascii="Arial;Helvetica;Sans-Serif" w:hAnsi="Arial;Helvetica;Sans-Serif"/>
                <w:b/>
                <w:color w:val="FFFFFF"/>
                <w:sz w:val="36"/>
              </w:rPr>
              <w:t>PROPOSAL NO. 2: AMEND OUR ARTICLES OF INCORPORATION TO IMPLEMENT ANNUAL ELECTIONS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Articles of Incorporation currently provides for a classified Board consisting of three classes of directors, with each class of directors serving staggered three-year terms. As a result, one class of directors stands for election at each of our annual meetings of shareholders, such that shareholders vote on and elect approximately one-third of the Board each year.</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After considering the Company's corporate governance practices and the advantages and disadvantages of declassification, the Board has determined it is in the best interests of FNF and its shareholders to amend our Articles of Incorporation to declassify the Board.</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Therefore, the Board has approved and recommends your approval of our Amended and Restated Articles of Incorporation that provides for the elimination of the classified structure of our board over a three-year period. We refer to this proposal as the Articles Proposal.</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Articles Proposal eliminates the classification of the board over a three-year period, provides for the annual election of all directors beginning at the 2029 Annual Meeting, and makes certain conforming and technical changes to our Amended and Restated Articles of Incorporation. Board declassification would be phased-in over a three-year period, beginning at the 2027 Annual Meeting, at and after which directors would be elected to one-year terms as the incumbents' three-year terms expire.</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Articles Proposal would not change the unexpired three-year terms of directors elected prior to the effectiveness of the amendments (including directors elected at this Annual Meeting). Accordingly, the three-year term for the Class I directors elected at the 2024 Annual Meeting would expire as originally scheduled at the 2027 annual meeting, the three-year term for the Class II directors elected at the 2025 Annual Meeting would expire as originally scheduled at the 2028 Annual Meeting, and the three-year term for the Class III directors elected at the 2026 Annual Meeting would expire at the 2029 Annual Meeting.</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implementation of the declassification of the board pursuant to the Articles Proposal would commence at the 2027 Annual Meeting. Director nominees standing for election at the 2027 Annual Meeting and each annual meeting of shareholders thereafter would be elected to serve a one-year term. Beginning with the 2029 Annual Meeting, all directors would stand for annual elections. The table below summarizes the proposed implementation of the declassification under this approach:</w:t>
      </w:r>
    </w:p>
    <w:p>
      <w:pPr>
        <w:pStyle w:val="TextBody"/>
        <w:bidi w:val="0"/>
        <w:spacing w:before="0" w:after="0"/>
        <w:ind w:left="0" w:right="0" w:hanging="0"/>
        <w:jc w:val="left"/>
        <w:rPr>
          <w:caps w:val="false"/>
          <w:smallCaps w:val="false"/>
        </w:rPr>
      </w:pPr>
      <w:r>
        <w:rPr>
          <w:caps w:val="false"/>
          <w:smallCaps w:val="false"/>
        </w:rPr>
        <w:t> </w:t>
      </w:r>
    </w:p>
    <w:tbl>
      <w:tblPr>
        <w:tblW w:w="7835" w:type="dxa"/>
        <w:jc w:val="left"/>
        <w:tblInd w:w="-10" w:type="dxa"/>
        <w:tblLayout w:type="fixed"/>
        <w:tblCellMar>
          <w:top w:w="60" w:type="dxa"/>
          <w:left w:w="60" w:type="dxa"/>
          <w:bottom w:w="60" w:type="dxa"/>
          <w:right w:w="60" w:type="dxa"/>
        </w:tblCellMar>
      </w:tblPr>
      <w:tblGrid>
        <w:gridCol w:w="2480"/>
        <w:gridCol w:w="1595"/>
        <w:gridCol w:w="1250"/>
        <w:gridCol w:w="2510"/>
      </w:tblGrid>
      <w:tr>
        <w:trPr/>
        <w:tc>
          <w:tcPr>
            <w:tcW w:w="2480" w:type="dxa"/>
            <w:tcBorders>
              <w:top w:val="single" w:sz="8" w:space="0" w:color="58595B"/>
              <w:left w:val="single" w:sz="8" w:space="0" w:color="58595B"/>
              <w:bottom w:val="single" w:sz="8" w:space="0" w:color="58595B"/>
              <w:right w:val="single" w:sz="8" w:space="0" w:color="58595B"/>
            </w:tcBorders>
            <w:shd w:fill="274F78" w:val="clear"/>
            <w:vAlign w:val="center"/>
          </w:tcPr>
          <w:p>
            <w:pPr>
              <w:pStyle w:val="TableContents"/>
              <w:bidi w:val="0"/>
              <w:spacing w:before="0" w:after="283"/>
              <w:jc w:val="center"/>
              <w:rPr>
                <w:b/>
                <w:color w:val="FFFFFF"/>
                <w:sz w:val="20"/>
              </w:rPr>
            </w:pPr>
            <w:r>
              <w:rPr>
                <w:b/>
                <w:color w:val="FFFFFF"/>
                <w:sz w:val="20"/>
              </w:rPr>
              <w:t>Annual Meeting Year / Class</w:t>
            </w:r>
          </w:p>
        </w:tc>
        <w:tc>
          <w:tcPr>
            <w:tcW w:w="1595" w:type="dxa"/>
            <w:tcBorders>
              <w:top w:val="single" w:sz="8" w:space="0" w:color="58595B"/>
              <w:left w:val="single" w:sz="12" w:space="0" w:color="FFFFFF"/>
              <w:bottom w:val="single" w:sz="8" w:space="0" w:color="58595B"/>
              <w:right w:val="single" w:sz="8" w:space="0" w:color="58595B"/>
            </w:tcBorders>
            <w:shd w:fill="274F78" w:val="clear"/>
            <w:vAlign w:val="center"/>
          </w:tcPr>
          <w:p>
            <w:pPr>
              <w:pStyle w:val="TableContents"/>
              <w:bidi w:val="0"/>
              <w:spacing w:before="0" w:after="283"/>
              <w:jc w:val="center"/>
              <w:rPr>
                <w:b/>
                <w:color w:val="FFFFFF"/>
                <w:sz w:val="20"/>
              </w:rPr>
            </w:pPr>
            <w:r>
              <w:rPr>
                <w:b/>
                <w:color w:val="FFFFFF"/>
                <w:sz w:val="20"/>
              </w:rPr>
              <w:t>Length of Term of</w:t>
              <w:br/>
              <w:t>Directors Elected</w:t>
            </w:r>
          </w:p>
        </w:tc>
        <w:tc>
          <w:tcPr>
            <w:tcW w:w="1250" w:type="dxa"/>
            <w:tcBorders>
              <w:top w:val="single" w:sz="8" w:space="0" w:color="58595B"/>
              <w:left w:val="single" w:sz="12" w:space="0" w:color="FFFFFF"/>
              <w:bottom w:val="single" w:sz="8" w:space="0" w:color="58595B"/>
              <w:right w:val="single" w:sz="8" w:space="0" w:color="58595B"/>
            </w:tcBorders>
            <w:shd w:fill="274F78" w:val="clear"/>
            <w:vAlign w:val="center"/>
          </w:tcPr>
          <w:p>
            <w:pPr>
              <w:pStyle w:val="TableContents"/>
              <w:bidi w:val="0"/>
              <w:spacing w:before="0" w:after="283"/>
              <w:jc w:val="center"/>
              <w:rPr>
                <w:b/>
                <w:color w:val="FFFFFF"/>
                <w:sz w:val="20"/>
              </w:rPr>
            </w:pPr>
            <w:r>
              <w:rPr>
                <w:b/>
                <w:color w:val="FFFFFF"/>
                <w:sz w:val="20"/>
              </w:rPr>
              <w:t>Year Term</w:t>
              <w:br/>
              <w:t>Would Expire</w:t>
            </w:r>
          </w:p>
        </w:tc>
        <w:tc>
          <w:tcPr>
            <w:tcW w:w="2510" w:type="dxa"/>
            <w:tcBorders>
              <w:top w:val="single" w:sz="8" w:space="0" w:color="58595B"/>
              <w:left w:val="single" w:sz="12" w:space="0" w:color="FFFFFF"/>
              <w:bottom w:val="single" w:sz="8" w:space="0" w:color="58595B"/>
              <w:right w:val="single" w:sz="8" w:space="0" w:color="58595B"/>
            </w:tcBorders>
            <w:shd w:fill="274F78" w:val="clear"/>
            <w:vAlign w:val="center"/>
          </w:tcPr>
          <w:p>
            <w:pPr>
              <w:pStyle w:val="TableContents"/>
              <w:bidi w:val="0"/>
              <w:spacing w:before="0" w:after="283"/>
              <w:jc w:val="center"/>
              <w:rPr>
                <w:b/>
                <w:color w:val="FFFFFF"/>
                <w:sz w:val="20"/>
              </w:rPr>
            </w:pPr>
            <w:r>
              <w:rPr>
                <w:b/>
                <w:color w:val="FFFFFF"/>
                <w:sz w:val="20"/>
              </w:rPr>
              <w:t>Portion of the Board Elected</w:t>
              <w:br/>
              <w:t>at the Annual Meeting</w:t>
            </w:r>
          </w:p>
        </w:tc>
      </w:tr>
      <w:tr>
        <w:trPr/>
        <w:tc>
          <w:tcPr>
            <w:tcW w:w="2480" w:type="dxa"/>
            <w:tcBorders>
              <w:left w:val="single" w:sz="8" w:space="0" w:color="58595B"/>
              <w:bottom w:val="single" w:sz="8" w:space="0" w:color="58595B"/>
              <w:right w:val="single" w:sz="8" w:space="0" w:color="58595B"/>
            </w:tcBorders>
            <w:tcMar>
              <w:top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2026</w:t>
            </w:r>
          </w:p>
        </w:tc>
        <w:tc>
          <w:tcPr>
            <w:tcW w:w="159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 Years</w:t>
            </w:r>
          </w:p>
        </w:tc>
        <w:tc>
          <w:tcPr>
            <w:tcW w:w="125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2029</w:t>
            </w:r>
          </w:p>
        </w:tc>
        <w:tc>
          <w:tcPr>
            <w:tcW w:w="251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 of 11</w:t>
            </w:r>
          </w:p>
        </w:tc>
      </w:tr>
      <w:tr>
        <w:trPr/>
        <w:tc>
          <w:tcPr>
            <w:tcW w:w="2480" w:type="dxa"/>
            <w:tcBorders>
              <w:left w:val="single" w:sz="8" w:space="0" w:color="58595B"/>
              <w:bottom w:val="single" w:sz="8" w:space="0" w:color="58595B"/>
              <w:right w:val="single" w:sz="8" w:space="0" w:color="58595B"/>
            </w:tcBorders>
            <w:tcMar>
              <w:top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2027</w:t>
            </w:r>
          </w:p>
        </w:tc>
        <w:tc>
          <w:tcPr>
            <w:tcW w:w="159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 Year</w:t>
            </w:r>
          </w:p>
        </w:tc>
        <w:tc>
          <w:tcPr>
            <w:tcW w:w="125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2028</w:t>
            </w:r>
          </w:p>
        </w:tc>
        <w:tc>
          <w:tcPr>
            <w:tcW w:w="251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 of 11</w:t>
            </w:r>
          </w:p>
        </w:tc>
      </w:tr>
      <w:tr>
        <w:trPr/>
        <w:tc>
          <w:tcPr>
            <w:tcW w:w="2480" w:type="dxa"/>
            <w:tcBorders>
              <w:left w:val="single" w:sz="8" w:space="0" w:color="58595B"/>
              <w:bottom w:val="single" w:sz="8" w:space="0" w:color="58595B"/>
              <w:right w:val="single" w:sz="8" w:space="0" w:color="58595B"/>
            </w:tcBorders>
            <w:tcMar>
              <w:top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2028</w:t>
            </w:r>
          </w:p>
        </w:tc>
        <w:tc>
          <w:tcPr>
            <w:tcW w:w="159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 Year</w:t>
            </w:r>
          </w:p>
        </w:tc>
        <w:tc>
          <w:tcPr>
            <w:tcW w:w="125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2029</w:t>
            </w:r>
          </w:p>
        </w:tc>
        <w:tc>
          <w:tcPr>
            <w:tcW w:w="251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7 of 11</w:t>
            </w:r>
          </w:p>
        </w:tc>
      </w:tr>
      <w:tr>
        <w:trPr/>
        <w:tc>
          <w:tcPr>
            <w:tcW w:w="2480" w:type="dxa"/>
            <w:tcBorders>
              <w:left w:val="single" w:sz="8" w:space="0" w:color="58595B"/>
              <w:bottom w:val="single" w:sz="8" w:space="0" w:color="58595B"/>
              <w:right w:val="single" w:sz="8" w:space="0" w:color="58595B"/>
            </w:tcBorders>
            <w:tcMar>
              <w:top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2029</w:t>
            </w:r>
          </w:p>
        </w:tc>
        <w:tc>
          <w:tcPr>
            <w:tcW w:w="159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 Year</w:t>
            </w:r>
          </w:p>
        </w:tc>
        <w:tc>
          <w:tcPr>
            <w:tcW w:w="125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2030</w:t>
            </w:r>
          </w:p>
        </w:tc>
        <w:tc>
          <w:tcPr>
            <w:tcW w:w="251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 of 11</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31</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 xml:space="preserve">The affirmative vote of the holders of a majority of the voting power of our outstanding common stock entitled to vote on the Articles Proposal is required to approve the Articles Proposal. A copy of the proposed Amended and Restated Articles of Incorporation is attached to this proxy statement as </w:t>
      </w:r>
      <w:r>
        <w:rPr>
          <w:rFonts w:ascii="Arial;Helvetica;Sans-Serif" w:hAnsi="Arial;Helvetica;Sans-Serif"/>
          <w:b w:val="false"/>
          <w:i w:val="false"/>
          <w:caps w:val="false"/>
          <w:smallCaps w:val="false"/>
          <w:color w:val="58595B"/>
          <w:sz w:val="22"/>
          <w:u w:val="single"/>
        </w:rPr>
        <w:t>Annex A</w:t>
      </w:r>
      <w:r>
        <w:rPr>
          <w:rFonts w:ascii="Arial;Helvetica;Sans-Serif" w:hAnsi="Arial;Helvetica;Sans-Serif"/>
          <w:b w:val="false"/>
          <w:i w:val="false"/>
          <w:caps w:val="false"/>
          <w:smallCaps w:val="false"/>
          <w:color w:val="58595B"/>
          <w:sz w:val="22"/>
        </w:rPr>
        <w:t>. If approved, the proposed Amended and Restated Articles of Incorporation would become effective upon their filing with the Nevada Secretary of State, which the Company expects would occur promptly after shareholder approval is obtained. If the Articles Proposal is not approved, the Company's current classified board structure will continue.</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8595B"/>
          <w:sz w:val="22"/>
        </w:rPr>
      </w:pPr>
      <w:r>
        <w:rPr>
          <w:rFonts w:ascii="Arial;Helvetica;Sans-Serif" w:hAnsi="Arial;Helvetica;Sans-Serif"/>
          <w:b/>
          <w:i w:val="false"/>
          <w:caps w:val="false"/>
          <w:smallCaps w:val="false"/>
          <w:color w:val="58595B"/>
          <w:sz w:val="22"/>
        </w:rPr>
        <w:t>THE BOARD RECOMMENDS THAT THE SHAREHOLDERS VOTE "FOR" THE APPROVAL OF THE AMENDED AND RESTATED ARTICLES OF INCORPORATION.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274F78"/>
          <w:sz w:val="40"/>
        </w:rPr>
      </w:pPr>
      <w:bookmarkStart w:id="6" w:name="sp4_003"/>
      <w:bookmarkEnd w:id="6"/>
      <w:r>
        <w:rPr>
          <w:rFonts w:ascii="Arial;Helvetica;Sans-Serif" w:hAnsi="Arial;Helvetica;Sans-Serif"/>
          <w:b/>
          <w:i w:val="false"/>
          <w:caps w:val="false"/>
          <w:smallCaps w:val="false"/>
          <w:color w:val="274F78"/>
          <w:sz w:val="40"/>
        </w:rPr>
        <w:t>CERTAIN INFORMATION ABOUT OUR EXECUTIVE OFFICERS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executive officers of the Company are set forth in the table below, together with biographical information, except for Mr. Quirk, whose biographical information is included in this proxy statement under the section titled "Certain Information about our Directors–Information About the Director Nominees and Continuing Directors."</w:t>
      </w:r>
    </w:p>
    <w:p>
      <w:pPr>
        <w:pStyle w:val="TextBody"/>
        <w:bidi w:val="0"/>
        <w:spacing w:before="0" w:after="0"/>
        <w:ind w:left="0" w:right="0" w:hanging="0"/>
        <w:jc w:val="left"/>
        <w:rPr>
          <w:caps w:val="false"/>
          <w:smallCaps w:val="false"/>
        </w:rPr>
      </w:pPr>
      <w:r>
        <w:rPr>
          <w:caps w:val="false"/>
          <w:smallCaps w:val="false"/>
        </w:rPr>
        <w:t> </w:t>
      </w:r>
    </w:p>
    <w:tbl>
      <w:tblPr>
        <w:tblW w:w="7695" w:type="dxa"/>
        <w:jc w:val="left"/>
        <w:tblInd w:w="-10" w:type="dxa"/>
        <w:tblLayout w:type="fixed"/>
        <w:tblCellMar>
          <w:top w:w="100" w:type="dxa"/>
          <w:left w:w="160" w:type="dxa"/>
          <w:bottom w:w="100" w:type="dxa"/>
          <w:right w:w="160" w:type="dxa"/>
        </w:tblCellMar>
      </w:tblPr>
      <w:tblGrid>
        <w:gridCol w:w="1640"/>
        <w:gridCol w:w="5615"/>
        <w:gridCol w:w="440"/>
      </w:tblGrid>
      <w:tr>
        <w:trPr/>
        <w:tc>
          <w:tcPr>
            <w:tcW w:w="1640" w:type="dxa"/>
            <w:tcBorders>
              <w:top w:val="single" w:sz="8" w:space="0" w:color="58595B"/>
              <w:left w:val="single" w:sz="8" w:space="0" w:color="58595B"/>
              <w:bottom w:val="single" w:sz="8" w:space="0" w:color="58595B"/>
              <w:right w:val="single" w:sz="8" w:space="0" w:color="58595B"/>
            </w:tcBorders>
            <w:shd w:fill="274F78"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Name</w:t>
            </w:r>
          </w:p>
        </w:tc>
        <w:tc>
          <w:tcPr>
            <w:tcW w:w="5615" w:type="dxa"/>
            <w:tcBorders>
              <w:top w:val="single" w:sz="8" w:space="0" w:color="58595B"/>
              <w:left w:val="single" w:sz="12" w:space="0" w:color="FFFFFF"/>
              <w:bottom w:val="single" w:sz="8" w:space="0" w:color="58595B"/>
              <w:right w:val="single" w:sz="8" w:space="0" w:color="58595B"/>
            </w:tcBorders>
            <w:shd w:fill="274F78"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Position</w:t>
            </w:r>
          </w:p>
        </w:tc>
        <w:tc>
          <w:tcPr>
            <w:tcW w:w="440" w:type="dxa"/>
            <w:tcBorders>
              <w:top w:val="single" w:sz="8" w:space="0" w:color="58595B"/>
              <w:left w:val="single" w:sz="12" w:space="0" w:color="FFFFFF"/>
              <w:bottom w:val="single" w:sz="8" w:space="0" w:color="58595B"/>
              <w:right w:val="single" w:sz="8" w:space="0" w:color="58595B"/>
            </w:tcBorders>
            <w:shd w:fill="274F78" w:val="clear"/>
            <w:tcMar>
              <w:left w:w="30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Age</w:t>
            </w:r>
          </w:p>
        </w:tc>
      </w:tr>
      <w:tr>
        <w:trPr/>
        <w:tc>
          <w:tcPr>
            <w:tcW w:w="1640"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Raymond R. Quirk</w:t>
            </w:r>
          </w:p>
        </w:tc>
        <w:tc>
          <w:tcPr>
            <w:tcW w:w="56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Executive Vice-Chairman</w:t>
            </w:r>
          </w:p>
        </w:tc>
        <w:tc>
          <w:tcPr>
            <w:tcW w:w="44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79</w:t>
            </w:r>
          </w:p>
        </w:tc>
      </w:tr>
      <w:tr>
        <w:trPr/>
        <w:tc>
          <w:tcPr>
            <w:tcW w:w="1640"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Michael J. Nolan</w:t>
            </w:r>
          </w:p>
        </w:tc>
        <w:tc>
          <w:tcPr>
            <w:tcW w:w="56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Chief Executive Officer</w:t>
            </w:r>
          </w:p>
        </w:tc>
        <w:tc>
          <w:tcPr>
            <w:tcW w:w="44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66</w:t>
            </w:r>
          </w:p>
        </w:tc>
      </w:tr>
      <w:tr>
        <w:trPr/>
        <w:tc>
          <w:tcPr>
            <w:tcW w:w="1640"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Anthony J. Park</w:t>
            </w:r>
          </w:p>
        </w:tc>
        <w:tc>
          <w:tcPr>
            <w:tcW w:w="56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Executive Vice President and Chief Financial Officer</w:t>
            </w:r>
          </w:p>
        </w:tc>
        <w:tc>
          <w:tcPr>
            <w:tcW w:w="44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59</w:t>
            </w:r>
          </w:p>
        </w:tc>
      </w:tr>
      <w:tr>
        <w:trPr/>
        <w:tc>
          <w:tcPr>
            <w:tcW w:w="1640"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Peter T. Sadowski</w:t>
            </w:r>
          </w:p>
        </w:tc>
        <w:tc>
          <w:tcPr>
            <w:tcW w:w="56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Executive Vice President and Chief Legal Officer</w:t>
            </w:r>
          </w:p>
        </w:tc>
        <w:tc>
          <w:tcPr>
            <w:tcW w:w="44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71</w:t>
            </w:r>
          </w:p>
        </w:tc>
      </w:tr>
      <w:tr>
        <w:trPr/>
        <w:tc>
          <w:tcPr>
            <w:tcW w:w="1640"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Michael L. Gravelle</w:t>
            </w:r>
          </w:p>
        </w:tc>
        <w:tc>
          <w:tcPr>
            <w:tcW w:w="56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Executive Vice President, General Counsel and Corporate Secretary</w:t>
            </w:r>
          </w:p>
        </w:tc>
        <w:tc>
          <w:tcPr>
            <w:tcW w:w="44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64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 xml:space="preserve">Michael J. Nolan. </w:t>
      </w:r>
      <w:r>
        <w:rPr>
          <w:rFonts w:ascii="Arial;Helvetica;Sans-Serif" w:hAnsi="Arial;Helvetica;Sans-Serif"/>
          <w:b w:val="false"/>
          <w:i w:val="false"/>
          <w:caps w:val="false"/>
          <w:smallCaps w:val="false"/>
          <w:color w:val="58595B"/>
          <w:sz w:val="22"/>
        </w:rPr>
        <w:t>Mr. Nolan has served as Chief Executive Officer of the Company since February 2022 and previously served as President of the Company since January 2016. Mr. Nolan has also served on the board of directors of F&amp;G since August 2020. He served as the Co-Chief Operating Officer of FNF from September 2015 until January 2016. Additionally, he has served as President of Eastern Operations for Fidelity National Title Group since January 2013 and Executive Vice President and Division Manager since May 2010. Previously, Mr. Nolan served in various executive and management positions, including Division Manager and Regional Manager from the time he joined FNF in 1983, with responsibilities for managing direct and agency operations for the Midwest and East Coast, as well as the Company's operations in Canada, Fidelity's 1031 exchange company, Fidelity's relocation business, LoanCare and ServiceLink.</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 xml:space="preserve">Anthony J. Park. </w:t>
      </w:r>
      <w:r>
        <w:rPr>
          <w:rFonts w:ascii="Arial;Helvetica;Sans-Serif" w:hAnsi="Arial;Helvetica;Sans-Serif"/>
          <w:b w:val="false"/>
          <w:i w:val="false"/>
          <w:caps w:val="false"/>
          <w:smallCaps w:val="false"/>
          <w:color w:val="58595B"/>
          <w:sz w:val="22"/>
        </w:rPr>
        <w:t>Mr. Park has served as Executive Vice President and Chief Financial Officer of FNF since October 2005. Prior to being appointed CFO of the Company, Mr. Park served as Controller and Assistant Controller of FNF from 1991 to 2000 and served as the Chief Accounting Officer of FNF from 2000 to 2005.</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32</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 xml:space="preserve">Peter T. Sadowski. </w:t>
      </w:r>
      <w:r>
        <w:rPr>
          <w:rFonts w:ascii="Arial;Helvetica;Sans-Serif" w:hAnsi="Arial;Helvetica;Sans-Serif"/>
          <w:b w:val="false"/>
          <w:i w:val="false"/>
          <w:caps w:val="false"/>
          <w:smallCaps w:val="false"/>
          <w:color w:val="58595B"/>
          <w:sz w:val="22"/>
        </w:rPr>
        <w:t>Mr. Sadowski has served as Executive Vice President and Chief Legal Officer of FNF since 2008 and Executive Vice President and General Counsel of FNF from 1999 until 2008. Mr. Sadowski has also served as Executive Vice President and Chief Legal Officer of Cannae since April 2017. Mr. Sadowski is a Trustee of the Folded Flag Foundation and the Vegas Golden Knights Foundation.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 xml:space="preserve">Michael L. Gravelle. </w:t>
      </w:r>
      <w:r>
        <w:rPr>
          <w:rFonts w:ascii="Arial;Helvetica;Sans-Serif" w:hAnsi="Arial;Helvetica;Sans-Serif"/>
          <w:b w:val="false"/>
          <w:i w:val="false"/>
          <w:caps w:val="false"/>
          <w:smallCaps w:val="false"/>
          <w:color w:val="58595B"/>
          <w:sz w:val="22"/>
        </w:rPr>
        <w:t>Mr. Gravelle has served as the Executive Vice President, General Counsel and Corporate Secretary of FNF since January 2010. He has served as Corporate Secretary since April 2008. Mr. Gravelle joined FNF in 2003, serving as Senior Vice President. Mr. Gravelle has also served as Executive Vice President, General Counsel and Corporate Secretary of Cannae since April 2017, as Executive Vice President, General Counsel and Corporate Secretary of F&amp;G since May 2024, and as General Counsel and Corporate Secretary of Jena Acquisition Corporation II since March 2025. Mr. Gravelle previously served as Executive Vice President and General Counsel of Black Knight and its predecessors from January 2014 until December 2023, where he also served as Corporate Secretary from January 2014 until May 2018. He previously served as General Counsel and Corporate Secretary of AUS and ASZ from January 2021 through December 2022, of FTAC II from July 2020 through March 2021, and of FTAC from March 2020 to July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274F78"/>
          <w:sz w:val="40"/>
        </w:rPr>
      </w:pPr>
      <w:bookmarkStart w:id="7" w:name="sp4_004"/>
      <w:bookmarkEnd w:id="7"/>
      <w:r>
        <w:rPr>
          <w:rFonts w:ascii="Arial;Helvetica;Sans-Serif" w:hAnsi="Arial;Helvetica;Sans-Serif"/>
          <w:b/>
          <w:i w:val="false"/>
          <w:caps w:val="false"/>
          <w:smallCaps w:val="false"/>
          <w:color w:val="274F78"/>
          <w:sz w:val="40"/>
        </w:rPr>
        <w:t>COMPENSATION DISCUSSION AND ANALYSIS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caps w:val="false"/>
          <w:smallCaps w:val="false"/>
          <w:color w:val="58595B"/>
          <w:sz w:val="22"/>
        </w:rPr>
      </w:pPr>
      <w:r>
        <w:rPr>
          <w:rFonts w:ascii="Arial;Helvetica;Sans-Serif" w:hAnsi="Arial;Helvetica;Sans-Serif"/>
          <w:b w:val="false"/>
          <w:i/>
          <w:caps w:val="false"/>
          <w:smallCaps w:val="false"/>
          <w:color w:val="58595B"/>
          <w:sz w:val="22"/>
        </w:rPr>
        <w:t>The following discussion and analysis of compensation programs should be read with the compensation tables and related disclosures that follow. This discussion contains forward-looking statements that are based on our current plans and expectations regarding future compensation programs. Compensation programs that we adopt in the future may differ materially from the programs summarized in this discussion. The following discussion may also contain statements regarding corporate performance targets and goals. These targets and goals are disclosed in the limited context of our compensation programs and should not be understood to be statements of management's expectations or estimates of results or other guidance. We specifically caution investors not to apply these statements to other contexts.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this compensation discussion and analysis, we provide an overview of our approach to compensating our named executive officers in 2025, including the objectives of our compensation programs and the principles upon which our compensation programs and decisions are based. Our named executive officers, and their titles, in 2025 were:</w:t>
      </w:r>
    </w:p>
    <w:p>
      <w:pPr>
        <w:pStyle w:val="TextBody"/>
        <w:bidi w:val="0"/>
        <w:spacing w:before="0" w:after="0"/>
        <w:ind w:left="0" w:right="0" w:hanging="0"/>
        <w:jc w:val="left"/>
        <w:rPr>
          <w:caps w:val="false"/>
          <w:smallCaps w:val="false"/>
        </w:rPr>
      </w:pPr>
      <w:r>
        <w:rPr>
          <w:caps w:val="false"/>
          <w:smallCaps w:val="false"/>
        </w:rPr>
        <w:t> </w:t>
      </w:r>
    </w:p>
    <w:tbl>
      <w:tblPr>
        <w:tblW w:w="4293" w:type="dxa"/>
        <w:jc w:val="left"/>
        <w:tblInd w:w="0" w:type="dxa"/>
        <w:tblLayout w:type="fixed"/>
        <w:tblCellMar>
          <w:top w:w="0" w:type="dxa"/>
          <w:left w:w="0" w:type="dxa"/>
          <w:bottom w:w="0" w:type="dxa"/>
          <w:right w:w="0" w:type="dxa"/>
        </w:tblCellMar>
      </w:tblPr>
      <w:tblGrid>
        <w:gridCol w:w="68"/>
        <w:gridCol w:w="140"/>
        <w:gridCol w:w="408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4085" w:type="dxa"/>
            <w:tcBorders/>
            <w:vAlign w:val="center"/>
          </w:tcPr>
          <w:p>
            <w:pPr>
              <w:pStyle w:val="TableContents"/>
              <w:bidi w:val="0"/>
              <w:spacing w:before="0" w:after="283"/>
              <w:jc w:val="both"/>
              <w:rPr>
                <w:sz w:val="22"/>
              </w:rPr>
            </w:pPr>
            <w:r>
              <w:rPr>
                <w:sz w:val="22"/>
              </w:rPr>
              <w:t xml:space="preserve">Michael J. Nolan, Chief Executive Officer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5943" w:type="dxa"/>
        <w:jc w:val="left"/>
        <w:tblInd w:w="0" w:type="dxa"/>
        <w:tblLayout w:type="fixed"/>
        <w:tblCellMar>
          <w:top w:w="0" w:type="dxa"/>
          <w:left w:w="0" w:type="dxa"/>
          <w:bottom w:w="0" w:type="dxa"/>
          <w:right w:w="0" w:type="dxa"/>
        </w:tblCellMar>
      </w:tblPr>
      <w:tblGrid>
        <w:gridCol w:w="68"/>
        <w:gridCol w:w="140"/>
        <w:gridCol w:w="573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sz w:val="22"/>
              </w:rPr>
            </w:pPr>
            <w:r>
              <w:rPr>
                <w:sz w:val="22"/>
              </w:rPr>
              <w:t xml:space="preserve">Raymond R. Quirk, Executive Vice-Chairman of our Board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6948" w:type="dxa"/>
        <w:jc w:val="left"/>
        <w:tblInd w:w="0" w:type="dxa"/>
        <w:tblLayout w:type="fixed"/>
        <w:tblCellMar>
          <w:top w:w="0" w:type="dxa"/>
          <w:left w:w="0" w:type="dxa"/>
          <w:bottom w:w="0" w:type="dxa"/>
          <w:right w:w="0" w:type="dxa"/>
        </w:tblCellMar>
      </w:tblPr>
      <w:tblGrid>
        <w:gridCol w:w="68"/>
        <w:gridCol w:w="140"/>
        <w:gridCol w:w="674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740" w:type="dxa"/>
            <w:tcBorders/>
            <w:vAlign w:val="center"/>
          </w:tcPr>
          <w:p>
            <w:pPr>
              <w:pStyle w:val="TableContents"/>
              <w:bidi w:val="0"/>
              <w:spacing w:before="0" w:after="283"/>
              <w:jc w:val="both"/>
              <w:rPr>
                <w:sz w:val="22"/>
              </w:rPr>
            </w:pPr>
            <w:r>
              <w:rPr>
                <w:sz w:val="22"/>
              </w:rPr>
              <w:t xml:space="preserve">Anthony J. Park, Executive Vice President and Chief Financial Officer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6783" w:type="dxa"/>
        <w:jc w:val="left"/>
        <w:tblInd w:w="0" w:type="dxa"/>
        <w:tblLayout w:type="fixed"/>
        <w:tblCellMar>
          <w:top w:w="0" w:type="dxa"/>
          <w:left w:w="0" w:type="dxa"/>
          <w:bottom w:w="0" w:type="dxa"/>
          <w:right w:w="0" w:type="dxa"/>
        </w:tblCellMar>
      </w:tblPr>
      <w:tblGrid>
        <w:gridCol w:w="68"/>
        <w:gridCol w:w="140"/>
        <w:gridCol w:w="657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sz w:val="22"/>
              </w:rPr>
            </w:pPr>
            <w:r>
              <w:rPr>
                <w:sz w:val="22"/>
              </w:rPr>
              <w:t xml:space="preserve">Peter T. Sadowski, Executive Vice President and Chief Legal Officer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8688" w:type="dxa"/>
        <w:jc w:val="left"/>
        <w:tblInd w:w="0" w:type="dxa"/>
        <w:tblLayout w:type="fixed"/>
        <w:tblCellMar>
          <w:top w:w="0" w:type="dxa"/>
          <w:left w:w="0" w:type="dxa"/>
          <w:bottom w:w="0" w:type="dxa"/>
          <w:right w:w="0" w:type="dxa"/>
        </w:tblCellMar>
      </w:tblPr>
      <w:tblGrid>
        <w:gridCol w:w="68"/>
        <w:gridCol w:w="140"/>
        <w:gridCol w:w="848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both"/>
              <w:rPr>
                <w:sz w:val="22"/>
              </w:rPr>
            </w:pPr>
            <w:r>
              <w:rPr>
                <w:sz w:val="22"/>
              </w:rPr>
              <w:t xml:space="preserve">Michael L. Gravelle, Executive Vice President, General Counsel and Corporate Secretary </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33</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274F78"/>
          <w:sz w:val="40"/>
        </w:rPr>
      </w:pPr>
      <w:bookmarkStart w:id="8" w:name="sp4_005"/>
      <w:bookmarkEnd w:id="8"/>
      <w:r>
        <w:rPr>
          <w:rFonts w:ascii="Arial;Helvetica;Sans-Serif" w:hAnsi="Arial;Helvetica;Sans-Serif"/>
          <w:b/>
          <w:i w:val="false"/>
          <w:caps w:val="false"/>
          <w:smallCaps w:val="false"/>
          <w:color w:val="274F78"/>
          <w:sz w:val="40"/>
        </w:rPr>
        <w:t>EXECUTIVE SUMMARY</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FINANCIAL HIGHLIGHTS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FNF has a long history of delivering consistent, industry-leading results, driven by a steadfast focus on our customers and shareholders, a culture of employee excellence, and an ability to deliver outstanding performance even in a challenging market environment. FNF generated $14.4 billion of total revenue and $602 million of net earnings in 2025. Our strong performance is a testament to our experienced leadership team, strong balance sheet, and diversified business model. Our strong operating and financial performance led to significant returns to our shareholders, including $546 million of cash dividends, $251 million of treasury stock repurchases and $502 million of F&amp;G stock associated with the Second F&amp;G Distribution.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2025 saw a continuation of a historically challenging residential real estate market driven by a shortage in the supply of homes for sale, increasing home prices, varying mortgage interest rates, inflation, disrupted labor markets, and geopolitical uncertainties, coupled with a significantly improved commercial real estate market. Our management team has a proven track record of delivering strong results across varying economic cycles, resulting in FNF being well positioned to adjust our operations for adverse changes in real estate activity and to take advantage of increased volume when demand increases. Our Title business delivered $8.5 billion of total revenue in and an industry leading 15.9% adjusted pre-tax title margin.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F&amp;G, our majority-owned subsidiary, continued to execute on its diversified growth strategy in 2025. F&amp;G's assets under management before flow reinsurance grew to $73.1 billion at year-end, up 12% over the prior year, while retained AUM reached $57.6 billion and gross sales were $14.6 billion in 2025. F&amp;G contributed 30% of FNF's consolidated adjusted net earnings in 2025, consistent with its average contribution over the past three years and reinforcing its role as an important and durable complement to our Title business.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As reflected in the following charts, over the past five years, we have delivered consistently strong consolidated revenue and earnings. We also remain focused on deploying capital to best maximize shareholder value through investments in our business and returning capital to our shareholders. In 2025, we invested $151 million in F&amp;G to help accelerate their retained asset growth and deployed $66 million across eight acquisitions to opportunistically expand our Title business through the market downturn. During the five-year period from January 1, 2021 through December 31, 2025, FNF returned approximately $2.5 billion to our shareholders in the form of cash dividends and approximately $1.3 billion through share repurchases.</w:t>
      </w:r>
    </w:p>
    <w:p>
      <w:pPr>
        <w:pStyle w:val="TextBody"/>
        <w:bidi w:val="0"/>
        <w:spacing w:before="0" w:after="0"/>
        <w:ind w:left="0" w:right="0" w:hanging="0"/>
        <w:jc w:val="left"/>
        <w:rPr>
          <w:caps w:val="false"/>
          <w:smallCaps w:val="false"/>
        </w:rPr>
      </w:pPr>
      <w:r>
        <w:rPr>
          <w:caps w:val="false"/>
          <w:smallCaps w:val="false"/>
        </w:rPr>
        <w:t> </w:t>
      </w:r>
    </w:p>
    <w:tbl>
      <w:tblPr>
        <w:tblW w:w="8760" w:type="dxa"/>
        <w:jc w:val="left"/>
        <w:tblInd w:w="0" w:type="dxa"/>
        <w:tblLayout w:type="fixed"/>
        <w:tblCellMar>
          <w:top w:w="0" w:type="dxa"/>
          <w:left w:w="0" w:type="dxa"/>
          <w:bottom w:w="80" w:type="dxa"/>
          <w:right w:w="160" w:type="dxa"/>
        </w:tblCellMar>
      </w:tblPr>
      <w:tblGrid>
        <w:gridCol w:w="5090"/>
        <w:gridCol w:w="725"/>
        <w:gridCol w:w="725"/>
        <w:gridCol w:w="725"/>
        <w:gridCol w:w="725"/>
        <w:gridCol w:w="770"/>
      </w:tblGrid>
      <w:tr>
        <w:trPr/>
        <w:tc>
          <w:tcPr>
            <w:tcW w:w="5090" w:type="dxa"/>
            <w:vMerge w:val="restart"/>
            <w:tcBorders>
              <w:bottom w:val="single" w:sz="8" w:space="0" w:color="58595B"/>
              <w:right w:val="single" w:sz="8" w:space="0" w:color="58595B"/>
            </w:tcBorders>
            <w:shd w:fill="FFFFFF" w:val="clear"/>
            <w:vAlign w:val="center"/>
          </w:tcPr>
          <w:p>
            <w:pPr>
              <w:pStyle w:val="TableContents"/>
              <w:bidi w:val="0"/>
              <w:spacing w:before="0" w:after="283"/>
              <w:jc w:val="left"/>
              <w:rPr/>
            </w:pPr>
            <w:r>
              <w:rPr/>
              <w:t> </w:t>
            </w:r>
          </w:p>
        </w:tc>
        <w:tc>
          <w:tcPr>
            <w:tcW w:w="3670" w:type="dxa"/>
            <w:gridSpan w:val="5"/>
            <w:tcBorders>
              <w:bottom w:val="single" w:sz="8" w:space="0" w:color="58595B"/>
              <w:right w:val="single" w:sz="8" w:space="0" w:color="58595B"/>
            </w:tcBorders>
            <w:shd w:fill="244F78" w:val="clear"/>
            <w:vAlign w:val="center"/>
          </w:tcPr>
          <w:p>
            <w:pPr>
              <w:pStyle w:val="TableContents"/>
              <w:bidi w:val="0"/>
              <w:spacing w:before="0" w:after="283"/>
              <w:jc w:val="center"/>
              <w:rPr>
                <w:rFonts w:ascii="Arial;Helvetica;Sans-Serif" w:hAnsi="Arial;Helvetica;Sans-Serif"/>
                <w:b/>
                <w:color w:val="FFFFFF"/>
                <w:sz w:val="22"/>
              </w:rPr>
            </w:pPr>
            <w:r>
              <w:rPr>
                <w:rFonts w:ascii="Arial;Helvetica;Sans-Serif" w:hAnsi="Arial;Helvetica;Sans-Serif"/>
                <w:b/>
                <w:color w:val="FFFFFF"/>
                <w:sz w:val="22"/>
              </w:rPr>
              <w:t>Year ended December 31,</w:t>
            </w:r>
          </w:p>
        </w:tc>
      </w:tr>
      <w:tr>
        <w:trPr/>
        <w:tc>
          <w:tcPr>
            <w:tcW w:w="5090" w:type="dxa"/>
            <w:vMerge w:val="continue"/>
            <w:tcBorders>
              <w:bottom w:val="single" w:sz="8" w:space="0" w:color="58595B"/>
              <w:right w:val="single" w:sz="8" w:space="0" w:color="58595B"/>
            </w:tcBorders>
            <w:shd w:fill="FFFFFF" w:val="clear"/>
            <w:vAlign w:val="center"/>
          </w:tcPr>
          <w:p>
            <w:pPr>
              <w:pStyle w:val="Normal"/>
              <w:bidi w:val="0"/>
              <w:jc w:val="left"/>
              <w:rPr/>
            </w:pPr>
            <w:r>
              <w:rPr/>
            </w:r>
          </w:p>
        </w:tc>
        <w:tc>
          <w:tcPr>
            <w:tcW w:w="725" w:type="dxa"/>
            <w:tcBorders>
              <w:bottom w:val="single" w:sz="8" w:space="0" w:color="58595B"/>
              <w:right w:val="single" w:sz="8" w:space="0" w:color="58595B"/>
            </w:tcBorders>
            <w:shd w:fill="BABCBE"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2021</w:t>
            </w:r>
          </w:p>
        </w:tc>
        <w:tc>
          <w:tcPr>
            <w:tcW w:w="725" w:type="dxa"/>
            <w:tcBorders>
              <w:bottom w:val="single" w:sz="8" w:space="0" w:color="58595B"/>
              <w:right w:val="single" w:sz="8" w:space="0" w:color="58595B"/>
            </w:tcBorders>
            <w:shd w:fill="BABCBE"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2022</w:t>
            </w:r>
          </w:p>
        </w:tc>
        <w:tc>
          <w:tcPr>
            <w:tcW w:w="725" w:type="dxa"/>
            <w:tcBorders>
              <w:bottom w:val="single" w:sz="8" w:space="0" w:color="58595B"/>
              <w:right w:val="single" w:sz="8" w:space="0" w:color="58595B"/>
            </w:tcBorders>
            <w:shd w:fill="BABCBE"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2023</w:t>
            </w:r>
          </w:p>
        </w:tc>
        <w:tc>
          <w:tcPr>
            <w:tcW w:w="725" w:type="dxa"/>
            <w:tcBorders>
              <w:bottom w:val="single" w:sz="8" w:space="0" w:color="58595B"/>
              <w:right w:val="single" w:sz="8" w:space="0" w:color="58595B"/>
            </w:tcBorders>
            <w:shd w:fill="BABCBE"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2024</w:t>
            </w:r>
          </w:p>
        </w:tc>
        <w:tc>
          <w:tcPr>
            <w:tcW w:w="770" w:type="dxa"/>
            <w:tcBorders>
              <w:bottom w:val="single" w:sz="8" w:space="0" w:color="58595B"/>
              <w:right w:val="single" w:sz="8" w:space="0" w:color="58595B"/>
            </w:tcBorders>
            <w:shd w:fill="BABCBE"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2025</w:t>
            </w:r>
          </w:p>
        </w:tc>
      </w:tr>
      <w:tr>
        <w:trPr/>
        <w:tc>
          <w:tcPr>
            <w:tcW w:w="5090" w:type="dxa"/>
            <w:tcBorders>
              <w:left w:val="single" w:sz="8" w:space="0" w:color="58595B"/>
              <w:bottom w:val="single" w:sz="8" w:space="0" w:color="58595B"/>
              <w:right w:val="single" w:sz="8" w:space="0" w:color="58595B"/>
            </w:tcBorders>
            <w:tcMar>
              <w:left w:w="160" w:type="dxa"/>
            </w:tcMar>
            <w:vAlign w:val="center"/>
          </w:tcPr>
          <w:p>
            <w:pPr>
              <w:pStyle w:val="TableContents"/>
              <w:bidi w:val="0"/>
              <w:spacing w:before="0" w:after="283"/>
              <w:jc w:val="left"/>
              <w:rPr>
                <w:rFonts w:ascii="Arial;Helvetica;Sans-Serif" w:hAnsi="Arial;Helvetica;Sans-Serif"/>
                <w:i/>
                <w:color w:val="58585A"/>
                <w:sz w:val="18"/>
              </w:rPr>
            </w:pPr>
            <w:r>
              <w:rPr>
                <w:rFonts w:ascii="Arial;Helvetica;Sans-Serif" w:hAnsi="Arial;Helvetica;Sans-Serif"/>
                <w:i/>
                <w:color w:val="58585A"/>
                <w:sz w:val="18"/>
              </w:rPr>
              <w:t>Total Revenue Excluding Valuation Gains/Losses (in millions)</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$15,908</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$12,512</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$11,364</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$13,870</w:t>
            </w:r>
          </w:p>
        </w:tc>
        <w:tc>
          <w:tcPr>
            <w:tcW w:w="770"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$14,285</w:t>
            </w:r>
          </w:p>
        </w:tc>
      </w:tr>
      <w:tr>
        <w:trPr/>
        <w:tc>
          <w:tcPr>
            <w:tcW w:w="5090" w:type="dxa"/>
            <w:tcBorders>
              <w:left w:val="single" w:sz="8" w:space="0" w:color="58595B"/>
              <w:bottom w:val="single" w:sz="8" w:space="0" w:color="58595B"/>
              <w:right w:val="single" w:sz="8" w:space="0" w:color="58595B"/>
            </w:tcBorders>
            <w:tcMar>
              <w:left w:w="160" w:type="dxa"/>
            </w:tcMar>
            <w:vAlign w:val="center"/>
          </w:tcPr>
          <w:p>
            <w:pPr>
              <w:pStyle w:val="TableContents"/>
              <w:bidi w:val="0"/>
              <w:spacing w:before="0" w:after="283"/>
              <w:jc w:val="left"/>
              <w:rPr>
                <w:rFonts w:ascii="Arial;Helvetica;Sans-Serif" w:hAnsi="Arial;Helvetica;Sans-Serif"/>
                <w:i/>
                <w:color w:val="58585A"/>
                <w:sz w:val="18"/>
              </w:rPr>
            </w:pPr>
            <w:r>
              <w:rPr>
                <w:rFonts w:ascii="Arial;Helvetica;Sans-Serif" w:hAnsi="Arial;Helvetica;Sans-Serif"/>
                <w:i/>
                <w:color w:val="58585A"/>
                <w:sz w:val="18"/>
              </w:rPr>
              <w:t>Net Earnings from Continuing Operations (in millions)</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$2,809</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$1,306</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$518</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$1,391</w:t>
            </w:r>
          </w:p>
        </w:tc>
        <w:tc>
          <w:tcPr>
            <w:tcW w:w="770"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$679</w:t>
            </w:r>
          </w:p>
        </w:tc>
      </w:tr>
      <w:tr>
        <w:trPr/>
        <w:tc>
          <w:tcPr>
            <w:tcW w:w="5090" w:type="dxa"/>
            <w:tcBorders>
              <w:left w:val="single" w:sz="8" w:space="0" w:color="58595B"/>
              <w:bottom w:val="single" w:sz="8" w:space="0" w:color="58595B"/>
              <w:right w:val="single" w:sz="8" w:space="0" w:color="58595B"/>
            </w:tcBorders>
            <w:tcMar>
              <w:left w:w="160" w:type="dxa"/>
            </w:tcMar>
            <w:vAlign w:val="center"/>
          </w:tcPr>
          <w:p>
            <w:pPr>
              <w:pStyle w:val="TableContents"/>
              <w:bidi w:val="0"/>
              <w:spacing w:before="0" w:after="283"/>
              <w:jc w:val="left"/>
              <w:rPr>
                <w:rFonts w:ascii="Arial;Helvetica;Sans-Serif" w:hAnsi="Arial;Helvetica;Sans-Serif"/>
                <w:i/>
                <w:color w:val="58585A"/>
                <w:sz w:val="18"/>
              </w:rPr>
            </w:pPr>
            <w:r>
              <w:rPr>
                <w:rFonts w:ascii="Arial;Helvetica;Sans-Serif" w:hAnsi="Arial;Helvetica;Sans-Serif"/>
                <w:i/>
                <w:color w:val="58585A"/>
                <w:sz w:val="18"/>
              </w:rPr>
              <w:t>Adjusted Title Revenue (in millions)</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$11,890</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$9,549</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$7,047</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$7,708</w:t>
            </w:r>
          </w:p>
        </w:tc>
        <w:tc>
          <w:tcPr>
            <w:tcW w:w="770"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$8,568</w:t>
            </w:r>
          </w:p>
        </w:tc>
      </w:tr>
      <w:tr>
        <w:trPr/>
        <w:tc>
          <w:tcPr>
            <w:tcW w:w="5090" w:type="dxa"/>
            <w:tcBorders>
              <w:left w:val="single" w:sz="8" w:space="0" w:color="58595B"/>
              <w:bottom w:val="single" w:sz="8" w:space="0" w:color="58595B"/>
              <w:right w:val="single" w:sz="8" w:space="0" w:color="58595B"/>
            </w:tcBorders>
            <w:tcMar>
              <w:left w:w="160" w:type="dxa"/>
            </w:tcMar>
            <w:vAlign w:val="center"/>
          </w:tcPr>
          <w:p>
            <w:pPr>
              <w:pStyle w:val="TableContents"/>
              <w:bidi w:val="0"/>
              <w:spacing w:before="0" w:after="283"/>
              <w:jc w:val="left"/>
              <w:rPr>
                <w:rFonts w:ascii="Arial;Helvetica;Sans-Serif" w:hAnsi="Arial;Helvetica;Sans-Serif"/>
                <w:i/>
                <w:color w:val="58585A"/>
                <w:sz w:val="18"/>
              </w:rPr>
            </w:pPr>
            <w:r>
              <w:rPr>
                <w:rFonts w:ascii="Arial;Helvetica;Sans-Serif" w:hAnsi="Arial;Helvetica;Sans-Serif"/>
                <w:i/>
                <w:color w:val="58585A"/>
                <w:sz w:val="18"/>
              </w:rPr>
              <w:t>Adjusted Pre-Tax Margin</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21.7%</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16.7%</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13.7%</w:t>
            </w:r>
          </w:p>
        </w:tc>
        <w:tc>
          <w:tcPr>
            <w:tcW w:w="72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15.1%</w:t>
            </w:r>
          </w:p>
        </w:tc>
        <w:tc>
          <w:tcPr>
            <w:tcW w:w="770"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85A"/>
                <w:sz w:val="18"/>
              </w:rPr>
            </w:pPr>
            <w:r>
              <w:rPr>
                <w:rFonts w:ascii="Arial;Helvetica;Sans-Serif" w:hAnsi="Arial;Helvetica;Sans-Serif"/>
                <w:color w:val="58585A"/>
                <w:sz w:val="18"/>
              </w:rPr>
              <w:t>15.9%</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34</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576" w:hanging="0"/>
        <w:jc w:val="center"/>
        <w:rPr>
          <w:rFonts w:ascii="Arial;Helvetica;Sans-Serif" w:hAnsi="Arial;Helvetica;Sans-Serif"/>
          <w:b/>
          <w:i w:val="false"/>
          <w:caps w:val="false"/>
          <w:smallCaps w:val="false"/>
          <w:color w:val="244F78"/>
          <w:sz w:val="25"/>
        </w:rPr>
      </w:pPr>
      <w:r>
        <w:rPr>
          <w:rFonts w:ascii="Arial;Helvetica;Sans-Serif" w:hAnsi="Arial;Helvetica;Sans-Serif"/>
          <w:b/>
          <w:i w:val="false"/>
          <w:caps w:val="false"/>
          <w:smallCaps w:val="false"/>
          <w:color w:val="244F78"/>
          <w:sz w:val="25"/>
        </w:rPr>
        <w:t>TOTAL REVENUE</w:t>
      </w:r>
    </w:p>
    <w:p>
      <w:pPr>
        <w:pStyle w:val="TextBody"/>
        <w:bidi w:val="0"/>
        <w:spacing w:before="0" w:after="0"/>
        <w:ind w:left="1440" w:right="576" w:hanging="0"/>
        <w:jc w:val="center"/>
        <w:rPr>
          <w:rFonts w:ascii="Arial;Helvetica;Sans-Serif" w:hAnsi="Arial;Helvetica;Sans-Serif"/>
          <w:b w:val="false"/>
          <w:i w:val="false"/>
          <w:caps w:val="false"/>
          <w:smallCaps w:val="false"/>
          <w:color w:val="244F78"/>
          <w:sz w:val="17"/>
        </w:rPr>
      </w:pPr>
      <w:r>
        <w:rPr>
          <w:rFonts w:ascii="Arial;Helvetica;Sans-Serif" w:hAnsi="Arial;Helvetica;Sans-Serif"/>
          <w:b w:val="false"/>
          <w:i w:val="false"/>
          <w:caps w:val="false"/>
          <w:smallCaps w:val="false"/>
          <w:color w:val="274F78"/>
          <w:sz w:val="17"/>
        </w:rPr>
        <w:t>(</w:t>
      </w:r>
      <w:r>
        <w:rPr>
          <w:rFonts w:ascii="Arial;Helvetica;Sans-Serif" w:hAnsi="Arial;Helvetica;Sans-Serif"/>
          <w:b/>
          <w:i w:val="false"/>
          <w:caps w:val="false"/>
          <w:smallCaps w:val="false"/>
          <w:color w:val="274F78"/>
          <w:sz w:val="17"/>
        </w:rPr>
        <w:t>EXCLUDING VALUATION GAINS/LOSSES</w:t>
      </w:r>
      <w:r>
        <w:rPr>
          <w:rFonts w:ascii="Arial;Helvetica;Sans-Serif" w:hAnsi="Arial;Helvetica;Sans-Serif"/>
          <w:b w:val="false"/>
          <w:i w:val="false"/>
          <w:caps w:val="false"/>
          <w:smallCaps w:val="false"/>
          <w:color w:val="244F78"/>
          <w:sz w:val="17"/>
        </w:rPr>
        <w:t>)</w:t>
      </w:r>
    </w:p>
    <w:p>
      <w:pPr>
        <w:pStyle w:val="TextBody"/>
        <w:bidi w:val="0"/>
        <w:spacing w:before="0" w:after="0"/>
        <w:jc w:val="center"/>
        <w:rPr>
          <w:caps w:val="false"/>
          <w:smallCaps w:val="false"/>
          <w:color w:val="274F78"/>
        </w:rPr>
      </w:pPr>
      <w:r>
        <w:rPr>
          <w:caps w:val="false"/>
          <w:smallCaps w:val="false"/>
          <w:color w:val="274F78"/>
        </w:rPr>
        <w:t> </w:t>
      </w:r>
    </w:p>
    <w:p>
      <w:pPr>
        <w:pStyle w:val="TextBody"/>
        <w:bidi w:val="0"/>
        <w:spacing w:before="0" w:after="0"/>
        <w:jc w:val="center"/>
        <w:rPr>
          <w:caps w:val="false"/>
          <w:smallCaps w:val="false"/>
          <w:color w:val="274F78"/>
        </w:rPr>
      </w:pPr>
      <w:r>
        <w:rPr>
          <w:caps w:val="false"/>
          <w:smallCaps w:val="false"/>
          <w:color w:val="274F78"/>
        </w:rPr>
        <w:drawing>
          <wp:inline distT="0" distB="0" distL="0" distR="0">
            <wp:extent cx="5419725" cy="1914525"/>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7"/>
                    <a:stretch>
                      <a:fillRect/>
                    </a:stretch>
                  </pic:blipFill>
                  <pic:spPr bwMode="auto">
                    <a:xfrm>
                      <a:off x="0" y="0"/>
                      <a:ext cx="5419725" cy="1914525"/>
                    </a:xfrm>
                    <a:prstGeom prst="rect">
                      <a:avLst/>
                    </a:prstGeom>
                  </pic:spPr>
                </pic:pic>
              </a:graphicData>
            </a:graphic>
          </wp:inline>
        </w:drawing>
      </w:r>
    </w:p>
    <w:p>
      <w:pPr>
        <w:pStyle w:val="TextBody"/>
        <w:bidi w:val="0"/>
        <w:spacing w:before="0" w:after="0"/>
        <w:jc w:val="center"/>
        <w:rPr>
          <w:caps w:val="false"/>
          <w:smallCaps w:val="false"/>
          <w:color w:val="274F78"/>
        </w:rPr>
      </w:pPr>
      <w:r>
        <w:rPr>
          <w:caps w:val="false"/>
          <w:smallCaps w:val="false"/>
          <w:color w:val="274F78"/>
        </w:rPr>
        <w:t> </w:t>
      </w:r>
    </w:p>
    <w:p>
      <w:pPr>
        <w:pStyle w:val="TextBody"/>
        <w:bidi w:val="0"/>
        <w:spacing w:before="0" w:after="0"/>
        <w:jc w:val="center"/>
        <w:rPr>
          <w:rFonts w:ascii="Arial;Helvetica;Sans-Serif" w:hAnsi="Arial;Helvetica;Sans-Serif"/>
          <w:b/>
          <w:i w:val="false"/>
          <w:caps w:val="false"/>
          <w:smallCaps w:val="false"/>
          <w:color w:val="274F78"/>
          <w:sz w:val="28"/>
        </w:rPr>
      </w:pPr>
      <w:r>
        <w:rPr>
          <w:rFonts w:ascii="Arial;Helvetica;Sans-Serif" w:hAnsi="Arial;Helvetica;Sans-Serif"/>
          <w:b/>
          <w:i w:val="false"/>
          <w:caps w:val="false"/>
          <w:smallCaps w:val="false"/>
          <w:color w:val="274F78"/>
          <w:sz w:val="28"/>
        </w:rPr>
        <w:t>NET EARNINGS FROM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591175" cy="2105025"/>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8"/>
                    <a:stretch>
                      <a:fillRect/>
                    </a:stretch>
                  </pic:blipFill>
                  <pic:spPr bwMode="auto">
                    <a:xfrm>
                      <a:off x="0" y="0"/>
                      <a:ext cx="5591175" cy="21050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color w:val="274F78"/>
          <w:sz w:val="23"/>
        </w:rPr>
      </w:pPr>
      <w:r>
        <w:rPr>
          <w:rFonts w:ascii="Arial;Helvetica;Sans-Serif" w:hAnsi="Arial;Helvetica;Sans-Serif"/>
          <w:b/>
          <w:i w:val="false"/>
          <w:caps w:val="false"/>
          <w:smallCaps w:val="false"/>
          <w:color w:val="274F78"/>
          <w:sz w:val="23"/>
        </w:rPr>
        <w:t>ADJUSTED TITLE REVENUE AND ADJUSTED PRE-TAX TITLE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524500" cy="241935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9"/>
                    <a:stretch>
                      <a:fillRect/>
                    </a:stretch>
                  </pic:blipFill>
                  <pic:spPr bwMode="auto">
                    <a:xfrm>
                      <a:off x="0" y="0"/>
                      <a:ext cx="5524500" cy="2419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35</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PAY FOR PERFORMANCE</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compensation committee takes great care to develop and refine an executive compensation program that recognizes our stewardship responsibility to shareholders while our talent supports a culture of growth, innovation, and performance.</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primary goal of our executive compensation programs in 2025 was to drive continued growth and successful execution of our strategic business objectives. We believe our programs achieve this goal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Tying material portions of our named executive officers' compensation to the performance of our core title operations;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Structuring our performance-based programs to focus our named executive officers on attaining pre-established, objectively determinable key performance goals that are aligned with and support our key strategic business objectives, which, in turn, are aimed at growing long-term value for our shareholders;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Recognizing our executives' leadership abilities, scope of responsibilities, experience, effectiveness, and individual performance achievements;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Attracting, motivating, and retaining a highly qualified and effective management team that can deliver superior performance and build shareholder value over the long term.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As in past years, there was a direct correlation between our named executive officers' pay and our performance in 2025. Here are a few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We exceeded both our adjusted title revenue and adjusted pre-tax title margin targets as set by our compensation committee under our annual incentive plan. We exceeded our 2025 performance expectations despite a very difficult economic environment, including historically high mortgage rates and a real estate market that has been in a downward trend. Consistent with this strong performance, our named executive officers earned an annual incentive payout equal to 200% of their respective target annual incentive opportunities. See the "FNF Annual Incentive Performance Measures and Results" section below.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We exceeded the quarterly adjusted pre-tax title margin goals set by our compensation committee as performance criteria for our 2025 restricted stock awards. As a result, these awards will vest upon the passage of time, subject to each executive's continued employment with us.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continued to use adjusted pre-tax title margin as the primary performance objective for our 2025 cash-based annual incentive plan, with 75% of the award tied to this objective and the remaining 25% tied to achievement of adjusted title revenue. We also continued to use adjusted pre-tax title margin as the performance-based vesting condition in our 2025 long-term performance-based restricted stock awards. Our compensation committee considered whether this measure should be used in both the annual incentive plan and our long-term incentive awards. In recognition of the fact that it is one of the most important measures to our investors of the financial performance of our business, the committee determined it should be used in both programs. The committee determined it should be used in our cash-based annual incentive plan because it is a leading measure of operating performance and efficiency, has a strong correlation to our annual</w:t>
      </w:r>
    </w:p>
    <w:p>
      <w:pPr>
        <w:pStyle w:val="TextBody"/>
        <w:bidi w:val="0"/>
        <w:spacing w:before="0" w:after="0"/>
        <w:jc w:val="center"/>
        <w:rPr>
          <w:caps w:val="false"/>
          <w:smallCaps w:val="false"/>
          <w:color w:val="58595B"/>
        </w:rPr>
      </w:pPr>
      <w:r>
        <w:rPr>
          <w:caps w:val="false"/>
          <w:smallCaps w:val="false"/>
          <w:color w:val="58595B"/>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36</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color w:val="58595B"/>
        </w:rPr>
      </w:pPr>
      <w:r>
        <w:rPr>
          <w:caps w:val="false"/>
          <w:smallCaps w:val="false"/>
          <w:color w:val="58595B"/>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strategic plan and is directly affected by the actions of our executives in both strong and weak real estate markets. The committee determined it should be used in our long-term performance-based restricted stock awards because it reflects our ability to convert revenue into operating profits for shareholders and measures our progress toward achieving our long-term strategy, and therefore can have a significant impact on our long-term stock price and investor expectations.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Note that the financial measures used as performance targets for our named executive officers described in this discussion are non-GAAP measures and differ from the comparable GAAP measures reported in our financial statements. The measures are adjusted to exclude the impact of certain non-recurring and other items. We explain how we calculate these measures in the "Analysis of Compensation Components" section below.</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SHAREHOLDER VOTE ON 2024 EXECUTIVE COMPENSATION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At our 2025 annual meeting of shareholders, we held a non-binding advisory vote, also called a "say on pay" vote, on the compensation of our named executive officers in 2024 as disclosed in the 2025 proxy statement. Approximately 94.1% of the votes cast were voted in favor of our "say-on-pay" proposal. The compensation committee considered these results when evaluating our executive compensation programs and determined to keep the current executive compensation platform in place without any changes.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SHAREHOLDER OUTREACH IN 2025</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compensation committee is committed to listening and responding to the views of our shareholders in creating and tailoring our executive compensation programs. In connection with our 2025 annual meeting of shareholders, we reached out to our 15 largest shareholders to request engagement regarding the proposals in our 2025 proxy statement, including the proposal to redomesticate from Delaware to Nevada, and spoke with four of those shareholders who collectively held more than 20% of our common stock. Following the 2025 annual meeting of shareholders and the 2024 "say on pay" shareholder vote, our Chief Executive Officer and Chief Financial Officer met with our investors in break-out sessions at investor conferences, as well as in independent one-on-one investor meetings, to discuss our business and stock price performance, and to discuss and receive feedback on our compensation programs. In this regard, we met with investors at four investor conferences and in numerous one-on-one meetings. The investors with whom we met in 2025 represented approximately 50% of our top 20 active shareholders, who collectively owned more than 24% of our shares as of December 31, 2025. Generally, our shareholders did not express any concerns about FNF's executive compensation plans and practices in 2025.</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GOVERNANCE AND COMPENSATION BEST PRACTICES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periodically review our compensation programs and make adjustments that are believed to be in the best interests of our company and our shareholders. As part of this process, we review compensation trends and consider current best practices, and make changes in our compensation programs when we deem it appropriate, all with the goal of continually improving our approach to executive compensation.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Some of the best practices adopted by our compensation committee or full board of directors include the following:</w:t>
      </w:r>
    </w:p>
    <w:p>
      <w:pPr>
        <w:pStyle w:val="TextBody"/>
        <w:bidi w:val="0"/>
        <w:spacing w:before="0" w:after="0"/>
        <w:jc w:val="center"/>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37</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28" w:type="dxa"/>
          <w:bottom w:w="100" w:type="dxa"/>
          <w:right w:w="0" w:type="dxa"/>
        </w:tblCellMar>
      </w:tblPr>
      <w:tblGrid>
        <w:gridCol w:w="275"/>
        <w:gridCol w:w="5668"/>
        <w:gridCol w:w="90"/>
        <w:gridCol w:w="185"/>
        <w:gridCol w:w="3987"/>
      </w:tblGrid>
      <w:tr>
        <w:trPr/>
        <w:tc>
          <w:tcPr>
            <w:tcW w:w="275" w:type="dxa"/>
            <w:tcBorders>
              <w:top w:val="single" w:sz="8" w:space="0" w:color="000000"/>
              <w:left w:val="single" w:sz="8" w:space="0" w:color="000000"/>
              <w:bottom w:val="single" w:sz="8" w:space="0" w:color="000000"/>
            </w:tcBorders>
            <w:shd w:fill="244F78" w:val="clear"/>
            <w:vAlign w:val="center"/>
          </w:tcPr>
          <w:p>
            <w:pPr>
              <w:pStyle w:val="TableContents"/>
              <w:bidi w:val="0"/>
              <w:spacing w:before="0" w:after="283"/>
              <w:jc w:val="center"/>
              <w:rPr>
                <w:caps w:val="false"/>
                <w:smallCaps w:val="false"/>
              </w:rPr>
            </w:pPr>
            <w:r>
              <w:rPr>
                <w:caps w:val="false"/>
                <w:smallCaps w:val="false"/>
              </w:rPr>
              <w:t> </w:t>
            </w:r>
          </w:p>
        </w:tc>
        <w:tc>
          <w:tcPr>
            <w:tcW w:w="5668" w:type="dxa"/>
            <w:tcBorders>
              <w:top w:val="single" w:sz="8" w:space="0" w:color="000000"/>
              <w:bottom w:val="single" w:sz="8" w:space="0" w:color="000000"/>
              <w:right w:val="single" w:sz="8" w:space="0" w:color="000000"/>
            </w:tcBorders>
            <w:shd w:fill="244F78" w:val="clear"/>
            <w:tcMar>
              <w:left w:w="0" w:type="dxa"/>
              <w:right w:w="10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Things We Do</w:t>
            </w:r>
          </w:p>
        </w:tc>
        <w:tc>
          <w:tcPr>
            <w:tcW w:w="90" w:type="dxa"/>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top w:val="single" w:sz="8" w:space="0" w:color="000000"/>
              <w:left w:val="single" w:sz="8" w:space="0" w:color="000000"/>
              <w:bottom w:val="single" w:sz="8" w:space="0" w:color="000000"/>
            </w:tcBorders>
            <w:shd w:fill="5B779B" w:val="clear"/>
            <w:vAlign w:val="center"/>
          </w:tcPr>
          <w:p>
            <w:pPr>
              <w:pStyle w:val="TableContents"/>
              <w:bidi w:val="0"/>
              <w:spacing w:before="0" w:after="283"/>
              <w:jc w:val="center"/>
              <w:rPr>
                <w:caps w:val="false"/>
                <w:smallCaps w:val="false"/>
              </w:rPr>
            </w:pPr>
            <w:r>
              <w:rPr>
                <w:caps w:val="false"/>
                <w:smallCaps w:val="false"/>
              </w:rPr>
              <w:t> </w:t>
            </w:r>
          </w:p>
        </w:tc>
        <w:tc>
          <w:tcPr>
            <w:tcW w:w="3987" w:type="dxa"/>
            <w:tcBorders>
              <w:top w:val="single" w:sz="8" w:space="0" w:color="000000"/>
              <w:bottom w:val="single" w:sz="8" w:space="0" w:color="000000"/>
              <w:right w:val="single" w:sz="8" w:space="0" w:color="000000"/>
            </w:tcBorders>
            <w:shd w:fill="5B779B" w:val="clear"/>
            <w:tcMar>
              <w:left w:w="0" w:type="dxa"/>
              <w:right w:w="108"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Things We Don’t Do</w:t>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aps w:val="false"/>
                <w:smallCaps w:val="false"/>
                <w:color w:val="244F78"/>
              </w:rPr>
            </w:pPr>
            <w:r>
              <w:rPr>
                <w:caps w:val="false"/>
                <w:smallCaps w:val="false"/>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Deliver total compensation predominantly through variable pay</w:t>
            </w:r>
          </w:p>
        </w:tc>
        <w:tc>
          <w:tcPr>
            <w:tcW w:w="90" w:type="dxa"/>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Cursive" w:hAnsi="Cursive"/>
                <w:b/>
                <w:i w:val="false"/>
                <w:caps w:val="false"/>
                <w:smallCaps w:val="false"/>
                <w:color w:val="244F78"/>
                <w:sz w:val="18"/>
              </w:rPr>
            </w:pPr>
            <w:r>
              <w:rPr>
                <w:rFonts w:ascii="Cursive" w:hAnsi="Cursive"/>
                <w:b/>
                <w:i w:val="false"/>
                <w:caps w:val="false"/>
                <w:smallCaps w:val="false"/>
                <w:color w:val="244F78"/>
                <w:sz w:val="18"/>
              </w:rPr>
              <w:t>X</w:t>
            </w:r>
          </w:p>
        </w:tc>
        <w:tc>
          <w:tcPr>
            <w:tcW w:w="3987"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Provide tax gross-ups or reimbursement of taxes</w:t>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aps w:val="false"/>
                <w:smallCaps w:val="false"/>
                <w:color w:val="244F78"/>
              </w:rPr>
            </w:pPr>
            <w:r>
              <w:rPr>
                <w:caps w:val="false"/>
                <w:smallCaps w:val="false"/>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Maintain robust stock ownership requirements</w:t>
            </w:r>
          </w:p>
        </w:tc>
        <w:tc>
          <w:tcPr>
            <w:tcW w:w="90" w:type="dxa"/>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Helvetica;Sans-Serif" w:hAnsi="Arial;Helvetica;Sans-Serif"/>
                <w:b/>
                <w:i w:val="false"/>
                <w:caps w:val="false"/>
                <w:smallCaps w:val="false"/>
                <w:color w:val="244F78"/>
                <w:sz w:val="18"/>
              </w:rPr>
            </w:pPr>
            <w:r>
              <w:rPr>
                <w:rFonts w:ascii="Arial;Helvetica;Sans-Serif" w:hAnsi="Arial;Helvetica;Sans-Serif"/>
                <w:b/>
                <w:i w:val="false"/>
                <w:caps w:val="false"/>
                <w:smallCaps w:val="false"/>
                <w:color w:val="244F78"/>
                <w:sz w:val="18"/>
              </w:rPr>
              <w:t>X</w:t>
            </w:r>
          </w:p>
        </w:tc>
        <w:tc>
          <w:tcPr>
            <w:tcW w:w="3987"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Have liberal change in control definitions</w:t>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aps w:val="false"/>
                <w:smallCaps w:val="false"/>
                <w:color w:val="244F78"/>
              </w:rPr>
            </w:pPr>
            <w:r>
              <w:rPr>
                <w:caps w:val="false"/>
                <w:smallCaps w:val="false"/>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Maintain a clawback policy for incentive-based compensation</w:t>
            </w:r>
          </w:p>
        </w:tc>
        <w:tc>
          <w:tcPr>
            <w:tcW w:w="90" w:type="dxa"/>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vMerge w:val="restart"/>
            <w:tcBorders>
              <w:left w:val="single" w:sz="8" w:space="0" w:color="000000"/>
              <w:bottom w:val="single" w:sz="8" w:space="0" w:color="000000"/>
            </w:tcBorders>
            <w:tcMar>
              <w:top w:w="0" w:type="dxa"/>
            </w:tcMar>
            <w:vAlign w:val="center"/>
          </w:tcPr>
          <w:p>
            <w:pPr>
              <w:pStyle w:val="TableContents"/>
              <w:bidi w:val="0"/>
              <w:spacing w:before="0" w:after="283"/>
              <w:jc w:val="center"/>
              <w:rPr>
                <w:rFonts w:ascii="Arial;Helvetica;Sans-Serif" w:hAnsi="Arial;Helvetica;Sans-Serif"/>
                <w:b/>
                <w:i w:val="false"/>
                <w:caps w:val="false"/>
                <w:smallCaps w:val="false"/>
                <w:color w:val="244F78"/>
                <w:sz w:val="18"/>
              </w:rPr>
            </w:pPr>
            <w:r>
              <w:rPr>
                <w:rFonts w:ascii="Arial;Helvetica;Sans-Serif" w:hAnsi="Arial;Helvetica;Sans-Serif"/>
                <w:b/>
                <w:i w:val="false"/>
                <w:caps w:val="false"/>
                <w:smallCaps w:val="false"/>
                <w:color w:val="244F78"/>
                <w:sz w:val="18"/>
              </w:rPr>
              <w:t>X</w:t>
            </w:r>
          </w:p>
        </w:tc>
        <w:tc>
          <w:tcPr>
            <w:tcW w:w="3987" w:type="dxa"/>
            <w:vMerge w:val="restart"/>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Include modified single trigger severance provisions – which provide severance upon a voluntary termination of employment following a change in control – in our executive employment agreements </w:t>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aps w:val="false"/>
                <w:smallCaps w:val="false"/>
                <w:color w:val="244F78"/>
              </w:rPr>
            </w:pPr>
            <w:r>
              <w:rPr>
                <w:caps w:val="false"/>
                <w:smallCaps w:val="false"/>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High ratio of performance-based compensation to total compensation, and a low ratio for fixed benefits/perquisites (non-performance-based) </w:t>
            </w:r>
          </w:p>
        </w:tc>
        <w:tc>
          <w:tcPr>
            <w:tcW w:w="90" w:type="dxa"/>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c>
          <w:tcPr>
            <w:tcW w:w="18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3987" w:type="dxa"/>
            <w:vMerge w:val="continue"/>
            <w:tcBorders>
              <w:left w:val="single" w:sz="8" w:space="0" w:color="000000"/>
              <w:bottom w:val="single" w:sz="8" w:space="0" w:color="000000"/>
              <w:right w:val="single" w:sz="8" w:space="0" w:color="000000"/>
            </w:tcBorders>
            <w:tcMar>
              <w:top w:w="0" w:type="dxa"/>
              <w:left w:w="108" w:type="dxa"/>
              <w:right w:w="108" w:type="dxa"/>
            </w:tcMar>
            <w:vAlign w:val="center"/>
          </w:tcPr>
          <w:p>
            <w:pPr>
              <w:pStyle w:val="Normal"/>
              <w:bidi w:val="0"/>
              <w:jc w:val="left"/>
              <w:rPr/>
            </w:pPr>
            <w:r>
              <w:rPr/>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olor w:val="244F78"/>
              </w:rPr>
            </w:pPr>
            <w:r>
              <w:rPr>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Undertake an annual review of compensation risk</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85" w:type="dxa"/>
            <w:vMerge w:val="restart"/>
            <w:tcBorders>
              <w:left w:val="single" w:sz="8" w:space="0" w:color="000000"/>
              <w:bottom w:val="single" w:sz="8" w:space="0" w:color="000000"/>
            </w:tcBorders>
            <w:tcMar>
              <w:top w:w="0" w:type="dxa"/>
            </w:tcMar>
            <w:vAlign w:val="center"/>
          </w:tcPr>
          <w:p>
            <w:pPr>
              <w:pStyle w:val="TableContents"/>
              <w:bidi w:val="0"/>
              <w:spacing w:before="0" w:after="283"/>
              <w:jc w:val="center"/>
              <w:rPr>
                <w:b/>
                <w:color w:val="244F78"/>
                <w:sz w:val="18"/>
              </w:rPr>
            </w:pPr>
            <w:r>
              <w:rPr>
                <w:b/>
                <w:color w:val="244F78"/>
                <w:sz w:val="18"/>
              </w:rPr>
              <w:t>X</w:t>
            </w:r>
          </w:p>
        </w:tc>
        <w:tc>
          <w:tcPr>
            <w:tcW w:w="3987" w:type="dxa"/>
            <w:vMerge w:val="restart"/>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Allow hedging and pledging transactions involving our securities without board approval</w:t>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olor w:val="244F78"/>
              </w:rPr>
            </w:pPr>
            <w:r>
              <w:rPr>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Limit perquisites</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85" w:type="dxa"/>
            <w:vMerge w:val="continue"/>
            <w:tcBorders>
              <w:left w:val="single" w:sz="8" w:space="0" w:color="000000"/>
              <w:bottom w:val="single" w:sz="8" w:space="0" w:color="000000"/>
            </w:tcBorders>
            <w:tcMar>
              <w:top w:w="0" w:type="dxa"/>
            </w:tcMar>
            <w:vAlign w:val="center"/>
          </w:tcPr>
          <w:p>
            <w:pPr>
              <w:pStyle w:val="Normal"/>
              <w:bidi w:val="0"/>
              <w:jc w:val="left"/>
              <w:rPr/>
            </w:pPr>
            <w:r>
              <w:rPr/>
            </w:r>
          </w:p>
        </w:tc>
        <w:tc>
          <w:tcPr>
            <w:tcW w:w="3987" w:type="dxa"/>
            <w:vMerge w:val="continue"/>
            <w:tcBorders>
              <w:left w:val="single" w:sz="8" w:space="0" w:color="000000"/>
              <w:bottom w:val="single" w:sz="8" w:space="0" w:color="000000"/>
              <w:right w:val="single" w:sz="8" w:space="0" w:color="000000"/>
            </w:tcBorders>
            <w:tcMar>
              <w:top w:w="0" w:type="dxa"/>
              <w:left w:w="108" w:type="dxa"/>
              <w:right w:w="108" w:type="dxa"/>
            </w:tcMar>
            <w:vAlign w:val="center"/>
          </w:tcPr>
          <w:p>
            <w:pPr>
              <w:pStyle w:val="Normal"/>
              <w:bidi w:val="0"/>
              <w:jc w:val="left"/>
              <w:rPr/>
            </w:pPr>
            <w:r>
              <w:rPr/>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olor w:val="244F78"/>
              </w:rPr>
            </w:pPr>
            <w:r>
              <w:rPr>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Have performance-based vesting provision in restricted stock grants to our officers, including our named executive officers</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8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b/>
                <w:color w:val="244F78"/>
                <w:sz w:val="18"/>
              </w:rPr>
            </w:pPr>
            <w:r>
              <w:rPr>
                <w:b/>
                <w:color w:val="244F78"/>
                <w:sz w:val="18"/>
              </w:rPr>
              <w:t>X</w:t>
            </w:r>
          </w:p>
        </w:tc>
        <w:tc>
          <w:tcPr>
            <w:tcW w:w="3987"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Have multi-year guarantees for salary increases, non-performance-based bonuses or guaranteed equity compensation in our executive employment agreements</w:t>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olor w:val="244F78"/>
              </w:rPr>
            </w:pPr>
            <w:r>
              <w:rPr>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 xml:space="preserve">Require that any dividends or dividend equivalents on restricted stock and other awards are subject to the same underlying vesting requirements applicable to the awards – that is, no payment of dividends or dividend equivalents are made unless and until the award vests </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85" w:type="dxa"/>
            <w:tcBorders/>
            <w:tcMar>
              <w:top w:w="0" w:type="dxa"/>
              <w:left w:w="0" w:type="dxa"/>
              <w:bottom w:w="0" w:type="dxa"/>
            </w:tcMar>
            <w:vAlign w:val="center"/>
          </w:tcPr>
          <w:p>
            <w:pPr>
              <w:pStyle w:val="TableContents"/>
              <w:bidi w:val="0"/>
              <w:spacing w:before="0" w:after="283"/>
              <w:jc w:val="left"/>
              <w:rPr/>
            </w:pPr>
            <w:r>
              <w:rPr/>
              <w:t> </w:t>
            </w:r>
          </w:p>
        </w:tc>
        <w:tc>
          <w:tcPr>
            <w:tcW w:w="3987" w:type="dxa"/>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olor w:val="244F78"/>
              </w:rPr>
            </w:pPr>
            <w:r>
              <w:rPr>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Have transparent executive compensation disclosures in our annual proxy statements</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85" w:type="dxa"/>
            <w:tcBorders/>
            <w:tcMar>
              <w:top w:w="0" w:type="dxa"/>
              <w:left w:w="0" w:type="dxa"/>
              <w:bottom w:w="0" w:type="dxa"/>
            </w:tcMar>
            <w:vAlign w:val="center"/>
          </w:tcPr>
          <w:p>
            <w:pPr>
              <w:pStyle w:val="TableContents"/>
              <w:bidi w:val="0"/>
              <w:spacing w:before="0" w:after="283"/>
              <w:jc w:val="left"/>
              <w:rPr/>
            </w:pPr>
            <w:r>
              <w:rPr/>
              <w:t> </w:t>
            </w:r>
          </w:p>
        </w:tc>
        <w:tc>
          <w:tcPr>
            <w:tcW w:w="3987" w:type="dxa"/>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olor w:val="244F78"/>
              </w:rPr>
            </w:pPr>
            <w:r>
              <w:rPr>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Use a thorough methodology for comparing our executive compensation to market practices</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85" w:type="dxa"/>
            <w:tcBorders/>
            <w:tcMar>
              <w:top w:w="0" w:type="dxa"/>
              <w:left w:w="0" w:type="dxa"/>
              <w:bottom w:w="0" w:type="dxa"/>
            </w:tcMar>
            <w:vAlign w:val="center"/>
          </w:tcPr>
          <w:p>
            <w:pPr>
              <w:pStyle w:val="TableContents"/>
              <w:bidi w:val="0"/>
              <w:spacing w:before="0" w:after="283"/>
              <w:jc w:val="left"/>
              <w:rPr/>
            </w:pPr>
            <w:r>
              <w:rPr/>
              <w:t> </w:t>
            </w:r>
          </w:p>
        </w:tc>
        <w:tc>
          <w:tcPr>
            <w:tcW w:w="3987" w:type="dxa"/>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olor w:val="244F78"/>
              </w:rPr>
            </w:pPr>
            <w:r>
              <w:rPr>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Have a policy that annual grants of restricted stock will utilize a vesting schedule of not less than three years</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85" w:type="dxa"/>
            <w:tcBorders/>
            <w:tcMar>
              <w:top w:w="0" w:type="dxa"/>
              <w:left w:w="0" w:type="dxa"/>
              <w:bottom w:w="0" w:type="dxa"/>
            </w:tcMar>
            <w:vAlign w:val="center"/>
          </w:tcPr>
          <w:p>
            <w:pPr>
              <w:pStyle w:val="TableContents"/>
              <w:bidi w:val="0"/>
              <w:spacing w:before="0" w:after="283"/>
              <w:jc w:val="left"/>
              <w:rPr/>
            </w:pPr>
            <w:r>
              <w:rPr/>
              <w:t> </w:t>
            </w:r>
          </w:p>
        </w:tc>
        <w:tc>
          <w:tcPr>
            <w:tcW w:w="3987" w:type="dxa"/>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olor w:val="244F78"/>
              </w:rPr>
            </w:pPr>
            <w:r>
              <w:rPr>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Retain an independent compensation consultant that reports solely to our compensation committee, and that does not provide our compensation committee services other than executive compensation consulting</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85" w:type="dxa"/>
            <w:tcBorders/>
            <w:tcMar>
              <w:top w:w="0" w:type="dxa"/>
              <w:left w:w="0" w:type="dxa"/>
              <w:bottom w:w="0" w:type="dxa"/>
            </w:tcMar>
            <w:vAlign w:val="center"/>
          </w:tcPr>
          <w:p>
            <w:pPr>
              <w:pStyle w:val="TableContents"/>
              <w:bidi w:val="0"/>
              <w:spacing w:before="0" w:after="283"/>
              <w:jc w:val="left"/>
              <w:rPr/>
            </w:pPr>
            <w:r>
              <w:rPr/>
              <w:t> </w:t>
            </w:r>
          </w:p>
        </w:tc>
        <w:tc>
          <w:tcPr>
            <w:tcW w:w="3987" w:type="dxa"/>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olor w:val="244F78"/>
              </w:rPr>
            </w:pPr>
            <w:r>
              <w:rPr>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Cap payouts on incentive awards</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85" w:type="dxa"/>
            <w:tcBorders/>
            <w:tcMar>
              <w:top w:w="0" w:type="dxa"/>
              <w:left w:w="0" w:type="dxa"/>
              <w:bottom w:w="0" w:type="dxa"/>
            </w:tcMar>
            <w:vAlign w:val="center"/>
          </w:tcPr>
          <w:p>
            <w:pPr>
              <w:pStyle w:val="TableContents"/>
              <w:bidi w:val="0"/>
              <w:spacing w:before="0" w:after="283"/>
              <w:jc w:val="left"/>
              <w:rPr/>
            </w:pPr>
            <w:r>
              <w:rPr/>
              <w:t> </w:t>
            </w:r>
          </w:p>
        </w:tc>
        <w:tc>
          <w:tcPr>
            <w:tcW w:w="3987" w:type="dxa"/>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olor w:val="244F78"/>
              </w:rPr>
            </w:pPr>
            <w:r>
              <w:rPr>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Use non-discretionary, pre-established, objectively determinable performance goals for our incentive awards</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85" w:type="dxa"/>
            <w:tcBorders/>
            <w:tcMar>
              <w:top w:w="0" w:type="dxa"/>
              <w:left w:w="0" w:type="dxa"/>
              <w:bottom w:w="0" w:type="dxa"/>
            </w:tcMar>
            <w:vAlign w:val="center"/>
          </w:tcPr>
          <w:p>
            <w:pPr>
              <w:pStyle w:val="TableContents"/>
              <w:bidi w:val="0"/>
              <w:spacing w:before="0" w:after="283"/>
              <w:jc w:val="left"/>
              <w:rPr/>
            </w:pPr>
            <w:r>
              <w:rPr/>
              <w:t> </w:t>
            </w:r>
          </w:p>
        </w:tc>
        <w:tc>
          <w:tcPr>
            <w:tcW w:w="3987" w:type="dxa"/>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5" w:type="dxa"/>
            <w:tcBorders>
              <w:left w:val="single" w:sz="8" w:space="0" w:color="000000"/>
              <w:bottom w:val="single" w:sz="8" w:space="0" w:color="000000"/>
            </w:tcBorders>
            <w:tcMar>
              <w:top w:w="0" w:type="dxa"/>
            </w:tcMar>
            <w:vAlign w:val="center"/>
          </w:tcPr>
          <w:p>
            <w:pPr>
              <w:pStyle w:val="TableContents"/>
              <w:bidi w:val="0"/>
              <w:spacing w:before="0" w:after="283"/>
              <w:jc w:val="center"/>
              <w:rPr>
                <w:color w:val="244F78"/>
              </w:rPr>
            </w:pPr>
            <w:r>
              <w:rPr>
                <w:color w:val="244F78"/>
              </w:rPr>
              <w:t>✓</w:t>
            </w:r>
          </w:p>
        </w:tc>
        <w:tc>
          <w:tcPr>
            <w:tcW w:w="5668" w:type="dxa"/>
            <w:tcBorders>
              <w:left w:val="single" w:sz="8" w:space="0" w:color="000000"/>
              <w:bottom w:val="single" w:sz="8" w:space="0" w:color="000000"/>
              <w:right w:val="single" w:sz="8" w:space="0" w:color="000000"/>
            </w:tcBorders>
            <w:tcMar>
              <w:top w:w="0" w:type="dxa"/>
              <w:left w:w="108" w:type="dxa"/>
              <w:right w:w="108"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Utilize a below market run rate for the number of annual shares granted under our equity incentive plan</w:t>
            </w:r>
          </w:p>
        </w:tc>
        <w:tc>
          <w:tcPr>
            <w:tcW w:w="90" w:type="dxa"/>
            <w:tcBorders/>
            <w:tcMar>
              <w:top w:w="0" w:type="dxa"/>
              <w:left w:w="0" w:type="dxa"/>
              <w:bottom w:w="0" w:type="dxa"/>
            </w:tcMar>
            <w:vAlign w:val="center"/>
          </w:tcPr>
          <w:p>
            <w:pPr>
              <w:pStyle w:val="TableContents"/>
              <w:bidi w:val="0"/>
              <w:spacing w:before="0" w:after="283"/>
              <w:jc w:val="left"/>
              <w:rPr/>
            </w:pPr>
            <w:r>
              <w:rPr/>
              <w:t> </w:t>
            </w:r>
          </w:p>
        </w:tc>
        <w:tc>
          <w:tcPr>
            <w:tcW w:w="185" w:type="dxa"/>
            <w:tcBorders/>
            <w:tcMar>
              <w:top w:w="0" w:type="dxa"/>
              <w:left w:w="0" w:type="dxa"/>
              <w:bottom w:w="0" w:type="dxa"/>
            </w:tcMar>
            <w:vAlign w:val="center"/>
          </w:tcPr>
          <w:p>
            <w:pPr>
              <w:pStyle w:val="TableContents"/>
              <w:bidi w:val="0"/>
              <w:spacing w:before="0" w:after="283"/>
              <w:jc w:val="left"/>
              <w:rPr/>
            </w:pPr>
            <w:r>
              <w:rPr/>
              <w:t> </w:t>
            </w:r>
          </w:p>
        </w:tc>
        <w:tc>
          <w:tcPr>
            <w:tcW w:w="3987" w:type="dxa"/>
            <w:tcBorders/>
            <w:tcMar>
              <w:top w:w="0" w:type="dxa"/>
              <w:left w:w="0" w:type="dxa"/>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COMPONENTS OF TOTAL COMPENSATION AND PAY MIX</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compensate our executive officers primarily through a mix of base salary, annual cash incentives and long-term equity-based incentives. We also provide our executive officers with the same retirement and employee benefit plans that are offered to our other employees, as well as limited other benefits, although these items are not significant components of our compensation programs. The following table provides information regarding the elements of compensation provided to our named executive officers in 2025:</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38</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2" w:type="dxa"/>
          <w:left w:w="100" w:type="dxa"/>
          <w:bottom w:w="120" w:type="dxa"/>
          <w:right w:w="28" w:type="dxa"/>
        </w:tblCellMar>
      </w:tblPr>
      <w:tblGrid>
        <w:gridCol w:w="2671"/>
        <w:gridCol w:w="2387"/>
        <w:gridCol w:w="5147"/>
      </w:tblGrid>
      <w:tr>
        <w:trPr/>
        <w:tc>
          <w:tcPr>
            <w:tcW w:w="2671" w:type="dxa"/>
            <w:tcBorders>
              <w:top w:val="single" w:sz="8" w:space="0" w:color="000000"/>
              <w:left w:val="single" w:sz="8" w:space="0" w:color="000000"/>
              <w:bottom w:val="single" w:sz="8" w:space="0" w:color="000000"/>
              <w:right w:val="single" w:sz="12" w:space="0" w:color="FFFFFF"/>
            </w:tcBorders>
            <w:shd w:fill="234E77"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Category of Compensation</w:t>
            </w:r>
          </w:p>
        </w:tc>
        <w:tc>
          <w:tcPr>
            <w:tcW w:w="2387" w:type="dxa"/>
            <w:tcBorders>
              <w:top w:val="single" w:sz="8" w:space="0" w:color="000000"/>
              <w:bottom w:val="single" w:sz="8" w:space="0" w:color="000000"/>
              <w:right w:val="single" w:sz="12" w:space="0" w:color="FFFFFF"/>
            </w:tcBorders>
            <w:shd w:fill="234E77" w:val="clear"/>
            <w:tcMar>
              <w:top w:w="28" w:type="dxa"/>
              <w:left w:w="0" w:type="dxa"/>
            </w:tcMar>
            <w:vAlign w:val="center"/>
          </w:tcPr>
          <w:p>
            <w:pPr>
              <w:pStyle w:val="TableContents"/>
              <w:bidi w:val="0"/>
              <w:spacing w:before="0" w:after="0"/>
              <w:ind w:left="0" w:right="576" w:hanging="0"/>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Type of</w:t>
            </w:r>
          </w:p>
          <w:p>
            <w:pPr>
              <w:pStyle w:val="TableContents"/>
              <w:bidi w:val="0"/>
              <w:spacing w:before="0" w:after="0"/>
              <w:ind w:left="0" w:right="576" w:hanging="0"/>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Compensation</w:t>
            </w:r>
          </w:p>
        </w:tc>
        <w:tc>
          <w:tcPr>
            <w:tcW w:w="5147" w:type="dxa"/>
            <w:tcBorders>
              <w:top w:val="single" w:sz="8" w:space="0" w:color="000000"/>
              <w:bottom w:val="single" w:sz="8" w:space="0" w:color="000000"/>
              <w:right w:val="single" w:sz="8" w:space="0" w:color="000000"/>
            </w:tcBorders>
            <w:shd w:fill="234E77" w:val="clear"/>
            <w:tcMar>
              <w:top w:w="370" w:type="dxa"/>
              <w:left w:w="0" w:type="dxa"/>
              <w:right w:w="10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Purpose of the Compensation</w:t>
            </w:r>
          </w:p>
        </w:tc>
      </w:tr>
      <w:tr>
        <w:trPr/>
        <w:tc>
          <w:tcPr>
            <w:tcW w:w="2671" w:type="dxa"/>
            <w:tcBorders>
              <w:left w:val="single" w:sz="8" w:space="0" w:color="000000"/>
              <w:bottom w:val="single" w:sz="8" w:space="0" w:color="000000"/>
              <w:right w:val="single" w:sz="8" w:space="0" w:color="000000"/>
            </w:tcBorders>
            <w:tcMar>
              <w:top w:w="0" w:type="dxa"/>
              <w:bottom w:w="93" w:type="dxa"/>
            </w:tcMar>
            <w:vAlign w:val="center"/>
          </w:tcPr>
          <w:p>
            <w:pPr>
              <w:pStyle w:val="TableContents"/>
              <w:bidi w:val="0"/>
              <w:spacing w:before="0" w:after="283"/>
              <w:jc w:val="left"/>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Fixed Cash Compensation</w:t>
            </w:r>
          </w:p>
        </w:tc>
        <w:tc>
          <w:tcPr>
            <w:tcW w:w="2387" w:type="dxa"/>
            <w:tcBorders>
              <w:bottom w:val="single" w:sz="8" w:space="0" w:color="000000"/>
              <w:right w:val="single" w:sz="8" w:space="0" w:color="000000"/>
            </w:tcBorders>
            <w:tcMar>
              <w:top w:w="0" w:type="dxa"/>
              <w:left w:w="0" w:type="dxa"/>
              <w:bottom w:w="206"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Salary</w:t>
            </w:r>
          </w:p>
        </w:tc>
        <w:tc>
          <w:tcPr>
            <w:tcW w:w="5147" w:type="dxa"/>
            <w:tcBorders>
              <w:bottom w:val="single" w:sz="8" w:space="0" w:color="000000"/>
              <w:right w:val="single" w:sz="8" w:space="0" w:color="000000"/>
            </w:tcBorders>
            <w:tcMar>
              <w:top w:w="0" w:type="dxa"/>
              <w:left w:w="0" w:type="dxa"/>
              <w:bottom w:w="96" w:type="dxa"/>
              <w:right w:w="10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Salary provides a level of assured, regularly paid, cash compensation that is competitive and helps attract and retain key employees.</w:t>
            </w:r>
          </w:p>
        </w:tc>
      </w:tr>
      <w:tr>
        <w:trPr/>
        <w:tc>
          <w:tcPr>
            <w:tcW w:w="2671"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0"/>
              <w:ind w:left="0" w:right="576" w:hanging="0"/>
              <w:jc w:val="left"/>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Short-term Performance-based Cash Incentives</w:t>
            </w:r>
          </w:p>
        </w:tc>
        <w:tc>
          <w:tcPr>
            <w:tcW w:w="2387" w:type="dxa"/>
            <w:tcBorders>
              <w:bottom w:val="single" w:sz="8" w:space="0" w:color="000000"/>
              <w:right w:val="single" w:sz="8" w:space="0" w:color="000000"/>
            </w:tcBorders>
            <w:tcMar>
              <w:top w:w="0" w:type="dxa"/>
              <w:left w:w="0" w:type="dxa"/>
              <w:bottom w:w="31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Annual Cash Incentive Tied to Financial Metrics</w:t>
            </w:r>
          </w:p>
        </w:tc>
        <w:tc>
          <w:tcPr>
            <w:tcW w:w="5147" w:type="dxa"/>
            <w:tcBorders>
              <w:bottom w:val="single" w:sz="8" w:space="0" w:color="000000"/>
              <w:right w:val="single" w:sz="8" w:space="0" w:color="000000"/>
            </w:tcBorders>
            <w:tcMar>
              <w:top w:w="0" w:type="dxa"/>
              <w:left w:w="0" w:type="dxa"/>
              <w:bottom w:w="196" w:type="dxa"/>
              <w:right w:w="10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Performance-based cash incentives under our annual incentive plan are designed to motivate our employees to work towards achieving our key annual adjusted title revenue and adjusted pre-tax title margin goals.</w:t>
            </w:r>
          </w:p>
        </w:tc>
      </w:tr>
      <w:tr>
        <w:trPr/>
        <w:tc>
          <w:tcPr>
            <w:tcW w:w="2671" w:type="dxa"/>
            <w:tcBorders>
              <w:left w:val="single" w:sz="8" w:space="0" w:color="000000"/>
              <w:bottom w:val="single" w:sz="8" w:space="0" w:color="000000"/>
              <w:right w:val="single" w:sz="8" w:space="0" w:color="000000"/>
            </w:tcBorders>
            <w:tcMar>
              <w:top w:w="0" w:type="dxa"/>
              <w:bottom w:w="410" w:type="dxa"/>
            </w:tcMar>
            <w:vAlign w:val="center"/>
          </w:tcPr>
          <w:p>
            <w:pPr>
              <w:pStyle w:val="TableContents"/>
              <w:bidi w:val="0"/>
              <w:spacing w:before="0" w:after="283"/>
              <w:jc w:val="left"/>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Long-term Equity Incentives</w:t>
            </w:r>
          </w:p>
        </w:tc>
        <w:tc>
          <w:tcPr>
            <w:tcW w:w="2387" w:type="dxa"/>
            <w:tcBorders>
              <w:bottom w:val="single" w:sz="8" w:space="0" w:color="000000"/>
              <w:right w:val="single" w:sz="8" w:space="0" w:color="000000"/>
            </w:tcBorders>
            <w:tcMar>
              <w:top w:w="0" w:type="dxa"/>
              <w:left w:w="0" w:type="dxa"/>
              <w:bottom w:w="195" w:type="dxa"/>
              <w:right w:w="324"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Performance-based Restricted Stock Tied to Financial Metrics</w:t>
            </w:r>
          </w:p>
        </w:tc>
        <w:tc>
          <w:tcPr>
            <w:tcW w:w="5147" w:type="dxa"/>
            <w:tcBorders>
              <w:bottom w:val="single" w:sz="8" w:space="0" w:color="000000"/>
              <w:right w:val="single" w:sz="8" w:space="0" w:color="000000"/>
            </w:tcBorders>
            <w:tcMar>
              <w:top w:w="0" w:type="dxa"/>
              <w:left w:w="0" w:type="dxa"/>
              <w:bottom w:w="85" w:type="dxa"/>
              <w:right w:w="10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Performance-based restricted stock helps to tie our named executive officers’ long-term financial interests to our adjusted pre-tax title margin and to the long-term financial interests of our shareholders, as well as to retain key executives through a three-year vesting period and maintain a market competitive position for total compensation.</w:t>
            </w:r>
          </w:p>
        </w:tc>
      </w:tr>
      <w:tr>
        <w:trPr/>
        <w:tc>
          <w:tcPr>
            <w:tcW w:w="2671" w:type="dxa"/>
            <w:tcBorders>
              <w:left w:val="single" w:sz="8" w:space="0" w:color="000000"/>
              <w:bottom w:val="single" w:sz="8" w:space="0" w:color="000000"/>
              <w:right w:val="single" w:sz="8" w:space="0" w:color="000000"/>
            </w:tcBorders>
            <w:tcMar>
              <w:top w:w="0" w:type="dxa"/>
              <w:bottom w:w="525" w:type="dxa"/>
            </w:tcMar>
            <w:vAlign w:val="center"/>
          </w:tcPr>
          <w:p>
            <w:pPr>
              <w:pStyle w:val="TableContents"/>
              <w:bidi w:val="0"/>
              <w:spacing w:before="0" w:after="283"/>
              <w:jc w:val="left"/>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Benefits &amp; Other</w:t>
            </w:r>
          </w:p>
        </w:tc>
        <w:tc>
          <w:tcPr>
            <w:tcW w:w="2387" w:type="dxa"/>
            <w:tcBorders>
              <w:bottom w:val="single" w:sz="8" w:space="0" w:color="000000"/>
              <w:right w:val="single" w:sz="8" w:space="0" w:color="000000"/>
            </w:tcBorders>
            <w:tcMar>
              <w:top w:w="0" w:type="dxa"/>
              <w:left w:w="0" w:type="dxa"/>
              <w:bottom w:w="310" w:type="dxa"/>
              <w:right w:w="216"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ESPP, 401(k) Plan, health insurance and other benefits</w:t>
            </w:r>
          </w:p>
        </w:tc>
        <w:tc>
          <w:tcPr>
            <w:tcW w:w="5147" w:type="dxa"/>
            <w:tcBorders>
              <w:bottom w:val="single" w:sz="8" w:space="0" w:color="000000"/>
              <w:right w:val="single" w:sz="8" w:space="0" w:color="000000"/>
            </w:tcBorders>
            <w:tcMar>
              <w:top w:w="0" w:type="dxa"/>
              <w:left w:w="0" w:type="dxa"/>
              <w:bottom w:w="197" w:type="dxa"/>
              <w:right w:w="10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Our named executive officers’ benefits generally mirror our company-wide employee benefit programs. For security safety reasons and to make travel more efficient and productive for our named executive officers, they are eligible to travel on our corporate aircraft.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ALLOCATION OF TOTAL COMPENSATION FOR 2025</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both"/>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following chart and table show the average allocation of 2025 Total Compensation reported in the Summary Compensation Table among the components of our compensation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color w:val="274F78"/>
          <w:sz w:val="21"/>
        </w:rPr>
      </w:pPr>
      <w:r>
        <w:rPr>
          <w:rFonts w:ascii="Arial;Helvetica;Sans-Serif" w:hAnsi="Arial;Helvetica;Sans-Serif"/>
          <w:b/>
          <w:i w:val="false"/>
          <w:caps w:val="false"/>
          <w:smallCaps w:val="false"/>
          <w:color w:val="274F78"/>
          <w:sz w:val="21"/>
        </w:rPr>
        <w:t>NAMED EXECUTIVE OFFICERS’</w:t>
      </w:r>
    </w:p>
    <w:p>
      <w:pPr>
        <w:pStyle w:val="TextBody"/>
        <w:bidi w:val="0"/>
        <w:spacing w:before="0" w:after="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2025 Compensation Mix</w:t>
      </w:r>
    </w:p>
    <w:p>
      <w:pPr>
        <w:pStyle w:val="TextBody"/>
        <w:bidi w:val="0"/>
        <w:spacing w:before="0" w:after="0"/>
        <w:jc w:val="center"/>
        <w:rPr>
          <w:caps w:val="false"/>
          <w:smallCaps w:val="false"/>
          <w:color w:val="58595B"/>
        </w:rPr>
      </w:pPr>
      <w:r>
        <w:rPr>
          <w:caps w:val="false"/>
          <w:smallCaps w:val="false"/>
          <w:color w:val="58595B"/>
        </w:rPr>
        <w:t> </w:t>
      </w:r>
    </w:p>
    <w:p>
      <w:pPr>
        <w:pStyle w:val="TextBody"/>
        <w:bidi w:val="0"/>
        <w:spacing w:before="0" w:after="0"/>
        <w:jc w:val="center"/>
        <w:rPr>
          <w:caps w:val="false"/>
          <w:smallCaps w:val="false"/>
          <w:color w:val="58595B"/>
        </w:rPr>
      </w:pPr>
      <w:r>
        <w:rPr>
          <w:caps w:val="false"/>
          <w:smallCaps w:val="false"/>
          <w:color w:val="58595B"/>
        </w:rPr>
        <w:drawing>
          <wp:inline distT="0" distB="0" distL="0" distR="0">
            <wp:extent cx="1645920" cy="116586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10"/>
                    <a:stretch>
                      <a:fillRect/>
                    </a:stretch>
                  </pic:blipFill>
                  <pic:spPr bwMode="auto">
                    <a:xfrm>
                      <a:off x="0" y="0"/>
                      <a:ext cx="1645920" cy="1165860"/>
                    </a:xfrm>
                    <a:prstGeom prst="rect">
                      <a:avLst/>
                    </a:prstGeom>
                  </pic:spPr>
                </pic:pic>
              </a:graphicData>
            </a:graphic>
          </wp:inline>
        </w:drawing>
      </w:r>
    </w:p>
    <w:p>
      <w:pPr>
        <w:pStyle w:val="TextBody"/>
        <w:bidi w:val="0"/>
        <w:spacing w:before="0" w:after="0"/>
        <w:jc w:val="center"/>
        <w:rPr>
          <w:caps w:val="false"/>
          <w:smallCaps w:val="false"/>
          <w:color w:val="58595B"/>
        </w:rPr>
      </w:pPr>
      <w:r>
        <w:rPr>
          <w:caps w:val="false"/>
          <w:smallCaps w:val="false"/>
          <w:color w:val="58595B"/>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39</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color w:val="58595B"/>
        </w:rPr>
      </w:pPr>
      <w:r>
        <w:rPr>
          <w:caps w:val="false"/>
          <w:smallCaps w:val="false"/>
          <w:color w:val="58595B"/>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color w:val="58595B"/>
        </w:rPr>
      </w:pPr>
      <w:r>
        <w:rPr>
          <w:caps w:val="false"/>
          <w:smallCaps w:val="false"/>
          <w:color w:val="58595B"/>
        </w:rPr>
        <w:t> </w:t>
      </w:r>
    </w:p>
    <w:p>
      <w:pPr>
        <w:pStyle w:val="TextBody"/>
        <w:bidi w:val="0"/>
        <w:spacing w:before="0" w:after="0"/>
        <w:jc w:val="center"/>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2025 COMPENSATION MIX</w:t>
      </w:r>
    </w:p>
    <w:p>
      <w:pPr>
        <w:pStyle w:val="TextBody"/>
        <w:bidi w:val="0"/>
        <w:spacing w:before="0" w:after="0"/>
        <w:ind w:left="0" w:right="0" w:hanging="0"/>
        <w:jc w:val="left"/>
        <w:rPr>
          <w:caps w:val="false"/>
          <w:smallCaps w:val="false"/>
        </w:rPr>
      </w:pPr>
      <w:r>
        <w:rPr>
          <w:caps w:val="false"/>
          <w:smallCaps w:val="false"/>
        </w:rPr>
        <w:t> </w:t>
      </w:r>
    </w:p>
    <w:tbl>
      <w:tblPr>
        <w:tblW w:w="8495" w:type="dxa"/>
        <w:jc w:val="left"/>
        <w:tblInd w:w="0" w:type="dxa"/>
        <w:tblLayout w:type="fixed"/>
        <w:tblCellMar>
          <w:top w:w="0" w:type="dxa"/>
          <w:left w:w="0" w:type="dxa"/>
          <w:bottom w:w="120" w:type="dxa"/>
          <w:right w:w="80" w:type="dxa"/>
        </w:tblCellMar>
      </w:tblPr>
      <w:tblGrid>
        <w:gridCol w:w="1640"/>
        <w:gridCol w:w="635"/>
        <w:gridCol w:w="995"/>
        <w:gridCol w:w="1355"/>
        <w:gridCol w:w="1025"/>
        <w:gridCol w:w="1400"/>
        <w:gridCol w:w="1445"/>
      </w:tblGrid>
      <w:tr>
        <w:trPr/>
        <w:tc>
          <w:tcPr>
            <w:tcW w:w="1640" w:type="dxa"/>
            <w:tcBorders>
              <w:bottom w:val="single" w:sz="8" w:space="0" w:color="000000"/>
              <w:right w:val="single" w:sz="8" w:space="0" w:color="000000"/>
            </w:tcBorders>
            <w:vAlign w:val="center"/>
          </w:tcPr>
          <w:p>
            <w:pPr>
              <w:pStyle w:val="TableContents"/>
              <w:bidi w:val="0"/>
              <w:spacing w:before="0" w:after="283"/>
              <w:jc w:val="center"/>
              <w:rPr>
                <w:caps w:val="false"/>
                <w:smallCaps w:val="false"/>
                <w:color w:val="000000"/>
              </w:rPr>
            </w:pPr>
            <w:r>
              <w:rPr>
                <w:caps w:val="false"/>
                <w:smallCaps w:val="false"/>
                <w:color w:val="000000"/>
              </w:rPr>
              <w:t> </w:t>
            </w:r>
          </w:p>
        </w:tc>
        <w:tc>
          <w:tcPr>
            <w:tcW w:w="635" w:type="dxa"/>
            <w:tcBorders>
              <w:top w:val="single" w:sz="8" w:space="0" w:color="000000"/>
              <w:bottom w:val="single" w:sz="8" w:space="0" w:color="000000"/>
              <w:right w:val="single" w:sz="12" w:space="0" w:color="FFFFFF"/>
            </w:tcBorders>
            <w:shd w:fill="234E77" w:val="clear"/>
            <w:tcMar>
              <w:top w:w="50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Salary</w:t>
            </w:r>
          </w:p>
        </w:tc>
        <w:tc>
          <w:tcPr>
            <w:tcW w:w="995" w:type="dxa"/>
            <w:tcBorders>
              <w:top w:val="single" w:sz="8" w:space="0" w:color="000000"/>
              <w:bottom w:val="single" w:sz="8" w:space="0" w:color="000000"/>
              <w:right w:val="single" w:sz="12" w:space="0" w:color="FFFFFF"/>
            </w:tcBorders>
            <w:shd w:fill="234E77" w:val="clear"/>
            <w:tcMar>
              <w:top w:w="50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 xml:space="preserve">Annual </w:t>
              <w:br/>
              <w:t xml:space="preserve">Cash </w:t>
              <w:br/>
              <w:t>Incentives</w:t>
            </w:r>
          </w:p>
        </w:tc>
        <w:tc>
          <w:tcPr>
            <w:tcW w:w="1355" w:type="dxa"/>
            <w:tcBorders>
              <w:top w:val="single" w:sz="8" w:space="0" w:color="000000"/>
              <w:bottom w:val="single" w:sz="8" w:space="0" w:color="000000"/>
              <w:right w:val="single" w:sz="12" w:space="0" w:color="FFFFFF"/>
            </w:tcBorders>
            <w:shd w:fill="234E77" w:val="clear"/>
            <w:tcMar>
              <w:top w:w="50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20"/>
              </w:rPr>
              <w:t xml:space="preserve">Performance- </w:t>
            </w:r>
            <w:r>
              <w:rPr>
                <w:rFonts w:ascii="Arial;Helvetica;Sans-Serif" w:hAnsi="Arial;Helvetica;Sans-Serif"/>
                <w:b w:val="false"/>
                <w:i w:val="false"/>
                <w:caps w:val="false"/>
                <w:smallCaps w:val="false"/>
                <w:color w:val="000000"/>
                <w:sz w:val="20"/>
              </w:rPr>
              <w:br/>
            </w:r>
            <w:r>
              <w:rPr>
                <w:rFonts w:ascii="Arial;Helvetica;Sans-Serif" w:hAnsi="Arial;Helvetica;Sans-Serif"/>
                <w:b/>
                <w:i w:val="false"/>
                <w:caps w:val="false"/>
                <w:smallCaps w:val="false"/>
                <w:color w:val="FFFFFF"/>
                <w:sz w:val="20"/>
              </w:rPr>
              <w:t xml:space="preserve">based </w:t>
              <w:br/>
              <w:t xml:space="preserve">Restricted </w:t>
              <w:br/>
              <w:t>Stock</w:t>
            </w:r>
          </w:p>
        </w:tc>
        <w:tc>
          <w:tcPr>
            <w:tcW w:w="1025" w:type="dxa"/>
            <w:tcBorders>
              <w:top w:val="single" w:sz="8" w:space="0" w:color="000000"/>
              <w:bottom w:val="single" w:sz="8" w:space="0" w:color="000000"/>
              <w:right w:val="single" w:sz="12" w:space="0" w:color="FFFFFF"/>
            </w:tcBorders>
            <w:shd w:fill="234E77" w:val="clear"/>
            <w:tcMar>
              <w:top w:w="50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20"/>
              </w:rPr>
              <w:t>Benefits</w:t>
              <w:br/>
              <w:t>and Other</w:t>
            </w:r>
            <w:r>
              <w:rPr>
                <w:rFonts w:ascii="Arial;Helvetica;Sans-Serif" w:hAnsi="Arial;Helvetica;Sans-Serif"/>
                <w:b w:val="false"/>
                <w:i w:val="false"/>
                <w:caps w:val="false"/>
                <w:smallCaps w:val="false"/>
                <w:sz w:val="20"/>
              </w:rPr>
              <w:t xml:space="preserve"> </w:t>
            </w:r>
          </w:p>
        </w:tc>
        <w:tc>
          <w:tcPr>
            <w:tcW w:w="1400" w:type="dxa"/>
            <w:tcBorders>
              <w:top w:val="single" w:sz="8" w:space="0" w:color="000000"/>
              <w:bottom w:val="single" w:sz="8" w:space="0" w:color="000000"/>
              <w:right w:val="single" w:sz="12" w:space="0" w:color="FFFFFF"/>
            </w:tcBorders>
            <w:shd w:fill="234E77" w:val="clear"/>
            <w:tcMar>
              <w:top w:w="500" w:type="dxa"/>
            </w:tcMar>
            <w:vAlign w:val="center"/>
          </w:tcPr>
          <w:p>
            <w:pPr>
              <w:pStyle w:val="TableContents"/>
              <w:bidi w:val="0"/>
              <w:spacing w:before="0" w:after="0"/>
              <w:jc w:val="center"/>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Total</w:t>
            </w:r>
          </w:p>
          <w:p>
            <w:pPr>
              <w:pStyle w:val="TableContents"/>
              <w:bidi w:val="0"/>
              <w:spacing w:before="0" w:after="0"/>
              <w:jc w:val="center"/>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Compensation</w:t>
            </w:r>
          </w:p>
        </w:tc>
        <w:tc>
          <w:tcPr>
            <w:tcW w:w="1445" w:type="dxa"/>
            <w:tcBorders>
              <w:top w:val="single" w:sz="8" w:space="0" w:color="000000"/>
              <w:bottom w:val="single" w:sz="8" w:space="0" w:color="000000"/>
              <w:right w:val="single" w:sz="8" w:space="0" w:color="000000"/>
            </w:tcBorders>
            <w:shd w:fill="234E77" w:val="clear"/>
            <w:tcMar>
              <w:top w:w="500" w:type="dxa"/>
            </w:tcMar>
            <w:vAlign w:val="center"/>
          </w:tcPr>
          <w:p>
            <w:pPr>
              <w:pStyle w:val="TableContents"/>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20"/>
              </w:rPr>
              <w:t xml:space="preserve">Performance- </w:t>
            </w:r>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color w:val="FFFFFF"/>
                <w:sz w:val="20"/>
              </w:rPr>
              <w:t>based</w:t>
            </w:r>
          </w:p>
          <w:p>
            <w:pPr>
              <w:pStyle w:val="TableContents"/>
              <w:bidi w:val="0"/>
              <w:spacing w:before="0" w:after="0"/>
              <w:jc w:val="center"/>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Compensation</w:t>
            </w:r>
          </w:p>
        </w:tc>
      </w:tr>
      <w:tr>
        <w:trPr/>
        <w:tc>
          <w:tcPr>
            <w:tcW w:w="1640" w:type="dxa"/>
            <w:tcBorders>
              <w:left w:val="single" w:sz="8" w:space="0" w:color="333333"/>
              <w:bottom w:val="single" w:sz="8" w:space="0" w:color="000000"/>
              <w:right w:val="single" w:sz="8" w:space="0" w:color="333333"/>
            </w:tcBorders>
            <w:tcMar>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Michael J. Nolan</w:t>
            </w:r>
          </w:p>
        </w:tc>
        <w:tc>
          <w:tcPr>
            <w:tcW w:w="63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9.3%</w:t>
            </w:r>
          </w:p>
        </w:tc>
        <w:tc>
          <w:tcPr>
            <w:tcW w:w="99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37.8%</w:t>
            </w:r>
          </w:p>
        </w:tc>
        <w:tc>
          <w:tcPr>
            <w:tcW w:w="135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49.4%</w:t>
            </w:r>
          </w:p>
        </w:tc>
        <w:tc>
          <w:tcPr>
            <w:tcW w:w="102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3.5%</w:t>
            </w:r>
          </w:p>
        </w:tc>
        <w:tc>
          <w:tcPr>
            <w:tcW w:w="1400"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100%</w:t>
            </w:r>
          </w:p>
        </w:tc>
        <w:tc>
          <w:tcPr>
            <w:tcW w:w="144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87.2%</w:t>
            </w:r>
          </w:p>
        </w:tc>
      </w:tr>
      <w:tr>
        <w:trPr/>
        <w:tc>
          <w:tcPr>
            <w:tcW w:w="1640" w:type="dxa"/>
            <w:tcBorders>
              <w:left w:val="single" w:sz="8" w:space="0" w:color="333333"/>
              <w:bottom w:val="single" w:sz="8" w:space="0" w:color="000000"/>
              <w:right w:val="single" w:sz="8" w:space="0" w:color="333333"/>
            </w:tcBorders>
            <w:tcMar>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Raymond R. Quirk</w:t>
            </w:r>
          </w:p>
        </w:tc>
        <w:tc>
          <w:tcPr>
            <w:tcW w:w="63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9.4%</w:t>
            </w:r>
          </w:p>
        </w:tc>
        <w:tc>
          <w:tcPr>
            <w:tcW w:w="99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28.3%</w:t>
            </w:r>
          </w:p>
        </w:tc>
        <w:tc>
          <w:tcPr>
            <w:tcW w:w="135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54.9%</w:t>
            </w:r>
          </w:p>
        </w:tc>
        <w:tc>
          <w:tcPr>
            <w:tcW w:w="102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7.4%</w:t>
            </w:r>
          </w:p>
        </w:tc>
        <w:tc>
          <w:tcPr>
            <w:tcW w:w="1400"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100%</w:t>
            </w:r>
          </w:p>
        </w:tc>
        <w:tc>
          <w:tcPr>
            <w:tcW w:w="144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83.2%</w:t>
            </w:r>
          </w:p>
        </w:tc>
      </w:tr>
      <w:tr>
        <w:trPr/>
        <w:tc>
          <w:tcPr>
            <w:tcW w:w="1640" w:type="dxa"/>
            <w:tcBorders>
              <w:left w:val="single" w:sz="8" w:space="0" w:color="333333"/>
              <w:bottom w:val="single" w:sz="8" w:space="0" w:color="000000"/>
              <w:right w:val="single" w:sz="8" w:space="0" w:color="333333"/>
            </w:tcBorders>
            <w:tcMar>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Anthony J. Park</w:t>
            </w:r>
          </w:p>
        </w:tc>
        <w:tc>
          <w:tcPr>
            <w:tcW w:w="63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16.5%</w:t>
            </w:r>
          </w:p>
        </w:tc>
        <w:tc>
          <w:tcPr>
            <w:tcW w:w="99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41.8%</w:t>
            </w:r>
          </w:p>
        </w:tc>
        <w:tc>
          <w:tcPr>
            <w:tcW w:w="135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38.5%</w:t>
            </w:r>
          </w:p>
        </w:tc>
        <w:tc>
          <w:tcPr>
            <w:tcW w:w="102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3.2%</w:t>
            </w:r>
          </w:p>
        </w:tc>
        <w:tc>
          <w:tcPr>
            <w:tcW w:w="1400"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100%</w:t>
            </w:r>
          </w:p>
        </w:tc>
        <w:tc>
          <w:tcPr>
            <w:tcW w:w="144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80.3%</w:t>
            </w:r>
          </w:p>
        </w:tc>
      </w:tr>
      <w:tr>
        <w:trPr/>
        <w:tc>
          <w:tcPr>
            <w:tcW w:w="1640" w:type="dxa"/>
            <w:tcBorders>
              <w:left w:val="single" w:sz="8" w:space="0" w:color="333333"/>
              <w:bottom w:val="single" w:sz="8" w:space="0" w:color="000000"/>
              <w:right w:val="single" w:sz="8" w:space="0" w:color="333333"/>
            </w:tcBorders>
            <w:tcMar>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Peter T. Sadowski</w:t>
            </w:r>
          </w:p>
        </w:tc>
        <w:tc>
          <w:tcPr>
            <w:tcW w:w="63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17.1%</w:t>
            </w:r>
          </w:p>
        </w:tc>
        <w:tc>
          <w:tcPr>
            <w:tcW w:w="99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36.1%</w:t>
            </w:r>
          </w:p>
        </w:tc>
        <w:tc>
          <w:tcPr>
            <w:tcW w:w="135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43.7%</w:t>
            </w:r>
          </w:p>
        </w:tc>
        <w:tc>
          <w:tcPr>
            <w:tcW w:w="102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3.1%</w:t>
            </w:r>
          </w:p>
        </w:tc>
        <w:tc>
          <w:tcPr>
            <w:tcW w:w="1400"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100%</w:t>
            </w:r>
          </w:p>
        </w:tc>
        <w:tc>
          <w:tcPr>
            <w:tcW w:w="144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79.8%</w:t>
            </w:r>
          </w:p>
        </w:tc>
      </w:tr>
      <w:tr>
        <w:trPr/>
        <w:tc>
          <w:tcPr>
            <w:tcW w:w="1640" w:type="dxa"/>
            <w:tcBorders>
              <w:left w:val="single" w:sz="8" w:space="0" w:color="333333"/>
              <w:bottom w:val="single" w:sz="8" w:space="0" w:color="000000"/>
              <w:right w:val="single" w:sz="8" w:space="0" w:color="333333"/>
            </w:tcBorders>
            <w:tcMar>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Michael L. Gravelle</w:t>
            </w:r>
          </w:p>
        </w:tc>
        <w:tc>
          <w:tcPr>
            <w:tcW w:w="63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14%</w:t>
            </w:r>
          </w:p>
        </w:tc>
        <w:tc>
          <w:tcPr>
            <w:tcW w:w="99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29.3%</w:t>
            </w:r>
          </w:p>
        </w:tc>
        <w:tc>
          <w:tcPr>
            <w:tcW w:w="135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53.9%</w:t>
            </w:r>
          </w:p>
        </w:tc>
        <w:tc>
          <w:tcPr>
            <w:tcW w:w="102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2.8%</w:t>
            </w:r>
          </w:p>
        </w:tc>
        <w:tc>
          <w:tcPr>
            <w:tcW w:w="1400"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100%</w:t>
            </w:r>
          </w:p>
        </w:tc>
        <w:tc>
          <w:tcPr>
            <w:tcW w:w="1445" w:type="dxa"/>
            <w:tcBorders>
              <w:bottom w:val="single" w:sz="8" w:space="0" w:color="000000"/>
              <w:right w:val="single" w:sz="8" w:space="0" w:color="333333"/>
            </w:tcBorders>
            <w:vAlign w:val="center"/>
          </w:tcPr>
          <w:p>
            <w:pPr>
              <w:pStyle w:val="TableContents"/>
              <w:bidi w:val="0"/>
              <w:spacing w:before="0" w:after="283"/>
              <w:jc w:val="center"/>
              <w:rPr>
                <w:rFonts w:ascii="Arial;Helvetica;Sans-Serif" w:hAnsi="Arial;Helvetica;Sans-Serif"/>
                <w:color w:val="58595B"/>
                <w:sz w:val="19"/>
              </w:rPr>
            </w:pPr>
            <w:r>
              <w:rPr>
                <w:rFonts w:ascii="Arial;Helvetica;Sans-Serif" w:hAnsi="Arial;Helvetica;Sans-Serif"/>
                <w:color w:val="58595B"/>
                <w:sz w:val="19"/>
              </w:rPr>
              <w:t>83.2%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As illustrated above, more than 79% of each named executive officer's total compensation is based on performance-based cash and equity incentives that are tied to our financial performance and stock price.</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both"/>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compensation committee believes this emphasis on performance-based incentive compensation is an effective way to use compensation to help us achieve our business objectives while directly aligning our executive officers' interests with the interests of our shareholders.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ANALYSIS OF COMPENSATION COMPONENTS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8A9DBB"/>
          <w:sz w:val="24"/>
        </w:rPr>
      </w:pPr>
      <w:r>
        <w:rPr>
          <w:rFonts w:ascii="Arial;Helvetica;Sans-Serif" w:hAnsi="Arial;Helvetica;Sans-Serif"/>
          <w:b/>
          <w:i w:val="false"/>
          <w:caps w:val="false"/>
          <w:smallCaps w:val="false"/>
          <w:color w:val="8A9DBB"/>
          <w:sz w:val="24"/>
        </w:rPr>
        <w:t>BASE SALARY</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compensation committee typically reviews salary levels annually as part of our performance review process, as well as in the event of promotions or other changes in our named executive officers' positions or responsibilities. When establishing base salary levels, our compensation committee considers the peer compensation data provided by its external independent compensation consultant, as well as a number of qualitative factors, including each named executive officer's experience, knowledge, skills, level of responsibility and performance. The compensation committee reviews these factors each year and, rather than providing a merit increase to executives each year, increases our executives' base salaries only in years when the committee determines that such an increase is warranted.</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February 2025, our compensation committee reviewed market-based compensation for our named executive officers provided by Strategic Compensation Group LLC (SCG), our compensation committee's independent compensation consultant. Our compensation committee increased Mr. Nolan's base salary by $100,000, Mr. Park's base salary by $75,000, and Mr. Sadowski's base salary by $30,000, effective as of February 19, 2025, in light of market-based data and their skills and expertise. Messrs. Quirk's and Gravelle's base salaries did not change.</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40</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8A9DBB"/>
          <w:sz w:val="24"/>
        </w:rPr>
      </w:pPr>
      <w:r>
        <w:rPr>
          <w:rFonts w:ascii="Arial;Helvetica;Sans-Serif" w:hAnsi="Arial;Helvetica;Sans-Serif"/>
          <w:b/>
          <w:i w:val="false"/>
          <w:caps w:val="false"/>
          <w:smallCaps w:val="false"/>
          <w:color w:val="8A9DBB"/>
          <w:sz w:val="24"/>
        </w:rPr>
        <w:t>ANNUAL PERFORMANCE-BASED CASH INCENTIVES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award annual cash incentives based upon the achievement of pre-defined business and financial objectives relating to our title operations, which are specified in the first quarter of the year. Annual incentives play an important role in our approach to total compensation, as they motivate participants to achieve key fiscal year objectives by conditioning the payment of incentives on the achievement of defined, objectively determinable financial performance goals.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In April 2025, our compensation committee approved our fiscal year business performance objectives and a target incentive opportunity for each participant, as well as the potential incentive opportunity range for maximum and threshold performance. No annual incentive payments are payable to a named executive officer if the pre-established, threshold performance levels are not met, and payments are capped at a maximum performance payout level. The financial performance results are derived from our annual financial statements (as reported in our Annual Report on Form 10-K filed with the SEC), which are subject to an audit by our independent registered public accounting firm, Ernst &amp; Young LLP. However, as discussed below, the financial measures used as performance targets for our annual cash incentives for our named executive officers differ from the comparable GAAP measures reported in our financial statements. Below, we explain how we calculate the performance measures of our annual cash incentives.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target opportunities of our annual cash incentives are expressed as a percentage of the individual's base salary. In 2025, our compensation committee reviewed market incentive compensation for our named executive officers and increased Messrs. Nolan's and Park's target opportunities by 10% to 200% and 125%, respectively, in light of market-based data and their skills and expertise.</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amount of the annual cash incentives actually paid depends on the level of achievement of the pre-established goals as follows:</w:t>
      </w:r>
    </w:p>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68"/>
        <w:gridCol w:w="140"/>
        <w:gridCol w:w="720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sz w:val="22"/>
              </w:rPr>
            </w:pPr>
            <w:r>
              <w:rPr>
                <w:sz w:val="22"/>
              </w:rPr>
              <w:t xml:space="preserve">If threshold level of performance is not achieved, no incentive will be paid.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2"/>
              </w:rPr>
            </w:pPr>
            <w:r>
              <w:rPr>
                <w:sz w:val="22"/>
              </w:rPr>
              <w:t xml:space="preserve">If threshold level of performance is achieved, the incentive payout will equal 50% of a named executive officer's target incentive opportunity.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2"/>
              </w:rPr>
            </w:pPr>
            <w:r>
              <w:rPr>
                <w:sz w:val="22"/>
              </w:rPr>
              <w:t xml:space="preserve">If target level of performance is achieved, the incentive payout will equal 100% of a named executive officer's target incentive opportunity.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2"/>
              </w:rPr>
            </w:pPr>
            <w:r>
              <w:rPr>
                <w:sz w:val="22"/>
              </w:rPr>
              <w:t xml:space="preserve">If maximum level of performance is achieved, the incentive payout will equal 200% of a named executive officer's target incentive opportunity. </w:t>
            </w:r>
          </w:p>
        </w:tc>
      </w:tr>
    </w:tbl>
    <w:p>
      <w:pPr>
        <w:pStyle w:val="TextBody"/>
        <w:bidi w:val="0"/>
        <w:spacing w:before="0" w:after="0"/>
        <w:ind w:left="0" w:right="0" w:hanging="0"/>
        <w:jc w:val="left"/>
        <w:rPr>
          <w:caps w:val="false"/>
          <w:smallCaps w:val="false"/>
        </w:rPr>
      </w:pPr>
      <w:r>
        <w:rPr>
          <w:caps w:val="false"/>
          <w:smallCaps w:val="false"/>
        </w:rPr>
        <w:t> </w:t>
      </w:r>
    </w:p>
    <w:tbl>
      <w:tblPr>
        <w:tblW w:w="7998" w:type="dxa"/>
        <w:jc w:val="left"/>
        <w:tblInd w:w="0" w:type="dxa"/>
        <w:tblLayout w:type="fixed"/>
        <w:tblCellMar>
          <w:top w:w="0" w:type="dxa"/>
          <w:left w:w="0" w:type="dxa"/>
          <w:bottom w:w="0" w:type="dxa"/>
          <w:right w:w="0" w:type="dxa"/>
        </w:tblCellMar>
      </w:tblPr>
      <w:tblGrid>
        <w:gridCol w:w="68"/>
        <w:gridCol w:w="140"/>
        <w:gridCol w:w="779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sz w:val="22"/>
              </w:rPr>
            </w:pPr>
            <w:r>
              <w:rPr>
                <w:sz w:val="22"/>
              </w:rPr>
              <w:t xml:space="preserve">If performance falls between two levels, the incentive payout will be interpolated.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An important tenet of our pay-for-performance philosophy is to utilize our compensation programs to motivate our executives to achieve performance levels that reach beyond what is expected of us as a company. The performance targets for our incentive plans are approved by our compensation committee and are based on discussions between management and our compensation committee. Target performance levels are intended to be difficult to achieve, but not unrealistic. Maximum performance levels are established to limit short-term incentive awards so as to avoid excessive compensation while encouraging executives to reach for performance beyond the target levels.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When setting the performance targets for our 2025 annual cash incentives, our compensation committee considered the following factors, which are discussed in more detail below:</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41</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Our 2025 business plan, including our underlying assumptions relating to 2025 refinance volumes and residential purchase market projections following consideration of forecasts of the Mortgage Bankers Association (MBA) and Fannie Mae, projections for the national commercial market based upon forecasts by the Urban Land Institute, the interest rate environment, housing affordability, and recent and expected industry and company trends;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6753" w:type="dxa"/>
        <w:jc w:val="left"/>
        <w:tblInd w:w="0" w:type="dxa"/>
        <w:tblLayout w:type="fixed"/>
        <w:tblCellMar>
          <w:top w:w="0" w:type="dxa"/>
          <w:left w:w="0" w:type="dxa"/>
          <w:bottom w:w="0" w:type="dxa"/>
          <w:right w:w="0" w:type="dxa"/>
        </w:tblCellMar>
      </w:tblPr>
      <w:tblGrid>
        <w:gridCol w:w="68"/>
        <w:gridCol w:w="140"/>
        <w:gridCol w:w="654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2"/>
              </w:rPr>
            </w:pPr>
            <w:r>
              <w:rPr>
                <w:sz w:val="22"/>
              </w:rPr>
              <w:t xml:space="preserve">2025 performance targets as compared to 2024 performance results;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2"/>
              </w:rPr>
            </w:pPr>
            <w:r>
              <w:rPr>
                <w:sz w:val="22"/>
              </w:rPr>
              <w:t xml:space="preserve">Alignment of the 2025 performance targets with the investment community's published projections for us and our publicly-traded title company competitors; and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8778" w:type="dxa"/>
        <w:jc w:val="left"/>
        <w:tblInd w:w="0" w:type="dxa"/>
        <w:tblLayout w:type="fixed"/>
        <w:tblCellMar>
          <w:top w:w="0" w:type="dxa"/>
          <w:left w:w="0" w:type="dxa"/>
          <w:bottom w:w="0" w:type="dxa"/>
          <w:right w:w="0" w:type="dxa"/>
        </w:tblCellMar>
      </w:tblPr>
      <w:tblGrid>
        <w:gridCol w:w="68"/>
        <w:gridCol w:w="140"/>
        <w:gridCol w:w="857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8570" w:type="dxa"/>
            <w:tcBorders/>
            <w:vAlign w:val="center"/>
          </w:tcPr>
          <w:p>
            <w:pPr>
              <w:pStyle w:val="TableContents"/>
              <w:bidi w:val="0"/>
              <w:spacing w:before="0" w:after="283"/>
              <w:jc w:val="both"/>
              <w:rPr>
                <w:sz w:val="22"/>
              </w:rPr>
            </w:pPr>
            <w:r>
              <w:rPr>
                <w:sz w:val="22"/>
              </w:rPr>
              <w:t xml:space="preserve">The effect that achieving the performance targets would have on our growth and margins.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FNF Annual Incentive Performance Measures and Results.</w:t>
      </w:r>
      <w:r>
        <w:rPr>
          <w:rFonts w:ascii="Arial;Helvetica;Sans-Serif" w:hAnsi="Arial;Helvetica;Sans-Serif"/>
          <w:b w:val="false"/>
          <w:i w:val="false"/>
          <w:caps w:val="false"/>
          <w:smallCaps w:val="false"/>
          <w:sz w:val="22"/>
        </w:rPr>
        <w:t xml:space="preserve"> </w:t>
      </w:r>
      <w:r>
        <w:rPr>
          <w:rFonts w:ascii="Arial;Helvetica;Sans-Serif" w:hAnsi="Arial;Helvetica;Sans-Serif"/>
          <w:b w:val="false"/>
          <w:i w:val="false"/>
          <w:caps w:val="false"/>
          <w:smallCaps w:val="false"/>
          <w:color w:val="58595B"/>
          <w:sz w:val="22"/>
        </w:rPr>
        <w:t>The performance goals for our 2025 annual cash incentives were based on adjusted revenue and adjusted pre-tax profit margin, which we refer to as "adjusted pre-tax title margin," in each case relating to our title segment. We believe these two performance measures are among the most important measures to our investors of the financial performance of our business. Title revenue is a leading measure of growth, market share, customer satisfaction and product strength. Pre-tax margin relating to our title segment is a leading measure of operating performance and efficiency. Both measures are used by investors and analysts and can have a significant impact on long-term stock price and the investing community's expectations. Additionally, when combined with the strong focus on long-term shareholder return created by our equity-based incentives and our named executive officers' significant stock ownership, these two measures analyzed on an annual basis provide a degree of checks and balances, requiring our named executive officers to consider both short-term and long-term performance of our businesses and investments. Adjusted title revenue and adjusted pre-tax title margin correspond to our shareholders' expectations, the performance of our stock price, our annual budget, our long-term financial plan, and our board of directors' expectations. Further, both are measures that executives can directly affect.</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the following table, we explain how we calculate the performance measures and why we use them.</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42</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20" w:type="dxa"/>
          <w:left w:w="120" w:type="dxa"/>
          <w:bottom w:w="120" w:type="dxa"/>
          <w:right w:w="120" w:type="dxa"/>
        </w:tblCellMar>
      </w:tblPr>
      <w:tblGrid>
        <w:gridCol w:w="1339"/>
        <w:gridCol w:w="2928"/>
        <w:gridCol w:w="5938"/>
      </w:tblGrid>
      <w:tr>
        <w:trPr/>
        <w:tc>
          <w:tcPr>
            <w:tcW w:w="1339" w:type="dxa"/>
            <w:tcBorders>
              <w:top w:val="single" w:sz="8" w:space="0" w:color="000000"/>
              <w:left w:val="single" w:sz="8" w:space="0" w:color="000000"/>
              <w:bottom w:val="single" w:sz="8" w:space="0" w:color="000000"/>
              <w:right w:val="single" w:sz="12" w:space="0" w:color="FFFFFF"/>
            </w:tcBorders>
            <w:shd w:fill="234E77"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Performance</w:t>
              <w:br/>
              <w:t>Measure</w:t>
            </w:r>
          </w:p>
        </w:tc>
        <w:tc>
          <w:tcPr>
            <w:tcW w:w="2928" w:type="dxa"/>
            <w:tcBorders>
              <w:top w:val="single" w:sz="8" w:space="0" w:color="000000"/>
              <w:bottom w:val="single" w:sz="8" w:space="0" w:color="000000"/>
              <w:right w:val="single" w:sz="12" w:space="0" w:color="FFFFFF"/>
            </w:tcBorders>
            <w:shd w:fill="234E77" w:val="clear"/>
            <w:tcMar>
              <w:lef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How Performance Measures are Calculated</w:t>
            </w:r>
            <w:r>
              <w:rPr>
                <w:rFonts w:ascii="Arial;Helvetica;Sans-Serif" w:hAnsi="Arial;Helvetica;Sans-Serif"/>
                <w:b/>
                <w:i w:val="false"/>
                <w:caps w:val="false"/>
                <w:smallCaps w:val="false"/>
                <w:color w:val="FFFFFF"/>
                <w:position w:val="7"/>
                <w:sz w:val="16"/>
                <w:sz w:val="20"/>
              </w:rPr>
              <w:t>1</w:t>
            </w:r>
          </w:p>
        </w:tc>
        <w:tc>
          <w:tcPr>
            <w:tcW w:w="5938" w:type="dxa"/>
            <w:tcBorders>
              <w:top w:val="single" w:sz="8" w:space="0" w:color="000000"/>
              <w:bottom w:val="single" w:sz="8" w:space="0" w:color="000000"/>
              <w:right w:val="single" w:sz="8" w:space="0" w:color="000000"/>
            </w:tcBorders>
            <w:shd w:fill="234E77" w:val="clear"/>
            <w:tcMar>
              <w:left w:w="0" w:type="dxa"/>
            </w:tcM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Reason for Use</w:t>
            </w:r>
          </w:p>
        </w:tc>
      </w:tr>
      <w:tr>
        <w:trPr/>
        <w:tc>
          <w:tcPr>
            <w:tcW w:w="133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Adjusted Title Revenue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92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Adjusted title revenue is based on GAAP revenue from our title segment as reported in our annual financial statements, excluding recognized gains and losses.</w:t>
            </w:r>
          </w:p>
        </w:tc>
        <w:tc>
          <w:tcPr>
            <w:tcW w:w="593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Adjusted title revenue is an important measure of our growth, our ability to satisfy and retain our clients, gain new clients and the effectiveness of our services and solutions. Adjusted title revenue is widely followed by investors and is reported in our quarterly earnings press releases.</w:t>
            </w:r>
          </w:p>
        </w:tc>
      </w:tr>
      <w:tr>
        <w:trPr/>
        <w:tc>
          <w:tcPr>
            <w:tcW w:w="133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Adjusted Pre-Tax Title Margin</w:t>
            </w:r>
          </w:p>
        </w:tc>
        <w:tc>
          <w:tcPr>
            <w:tcW w:w="292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Adjusted pre-tax title margin is determined by dividing the earnings before income taxes and non-controlling interests from our title segment, excluding recognized gains and losses, purchase accounting amortization and other unusual items, by total revenues of the title segment excluding recognized gains and losses.</w:t>
            </w:r>
          </w:p>
          <w:p>
            <w:pPr>
              <w:pStyle w:val="TableContents"/>
              <w:bidi w:val="0"/>
              <w:spacing w:before="0" w:after="0"/>
              <w:ind w:left="0" w:right="0" w:hanging="0"/>
              <w:jc w:val="left"/>
              <w:rPr>
                <w:caps w:val="false"/>
                <w:smallCaps w:val="false"/>
              </w:rPr>
            </w:pPr>
            <w:r>
              <w:rPr>
                <w:caps w:val="false"/>
                <w:smallCaps w:val="false"/>
              </w:rPr>
              <w:t> </w:t>
            </w:r>
          </w:p>
        </w:tc>
        <w:tc>
          <w:tcPr>
            <w:tcW w:w="593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Adjusted pre-tax title margin is a financial measure that is significantly influenced by the performance of our executives, promotes a focus on operational efficiency and cost management, aligns the executives’ short-term incentive opportunity with one of our key corporate growth objectives and is commonly used within the title industry. We believe maintaining strong margins is particularly important in a declining market. The exclusion of income taxes, non-controlling interests, recognized gains and losses, and purchase price amortization from the calculation of adjusted pre-tax title margin results in a measure that better reflects our continuing operations, which is more heavily influenced by the performance of our executives rather than ancillary market and economic factors. This measure is widely followed by investors and is reported in our quarterly earnings press releases.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9"/>
        <w:gridCol w:w="9978"/>
      </w:tblGrid>
      <w:tr>
        <w:trPr/>
        <w:tc>
          <w:tcPr>
            <w:tcW w:w="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16"/>
              </w:rPr>
            </w:pPr>
            <w:r>
              <w:rPr>
                <w:sz w:val="16"/>
              </w:rPr>
              <w:t>1.</w:t>
            </w:r>
          </w:p>
        </w:tc>
        <w:tc>
          <w:tcPr>
            <w:tcW w:w="9978" w:type="dxa"/>
            <w:tcBorders/>
            <w:vAlign w:val="center"/>
          </w:tcPr>
          <w:p>
            <w:pPr>
              <w:pStyle w:val="TableContents"/>
              <w:bidi w:val="0"/>
              <w:spacing w:before="0" w:after="283"/>
              <w:jc w:val="left"/>
              <w:rPr>
                <w:sz w:val="16"/>
              </w:rPr>
            </w:pPr>
            <w:r>
              <w:rPr>
                <w:sz w:val="16"/>
              </w:rPr>
              <w:t xml:space="preserve">The adjustments to title revenue and pre-tax title margin are intended to produce a performance measure that reflects the financial performance of our continuing operations, which is directly influenced by the performance of our executives, and to exclude the impact of external market and economic factors.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title insurance business is directly impacted by management's effectiveness in executing on our business strategy, and macro-economic factors such as mortgage interest rates, credit availability, job markets, economic growth, and changing demographics. Changes to mortgage interest rates, in particular, can have a significant impact on our title revenues and title margin. In setting the target Adjusted Title Revenue and Adjusted Pre-Tax Title Margin goals, the compensation committee looks to set goals that are difficult to achieve but not unrealistic. Because Adjusted Title Revenue is closely related to the level of real estate activity, which is not within management's control, the compensation committee heavily considers the expected trends and market conditions described above, which can fluctuate significantly from year to year, rather than looking to past years performance targets or results. In setting our Adjusted Pre-Tax Title Margin goal, the committee considers management's ability to operate our business efficiently and control expenses in light of both current market conditions, trends and expectations, as well as management's expertise and past performance in driving strong margins in that type of environment.</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annual incentive plan targets correlate with our annual strategic financial plans, which are developed in the first quarter based on our forecasted mortgage originations for the year and the relative mix of purchase versus refinance originations. In setting the threshold, target and maximum goals relating to the performance measures under our annual incentive plan, our compensation</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43</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committee considered management's expectations for 2025, which were based on a combination of forecasts provided by the MBA and the Urban Land Institute, anticipated changes in interest rates, as well as historical and expected market dynamics and industry and company trends. When we set our 2025 performance targets in April 2025, our assumptions included a decrease in residential purchase volumes of 5% with an expectation of continued home price appreciation and elevated interest rates, a decrease in residential refinance volumes of 4%, a volatile interest rate environment, and a 12% decrease in the commercial title insurance market. Our assumptions also included rising home prices making housing less affordable and other recent and expected industry and company trends. We prepare a base plan as well as upside and downside scenarios, which, taken together, form the strategic financial plan and the basis of the performance measure targets. To establish threshold and maximum goals, percentage adjustments were applied to the target goals.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light of the expected trends in refinance, residential purchase and commercial markets described above coupled with a continued elevated interest rate environment, which are outside of management's control, our compensation committee determined to set our 2025 title revenue target at $7.0 billion, which was 5% above our 2024 target of $6.65 billion and 9% below our 2024 result of $7.7 billion. The committee determined to set our 2025 adjusted pre-tax title margin performance target at 13.0% in order to drive continued strong operational efficiency and cost management. While the 2025 adjusted pre-tax title margin performance target was lower than our 2024 result of 15.1% due to continued uncertainty related to the market assumptions described above, it was in line with our 2024 target of 13.0% which was set at a time of similar uncertainty. The committee believed achievement of these targets would reflect strong performance by management in what was expected to be an extraordinarily challenging market environment.</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adjusted pre-tax title margin threshold and maximum goals were set at 250 basis points below and 250 basis points above the target, respectively, and title revenue threshold and maximum goals were set at 7.5% below and 7.5% above the target, respectively. Target performance levels are intended to be difficult to achieve, but not unrealistic. Maximum performance levels are established to limit short-term incentive awards so as to avoid excessive compensation while encouraging executives to reach for performance beyond the target levels. All of the goals are subject to review and approval by our compensation committee.</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When calculating adjusted title revenues and adjusted pre-tax title margin, we adjust for recognized gains and losses, purchase price amortization, and other unusual items. These adjustments encourage our executives to focus on achieving strong financial performance and efficient operation of our continuing businesses during the year to achieve the performance measures. The adjustments also ensure that our compensation committee is measuring management's performance at the end of the annual performance period consistently with our budget for that period so that the measures serve as barometers of management's performance in satisfying and retaining our clients, obtaining new clients, and operating the business efficiently. The adjustments also encourage our executives to focus on the long-term benefit and strategic fit of acquisitions or divestitures regardless of whether they may have a positive or negative impact on our adjusted revenue or pre-tax title margin in the current year.</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2025 adjusted revenue and adjusted title margin results both exceeded expectations and continued to lead the industry due to our continued focus on managing expenses, aggressive recruiting, and adjusting headcount in line with opened order trends. Our executives' performance</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44</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directly impacted our ability to effectively manage our business in response to each of these factors and deliver strong results for our shareholders.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following charts set forth the 2025 threshold, target and maximum performance goals, the relative weighting of the performance measures, and 2025 performance results under our annual incentive plan, which resulted in a combined payout factor of 200%. Dollar amounts are in millions.</w:t>
      </w:r>
    </w:p>
    <w:p>
      <w:pPr>
        <w:pStyle w:val="TextBody"/>
        <w:bidi w:val="0"/>
        <w:spacing w:before="0" w:after="0"/>
        <w:ind w:left="0" w:right="0" w:hanging="0"/>
        <w:jc w:val="left"/>
        <w:rPr>
          <w:caps w:val="false"/>
          <w:smallCaps w:val="false"/>
        </w:rPr>
      </w:pPr>
      <w:r>
        <w:rPr>
          <w:caps w:val="false"/>
          <w:smallCaps w:val="false"/>
        </w:rPr>
        <w:t> </w:t>
      </w:r>
    </w:p>
    <w:tbl>
      <w:tblPr>
        <w:tblW w:w="6575" w:type="dxa"/>
        <w:jc w:val="left"/>
        <w:tblInd w:w="-10" w:type="dxa"/>
        <w:tblLayout w:type="fixed"/>
        <w:tblCellMar>
          <w:top w:w="192" w:type="dxa"/>
          <w:left w:w="96" w:type="dxa"/>
          <w:bottom w:w="131" w:type="dxa"/>
          <w:right w:w="28" w:type="dxa"/>
        </w:tblCellMar>
      </w:tblPr>
      <w:tblGrid>
        <w:gridCol w:w="2075"/>
        <w:gridCol w:w="635"/>
        <w:gridCol w:w="905"/>
        <w:gridCol w:w="620"/>
        <w:gridCol w:w="890"/>
        <w:gridCol w:w="710"/>
        <w:gridCol w:w="740"/>
      </w:tblGrid>
      <w:tr>
        <w:trPr/>
        <w:tc>
          <w:tcPr>
            <w:tcW w:w="2075" w:type="dxa"/>
            <w:tcBorders>
              <w:top w:val="single" w:sz="8" w:space="0" w:color="000000"/>
              <w:left w:val="single" w:sz="8" w:space="0" w:color="000000"/>
              <w:bottom w:val="single" w:sz="8" w:space="0" w:color="000000"/>
              <w:right w:val="single" w:sz="12" w:space="0" w:color="FFFFFF"/>
            </w:tcBorders>
            <w:shd w:fill="234E77"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Performance Metric</w:t>
            </w:r>
          </w:p>
        </w:tc>
        <w:tc>
          <w:tcPr>
            <w:tcW w:w="635" w:type="dxa"/>
            <w:tcBorders>
              <w:top w:val="single" w:sz="8" w:space="0" w:color="000000"/>
              <w:bottom w:val="single" w:sz="8" w:space="0" w:color="000000"/>
              <w:right w:val="single" w:sz="12" w:space="0" w:color="FFFFFF"/>
            </w:tcBorders>
            <w:shd w:fill="234E77" w:val="clear"/>
            <w:tcMar>
              <w:top w:w="200" w:type="dxa"/>
              <w:left w:w="0" w:type="dxa"/>
              <w:bottom w:w="142"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Weight</w:t>
            </w:r>
          </w:p>
        </w:tc>
        <w:tc>
          <w:tcPr>
            <w:tcW w:w="905" w:type="dxa"/>
            <w:tcBorders>
              <w:top w:val="single" w:sz="8" w:space="0" w:color="000000"/>
              <w:bottom w:val="single" w:sz="8" w:space="0" w:color="000000"/>
              <w:right w:val="single" w:sz="12" w:space="0" w:color="FFFFFF"/>
            </w:tcBorders>
            <w:shd w:fill="234E77" w:val="clear"/>
            <w:tcMar>
              <w:top w:w="200" w:type="dxa"/>
              <w:left w:w="0" w:type="dxa"/>
              <w:bottom w:w="142"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Threshold</w:t>
            </w:r>
          </w:p>
        </w:tc>
        <w:tc>
          <w:tcPr>
            <w:tcW w:w="620" w:type="dxa"/>
            <w:tcBorders>
              <w:top w:val="single" w:sz="8" w:space="0" w:color="000000"/>
              <w:bottom w:val="single" w:sz="8" w:space="0" w:color="000000"/>
              <w:right w:val="single" w:sz="12" w:space="0" w:color="FFFFFF"/>
            </w:tcBorders>
            <w:shd w:fill="234E77" w:val="clear"/>
            <w:tcMar>
              <w:top w:w="200" w:type="dxa"/>
              <w:left w:w="0" w:type="dxa"/>
              <w:bottom w:w="142"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Target</w:t>
            </w:r>
          </w:p>
        </w:tc>
        <w:tc>
          <w:tcPr>
            <w:tcW w:w="890" w:type="dxa"/>
            <w:tcBorders>
              <w:top w:val="single" w:sz="8" w:space="0" w:color="000000"/>
              <w:bottom w:val="single" w:sz="8" w:space="0" w:color="000000"/>
              <w:right w:val="single" w:sz="12" w:space="0" w:color="FFFFFF"/>
            </w:tcBorders>
            <w:shd w:fill="234E77" w:val="clear"/>
            <w:tcMar>
              <w:top w:w="200" w:type="dxa"/>
              <w:left w:w="0" w:type="dxa"/>
              <w:bottom w:w="142"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Maximum</w:t>
            </w:r>
          </w:p>
        </w:tc>
        <w:tc>
          <w:tcPr>
            <w:tcW w:w="710" w:type="dxa"/>
            <w:tcBorders>
              <w:top w:val="single" w:sz="8" w:space="0" w:color="000000"/>
              <w:bottom w:val="single" w:sz="8" w:space="0" w:color="000000"/>
              <w:right w:val="single" w:sz="12" w:space="0" w:color="FFFFFF"/>
            </w:tcBorders>
            <w:shd w:fill="234E77" w:val="clear"/>
            <w:tcMar>
              <w:top w:w="200" w:type="dxa"/>
              <w:left w:w="0" w:type="dxa"/>
              <w:bottom w:w="142"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Results</w:t>
            </w:r>
          </w:p>
        </w:tc>
        <w:tc>
          <w:tcPr>
            <w:tcW w:w="740" w:type="dxa"/>
            <w:tcBorders>
              <w:top w:val="single" w:sz="8" w:space="0" w:color="000000"/>
              <w:bottom w:val="single" w:sz="8" w:space="0" w:color="000000"/>
              <w:right w:val="single" w:sz="8" w:space="0" w:color="000000"/>
            </w:tcBorders>
            <w:shd w:fill="234E77" w:val="clear"/>
            <w:tcMar>
              <w:top w:w="63" w:type="dxa"/>
              <w:left w:w="0" w:type="dxa"/>
              <w:bottom w:w="32"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 xml:space="preserve">Payout </w:t>
              <w:br/>
              <w:t>Factor</w:t>
            </w:r>
          </w:p>
        </w:tc>
      </w:tr>
      <w:tr>
        <w:trPr/>
        <w:tc>
          <w:tcPr>
            <w:tcW w:w="2075" w:type="dxa"/>
            <w:tcBorders>
              <w:left w:val="single" w:sz="8" w:space="0" w:color="000000"/>
              <w:bottom w:val="single" w:sz="8" w:space="0" w:color="000000"/>
              <w:right w:val="single" w:sz="8" w:space="0" w:color="000000"/>
            </w:tcBorders>
            <w:tcMar>
              <w:top w:w="0" w:type="dxa"/>
              <w:left w:w="108" w:type="dxa"/>
              <w:bottom w:w="57"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 xml:space="preserve">Adjusted Revenue </w:t>
              <w:br/>
            </w:r>
            <w:r>
              <w:rPr>
                <w:rFonts w:ascii="Arial;Helvetica;Sans-Serif" w:hAnsi="Arial;Helvetica;Sans-Serif"/>
                <w:b w:val="false"/>
                <w:i/>
                <w:caps w:val="false"/>
                <w:smallCaps w:val="false"/>
                <w:color w:val="58585A"/>
                <w:sz w:val="18"/>
              </w:rPr>
              <w:t>Title Segment</w:t>
            </w:r>
          </w:p>
        </w:tc>
        <w:tc>
          <w:tcPr>
            <w:tcW w:w="635" w:type="dxa"/>
            <w:tcBorders>
              <w:bottom w:val="single" w:sz="8" w:space="0" w:color="000000"/>
              <w:right w:val="single" w:sz="8" w:space="0" w:color="000000"/>
            </w:tcBorders>
            <w:tcMar>
              <w:top w:w="0" w:type="dxa"/>
              <w:left w:w="0" w:type="dxa"/>
              <w:bottom w:w="178"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25%</w:t>
            </w:r>
          </w:p>
        </w:tc>
        <w:tc>
          <w:tcPr>
            <w:tcW w:w="905" w:type="dxa"/>
            <w:tcBorders>
              <w:bottom w:val="single" w:sz="8" w:space="0" w:color="000000"/>
              <w:right w:val="single" w:sz="8" w:space="0" w:color="000000"/>
            </w:tcBorders>
            <w:tcMar>
              <w:top w:w="0" w:type="dxa"/>
              <w:left w:w="0" w:type="dxa"/>
              <w:bottom w:w="178"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$6,475</w:t>
            </w:r>
          </w:p>
        </w:tc>
        <w:tc>
          <w:tcPr>
            <w:tcW w:w="620" w:type="dxa"/>
            <w:tcBorders>
              <w:bottom w:val="single" w:sz="8" w:space="0" w:color="000000"/>
              <w:right w:val="single" w:sz="8" w:space="0" w:color="000000"/>
            </w:tcBorders>
            <w:tcMar>
              <w:top w:w="0" w:type="dxa"/>
              <w:left w:w="0" w:type="dxa"/>
              <w:bottom w:w="178"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$7,000</w:t>
            </w:r>
          </w:p>
        </w:tc>
        <w:tc>
          <w:tcPr>
            <w:tcW w:w="890" w:type="dxa"/>
            <w:tcBorders>
              <w:bottom w:val="single" w:sz="8" w:space="0" w:color="000000"/>
              <w:right w:val="single" w:sz="8" w:space="0" w:color="000000"/>
            </w:tcBorders>
            <w:tcMar>
              <w:top w:w="0" w:type="dxa"/>
              <w:left w:w="0" w:type="dxa"/>
              <w:bottom w:w="178"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$7,525</w:t>
            </w:r>
          </w:p>
        </w:tc>
        <w:tc>
          <w:tcPr>
            <w:tcW w:w="710" w:type="dxa"/>
            <w:tcBorders>
              <w:bottom w:val="single" w:sz="8" w:space="0" w:color="000000"/>
              <w:right w:val="single" w:sz="8" w:space="0" w:color="000000"/>
            </w:tcBorders>
            <w:tcMar>
              <w:top w:w="0" w:type="dxa"/>
              <w:left w:w="0" w:type="dxa"/>
              <w:bottom w:w="178"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$8,568</w:t>
            </w:r>
          </w:p>
        </w:tc>
        <w:tc>
          <w:tcPr>
            <w:tcW w:w="740" w:type="dxa"/>
            <w:tcBorders>
              <w:bottom w:val="single" w:sz="8" w:space="0" w:color="000000"/>
              <w:right w:val="single" w:sz="8" w:space="0" w:color="000000"/>
            </w:tcBorders>
            <w:tcMar>
              <w:top w:w="0" w:type="dxa"/>
              <w:left w:w="0" w:type="dxa"/>
              <w:bottom w:w="178"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200%</w:t>
            </w:r>
          </w:p>
        </w:tc>
      </w:tr>
      <w:tr>
        <w:trPr/>
        <w:tc>
          <w:tcPr>
            <w:tcW w:w="2075" w:type="dxa"/>
            <w:tcBorders>
              <w:left w:val="single" w:sz="8" w:space="0" w:color="000000"/>
              <w:bottom w:val="single" w:sz="8" w:space="0" w:color="000000"/>
              <w:right w:val="single" w:sz="8" w:space="0" w:color="000000"/>
            </w:tcBorders>
            <w:tcMar>
              <w:top w:w="0" w:type="dxa"/>
              <w:left w:w="108" w:type="dxa"/>
              <w:bottom w:w="71" w:type="dxa"/>
            </w:tcMar>
            <w:vAlign w:val="center"/>
          </w:tcPr>
          <w:p>
            <w:pPr>
              <w:pStyle w:val="TableContents"/>
              <w:bidi w:val="0"/>
              <w:spacing w:before="0" w:after="283"/>
              <w:jc w:val="left"/>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 xml:space="preserve">Adjusted Pre-tax Margin </w:t>
            </w:r>
            <w:r>
              <w:rPr>
                <w:rFonts w:ascii="Arial;Helvetica;Sans-Serif" w:hAnsi="Arial;Helvetica;Sans-Serif"/>
                <w:b w:val="false"/>
                <w:i/>
                <w:caps w:val="false"/>
                <w:smallCaps w:val="false"/>
                <w:color w:val="58585A"/>
                <w:sz w:val="18"/>
              </w:rPr>
              <w:br/>
              <w:t>Title Segment</w:t>
            </w:r>
          </w:p>
        </w:tc>
        <w:tc>
          <w:tcPr>
            <w:tcW w:w="635" w:type="dxa"/>
            <w:tcBorders>
              <w:bottom w:val="single" w:sz="8" w:space="0" w:color="000000"/>
              <w:right w:val="single" w:sz="8" w:space="0" w:color="000000"/>
            </w:tcBorders>
            <w:tcMar>
              <w:top w:w="0" w:type="dxa"/>
              <w:left w:w="0" w:type="dxa"/>
              <w:bottom w:w="188"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75%</w:t>
            </w:r>
          </w:p>
        </w:tc>
        <w:tc>
          <w:tcPr>
            <w:tcW w:w="905" w:type="dxa"/>
            <w:tcBorders>
              <w:bottom w:val="single" w:sz="8" w:space="0" w:color="000000"/>
              <w:right w:val="single" w:sz="8" w:space="0" w:color="000000"/>
            </w:tcBorders>
            <w:tcMar>
              <w:top w:w="0" w:type="dxa"/>
              <w:left w:w="0" w:type="dxa"/>
              <w:bottom w:w="188"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10.5%</w:t>
            </w:r>
          </w:p>
        </w:tc>
        <w:tc>
          <w:tcPr>
            <w:tcW w:w="620" w:type="dxa"/>
            <w:tcBorders>
              <w:bottom w:val="single" w:sz="8" w:space="0" w:color="000000"/>
              <w:right w:val="single" w:sz="8" w:space="0" w:color="000000"/>
            </w:tcBorders>
            <w:tcMar>
              <w:top w:w="0" w:type="dxa"/>
              <w:left w:w="0" w:type="dxa"/>
              <w:bottom w:w="188"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13%</w:t>
            </w:r>
          </w:p>
        </w:tc>
        <w:tc>
          <w:tcPr>
            <w:tcW w:w="890" w:type="dxa"/>
            <w:tcBorders>
              <w:bottom w:val="single" w:sz="8" w:space="0" w:color="000000"/>
              <w:right w:val="single" w:sz="8" w:space="0" w:color="000000"/>
            </w:tcBorders>
            <w:tcMar>
              <w:top w:w="0" w:type="dxa"/>
              <w:left w:w="0" w:type="dxa"/>
              <w:bottom w:w="188"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15.5%</w:t>
            </w:r>
          </w:p>
        </w:tc>
        <w:tc>
          <w:tcPr>
            <w:tcW w:w="710" w:type="dxa"/>
            <w:tcBorders>
              <w:bottom w:val="single" w:sz="8" w:space="0" w:color="000000"/>
              <w:right w:val="single" w:sz="8" w:space="0" w:color="000000"/>
            </w:tcBorders>
            <w:tcMar>
              <w:top w:w="0" w:type="dxa"/>
              <w:left w:w="0" w:type="dxa"/>
              <w:bottom w:w="188"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15.9%</w:t>
            </w:r>
          </w:p>
        </w:tc>
        <w:tc>
          <w:tcPr>
            <w:tcW w:w="740" w:type="dxa"/>
            <w:tcBorders>
              <w:bottom w:val="single" w:sz="8" w:space="0" w:color="000000"/>
              <w:right w:val="single" w:sz="8" w:space="0" w:color="000000"/>
            </w:tcBorders>
            <w:tcMar>
              <w:top w:w="0" w:type="dxa"/>
              <w:left w:w="0" w:type="dxa"/>
              <w:bottom w:w="188"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85A"/>
                <w:sz w:val="18"/>
              </w:rPr>
            </w:pPr>
            <w:r>
              <w:rPr>
                <w:rFonts w:ascii="Arial;Helvetica;Sans-Serif" w:hAnsi="Arial;Helvetica;Sans-Serif"/>
                <w:b w:val="false"/>
                <w:i w:val="false"/>
                <w:caps w:val="false"/>
                <w:smallCaps w:val="false"/>
                <w:color w:val="58585A"/>
                <w:sz w:val="18"/>
              </w:rPr>
              <w:t>200%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table below presents a reconciliation of our GAAP total revenue and pre-tax earnings to our adjusted revenue, adjusted pre-tax earnings and adjusted pre-tax margin for the title segment of the Company. Dollar amounts are in millions.</w:t>
      </w:r>
    </w:p>
    <w:p>
      <w:pPr>
        <w:pStyle w:val="TextBody"/>
        <w:bidi w:val="0"/>
        <w:spacing w:before="0" w:after="0"/>
        <w:ind w:left="0" w:right="0" w:hanging="0"/>
        <w:jc w:val="left"/>
        <w:rPr>
          <w:caps w:val="false"/>
          <w:smallCaps w:val="false"/>
        </w:rPr>
      </w:pPr>
      <w:r>
        <w:rPr>
          <w:caps w:val="false"/>
          <w:smallCaps w:val="false"/>
        </w:rPr>
        <w:t> </w:t>
      </w:r>
    </w:p>
    <w:tbl>
      <w:tblPr>
        <w:tblW w:w="6720" w:type="dxa"/>
        <w:jc w:val="left"/>
        <w:tblInd w:w="-10" w:type="dxa"/>
        <w:tblLayout w:type="fixed"/>
        <w:tblCellMar>
          <w:top w:w="100" w:type="dxa"/>
          <w:left w:w="120" w:type="dxa"/>
          <w:bottom w:w="0" w:type="dxa"/>
          <w:right w:w="120" w:type="dxa"/>
        </w:tblCellMar>
      </w:tblPr>
      <w:tblGrid>
        <w:gridCol w:w="3470"/>
        <w:gridCol w:w="725"/>
        <w:gridCol w:w="620"/>
        <w:gridCol w:w="620"/>
        <w:gridCol w:w="620"/>
        <w:gridCol w:w="665"/>
      </w:tblGrid>
      <w:tr>
        <w:trPr/>
        <w:tc>
          <w:tcPr>
            <w:tcW w:w="3470" w:type="dxa"/>
            <w:tcBorders>
              <w:top w:val="single" w:sz="8" w:space="0" w:color="333333"/>
              <w:left w:val="single" w:sz="8" w:space="0" w:color="333333"/>
              <w:right w:val="single" w:sz="12" w:space="0" w:color="FFFFFF"/>
            </w:tcBorders>
            <w:shd w:fill="234E77"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Twelve Months Ended December 31,</w:t>
            </w:r>
          </w:p>
        </w:tc>
        <w:tc>
          <w:tcPr>
            <w:tcW w:w="725" w:type="dxa"/>
            <w:tcBorders>
              <w:top w:val="single" w:sz="8" w:space="0" w:color="333333"/>
              <w:right w:val="single" w:sz="12" w:space="0" w:color="FFFFFF"/>
            </w:tcBorders>
            <w:shd w:fill="234E77"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2021</w:t>
            </w:r>
          </w:p>
        </w:tc>
        <w:tc>
          <w:tcPr>
            <w:tcW w:w="620" w:type="dxa"/>
            <w:tcBorders>
              <w:top w:val="single" w:sz="8" w:space="0" w:color="333333"/>
              <w:right w:val="single" w:sz="12" w:space="0" w:color="FFFFFF"/>
            </w:tcBorders>
            <w:shd w:fill="234E77"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2022</w:t>
            </w:r>
          </w:p>
        </w:tc>
        <w:tc>
          <w:tcPr>
            <w:tcW w:w="620" w:type="dxa"/>
            <w:tcBorders>
              <w:top w:val="single" w:sz="8" w:space="0" w:color="333333"/>
              <w:right w:val="single" w:sz="12" w:space="0" w:color="FFFFFF"/>
            </w:tcBorders>
            <w:shd w:fill="234E77"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2023</w:t>
            </w:r>
          </w:p>
        </w:tc>
        <w:tc>
          <w:tcPr>
            <w:tcW w:w="620" w:type="dxa"/>
            <w:tcBorders>
              <w:top w:val="single" w:sz="8" w:space="0" w:color="333333"/>
              <w:right w:val="single" w:sz="12" w:space="0" w:color="FFFFFF"/>
            </w:tcBorders>
            <w:shd w:fill="234E77"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2024</w:t>
            </w:r>
          </w:p>
        </w:tc>
        <w:tc>
          <w:tcPr>
            <w:tcW w:w="665" w:type="dxa"/>
            <w:tcBorders>
              <w:top w:val="single" w:sz="8" w:space="0" w:color="333333"/>
              <w:right w:val="single" w:sz="8" w:space="0" w:color="333333"/>
            </w:tcBorders>
            <w:shd w:fill="234E77"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2025</w:t>
            </w:r>
          </w:p>
        </w:tc>
      </w:tr>
      <w:tr>
        <w:trPr/>
        <w:tc>
          <w:tcPr>
            <w:tcW w:w="3470" w:type="dxa"/>
            <w:tcBorders>
              <w:left w:val="single" w:sz="8" w:space="0" w:color="333333"/>
              <w:bottom w:val="single" w:sz="8" w:space="0" w:color="000000"/>
              <w:right w:val="single" w:sz="8" w:space="0" w:color="333333"/>
            </w:tcBorders>
            <w:tcMar>
              <w:top w:w="0" w:type="dxa"/>
              <w:bottom w:w="100" w:type="dxa"/>
            </w:tcMar>
            <w:vAlign w:val="center"/>
          </w:tcPr>
          <w:p>
            <w:pPr>
              <w:pStyle w:val="TableContents"/>
              <w:bidi w:val="0"/>
              <w:spacing w:before="0" w:after="283"/>
              <w:jc w:val="left"/>
              <w:rPr>
                <w:rFonts w:ascii="Arial;Helvetica;Sans-Serif" w:hAnsi="Arial;Helvetica;Sans-Serif"/>
                <w:b/>
                <w:color w:val="58595B"/>
                <w:sz w:val="18"/>
              </w:rPr>
            </w:pPr>
            <w:r>
              <w:rPr>
                <w:rFonts w:ascii="Arial;Helvetica;Sans-Serif" w:hAnsi="Arial;Helvetica;Sans-Serif"/>
                <w:b/>
                <w:color w:val="58595B"/>
                <w:sz w:val="18"/>
              </w:rPr>
              <w:t>Total revenue</w:t>
            </w:r>
          </w:p>
        </w:tc>
        <w:tc>
          <w:tcPr>
            <w:tcW w:w="72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$11,497</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$9,106</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$7,038</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$7,702</w:t>
            </w:r>
          </w:p>
        </w:tc>
        <w:tc>
          <w:tcPr>
            <w:tcW w:w="66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$8,490</w:t>
            </w:r>
          </w:p>
        </w:tc>
      </w:tr>
      <w:tr>
        <w:trPr/>
        <w:tc>
          <w:tcPr>
            <w:tcW w:w="3470" w:type="dxa"/>
            <w:tcBorders>
              <w:left w:val="single" w:sz="8" w:space="0" w:color="333333"/>
              <w:bottom w:val="single" w:sz="8" w:space="0" w:color="000000"/>
              <w:right w:val="single" w:sz="8" w:space="0" w:color="333333"/>
            </w:tcBorders>
            <w:tcMar>
              <w:top w:w="0" w:type="dxa"/>
              <w:bottom w:w="100" w:type="dxa"/>
            </w:tcMar>
            <w:vAlign w:val="center"/>
          </w:tcPr>
          <w:p>
            <w:pPr>
              <w:pStyle w:val="TableContents"/>
              <w:bidi w:val="0"/>
              <w:spacing w:before="0" w:after="283"/>
              <w:jc w:val="left"/>
              <w:rPr>
                <w:rFonts w:ascii="Arial;Helvetica;Sans-Serif" w:hAnsi="Arial;Helvetica;Sans-Serif"/>
                <w:b/>
                <w:color w:val="58595B"/>
                <w:sz w:val="18"/>
              </w:rPr>
            </w:pPr>
            <w:r>
              <w:rPr>
                <w:rFonts w:ascii="Arial;Helvetica;Sans-Serif" w:hAnsi="Arial;Helvetica;Sans-Serif"/>
                <w:b/>
                <w:color w:val="58595B"/>
                <w:sz w:val="18"/>
              </w:rPr>
              <w:t>Pre-tax earnings</w:t>
            </w:r>
          </w:p>
        </w:tc>
        <w:tc>
          <w:tcPr>
            <w:tcW w:w="72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$2,136</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$1,090</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$883</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$1,096</w:t>
            </w:r>
          </w:p>
        </w:tc>
        <w:tc>
          <w:tcPr>
            <w:tcW w:w="66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$1,227</w:t>
            </w:r>
          </w:p>
        </w:tc>
      </w:tr>
      <w:tr>
        <w:trPr/>
        <w:tc>
          <w:tcPr>
            <w:tcW w:w="3470" w:type="dxa"/>
            <w:tcBorders>
              <w:left w:val="single" w:sz="8" w:space="0" w:color="333333"/>
              <w:bottom w:val="single" w:sz="8" w:space="0" w:color="000000"/>
            </w:tcBorders>
            <w:tcMar>
              <w:top w:w="0" w:type="dxa"/>
              <w:bottom w:w="100" w:type="dxa"/>
              <w:right w:w="0" w:type="dxa"/>
            </w:tcMar>
            <w:vAlign w:val="center"/>
          </w:tcPr>
          <w:p>
            <w:pPr>
              <w:pStyle w:val="TableContents"/>
              <w:bidi w:val="0"/>
              <w:spacing w:before="0" w:after="283"/>
              <w:jc w:val="left"/>
              <w:rPr>
                <w:rFonts w:ascii="Arial;Helvetica;Sans-Serif" w:hAnsi="Arial;Helvetica;Sans-Serif"/>
                <w:i/>
                <w:color w:val="58595B"/>
                <w:sz w:val="18"/>
              </w:rPr>
            </w:pPr>
            <w:r>
              <w:rPr>
                <w:rFonts w:ascii="Arial;Helvetica;Sans-Serif" w:hAnsi="Arial;Helvetica;Sans-Serif"/>
                <w:i/>
                <w:color w:val="58595B"/>
                <w:sz w:val="18"/>
              </w:rPr>
              <w:t>Non-GAAP adjustments before taxes</w:t>
            </w:r>
          </w:p>
        </w:tc>
        <w:tc>
          <w:tcPr>
            <w:tcW w:w="725" w:type="dxa"/>
            <w:tcBorders>
              <w:bottom w:val="single" w:sz="8" w:space="0" w:color="000000"/>
            </w:tcBorders>
            <w:tcMar>
              <w:top w:w="0" w:type="dxa"/>
              <w:left w:w="0" w:type="dxa"/>
              <w:bottom w:w="100" w:type="dxa"/>
              <w:right w:w="0" w:type="dxa"/>
            </w:tcMar>
            <w:vAlign w:val="center"/>
          </w:tcPr>
          <w:p>
            <w:pPr>
              <w:pStyle w:val="TableContents"/>
              <w:bidi w:val="0"/>
              <w:spacing w:before="0" w:after="283"/>
              <w:jc w:val="left"/>
              <w:rPr/>
            </w:pPr>
            <w:r>
              <w:rPr/>
              <w:t> </w:t>
            </w:r>
          </w:p>
        </w:tc>
        <w:tc>
          <w:tcPr>
            <w:tcW w:w="620" w:type="dxa"/>
            <w:tcBorders>
              <w:bottom w:val="single" w:sz="8" w:space="0" w:color="000000"/>
            </w:tcBorders>
            <w:tcMar>
              <w:top w:w="0" w:type="dxa"/>
              <w:left w:w="0" w:type="dxa"/>
              <w:bottom w:w="100" w:type="dxa"/>
              <w:right w:w="0" w:type="dxa"/>
            </w:tcMar>
            <w:vAlign w:val="center"/>
          </w:tcPr>
          <w:p>
            <w:pPr>
              <w:pStyle w:val="TableContents"/>
              <w:bidi w:val="0"/>
              <w:spacing w:before="0" w:after="283"/>
              <w:jc w:val="left"/>
              <w:rPr/>
            </w:pPr>
            <w:r>
              <w:rPr/>
              <w:t> </w:t>
            </w:r>
          </w:p>
        </w:tc>
        <w:tc>
          <w:tcPr>
            <w:tcW w:w="620" w:type="dxa"/>
            <w:tcBorders>
              <w:bottom w:val="single" w:sz="8" w:space="0" w:color="000000"/>
            </w:tcBorders>
            <w:tcMar>
              <w:top w:w="0" w:type="dxa"/>
              <w:left w:w="0" w:type="dxa"/>
              <w:bottom w:w="100" w:type="dxa"/>
              <w:right w:w="0" w:type="dxa"/>
            </w:tcMar>
            <w:vAlign w:val="center"/>
          </w:tcPr>
          <w:p>
            <w:pPr>
              <w:pStyle w:val="TableContents"/>
              <w:bidi w:val="0"/>
              <w:spacing w:before="0" w:after="283"/>
              <w:jc w:val="left"/>
              <w:rPr/>
            </w:pPr>
            <w:r>
              <w:rPr/>
              <w:t> </w:t>
            </w:r>
          </w:p>
        </w:tc>
        <w:tc>
          <w:tcPr>
            <w:tcW w:w="620" w:type="dxa"/>
            <w:tcBorders>
              <w:bottom w:val="single" w:sz="8" w:space="0" w:color="000000"/>
            </w:tcBorders>
            <w:tcMar>
              <w:top w:w="0" w:type="dxa"/>
              <w:left w:w="0" w:type="dxa"/>
              <w:bottom w:w="100" w:type="dxa"/>
              <w:right w:w="0" w:type="dxa"/>
            </w:tcMar>
            <w:vAlign w:val="center"/>
          </w:tcPr>
          <w:p>
            <w:pPr>
              <w:pStyle w:val="TableContents"/>
              <w:bidi w:val="0"/>
              <w:spacing w:before="0" w:after="283"/>
              <w:jc w:val="left"/>
              <w:rPr/>
            </w:pPr>
            <w:r>
              <w:rPr/>
              <w:t> </w:t>
            </w:r>
          </w:p>
        </w:tc>
        <w:tc>
          <w:tcPr>
            <w:tcW w:w="66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left"/>
              <w:rPr/>
            </w:pPr>
            <w:r>
              <w:rPr/>
              <w:t> </w:t>
            </w:r>
          </w:p>
        </w:tc>
      </w:tr>
      <w:tr>
        <w:trPr/>
        <w:tc>
          <w:tcPr>
            <w:tcW w:w="3470" w:type="dxa"/>
            <w:tcBorders>
              <w:left w:val="single" w:sz="8" w:space="0" w:color="333333"/>
              <w:bottom w:val="single" w:sz="8" w:space="0" w:color="000000"/>
              <w:right w:val="single" w:sz="8" w:space="0" w:color="333333"/>
            </w:tcBorders>
            <w:tcMar>
              <w:top w:w="0" w:type="dxa"/>
              <w:bottom w:w="100" w:type="dxa"/>
            </w:tcMar>
            <w:vAlign w:val="center"/>
          </w:tcPr>
          <w:p>
            <w:pPr>
              <w:pStyle w:val="TableContents"/>
              <w:bidi w:val="0"/>
              <w:spacing w:before="0" w:after="283"/>
              <w:jc w:val="left"/>
              <w:rPr>
                <w:rFonts w:ascii="Arial;Helvetica;Sans-Serif" w:hAnsi="Arial;Helvetica;Sans-Serif"/>
                <w:i/>
                <w:color w:val="58595B"/>
                <w:sz w:val="18"/>
              </w:rPr>
            </w:pPr>
            <w:r>
              <w:rPr>
                <w:rFonts w:ascii="Arial;Helvetica;Sans-Serif" w:hAnsi="Arial;Helvetica;Sans-Serif"/>
                <w:i/>
                <w:color w:val="58595B"/>
                <w:sz w:val="18"/>
              </w:rPr>
              <w:t>Recognized (gains) and losses, net</w:t>
            </w:r>
          </w:p>
        </w:tc>
        <w:tc>
          <w:tcPr>
            <w:tcW w:w="72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$393</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$443</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w:t>
            </w:r>
          </w:p>
        </w:tc>
        <w:tc>
          <w:tcPr>
            <w:tcW w:w="66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$78</w:t>
            </w:r>
          </w:p>
        </w:tc>
      </w:tr>
      <w:tr>
        <w:trPr/>
        <w:tc>
          <w:tcPr>
            <w:tcW w:w="3470" w:type="dxa"/>
            <w:tcBorders>
              <w:left w:val="single" w:sz="8" w:space="0" w:color="333333"/>
              <w:bottom w:val="single" w:sz="8" w:space="0" w:color="000000"/>
              <w:right w:val="single" w:sz="8" w:space="0" w:color="333333"/>
            </w:tcBorders>
            <w:tcMar>
              <w:top w:w="0" w:type="dxa"/>
              <w:bottom w:w="100" w:type="dxa"/>
            </w:tcMar>
            <w:vAlign w:val="center"/>
          </w:tcPr>
          <w:p>
            <w:pPr>
              <w:pStyle w:val="TableContents"/>
              <w:bidi w:val="0"/>
              <w:spacing w:before="0" w:after="283"/>
              <w:jc w:val="left"/>
              <w:rPr>
                <w:rFonts w:ascii="Arial;Helvetica;Sans-Serif" w:hAnsi="Arial;Helvetica;Sans-Serif"/>
                <w:i/>
                <w:color w:val="58595B"/>
                <w:sz w:val="18"/>
              </w:rPr>
            </w:pPr>
            <w:r>
              <w:rPr>
                <w:rFonts w:ascii="Arial;Helvetica;Sans-Serif" w:hAnsi="Arial;Helvetica;Sans-Serif"/>
                <w:i/>
                <w:color w:val="58595B"/>
                <w:sz w:val="18"/>
              </w:rPr>
              <w:t>Purchase price amortization</w:t>
            </w:r>
          </w:p>
        </w:tc>
        <w:tc>
          <w:tcPr>
            <w:tcW w:w="72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$57</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$60</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$72</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$59</w:t>
            </w:r>
          </w:p>
        </w:tc>
        <w:tc>
          <w:tcPr>
            <w:tcW w:w="66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$54</w:t>
            </w:r>
          </w:p>
        </w:tc>
      </w:tr>
      <w:tr>
        <w:trPr/>
        <w:tc>
          <w:tcPr>
            <w:tcW w:w="3470" w:type="dxa"/>
            <w:tcBorders>
              <w:left w:val="single" w:sz="8" w:space="0" w:color="333333"/>
              <w:bottom w:val="single" w:sz="8" w:space="0" w:color="000000"/>
              <w:right w:val="single" w:sz="8" w:space="0" w:color="333333"/>
            </w:tcBorders>
            <w:tcMar>
              <w:top w:w="0" w:type="dxa"/>
              <w:bottom w:w="100" w:type="dxa"/>
            </w:tcMar>
            <w:vAlign w:val="center"/>
          </w:tcPr>
          <w:p>
            <w:pPr>
              <w:pStyle w:val="TableContents"/>
              <w:bidi w:val="0"/>
              <w:spacing w:before="0" w:after="283"/>
              <w:jc w:val="left"/>
              <w:rPr>
                <w:rFonts w:ascii="Arial;Helvetica;Sans-Serif" w:hAnsi="Arial;Helvetica;Sans-Serif"/>
                <w:i/>
                <w:color w:val="58595B"/>
                <w:sz w:val="18"/>
              </w:rPr>
            </w:pPr>
            <w:r>
              <w:rPr>
                <w:rFonts w:ascii="Arial;Helvetica;Sans-Serif" w:hAnsi="Arial;Helvetica;Sans-Serif"/>
                <w:i/>
                <w:color w:val="58595B"/>
                <w:sz w:val="18"/>
              </w:rPr>
              <w:t>Other adjustments</w:t>
            </w:r>
          </w:p>
        </w:tc>
        <w:tc>
          <w:tcPr>
            <w:tcW w:w="72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w:t>
            </w:r>
          </w:p>
        </w:tc>
        <w:tc>
          <w:tcPr>
            <w:tcW w:w="66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w:t>
            </w:r>
          </w:p>
        </w:tc>
      </w:tr>
      <w:tr>
        <w:trPr/>
        <w:tc>
          <w:tcPr>
            <w:tcW w:w="3470" w:type="dxa"/>
            <w:tcBorders>
              <w:left w:val="single" w:sz="8" w:space="0" w:color="333333"/>
              <w:bottom w:val="single" w:sz="8" w:space="0" w:color="000000"/>
              <w:right w:val="single" w:sz="8" w:space="0" w:color="333333"/>
            </w:tcBorders>
            <w:tcMar>
              <w:top w:w="0" w:type="dxa"/>
              <w:left w:w="300" w:type="dxa"/>
              <w:bottom w:w="100" w:type="dxa"/>
            </w:tcMar>
            <w:vAlign w:val="center"/>
          </w:tcPr>
          <w:p>
            <w:pPr>
              <w:pStyle w:val="TableContents"/>
              <w:bidi w:val="0"/>
              <w:spacing w:before="0" w:after="283"/>
              <w:jc w:val="left"/>
              <w:rPr>
                <w:rFonts w:ascii="Arial;Helvetica;Sans-Serif" w:hAnsi="Arial;Helvetica;Sans-Serif"/>
                <w:i/>
                <w:color w:val="58595B"/>
                <w:sz w:val="18"/>
              </w:rPr>
            </w:pPr>
            <w:r>
              <w:rPr>
                <w:rFonts w:ascii="Arial;Helvetica;Sans-Serif" w:hAnsi="Arial;Helvetica;Sans-Serif"/>
                <w:i/>
                <w:color w:val="58595B"/>
                <w:sz w:val="18"/>
              </w:rPr>
              <w:t>Total non-GAAP adjustments before taxes</w:t>
            </w:r>
          </w:p>
        </w:tc>
        <w:tc>
          <w:tcPr>
            <w:tcW w:w="72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$450</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$503</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$81</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$65</w:t>
            </w:r>
          </w:p>
        </w:tc>
        <w:tc>
          <w:tcPr>
            <w:tcW w:w="66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$132</w:t>
            </w:r>
          </w:p>
        </w:tc>
      </w:tr>
      <w:tr>
        <w:trPr/>
        <w:tc>
          <w:tcPr>
            <w:tcW w:w="3470" w:type="dxa"/>
            <w:tcBorders>
              <w:left w:val="single" w:sz="8" w:space="0" w:color="333333"/>
              <w:bottom w:val="single" w:sz="8" w:space="0" w:color="000000"/>
              <w:right w:val="single" w:sz="8" w:space="0" w:color="333333"/>
            </w:tcBorders>
            <w:tcMar>
              <w:top w:w="0" w:type="dxa"/>
              <w:bottom w:w="100" w:type="dxa"/>
            </w:tcMar>
            <w:vAlign w:val="center"/>
          </w:tcPr>
          <w:p>
            <w:pPr>
              <w:pStyle w:val="TableContents"/>
              <w:bidi w:val="0"/>
              <w:spacing w:before="0" w:after="283"/>
              <w:jc w:val="left"/>
              <w:rPr>
                <w:rFonts w:ascii="Arial;Helvetica;Sans-Serif" w:hAnsi="Arial;Helvetica;Sans-Serif"/>
                <w:b/>
                <w:color w:val="58595B"/>
                <w:sz w:val="18"/>
              </w:rPr>
            </w:pPr>
            <w:r>
              <w:rPr>
                <w:rFonts w:ascii="Arial;Helvetica;Sans-Serif" w:hAnsi="Arial;Helvetica;Sans-Serif"/>
                <w:b/>
                <w:color w:val="58595B"/>
                <w:sz w:val="18"/>
              </w:rPr>
              <w:t>Adjusted revenue</w:t>
            </w:r>
          </w:p>
        </w:tc>
        <w:tc>
          <w:tcPr>
            <w:tcW w:w="72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$11,890</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$9,549</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$7,047</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$7,708</w:t>
            </w:r>
          </w:p>
        </w:tc>
        <w:tc>
          <w:tcPr>
            <w:tcW w:w="66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$8,568</w:t>
            </w:r>
          </w:p>
        </w:tc>
      </w:tr>
      <w:tr>
        <w:trPr/>
        <w:tc>
          <w:tcPr>
            <w:tcW w:w="3470" w:type="dxa"/>
            <w:tcBorders>
              <w:left w:val="single" w:sz="8" w:space="0" w:color="333333"/>
              <w:bottom w:val="single" w:sz="8" w:space="0" w:color="000000"/>
              <w:right w:val="single" w:sz="8" w:space="0" w:color="333333"/>
            </w:tcBorders>
            <w:tcMar>
              <w:top w:w="0" w:type="dxa"/>
              <w:bottom w:w="100" w:type="dxa"/>
            </w:tcMar>
            <w:vAlign w:val="center"/>
          </w:tcPr>
          <w:p>
            <w:pPr>
              <w:pStyle w:val="TableContents"/>
              <w:bidi w:val="0"/>
              <w:spacing w:before="0" w:after="283"/>
              <w:jc w:val="left"/>
              <w:rPr>
                <w:rFonts w:ascii="Arial;Helvetica;Sans-Serif" w:hAnsi="Arial;Helvetica;Sans-Serif"/>
                <w:b/>
                <w:color w:val="58595B"/>
                <w:sz w:val="18"/>
              </w:rPr>
            </w:pPr>
            <w:r>
              <w:rPr>
                <w:rFonts w:ascii="Arial;Helvetica;Sans-Serif" w:hAnsi="Arial;Helvetica;Sans-Serif"/>
                <w:b/>
                <w:color w:val="58595B"/>
                <w:sz w:val="18"/>
              </w:rPr>
              <w:t>Adjusted pre-tax earnings</w:t>
            </w:r>
          </w:p>
        </w:tc>
        <w:tc>
          <w:tcPr>
            <w:tcW w:w="72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$2,586</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$1,593</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$964</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$1,161</w:t>
            </w:r>
          </w:p>
        </w:tc>
        <w:tc>
          <w:tcPr>
            <w:tcW w:w="66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$1,359</w:t>
            </w:r>
          </w:p>
        </w:tc>
      </w:tr>
      <w:tr>
        <w:trPr/>
        <w:tc>
          <w:tcPr>
            <w:tcW w:w="3470" w:type="dxa"/>
            <w:tcBorders>
              <w:left w:val="single" w:sz="8" w:space="0" w:color="333333"/>
              <w:bottom w:val="single" w:sz="8" w:space="0" w:color="000000"/>
              <w:right w:val="single" w:sz="8" w:space="0" w:color="333333"/>
            </w:tcBorders>
            <w:tcMar>
              <w:top w:w="0" w:type="dxa"/>
              <w:bottom w:w="100" w:type="dxa"/>
            </w:tcMar>
            <w:vAlign w:val="center"/>
          </w:tcPr>
          <w:p>
            <w:pPr>
              <w:pStyle w:val="TableContents"/>
              <w:bidi w:val="0"/>
              <w:spacing w:before="0" w:after="283"/>
              <w:jc w:val="left"/>
              <w:rPr>
                <w:rFonts w:ascii="Arial;Helvetica;Sans-Serif" w:hAnsi="Arial;Helvetica;Sans-Serif"/>
                <w:b/>
                <w:color w:val="58595B"/>
                <w:sz w:val="18"/>
              </w:rPr>
            </w:pPr>
            <w:r>
              <w:rPr>
                <w:rFonts w:ascii="Arial;Helvetica;Sans-Serif" w:hAnsi="Arial;Helvetica;Sans-Serif"/>
                <w:b/>
                <w:color w:val="58595B"/>
                <w:sz w:val="18"/>
              </w:rPr>
              <w:t>Adjusted pre-tax margin</w:t>
            </w:r>
          </w:p>
        </w:tc>
        <w:tc>
          <w:tcPr>
            <w:tcW w:w="72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21.7%</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16.7%</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13.7%</w:t>
            </w:r>
          </w:p>
        </w:tc>
        <w:tc>
          <w:tcPr>
            <w:tcW w:w="620"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15.1%</w:t>
            </w:r>
          </w:p>
        </w:tc>
        <w:tc>
          <w:tcPr>
            <w:tcW w:w="665" w:type="dxa"/>
            <w:tcBorders>
              <w:bottom w:val="single" w:sz="8" w:space="0" w:color="000000"/>
              <w:right w:val="single" w:sz="8" w:space="0" w:color="333333"/>
            </w:tcBorders>
            <w:tcMar>
              <w:top w:w="0" w:type="dxa"/>
              <w:left w:w="0" w:type="dxa"/>
              <w:bottom w:w="100" w:type="dxa"/>
            </w:tcMar>
            <w:vAlign w:val="center"/>
          </w:tcPr>
          <w:p>
            <w:pPr>
              <w:pStyle w:val="TableContents"/>
              <w:bidi w:val="0"/>
              <w:spacing w:before="0" w:after="283"/>
              <w:jc w:val="center"/>
              <w:rPr>
                <w:rFonts w:ascii="Arial;Helvetica;Sans-Serif" w:hAnsi="Arial;Helvetica;Sans-Serif"/>
                <w:b/>
                <w:color w:val="58595B"/>
                <w:sz w:val="18"/>
              </w:rPr>
            </w:pPr>
            <w:r>
              <w:rPr>
                <w:rFonts w:ascii="Arial;Helvetica;Sans-Serif" w:hAnsi="Arial;Helvetica;Sans-Serif"/>
                <w:b/>
                <w:color w:val="58595B"/>
                <w:sz w:val="18"/>
              </w:rPr>
              <w:t>15.9%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both"/>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following table shows each named executive officer's 2025 base salary, target annual incentive opportunity expressed as a percentage of base salary, and the 2025 annual incentive earned based upon the combined payout factor of 200%.</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10" w:type="dxa"/>
        <w:tblLayout w:type="fixed"/>
        <w:tblCellMar>
          <w:top w:w="100" w:type="dxa"/>
          <w:left w:w="100" w:type="dxa"/>
          <w:bottom w:w="100" w:type="dxa"/>
          <w:right w:w="100" w:type="dxa"/>
        </w:tblCellMar>
      </w:tblPr>
      <w:tblGrid>
        <w:gridCol w:w="1640"/>
        <w:gridCol w:w="1760"/>
        <w:gridCol w:w="1430"/>
        <w:gridCol w:w="1430"/>
        <w:gridCol w:w="1535"/>
      </w:tblGrid>
      <w:tr>
        <w:trPr/>
        <w:tc>
          <w:tcPr>
            <w:tcW w:w="1640" w:type="dxa"/>
            <w:tcBorders>
              <w:top w:val="single" w:sz="8" w:space="0" w:color="333333"/>
              <w:left w:val="single" w:sz="8" w:space="0" w:color="333333"/>
              <w:bottom w:val="single" w:sz="8" w:space="0" w:color="000000"/>
              <w:right w:val="single" w:sz="12" w:space="0" w:color="FFFFFF"/>
            </w:tcBorders>
            <w:shd w:fill="234E77"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Name</w:t>
            </w:r>
          </w:p>
        </w:tc>
        <w:tc>
          <w:tcPr>
            <w:tcW w:w="1760" w:type="dxa"/>
            <w:tcBorders>
              <w:top w:val="single" w:sz="8" w:space="0" w:color="333333"/>
              <w:bottom w:val="single" w:sz="8" w:space="0" w:color="000000"/>
              <w:right w:val="single" w:sz="12" w:space="0" w:color="FFFFFF"/>
            </w:tcBorders>
            <w:shd w:fill="234E77" w:val="clear"/>
            <w:tcMar>
              <w:left w:w="0" w:type="dxa"/>
            </w:tcMar>
            <w:vAlign w:val="center"/>
          </w:tcPr>
          <w:p>
            <w:pPr>
              <w:pStyle w:val="TableContents"/>
              <w:bidi w:val="0"/>
              <w:spacing w:before="0" w:after="283"/>
              <w:jc w:val="center"/>
              <w:rPr/>
            </w:pPr>
            <w:r>
              <w:rPr/>
              <w:t>  </w:t>
            </w:r>
            <w:r>
              <w:rPr>
                <w:rFonts w:ascii="Arial;Helvetica;Sans-Serif" w:hAnsi="Arial;Helvetica;Sans-Serif"/>
                <w:b/>
                <w:color w:val="FFFFFF"/>
                <w:sz w:val="18"/>
              </w:rPr>
              <w:t>2025 Base Salary*</w:t>
            </w:r>
          </w:p>
        </w:tc>
        <w:tc>
          <w:tcPr>
            <w:tcW w:w="1430" w:type="dxa"/>
            <w:tcBorders>
              <w:top w:val="single" w:sz="8" w:space="0" w:color="333333"/>
              <w:bottom w:val="single" w:sz="8" w:space="0" w:color="000000"/>
              <w:right w:val="single" w:sz="12" w:space="0" w:color="FFFFFF"/>
            </w:tcBorders>
            <w:shd w:fill="234E77"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2025 Annual</w:t>
              <w:br/>
              <w:t>Incentive Target</w:t>
              <w:br/>
              <w:t>(%)</w:t>
            </w:r>
          </w:p>
        </w:tc>
        <w:tc>
          <w:tcPr>
            <w:tcW w:w="1430" w:type="dxa"/>
            <w:tcBorders>
              <w:top w:val="single" w:sz="8" w:space="0" w:color="333333"/>
              <w:bottom w:val="single" w:sz="8" w:space="0" w:color="000000"/>
              <w:right w:val="single" w:sz="12" w:space="0" w:color="FFFFFF"/>
            </w:tcBorders>
            <w:shd w:fill="234E77"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2025 Annual</w:t>
              <w:br/>
              <w:t>Incentive Target</w:t>
              <w:br/>
              <w:t>($)</w:t>
            </w:r>
          </w:p>
        </w:tc>
        <w:tc>
          <w:tcPr>
            <w:tcW w:w="1535" w:type="dxa"/>
            <w:tcBorders>
              <w:top w:val="single" w:sz="8" w:space="0" w:color="333333"/>
              <w:bottom w:val="single" w:sz="8" w:space="0" w:color="000000"/>
              <w:right w:val="single" w:sz="8" w:space="0" w:color="333333"/>
            </w:tcBorders>
            <w:shd w:fill="234E77" w:val="clear"/>
            <w:tcMar>
              <w:left w:w="0" w:type="dxa"/>
            </w:tcMar>
            <w:vAlign w:val="center"/>
          </w:tcPr>
          <w:p>
            <w:pPr>
              <w:pStyle w:val="TableContents"/>
              <w:bidi w:val="0"/>
              <w:spacing w:before="0" w:after="283"/>
              <w:jc w:val="center"/>
              <w:rPr/>
            </w:pPr>
            <w:r>
              <w:rPr/>
              <w:t> </w:t>
            </w:r>
            <w:r>
              <w:rPr>
                <w:rFonts w:ascii="Arial;Helvetica;Sans-Serif" w:hAnsi="Arial;Helvetica;Sans-Serif"/>
                <w:b/>
                <w:color w:val="FFFFFF"/>
                <w:sz w:val="18"/>
              </w:rPr>
              <w:t>2025 Total</w:t>
              <w:br/>
              <w:t>Incentive Earned</w:t>
            </w:r>
          </w:p>
        </w:tc>
      </w:tr>
      <w:tr>
        <w:trPr/>
        <w:tc>
          <w:tcPr>
            <w:tcW w:w="1640" w:type="dxa"/>
            <w:tcBorders>
              <w:left w:val="single" w:sz="8" w:space="0" w:color="333333"/>
              <w:bottom w:val="single" w:sz="8" w:space="0" w:color="000000"/>
              <w:right w:val="single" w:sz="8" w:space="0" w:color="333333"/>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Michael J. Nolan</w:t>
            </w:r>
          </w:p>
        </w:tc>
        <w:tc>
          <w:tcPr>
            <w:tcW w:w="176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$1,100,000</w:t>
            </w:r>
          </w:p>
        </w:tc>
        <w:tc>
          <w:tcPr>
            <w:tcW w:w="143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200%</w:t>
            </w:r>
          </w:p>
        </w:tc>
        <w:tc>
          <w:tcPr>
            <w:tcW w:w="143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$2,200,000</w:t>
            </w:r>
          </w:p>
        </w:tc>
        <w:tc>
          <w:tcPr>
            <w:tcW w:w="1535"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$4,400,000</w:t>
            </w:r>
          </w:p>
        </w:tc>
      </w:tr>
      <w:tr>
        <w:trPr/>
        <w:tc>
          <w:tcPr>
            <w:tcW w:w="1640" w:type="dxa"/>
            <w:tcBorders>
              <w:left w:val="single" w:sz="8" w:space="0" w:color="333333"/>
              <w:bottom w:val="single" w:sz="8" w:space="0" w:color="000000"/>
              <w:right w:val="single" w:sz="8" w:space="0" w:color="333333"/>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Raymond R. Quirk</w:t>
            </w:r>
          </w:p>
        </w:tc>
        <w:tc>
          <w:tcPr>
            <w:tcW w:w="176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$550,000</w:t>
            </w:r>
          </w:p>
        </w:tc>
        <w:tc>
          <w:tcPr>
            <w:tcW w:w="143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150%</w:t>
            </w:r>
          </w:p>
        </w:tc>
        <w:tc>
          <w:tcPr>
            <w:tcW w:w="143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$825,000</w:t>
            </w:r>
          </w:p>
        </w:tc>
        <w:tc>
          <w:tcPr>
            <w:tcW w:w="1535"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$1,650,000</w:t>
            </w:r>
          </w:p>
        </w:tc>
      </w:tr>
      <w:tr>
        <w:trPr/>
        <w:tc>
          <w:tcPr>
            <w:tcW w:w="1640" w:type="dxa"/>
            <w:tcBorders>
              <w:left w:val="single" w:sz="8" w:space="0" w:color="333333"/>
              <w:bottom w:val="single" w:sz="8" w:space="0" w:color="000000"/>
              <w:right w:val="single" w:sz="8" w:space="0" w:color="333333"/>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Anthony J. Park</w:t>
            </w:r>
          </w:p>
        </w:tc>
        <w:tc>
          <w:tcPr>
            <w:tcW w:w="176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$775,000</w:t>
            </w:r>
          </w:p>
        </w:tc>
        <w:tc>
          <w:tcPr>
            <w:tcW w:w="143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125%</w:t>
            </w:r>
          </w:p>
        </w:tc>
        <w:tc>
          <w:tcPr>
            <w:tcW w:w="143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$968,750</w:t>
            </w:r>
          </w:p>
        </w:tc>
        <w:tc>
          <w:tcPr>
            <w:tcW w:w="1535"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$1,937,500</w:t>
            </w:r>
          </w:p>
        </w:tc>
      </w:tr>
      <w:tr>
        <w:trPr/>
        <w:tc>
          <w:tcPr>
            <w:tcW w:w="1640" w:type="dxa"/>
            <w:tcBorders>
              <w:left w:val="single" w:sz="8" w:space="0" w:color="333333"/>
              <w:bottom w:val="single" w:sz="8" w:space="0" w:color="000000"/>
              <w:right w:val="single" w:sz="8" w:space="0" w:color="333333"/>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Peter T. Sadowski</w:t>
            </w:r>
          </w:p>
        </w:tc>
        <w:tc>
          <w:tcPr>
            <w:tcW w:w="176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$660,000</w:t>
            </w:r>
          </w:p>
        </w:tc>
        <w:tc>
          <w:tcPr>
            <w:tcW w:w="143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105%</w:t>
            </w:r>
          </w:p>
        </w:tc>
        <w:tc>
          <w:tcPr>
            <w:tcW w:w="143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$693,000</w:t>
            </w:r>
          </w:p>
        </w:tc>
        <w:tc>
          <w:tcPr>
            <w:tcW w:w="1535"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$1,386,000</w:t>
            </w:r>
          </w:p>
        </w:tc>
      </w:tr>
      <w:tr>
        <w:trPr/>
        <w:tc>
          <w:tcPr>
            <w:tcW w:w="1640" w:type="dxa"/>
            <w:tcBorders>
              <w:left w:val="single" w:sz="8" w:space="0" w:color="333333"/>
              <w:bottom w:val="single" w:sz="8" w:space="0" w:color="000000"/>
              <w:right w:val="single" w:sz="8" w:space="0" w:color="333333"/>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Michael L. Gravelle</w:t>
            </w:r>
          </w:p>
        </w:tc>
        <w:tc>
          <w:tcPr>
            <w:tcW w:w="176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$570,000</w:t>
            </w:r>
          </w:p>
        </w:tc>
        <w:tc>
          <w:tcPr>
            <w:tcW w:w="143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105%</w:t>
            </w:r>
          </w:p>
        </w:tc>
        <w:tc>
          <w:tcPr>
            <w:tcW w:w="1430"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$598,500</w:t>
            </w:r>
          </w:p>
        </w:tc>
        <w:tc>
          <w:tcPr>
            <w:tcW w:w="1535" w:type="dxa"/>
            <w:tcBorders>
              <w:bottom w:val="single" w:sz="8" w:space="0" w:color="000000"/>
              <w:right w:val="single" w:sz="8" w:space="0" w:color="333333"/>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$1,197,000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The amounts reflect base salary effective at the end of 2025.</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45</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8A9DBB"/>
          <w:sz w:val="24"/>
        </w:rPr>
      </w:pPr>
      <w:r>
        <w:rPr>
          <w:rFonts w:ascii="Arial;Helvetica;Sans-Serif" w:hAnsi="Arial;Helvetica;Sans-Serif"/>
          <w:b/>
          <w:i w:val="false"/>
          <w:caps w:val="false"/>
          <w:smallCaps w:val="false"/>
          <w:color w:val="8A9DBB"/>
          <w:sz w:val="24"/>
        </w:rPr>
        <w:t>LONG-TERM EQUITY INCENTIVES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On November 10, 2025, we granted performance-based restricted stock to each of our named executive officers.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do not attempt to time the granting of awards to any internal or external events. Our general practice has been for our compensation committee to grant equity awards during the fourth quarter of each year following the release of our financial results for the third quarter. We also may grant awards in connection with significant new hires, promotions or changes in duties.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compensation committee's determinations are not formulaic; rather, in the context of competitive market compensation data and our stated pay philosophy, our compensation committee determines the share amounts on a subjective basis in its discretion and award amounts may differ among individual executive officers in any given year. Following is a brief discussion regarding the awards made in 2025.</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both"/>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 xml:space="preserve">Performance-based Restricted Stock. </w:t>
      </w:r>
      <w:r>
        <w:rPr>
          <w:rFonts w:ascii="Arial;Helvetica;Sans-Serif" w:hAnsi="Arial;Helvetica;Sans-Serif"/>
          <w:b w:val="false"/>
          <w:i w:val="false"/>
          <w:caps w:val="false"/>
          <w:smallCaps w:val="false"/>
          <w:color w:val="58595B"/>
          <w:sz w:val="22"/>
        </w:rPr>
        <w:t>In 2025, the proportion of the FNF equity awards consisting of performance-based restricted stock remained at 100%. As in recent years, we did not grant stock options or awards that vest solely based on continued service to our named executive officers.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restricted stock awards vest over three years, provided we achieve adjusted pre-tax margin in our title segment of 11.0% in at least two of the five quarters beginning October 1, 2025. The compensation committee recognized that we also use pre-tax title margin as a metric in our annual incentive plan and considered various alternative measures for our 2025 performance-based restricted stock awards. However, the committee selected adjusted pre-tax title margin, which measures our executives' achievements in operating efficiency, profitability and capital management, as the performance measure for our 2025 restricted stock awards. The committee determined to use adjusted pre-tax title margin because it reflects our ability to convert revenue into operating profits for shareholders and measures our progress toward achieving our long-term strategy and therefore can have a significant impact on our long-term stock price.</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When we set our adjusted pre-tax title margin performance goal in October 2025, the compensation committee considered the current environment of volatile interest rates, the current limited housing supply, high home prices, tight credit markets and uncertain economic expectations for 2026, as well as uncertainty related to geo-political conflicts. The committee considered that we expect a stable commercial real estate market in 2026 as compared to 2025. The compensation committee balanced these considerations against management's historically strong performance in managing expenses during different real estate cycles and ability to drive industry leading margins.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Based on these considerations for the performance period, the compensation committee determined to set the performance goal for our 2025 restricted stock awards at 11%, which is 150 basis points higher than the 2024 performance goal of 9.5% due to the factors described above, in order to encourage management to continue to drive strong expense management and margins in our title business. Adjusted pre-tax title margin for purposes of the performance-based restricted stock awards is calculated in the same manner as it is calculated under our annual incentive plan.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Although we considered using a longer performance period for these awards, we determined that achievement of the criteria in at least two of the five quarters beginning October 1, 2025, which is the performance period we have historically used with respect to our performance-based equity awards, was the appropriate performance period because of the difficulty in predicting future performance of the mortgage market, particularly for a period of more than one year, because it is largely driven by</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46</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interest rates, which may be volatile over a longer term, and other economic forces outside of our control, and because of the seasonality inherent in the title business, with the first quarter typically much weaker than the remaining quarters due to weather conditions and holidays impacting opened order activity in November and December resulting in fewer closings in the first quarter.</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With respect to all restricted stock awards, credit is provided for dividends paid on unvested shares, but payment of those dividends is subject to the same vesting requirements as the underlying shares – in other words, if the underlying shares do not vest, the dividends are forfeited. The dividend payment is at the same rate as dividends paid to all other common shareholders. We also impose a restriction on the sale of executives' restricted shares following vesting if the executive has not met our stock ownership guidelines, which are discussed below.</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timing of grants of equity-based incentive awards is discretionary and we generally grant these awards to our named executive officers in the fourth quarter of the applicable fiscal year. In certain circumstances, including the hiring or promotion of an executive, the compensation committee may approve grants to be effective at other times. The Company does not currently grant stock options to our employees. The compensation committee did not take material nonpublic information into account when determining the timing and terms of equity awards in 2025, and we do not time the disclosure of material nonpublic information for the purpose of affecting the value of executive compensation.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8A9DBB"/>
          <w:sz w:val="22"/>
        </w:rPr>
      </w:pPr>
      <w:r>
        <w:rPr>
          <w:rFonts w:ascii="Arial;Helvetica;Sans-Serif" w:hAnsi="Arial;Helvetica;Sans-Serif"/>
          <w:b/>
          <w:i w:val="false"/>
          <w:caps w:val="false"/>
          <w:smallCaps w:val="false"/>
          <w:color w:val="8A9DBB"/>
          <w:sz w:val="22"/>
        </w:rPr>
        <w:t>BENEFIT PLANS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named executive officers generally participate in the same compensation programs as our other executives and employees. All employees in the United States, including our named executive officers, are eligible to participate in our 401(k) plan and our employee stock purchase plan, or ESPP. In addition, our named executive officers are eligible to participate in broad-based health and welfare plans. We do not offer pensions or supplemental executive retirement plans for our named executive officers.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 xml:space="preserve">401(k) Plan. </w:t>
      </w:r>
      <w:r>
        <w:rPr>
          <w:rFonts w:ascii="Arial;Helvetica;Sans-Serif" w:hAnsi="Arial;Helvetica;Sans-Serif"/>
          <w:b w:val="false"/>
          <w:i w:val="false"/>
          <w:caps w:val="false"/>
          <w:smallCaps w:val="false"/>
          <w:color w:val="58595B"/>
          <w:sz w:val="22"/>
        </w:rPr>
        <w:t>We sponsor a defined contribution savings plan that is intended to be qualified under Section 401(a) of the Internal Revenue Code. The plan contains a cash or deferred arrangement under Section 401(k) of the Internal Revenue Code. Participating employees may contribute up to 40% of their eligible compensation, but not more than the statutory limit, which was generally $23,500 in 2025. Vesting in matching contributions, if any, occurs proportionally each year over an employee's first three years of continuous employment with us.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 xml:space="preserve">Deferred Compensation Plan. </w:t>
      </w:r>
      <w:r>
        <w:rPr>
          <w:rFonts w:ascii="Arial;Helvetica;Sans-Serif" w:hAnsi="Arial;Helvetica;Sans-Serif"/>
          <w:b w:val="false"/>
          <w:i w:val="false"/>
          <w:caps w:val="false"/>
          <w:smallCaps w:val="false"/>
          <w:color w:val="58595B"/>
          <w:sz w:val="22"/>
        </w:rPr>
        <w:t>We provide our named executive officers, as well as other key employees, with the opportunity to defer receipt of their compensation under a nonqualified deferred compensation plan. A description of the plan and information regarding our named executive officers' interests under the plan can be found in the "Nonqualified Deferred Compensation" table and accompanying narrative.</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 xml:space="preserve">Employee Stock Purchase Plan. </w:t>
      </w:r>
      <w:r>
        <w:rPr>
          <w:rFonts w:ascii="Arial;Helvetica;Sans-Serif" w:hAnsi="Arial;Helvetica;Sans-Serif"/>
          <w:b w:val="false"/>
          <w:i w:val="false"/>
          <w:caps w:val="false"/>
          <w:smallCaps w:val="false"/>
          <w:color w:val="58595B"/>
          <w:sz w:val="22"/>
        </w:rPr>
        <w:t>We maintain our ESPP through which our executives and employees can purchase shares of our common stock through payroll deductions and through matching employer contributions. At the end of each calendar quarter, we make a matching contribution to the account of each participant who has been continuously employed by us or a participating subsidiary for the last four calendar quarters. For employees with more than 10 years of service and officers, including our named executive officers, matching contributions are equal to 1/2 of the amount contributed during the quarter that is one year earlier than the</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47</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quarter in which the matching contribution was made. The matching contributions, together with the employee deferrals, are used to purchase shares of our common stock on the open market. For information regarding the matching contributions made to our named executive officers in 2025, see "– Summary Compensation Table."</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 xml:space="preserve">Health and Welfare Benefits. </w:t>
      </w:r>
      <w:r>
        <w:rPr>
          <w:rFonts w:ascii="Arial;Helvetica;Sans-Serif" w:hAnsi="Arial;Helvetica;Sans-Serif"/>
          <w:b w:val="false"/>
          <w:i w:val="false"/>
          <w:caps w:val="false"/>
          <w:smallCaps w:val="false"/>
          <w:color w:val="58595B"/>
          <w:sz w:val="22"/>
        </w:rPr>
        <w:t>We sponsor various broad-based health and welfare benefit plans for our employees, including life insurance, and our executives are eligible to participate in an executive medical plan. The taxable portion of the premiums on this additional life insurance is reflected in the "Summary Compensation Table" under the column "All Other Compensation" and related footnote. We also offer a program under which we reimburse our employees' escrow and title fees when they use one of our title companies in connection with the closing of their personal real estate transactions.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49678E"/>
          <w:sz w:val="22"/>
        </w:rPr>
        <w:t xml:space="preserve">Other Benefits. </w:t>
      </w:r>
      <w:r>
        <w:rPr>
          <w:rFonts w:ascii="Arial;Helvetica;Sans-Serif" w:hAnsi="Arial;Helvetica;Sans-Serif"/>
          <w:b w:val="false"/>
          <w:i w:val="false"/>
          <w:caps w:val="false"/>
          <w:smallCaps w:val="false"/>
          <w:color w:val="58595B"/>
          <w:sz w:val="22"/>
        </w:rPr>
        <w:t>We provide a few additional benefits to our executives. In general, the additional benefits provided are intended to help our named executive officers be more productive and efficient and to protect us and our executives from certain business risks and potential threats. We also provide certain of our named executive officers with personal use of the corporate aircraft for security and safety reasons. Our compensation and audit committees regularly review the additional benefits provided to our executive officers and believe they are minimal. Further detail regarding other benefits in 2025 can be found in the "Summary Compensation Table" under the column "All Other Compensation" and related footnote.</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EMPLOYMENT AGREEMENTS AND POST-TERMINATION COMPENSATION AND BENEFITS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have entered into employment agreements with each of our named executive officers. These agreements provide us and the executives with certain rights and obligations during and following a termination of employment, and in some instances, following a change in control.</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believe these agreements are necessary to protect our legitimate business interests, as well as to protect the executives in the event of certain termination events. For a discussion of the material terms of the agreements, see the narrative following "– Grants of Plan-Based Awards" and "– Potential Payments Upon Termination or Change in Control."</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ROLE OF COMPENSATION COMMITTEE, COMPENSATION CONSULTANT AND EXECUTIVE OFFICERS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 xml:space="preserve">Our compensation committee is responsible for reviewing, approving and monitoring all compensation programs for our named executive officers. Our compensation committee is also responsible for administering our annual incentive plan and our Amended and Restated 2005 Omnibus Incentive Plan (the </w:t>
      </w:r>
      <w:r>
        <w:rPr>
          <w:rFonts w:ascii="Arial;Helvetica;Sans-Serif" w:hAnsi="Arial;Helvetica;Sans-Serif"/>
          <w:b w:val="false"/>
          <w:i/>
          <w:caps w:val="false"/>
          <w:smallCaps w:val="false"/>
          <w:color w:val="58595B"/>
          <w:sz w:val="22"/>
        </w:rPr>
        <w:t>omnibus incentive plan</w:t>
      </w:r>
      <w:r>
        <w:rPr>
          <w:rFonts w:ascii="Arial;Helvetica;Sans-Serif" w:hAnsi="Arial;Helvetica;Sans-Serif"/>
          <w:b w:val="false"/>
          <w:i w:val="false"/>
          <w:caps w:val="false"/>
          <w:smallCaps w:val="false"/>
          <w:color w:val="58595B"/>
          <w:sz w:val="22"/>
        </w:rPr>
        <w:t>).</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During 2025, our compensation committee engaged SCG to conduct an annual review of our compensation programs for our named executive officers and other key executives and our board of directors. SCG's fees and terms of engagement were approved by our compensation committee. SCG reported directly to the compensation committee and received compensation only for services related to executive compensation issues.</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48</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58595B"/>
        </w:rPr>
      </w:pPr>
      <w:r>
        <w:rPr>
          <w:caps w:val="false"/>
          <w:smallCaps w:val="false"/>
          <w:bdr w:val="single" w:sz="8" w:space="1" w:color="58595B"/>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2025, the compensation committee reviewed the independence of SCG in accordance with the rules of the New York Stock Exchange regarding the independence of consultants to the compensation committee and affirmed SCG's independence and that no conflicts of interest existed.</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compensation consultant provided our compensation committee with relevant market data on compensation, including annual salary, annual incentives, long-term incentives, other benefits, total compensation and pay mix, and alternatives to consider when making compensation decisions. SCG also assisted our compensation committee in its annual review of a compensation risk assessment for 2025 and the preparation of the pay-versus-performance section of our proxy statement.</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Chairman, Mr. Foley, participated in the 2025 executive compensation process by making recommendations with respect to the compensation of our Executive Vice-Chairman. Our Executive Vice-Chairman made recommendations with respect to the compensation of our Chief Executive Officer. Our Chief Executive Officer made recommendations with respect to the compensation of his direct reports, as discussed further below. In addition, Michael L. Gravelle, our Executive Vice President, General Counsel and Corporate Secretary, coordinated with our compensation committee members and SCG in preparing the committee's meeting agendas and, at the direction of the compensation committee, assisted SCG in gathering financial information about FNF and stock ownership information for our executives for inclusion in the consultant's reports to our compensation committee. Our executive officers do not make recommendations to our compensation committee with respect to their own compensation.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While our compensation committee carefully considers the information provided by, and the recommendations of, SCG and the individuals who participate in the compensation process, our compensation committee retains complete discretion to accept, reject or modify any recommended compensation decisions.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ESTABLISHING EXECUTIVE COMPENSATION LEVELS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compensation committee considered several important qualitative and quantitative factors when determining the overall compensation of our named executive officers in 2025,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The executive officer's experience, knowledge, skills, level of responsibility and potential to influence our company's performance;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The executive officer's prior salary levels, annual incentive awards, annual incentive award targets and long-term equity incentive awards; </w:t>
            </w:r>
          </w:p>
        </w:tc>
      </w:tr>
    </w:tbl>
    <w:p>
      <w:pPr>
        <w:pStyle w:val="TextBody"/>
        <w:bidi w:val="0"/>
        <w:spacing w:before="0" w:after="0"/>
        <w:ind w:left="0" w:right="0" w:hanging="0"/>
        <w:jc w:val="left"/>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68"/>
        <w:gridCol w:w="140"/>
        <w:gridCol w:w="651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515" w:type="dxa"/>
            <w:tcBorders/>
            <w:vAlign w:val="center"/>
          </w:tcPr>
          <w:p>
            <w:pPr>
              <w:pStyle w:val="TableContents"/>
              <w:bidi w:val="0"/>
              <w:spacing w:before="0" w:after="283"/>
              <w:jc w:val="left"/>
              <w:rPr>
                <w:sz w:val="22"/>
              </w:rPr>
            </w:pPr>
            <w:r>
              <w:rPr>
                <w:sz w:val="22"/>
              </w:rPr>
              <w:t xml:space="preserve">The business environment and our business objectives and strategy; </w:t>
            </w:r>
          </w:p>
        </w:tc>
      </w:tr>
    </w:tbl>
    <w:p>
      <w:pPr>
        <w:pStyle w:val="TextBody"/>
        <w:bidi w:val="0"/>
        <w:spacing w:before="0" w:after="0"/>
        <w:ind w:left="0" w:right="0" w:hanging="0"/>
        <w:jc w:val="left"/>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68"/>
        <w:gridCol w:w="140"/>
        <w:gridCol w:w="425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left"/>
              <w:rPr>
                <w:sz w:val="22"/>
              </w:rPr>
            </w:pPr>
            <w:r>
              <w:rPr>
                <w:sz w:val="22"/>
              </w:rPr>
              <w:t xml:space="preserve">Our financial performance in the prior year;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The need to retain and motivate executives (in the current business cycle, it is critical that we not lose key talent and long-term incentives help to retain key executives); </w:t>
            </w:r>
          </w:p>
        </w:tc>
      </w:tr>
    </w:tbl>
    <w:p>
      <w:pPr>
        <w:pStyle w:val="TextBody"/>
        <w:bidi w:val="0"/>
        <w:spacing w:before="0" w:after="0"/>
        <w:ind w:left="0" w:right="0" w:hanging="0"/>
        <w:jc w:val="left"/>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68"/>
        <w:gridCol w:w="140"/>
        <w:gridCol w:w="807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2"/>
              </w:rPr>
            </w:pPr>
            <w:r>
              <w:rPr>
                <w:sz w:val="22"/>
              </w:rPr>
              <w:t xml:space="preserve">Corporate governance and regulatory factors related to executive compensation; and </w:t>
            </w:r>
          </w:p>
        </w:tc>
      </w:tr>
    </w:tbl>
    <w:p>
      <w:pPr>
        <w:pStyle w:val="TextBody"/>
        <w:bidi w:val="0"/>
        <w:spacing w:before="0" w:after="0"/>
        <w:ind w:left="0" w:right="0" w:hanging="0"/>
        <w:jc w:val="left"/>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68"/>
        <w:gridCol w:w="140"/>
        <w:gridCol w:w="903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035" w:type="dxa"/>
            <w:tcBorders/>
            <w:vAlign w:val="center"/>
          </w:tcPr>
          <w:p>
            <w:pPr>
              <w:pStyle w:val="TableContents"/>
              <w:bidi w:val="0"/>
              <w:spacing w:before="0" w:after="283"/>
              <w:jc w:val="left"/>
              <w:rPr>
                <w:sz w:val="22"/>
              </w:rPr>
            </w:pPr>
            <w:r>
              <w:rPr>
                <w:sz w:val="22"/>
              </w:rPr>
              <w:t xml:space="preserve">Marketplace compensation levels and practices and the competitive environment for top talent. </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49</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58595B"/>
        </w:rPr>
      </w:pPr>
      <w:r>
        <w:rPr>
          <w:caps w:val="false"/>
          <w:smallCaps w:val="false"/>
          <w:bdr w:val="single" w:sz="8" w:space="1" w:color="58595B"/>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evaluating the compensation of our named executive officers, our compensation committee considers the recommendations of our Chairman with respect to our Executive Vice-Chairman. Our compensation committee also considers our Executive Vice-Chairman's recommendations with respect to our Chief Executive Officer's compensation and considers our Chief Executive Officer's recommendations with respect to the compensation of his direct reports. In making their recommendations, our Chairman, Executive Vice-Chairman and Chief Executive Officer review the performance of the other named executive officers, job responsibilities, importance to our overall business strategy, marketplace compensation levels and our compensation philosophy. Neither our Chairman, the Executive Vice-Chairman nor our Chief Executive Officer makes a recommendation to our compensation committee regarding his own compensation. The compensation decisions are not formulaic, and the members of our compensation committee did not assign precise weights to the factors listed above. Our compensation committee utilized their individual and collective business judgment to review, assess, and approve compensation for our named executive officers.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To assist our compensation committee, in February 2025 and in November 2025, the compensation consultant conducted marketplace reviews of the compensation we pay to our executive officers. They gathered marketplace compensation data on total compensation, which consists of annual salary, annual incentives, long-term incentives, executive benefits, executive ownership levels, overhang and dilution from our omnibus incentive plan, compensation levels as a percentage of revenue, pay mix and other key statistics. This data is collected and analyzed twice during the year, once in the first quarter with respect to base salary and target bonus, and again in the fourth quarter with respect to total compensation and long-term incentive values. The marketplace compensation data provides a point of reference for our compensation committee, but our compensation committee ultimately makes subjective compensation decisions based on all the factors described above.</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compensation consultant used two marketplace data approaches: (1) a general executive compensation survey with a specific focus on companies with revenues between one-half to two times FNF's annual revenue, and (2) compensation information for a group of 17 companies, or the FNF peer group. The committee removed one company from our peer group in November 2025 due to its size.</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2025 peer group consisted of:</w:t>
      </w:r>
    </w:p>
    <w:p>
      <w:pPr>
        <w:pStyle w:val="TextBody"/>
        <w:bidi w:val="0"/>
        <w:spacing w:before="0" w:after="0"/>
        <w:ind w:left="0" w:right="0" w:hanging="0"/>
        <w:jc w:val="left"/>
        <w:rPr>
          <w:caps w:val="false"/>
          <w:smallCaps w:val="false"/>
        </w:rPr>
      </w:pPr>
      <w:r>
        <w:rPr>
          <w:caps w:val="false"/>
          <w:smallCaps w:val="false"/>
        </w:rPr>
        <w:t> </w:t>
      </w:r>
    </w:p>
    <w:tbl>
      <w:tblPr>
        <w:tblW w:w="8095" w:type="dxa"/>
        <w:jc w:val="left"/>
        <w:tblInd w:w="0" w:type="dxa"/>
        <w:tblLayout w:type="fixed"/>
        <w:tblCellMar>
          <w:top w:w="0" w:type="dxa"/>
          <w:left w:w="0" w:type="dxa"/>
          <w:bottom w:w="0" w:type="dxa"/>
          <w:right w:w="0" w:type="dxa"/>
        </w:tblCellMar>
      </w:tblPr>
      <w:tblGrid>
        <w:gridCol w:w="3620"/>
        <w:gridCol w:w="4475"/>
      </w:tblGrid>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Aflac Incorporated</w:t>
            </w:r>
          </w:p>
        </w:tc>
        <w:tc>
          <w:tcPr>
            <w:tcW w:w="44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Loews Corporation</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44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American Financial Group</w:t>
            </w:r>
          </w:p>
        </w:tc>
        <w:tc>
          <w:tcPr>
            <w:tcW w:w="44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Markel Group Inc</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44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Arch Capital Group Ltd.</w:t>
            </w:r>
          </w:p>
        </w:tc>
        <w:tc>
          <w:tcPr>
            <w:tcW w:w="44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Old Republic International</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44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Assurant Inc.</w:t>
            </w:r>
          </w:p>
        </w:tc>
        <w:tc>
          <w:tcPr>
            <w:tcW w:w="44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Principal Financial Group, Inc.</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44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Cincinnati Financial Corporation</w:t>
            </w:r>
          </w:p>
        </w:tc>
        <w:tc>
          <w:tcPr>
            <w:tcW w:w="44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Hartford Financial Services Group, Inc.</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44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CNA Financial Corporation</w:t>
            </w:r>
          </w:p>
        </w:tc>
        <w:tc>
          <w:tcPr>
            <w:tcW w:w="44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Reinsurance Group of America, Incorporated</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44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Equitable Holdings, Inc.</w:t>
            </w:r>
          </w:p>
        </w:tc>
        <w:tc>
          <w:tcPr>
            <w:tcW w:w="44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Unum Group</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44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First American Financial Corporation</w:t>
            </w:r>
          </w:p>
        </w:tc>
        <w:tc>
          <w:tcPr>
            <w:tcW w:w="447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W.R. Berkley Corporation</w:t>
            </w:r>
          </w:p>
        </w:tc>
      </w:tr>
      <w:tr>
        <w:trPr/>
        <w:tc>
          <w:tcPr>
            <w:tcW w:w="3620" w:type="dxa"/>
            <w:tcBorders/>
            <w:vAlign w:val="center"/>
          </w:tcPr>
          <w:p>
            <w:pPr>
              <w:pStyle w:val="TableContents"/>
              <w:bidi w:val="0"/>
              <w:spacing w:before="0" w:after="283"/>
              <w:jc w:val="left"/>
              <w:rPr>
                <w:caps w:val="false"/>
                <w:smallCaps w:val="false"/>
              </w:rPr>
            </w:pPr>
            <w:r>
              <w:rPr>
                <w:caps w:val="false"/>
                <w:smallCaps w:val="false"/>
              </w:rPr>
              <w:t> </w:t>
            </w:r>
          </w:p>
        </w:tc>
        <w:tc>
          <w:tcPr>
            <w:tcW w:w="44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Lincoln National Corp.</w:t>
            </w:r>
          </w:p>
        </w:tc>
        <w:tc>
          <w:tcPr>
            <w:tcW w:w="44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50</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58595B"/>
        </w:rPr>
      </w:pPr>
      <w:r>
        <w:rPr>
          <w:caps w:val="false"/>
          <w:smallCaps w:val="false"/>
          <w:bdr w:val="single" w:sz="8" w:space="1" w:color="58595B"/>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named executive officers' 2025 total direct compensation (consisting of base salaries, annual performance-based cash incentives and long-term equity incentives) generally fell near the 50th percentile of the peer group data, with base salaries falling slightly below the 50th percentile. This approach aligns with our philosophy of emphasizing variable performance-based compensation over fixed compensation.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While the compensation decisions of our compensation committee ultimately were subjective judgments, our compensation committee also considered the following factors in making compensation decisions for our named executive officers:</w:t>
      </w:r>
    </w:p>
    <w:p>
      <w:pPr>
        <w:pStyle w:val="TextBody"/>
        <w:bidi w:val="0"/>
        <w:spacing w:before="0" w:after="0"/>
        <w:ind w:left="0" w:right="0" w:hanging="0"/>
        <w:jc w:val="left"/>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68"/>
        <w:gridCol w:w="140"/>
        <w:gridCol w:w="684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sz w:val="22"/>
              </w:rPr>
            </w:pPr>
            <w:r>
              <w:rPr>
                <w:sz w:val="22"/>
              </w:rPr>
              <w:t xml:space="preserve">FNF's overall performance, both past and expected future performance, </w:t>
            </w:r>
          </w:p>
        </w:tc>
      </w:tr>
    </w:tbl>
    <w:p>
      <w:pPr>
        <w:pStyle w:val="TextBody"/>
        <w:bidi w:val="0"/>
        <w:spacing w:before="0" w:after="0"/>
        <w:ind w:left="0" w:right="0" w:hanging="0"/>
        <w:jc w:val="left"/>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68"/>
        <w:gridCol w:w="140"/>
        <w:gridCol w:w="437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sz w:val="22"/>
              </w:rPr>
            </w:pPr>
            <w:r>
              <w:rPr>
                <w:sz w:val="22"/>
              </w:rPr>
              <w:t xml:space="preserve">FNF's success with mergers and acquisitions, </w:t>
            </w:r>
          </w:p>
        </w:tc>
      </w:tr>
    </w:tbl>
    <w:p>
      <w:pPr>
        <w:pStyle w:val="TextBody"/>
        <w:bidi w:val="0"/>
        <w:spacing w:before="0" w:after="0"/>
        <w:ind w:left="0" w:right="0" w:hanging="0"/>
        <w:jc w:val="left"/>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68"/>
        <w:gridCol w:w="140"/>
        <w:gridCol w:w="698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sz w:val="22"/>
              </w:rPr>
            </w:pPr>
            <w:r>
              <w:rPr>
                <w:sz w:val="22"/>
              </w:rPr>
              <w:t xml:space="preserve">Return to shareholders with both dividends and stock price performance,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Accomplishments with respect to each individual officer, such as individual performance over the past year, objectives to achieve over future quarters, performance expectations from the Board, years of service to FNF, and the impact that the officer will have to FNF's performance going forward,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2"/>
              </w:rPr>
            </w:pPr>
            <w:r>
              <w:rPr>
                <w:sz w:val="22"/>
              </w:rPr>
              <w:t xml:space="preserve">The external marketplace within the insurance industry along with market trends and the advice from SCG.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marketplace compensation information in this discussion is not deemed filed or a part of this compensation discussion and analysis for certification purposes.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OUR NAMED EXECUTIVE OFFICERS HAVE SIGNIFICANT OWNERSHIP STAKES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have formal stock ownership guidelines for all named executive officers and members of our board of directors. The guidelines were established to encourage such individuals to hold a multiple of their base salary (or annual retainer) in our common stock and thereby align a significant portion of their own economic interests with those of our shareholders. Further, the award agreements for our 2025 restricted stock awards provide that our executives who do not hold shares of our stock with a value sufficient to satisfy the applicable stock ownership guidelines must retain 50% of the shares acquired as a result of the lapse of vesting restrictions (excluding shares withheld in satisfaction of tax withholding obligations) until the executive satisfies the applicable stock ownership guideline. The ownership levels are shown in the "Security Ownership of Management and Directors" table below. The guidelines call for the executive or director to reach the ownership multiple within four years. Shares of restricted stock count toward meeting the guidelines. The guidelines, including those applicable to non-employee directors, are as follows:</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10" w:type="dxa"/>
        <w:tblLayout w:type="fixed"/>
        <w:tblCellMar>
          <w:top w:w="60" w:type="dxa"/>
          <w:left w:w="200" w:type="dxa"/>
          <w:bottom w:w="60" w:type="dxa"/>
          <w:right w:w="0" w:type="dxa"/>
        </w:tblCellMar>
      </w:tblPr>
      <w:tblGrid>
        <w:gridCol w:w="1910"/>
        <w:gridCol w:w="2690"/>
      </w:tblGrid>
      <w:tr>
        <w:trPr/>
        <w:tc>
          <w:tcPr>
            <w:tcW w:w="1910" w:type="dxa"/>
            <w:tcBorders>
              <w:top w:val="single" w:sz="8" w:space="0" w:color="58595B"/>
              <w:left w:val="single" w:sz="8" w:space="0" w:color="58595B"/>
              <w:bottom w:val="single" w:sz="8" w:space="0" w:color="58595B"/>
            </w:tcBorders>
            <w:shd w:fill="234E77"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Position</w:t>
            </w:r>
          </w:p>
        </w:tc>
        <w:tc>
          <w:tcPr>
            <w:tcW w:w="2690" w:type="dxa"/>
            <w:tcBorders>
              <w:top w:val="single" w:sz="8" w:space="0" w:color="58595B"/>
              <w:left w:val="single" w:sz="10" w:space="0" w:color="FFFFFF"/>
              <w:bottom w:val="single" w:sz="8" w:space="0" w:color="58595B"/>
              <w:right w:val="single" w:sz="8" w:space="0" w:color="58595B"/>
            </w:tcBorders>
            <w:shd w:fill="234E77" w:val="clear"/>
            <w:tcMar>
              <w:right w:w="28" w:type="dxa"/>
            </w:tcM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Minimum Aggregated Value</w:t>
            </w:r>
          </w:p>
        </w:tc>
      </w:tr>
      <w:tr>
        <w:trPr/>
        <w:tc>
          <w:tcPr>
            <w:tcW w:w="1910" w:type="dxa"/>
            <w:tcBorders>
              <w:left w:val="single" w:sz="8" w:space="0" w:color="58595B"/>
              <w:bottom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Chairman of the Board</w:t>
            </w:r>
          </w:p>
        </w:tc>
        <w:tc>
          <w:tcPr>
            <w:tcW w:w="2690" w:type="dxa"/>
            <w:tcBorders>
              <w:left w:val="single" w:sz="8" w:space="0" w:color="58595B"/>
              <w:bottom w:val="single" w:sz="8" w:space="0" w:color="58595B"/>
              <w:right w:val="single" w:sz="8" w:space="0" w:color="58595B"/>
            </w:tcBorders>
            <w:tcMar>
              <w:top w:w="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10 × annual cash retainer</w:t>
            </w:r>
          </w:p>
        </w:tc>
      </w:tr>
      <w:tr>
        <w:trPr/>
        <w:tc>
          <w:tcPr>
            <w:tcW w:w="1910" w:type="dxa"/>
            <w:tcBorders>
              <w:left w:val="single" w:sz="8" w:space="0" w:color="58595B"/>
              <w:bottom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Chief Executive Officer</w:t>
            </w:r>
          </w:p>
        </w:tc>
        <w:tc>
          <w:tcPr>
            <w:tcW w:w="2690" w:type="dxa"/>
            <w:tcBorders>
              <w:left w:val="single" w:sz="8" w:space="0" w:color="58595B"/>
              <w:bottom w:val="single" w:sz="8" w:space="0" w:color="58595B"/>
              <w:right w:val="single" w:sz="8" w:space="0" w:color="58595B"/>
            </w:tcBorders>
            <w:tcMar>
              <w:top w:w="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5 × base salary</w:t>
            </w:r>
          </w:p>
        </w:tc>
      </w:tr>
      <w:tr>
        <w:trPr/>
        <w:tc>
          <w:tcPr>
            <w:tcW w:w="1910" w:type="dxa"/>
            <w:tcBorders>
              <w:left w:val="single" w:sz="8" w:space="0" w:color="58595B"/>
              <w:bottom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Other Officers</w:t>
            </w:r>
          </w:p>
        </w:tc>
        <w:tc>
          <w:tcPr>
            <w:tcW w:w="2690" w:type="dxa"/>
            <w:tcBorders>
              <w:left w:val="single" w:sz="8" w:space="0" w:color="58595B"/>
              <w:bottom w:val="single" w:sz="8" w:space="0" w:color="58595B"/>
              <w:right w:val="single" w:sz="8" w:space="0" w:color="58595B"/>
            </w:tcBorders>
            <w:tcMar>
              <w:top w:w="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2 × base salary</w:t>
            </w:r>
          </w:p>
        </w:tc>
      </w:tr>
      <w:tr>
        <w:trPr/>
        <w:tc>
          <w:tcPr>
            <w:tcW w:w="1910" w:type="dxa"/>
            <w:tcBorders>
              <w:left w:val="single" w:sz="8" w:space="0" w:color="58595B"/>
              <w:bottom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Members of the Board</w:t>
            </w:r>
          </w:p>
        </w:tc>
        <w:tc>
          <w:tcPr>
            <w:tcW w:w="2690" w:type="dxa"/>
            <w:tcBorders>
              <w:left w:val="single" w:sz="8" w:space="0" w:color="58595B"/>
              <w:bottom w:val="single" w:sz="8" w:space="0" w:color="58595B"/>
              <w:right w:val="single" w:sz="8" w:space="0" w:color="58595B"/>
            </w:tcBorders>
            <w:tcMar>
              <w:top w:w="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5 × annual cash retainer</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51</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58595B"/>
        </w:rPr>
      </w:pPr>
      <w:r>
        <w:rPr>
          <w:caps w:val="false"/>
          <w:smallCaps w:val="false"/>
          <w:bdr w:val="single" w:sz="8" w:space="1" w:color="58595B"/>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named executive officers and our board of directors maintain significant long-term investments in our company. As of December 31, 2025, each of our named executive officers' and non-employee directors' holdings of our stock exceeded these stock ownership guidelines. Collectively, as reported in the "Security Ownership of Management and Directors" table, our named executive officers and directors beneficially own an aggregate of 15.4 million shares of our common stock as of April 13, 2026, which represents approximately 5.7% of our outstanding common stock with a value of approximately $723 million based on the closing price of our common stock on that date. The fact that our executives and directors hold such a large investment in our shares is part of our culture and our compensation philosophy. Management's sizable investment in our shares aligns their economic interests directly with the interests of our shareholders, and their wealth will rise and fall as our share price rises and falls. This promotes teamwork among our management team and strengthens the team's focus on achieving long-term results and increasing shareholder return.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HEDGING AND PLEDGING POLICY</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order to more closely align the interests of our directors and executive officers with those of our shareholders and to protect against inappropriate risk-taking, we maintain a hedging and pledging policy, which prohibits our executive officers and directors from engaging in hedging or monetization transactions with respect to our securities, engaging in short-term or speculative transactions in our securities that could create heightened legal risk and/or the appearance of improper or inappropriate conduct or holding FNF securities in margin accounts or pledging them as collateral for loans without our approval. None of our executives or directors had outstanding hedges of our securities as of December 31, 2025.</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CLAWBACK POLICY</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have a policy to clawback and recover incentive-based compensation paid to our executive officers if we are required to prepare an accounting restatement due to material noncompliance with financial reporting requirements. Under the policy, in the event of such a restatement we will clawback any incentive-based compensation paid during the preceding three-year period to the extent it would have been lower had the compensation been based on the restated financial results. No clawbacks were made in 2025.</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TAX AND ACCOUNTING CONSIDERATIONS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compensation committee considers the impact of tax and accounting treatment when determining executive compensation.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Section 162(m) of the Internal Revenue Code places a limit of $1,000,000 on the amount that can be deducted in any one year for compensation paid to certain executive officers. While our compensation committee considers the deductibility of compensation as one factor in determining executive compensation, the compensation committee also looks at other factors in making its decisions, as noted above, and retains the flexibility to award compensation that it determines to be consistent with the goals of our executive compensation program even if the awards are not deductible for tax purposes.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compensation committee also considers the accounting impact when structuring and approving awards. We account for share-based payments in accordance with ASC Topic 718, which governs the appropriate accounting treatment of share-based payments under GAAP.</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52</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58595B"/>
        </w:rPr>
      </w:pPr>
      <w:r>
        <w:rPr>
          <w:caps w:val="false"/>
          <w:smallCaps w:val="false"/>
          <w:bdr w:val="single" w:sz="8" w:space="1" w:color="58595B"/>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COMPENSATION COMMITTEE REPORT</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compensation committee has reviewed and discussed the Compensation Discussion and Analysis required by Item 402(b) of Regulation S-K with management, and the compensation committee recommended to the board that the Compensation Discussion and Analysis be included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color w:val="49678E"/>
          <w:sz w:val="22"/>
        </w:rPr>
      </w:pPr>
      <w:r>
        <w:rPr>
          <w:rFonts w:ascii="Arial;Helvetica;Sans-Serif" w:hAnsi="Arial;Helvetica;Sans-Serif"/>
          <w:b/>
          <w:i w:val="false"/>
          <w:caps w:val="false"/>
          <w:smallCaps w:val="false"/>
          <w:color w:val="49678E"/>
          <w:sz w:val="22"/>
        </w:rPr>
        <w:t>THE COMPENSATION COMMITTEE</w:t>
      </w:r>
    </w:p>
    <w:p>
      <w:pPr>
        <w:pStyle w:val="TextBody"/>
        <w:bidi w:val="0"/>
        <w:spacing w:before="0" w:after="0"/>
        <w:jc w:val="center"/>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Thomas M. Hagerty, Chair</w:t>
      </w:r>
    </w:p>
    <w:p>
      <w:pPr>
        <w:pStyle w:val="TextBody"/>
        <w:bidi w:val="0"/>
        <w:spacing w:before="0" w:after="0"/>
        <w:jc w:val="center"/>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Daniel D. (Ron) Lane</w:t>
      </w:r>
    </w:p>
    <w:p>
      <w:pPr>
        <w:pStyle w:val="TextBody"/>
        <w:bidi w:val="0"/>
        <w:spacing w:before="0" w:after="0"/>
        <w:jc w:val="center"/>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Cary H. Thompson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274F78"/>
          <w:sz w:val="40"/>
        </w:rPr>
      </w:pPr>
      <w:bookmarkStart w:id="9" w:name="sp6_001"/>
      <w:bookmarkEnd w:id="9"/>
      <w:r>
        <w:rPr>
          <w:rFonts w:ascii="Arial;Helvetica;Sans-Serif" w:hAnsi="Arial;Helvetica;Sans-Serif"/>
          <w:b/>
          <w:i w:val="false"/>
          <w:caps w:val="false"/>
          <w:smallCaps w:val="false"/>
          <w:color w:val="274F78"/>
          <w:sz w:val="40"/>
        </w:rPr>
        <w:t>EXECUTIVE COMPENSATION</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following table contains information concerning the cash and non-cash compensation awarded to or earned by our named executive officers for the years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SUMMARY COMPENSATION TABLE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0" w:type="dxa"/>
          <w:left w:w="100" w:type="dxa"/>
          <w:bottom w:w="100" w:type="dxa"/>
          <w:right w:w="100" w:type="dxa"/>
        </w:tblCellMar>
      </w:tblPr>
      <w:tblGrid>
        <w:gridCol w:w="4280"/>
        <w:gridCol w:w="560"/>
        <w:gridCol w:w="875"/>
        <w:gridCol w:w="875"/>
        <w:gridCol w:w="1295"/>
        <w:gridCol w:w="1295"/>
        <w:gridCol w:w="1025"/>
      </w:tblGrid>
      <w:tr>
        <w:trPr/>
        <w:tc>
          <w:tcPr>
            <w:tcW w:w="4280" w:type="dxa"/>
            <w:tcBorders>
              <w:top w:val="single" w:sz="8" w:space="0" w:color="58595B"/>
              <w:left w:val="single" w:sz="8" w:space="0" w:color="58595B"/>
              <w:bottom w:val="single" w:sz="8" w:space="0" w:color="58595B"/>
              <w:right w:val="single" w:sz="10" w:space="0" w:color="FFFFFF"/>
            </w:tcBorders>
            <w:shd w:fill="274F78"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Name and </w:t>
              <w:br/>
              <w:t>Principal Position</w:t>
            </w:r>
          </w:p>
        </w:tc>
        <w:tc>
          <w:tcPr>
            <w:tcW w:w="560" w:type="dxa"/>
            <w:tcBorders>
              <w:top w:val="single" w:sz="8" w:space="0" w:color="58595B"/>
              <w:bottom w:val="single" w:sz="8" w:space="0" w:color="58595B"/>
              <w:right w:val="single" w:sz="10"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Fiscal</w:t>
              <w:br/>
              <w:t>Year</w:t>
            </w:r>
          </w:p>
        </w:tc>
        <w:tc>
          <w:tcPr>
            <w:tcW w:w="875" w:type="dxa"/>
            <w:tcBorders>
              <w:top w:val="single" w:sz="8" w:space="0" w:color="58595B"/>
              <w:bottom w:val="single" w:sz="8" w:space="0" w:color="58595B"/>
              <w:right w:val="single" w:sz="10" w:space="0" w:color="FFFFFF"/>
            </w:tcBorders>
            <w:shd w:fill="274F78" w:val="clear"/>
            <w:tcMar>
              <w:left w:w="0" w:type="dxa"/>
            </w:tcMar>
            <w:vAlign w:val="center"/>
          </w:tcPr>
          <w:p>
            <w:pPr>
              <w:pStyle w:val="TableContents"/>
              <w:bidi w:val="0"/>
              <w:spacing w:before="0" w:after="283"/>
              <w:jc w:val="center"/>
              <w:rPr/>
            </w:pPr>
            <w:r>
              <w:rPr>
                <w:rFonts w:ascii="Arial;Helvetica;Sans-Serif" w:hAnsi="Arial;Helvetica;Sans-Serif"/>
                <w:b/>
                <w:color w:val="FFFFFF"/>
                <w:sz w:val="18"/>
              </w:rPr>
              <w:t>Salary</w:t>
              <w:br/>
              <w:t>($)</w:t>
            </w:r>
            <w:r>
              <w:rPr>
                <w:rFonts w:ascii="Arial;Helvetica;Sans-Serif" w:hAnsi="Arial;Helvetica;Sans-Serif"/>
                <w:b/>
                <w:color w:val="FFFFFF"/>
                <w:position w:val="7"/>
                <w:sz w:val="16"/>
                <w:sz w:val="20"/>
              </w:rPr>
              <w:t>1</w:t>
            </w:r>
          </w:p>
        </w:tc>
        <w:tc>
          <w:tcPr>
            <w:tcW w:w="875" w:type="dxa"/>
            <w:tcBorders>
              <w:top w:val="single" w:sz="8" w:space="0" w:color="58595B"/>
              <w:bottom w:val="single" w:sz="8" w:space="0" w:color="58595B"/>
              <w:right w:val="single" w:sz="10" w:space="0" w:color="FFFFFF"/>
            </w:tcBorders>
            <w:shd w:fill="274F78" w:val="clear"/>
            <w:tcMar>
              <w:left w:w="0" w:type="dxa"/>
            </w:tcMar>
            <w:vAlign w:val="center"/>
          </w:tcPr>
          <w:p>
            <w:pPr>
              <w:pStyle w:val="TableContents"/>
              <w:bidi w:val="0"/>
              <w:spacing w:before="0" w:after="283"/>
              <w:jc w:val="center"/>
              <w:rPr/>
            </w:pPr>
            <w:r>
              <w:rPr>
                <w:rFonts w:ascii="Arial;Helvetica;Sans-Serif" w:hAnsi="Arial;Helvetica;Sans-Serif"/>
                <w:b/>
                <w:color w:val="FFFFFF"/>
                <w:sz w:val="18"/>
              </w:rPr>
              <w:t xml:space="preserve">Stock </w:t>
              <w:br/>
              <w:t>Awards</w:t>
              <w:br/>
              <w:t>($)</w:t>
            </w:r>
            <w:r>
              <w:rPr>
                <w:rFonts w:ascii="Arial;Helvetica;Sans-Serif" w:hAnsi="Arial;Helvetica;Sans-Serif"/>
                <w:b/>
                <w:color w:val="FFFFFF"/>
                <w:position w:val="7"/>
                <w:sz w:val="16"/>
                <w:sz w:val="20"/>
              </w:rPr>
              <w:t>2</w:t>
            </w:r>
          </w:p>
        </w:tc>
        <w:tc>
          <w:tcPr>
            <w:tcW w:w="1295" w:type="dxa"/>
            <w:tcBorders>
              <w:top w:val="single" w:sz="8" w:space="0" w:color="58595B"/>
              <w:bottom w:val="single" w:sz="8" w:space="0" w:color="58595B"/>
              <w:right w:val="single" w:sz="10" w:space="0" w:color="FFFFFF"/>
            </w:tcBorders>
            <w:shd w:fill="274F78" w:val="clear"/>
            <w:tcMar>
              <w:left w:w="0" w:type="dxa"/>
            </w:tcMar>
            <w:vAlign w:val="center"/>
          </w:tcPr>
          <w:p>
            <w:pPr>
              <w:pStyle w:val="TableContents"/>
              <w:bidi w:val="0"/>
              <w:spacing w:before="0" w:after="283"/>
              <w:jc w:val="center"/>
              <w:rPr/>
            </w:pPr>
            <w:r>
              <w:rPr>
                <w:rFonts w:ascii="Arial;Helvetica;Sans-Serif" w:hAnsi="Arial;Helvetica;Sans-Serif"/>
                <w:b/>
                <w:color w:val="FFFFFF"/>
                <w:sz w:val="18"/>
              </w:rPr>
              <w:t>Non-Equity</w:t>
              <w:br/>
              <w:t>Incentive Plan</w:t>
              <w:br/>
              <w:t>Compensation</w:t>
              <w:br/>
              <w:t xml:space="preserve">($) </w:t>
            </w:r>
            <w:r>
              <w:rPr>
                <w:rFonts w:ascii="Arial;Helvetica;Sans-Serif" w:hAnsi="Arial;Helvetica;Sans-Serif"/>
                <w:b/>
                <w:color w:val="FFFFFF"/>
                <w:position w:val="7"/>
                <w:sz w:val="16"/>
                <w:sz w:val="20"/>
              </w:rPr>
              <w:t>3</w:t>
            </w:r>
          </w:p>
        </w:tc>
        <w:tc>
          <w:tcPr>
            <w:tcW w:w="1295" w:type="dxa"/>
            <w:tcBorders>
              <w:top w:val="single" w:sz="8" w:space="0" w:color="58595B"/>
              <w:bottom w:val="single" w:sz="8" w:space="0" w:color="58595B"/>
              <w:right w:val="single" w:sz="10" w:space="0" w:color="FFFFFF"/>
            </w:tcBorders>
            <w:shd w:fill="274F78" w:val="clear"/>
            <w:tcMar>
              <w:left w:w="0" w:type="dxa"/>
            </w:tcMar>
            <w:vAlign w:val="center"/>
          </w:tcPr>
          <w:p>
            <w:pPr>
              <w:pStyle w:val="TableContents"/>
              <w:bidi w:val="0"/>
              <w:spacing w:before="0" w:after="283"/>
              <w:jc w:val="center"/>
              <w:rPr/>
            </w:pPr>
            <w:r>
              <w:rPr>
                <w:rFonts w:ascii="Arial;Helvetica;Sans-Serif" w:hAnsi="Arial;Helvetica;Sans-Serif"/>
                <w:b/>
                <w:color w:val="FFFFFF"/>
                <w:sz w:val="18"/>
              </w:rPr>
              <w:t>All Other</w:t>
              <w:br/>
              <w:t>Compensation</w:t>
              <w:br/>
              <w:t>($)</w:t>
            </w:r>
            <w:r>
              <w:rPr>
                <w:rFonts w:ascii="Arial;Helvetica;Sans-Serif" w:hAnsi="Arial;Helvetica;Sans-Serif"/>
                <w:b/>
                <w:color w:val="FFFFFF"/>
                <w:position w:val="7"/>
                <w:sz w:val="16"/>
                <w:sz w:val="20"/>
              </w:rPr>
              <w:t>4</w:t>
            </w:r>
          </w:p>
        </w:tc>
        <w:tc>
          <w:tcPr>
            <w:tcW w:w="1025" w:type="dxa"/>
            <w:tcBorders>
              <w:top w:val="single" w:sz="8" w:space="0" w:color="58595B"/>
              <w:bottom w:val="single" w:sz="8" w:space="0" w:color="58595B"/>
              <w:right w:val="single" w:sz="8" w:space="0" w:color="58595B"/>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Total ($)</w:t>
            </w:r>
          </w:p>
        </w:tc>
      </w:tr>
      <w:tr>
        <w:trPr/>
        <w:tc>
          <w:tcPr>
            <w:tcW w:w="4280" w:type="dxa"/>
            <w:vMerge w:val="restart"/>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Michael J. Nolan</w:t>
              <w:br/>
            </w:r>
            <w:r>
              <w:rPr>
                <w:rFonts w:ascii="Arial;Helvetica;Sans-Serif" w:hAnsi="Arial;Helvetica;Sans-Serif"/>
                <w:i/>
                <w:color w:val="58595B"/>
                <w:sz w:val="18"/>
              </w:rPr>
              <w:t>Chief Executive Officer</w:t>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2025</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1,083,846</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5,960,007</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4,400,000</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203,040</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11,646,893</w:t>
            </w:r>
          </w:p>
        </w:tc>
      </w:tr>
      <w:tr>
        <w:trPr/>
        <w:tc>
          <w:tcPr>
            <w:tcW w:w="4280" w:type="dxa"/>
            <w:vMerge w:val="continue"/>
            <w:tcBorders>
              <w:left w:val="single" w:sz="8" w:space="0" w:color="58595B"/>
              <w:bottom w:val="single" w:sz="8" w:space="0" w:color="58595B"/>
              <w:right w:val="single" w:sz="8" w:space="0" w:color="58595B"/>
            </w:tcBorders>
            <w:tcMar>
              <w:top w:w="0" w:type="dxa"/>
            </w:tcMar>
            <w:vAlign w:val="center"/>
          </w:tcPr>
          <w:p>
            <w:pPr>
              <w:pStyle w:val="Normal"/>
              <w:bidi w:val="0"/>
              <w:jc w:val="left"/>
              <w:rPr/>
            </w:pPr>
            <w:r>
              <w:rPr/>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2024</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996,154</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5,800,039</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3,550,496</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221,064</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10,567,753</w:t>
            </w:r>
          </w:p>
        </w:tc>
      </w:tr>
      <w:tr>
        <w:trPr/>
        <w:tc>
          <w:tcPr>
            <w:tcW w:w="4280" w:type="dxa"/>
            <w:vMerge w:val="continue"/>
            <w:tcBorders>
              <w:left w:val="single" w:sz="8" w:space="0" w:color="58595B"/>
              <w:bottom w:val="single" w:sz="8" w:space="0" w:color="58595B"/>
              <w:right w:val="single" w:sz="8" w:space="0" w:color="58595B"/>
            </w:tcBorders>
            <w:tcMar>
              <w:top w:w="0" w:type="dxa"/>
            </w:tcMar>
            <w:vAlign w:val="center"/>
          </w:tcPr>
          <w:p>
            <w:pPr>
              <w:pStyle w:val="Normal"/>
              <w:bidi w:val="0"/>
              <w:jc w:val="left"/>
              <w:rPr/>
            </w:pPr>
            <w:r>
              <w:rPr/>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2023</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947,308</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5,510,038</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3,236,333</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197,906</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9,891,585</w:t>
            </w:r>
          </w:p>
        </w:tc>
      </w:tr>
      <w:tr>
        <w:trPr/>
        <w:tc>
          <w:tcPr>
            <w:tcW w:w="4280" w:type="dxa"/>
            <w:vMerge w:val="restart"/>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Raymond R. Quirk</w:t>
              <w:br/>
            </w:r>
            <w:r>
              <w:rPr>
                <w:rFonts w:ascii="Arial;Helvetica;Sans-Serif" w:hAnsi="Arial;Helvetica;Sans-Serif"/>
                <w:i/>
                <w:color w:val="58595B"/>
                <w:sz w:val="18"/>
              </w:rPr>
              <w:t>Executive Vice-Chairman</w:t>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2025</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550,000</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3,410,054</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1,650,000</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221,043</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5,831,097</w:t>
            </w:r>
          </w:p>
        </w:tc>
      </w:tr>
      <w:tr>
        <w:trPr/>
        <w:tc>
          <w:tcPr>
            <w:tcW w:w="4280" w:type="dxa"/>
            <w:vMerge w:val="continue"/>
            <w:tcBorders>
              <w:left w:val="single" w:sz="8" w:space="0" w:color="58595B"/>
              <w:bottom w:val="single" w:sz="8" w:space="0" w:color="58595B"/>
              <w:right w:val="single" w:sz="8" w:space="0" w:color="58595B"/>
            </w:tcBorders>
            <w:tcMar>
              <w:top w:w="0" w:type="dxa"/>
            </w:tcMar>
            <w:vAlign w:val="center"/>
          </w:tcPr>
          <w:p>
            <w:pPr>
              <w:pStyle w:val="Normal"/>
              <w:bidi w:val="0"/>
              <w:jc w:val="left"/>
              <w:rPr/>
            </w:pPr>
            <w:r>
              <w:rPr/>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2024</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561,539</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4,300,071</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1,541,663</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231,344</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6,634,617</w:t>
            </w:r>
          </w:p>
        </w:tc>
      </w:tr>
      <w:tr>
        <w:trPr/>
        <w:tc>
          <w:tcPr>
            <w:tcW w:w="4280" w:type="dxa"/>
            <w:vMerge w:val="continue"/>
            <w:tcBorders>
              <w:left w:val="single" w:sz="8" w:space="0" w:color="58595B"/>
              <w:bottom w:val="single" w:sz="8" w:space="0" w:color="58595B"/>
              <w:right w:val="single" w:sz="8" w:space="0" w:color="58595B"/>
            </w:tcBorders>
            <w:tcMar>
              <w:top w:w="0" w:type="dxa"/>
            </w:tcMar>
            <w:vAlign w:val="center"/>
          </w:tcPr>
          <w:p>
            <w:pPr>
              <w:pStyle w:val="Normal"/>
              <w:bidi w:val="0"/>
              <w:jc w:val="left"/>
              <w:rPr/>
            </w:pPr>
            <w:r>
              <w:rPr/>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2023</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665,385</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4,210,079</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1,660,750</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200,436</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6,736,650</w:t>
            </w:r>
          </w:p>
        </w:tc>
      </w:tr>
      <w:tr>
        <w:trPr/>
        <w:tc>
          <w:tcPr>
            <w:tcW w:w="4280" w:type="dxa"/>
            <w:vMerge w:val="restart"/>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Anthony J. Park</w:t>
              <w:br/>
            </w:r>
            <w:r>
              <w:rPr>
                <w:rFonts w:ascii="Arial;Helvetica;Sans-Serif" w:hAnsi="Arial;Helvetica;Sans-Serif"/>
                <w:i/>
                <w:color w:val="58595B"/>
                <w:sz w:val="18"/>
              </w:rPr>
              <w:t>Executive Vice President and Chief Financial Officer</w:t>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2025</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762,885</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1,785,030</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1,937,500</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147,921</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4,633,336</w:t>
            </w:r>
          </w:p>
        </w:tc>
      </w:tr>
      <w:tr>
        <w:trPr/>
        <w:tc>
          <w:tcPr>
            <w:tcW w:w="4280" w:type="dxa"/>
            <w:vMerge w:val="continue"/>
            <w:tcBorders>
              <w:left w:val="single" w:sz="8" w:space="0" w:color="58595B"/>
              <w:bottom w:val="single" w:sz="8" w:space="0" w:color="58595B"/>
              <w:right w:val="single" w:sz="8" w:space="0" w:color="58595B"/>
            </w:tcBorders>
            <w:tcMar>
              <w:top w:w="0" w:type="dxa"/>
            </w:tcMar>
            <w:vAlign w:val="center"/>
          </w:tcPr>
          <w:p>
            <w:pPr>
              <w:pStyle w:val="Normal"/>
              <w:bidi w:val="0"/>
              <w:jc w:val="left"/>
              <w:rPr/>
            </w:pPr>
            <w:r>
              <w:rPr/>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2024</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695,962</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1,700,052</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1,504,289</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142,974</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4,043,277</w:t>
            </w:r>
          </w:p>
        </w:tc>
      </w:tr>
      <w:tr>
        <w:trPr/>
        <w:tc>
          <w:tcPr>
            <w:tcW w:w="4280" w:type="dxa"/>
            <w:vMerge w:val="continue"/>
            <w:tcBorders>
              <w:left w:val="single" w:sz="8" w:space="0" w:color="58595B"/>
              <w:bottom w:val="single" w:sz="8" w:space="0" w:color="58595B"/>
              <w:right w:val="single" w:sz="8" w:space="0" w:color="58595B"/>
            </w:tcBorders>
            <w:tcMar>
              <w:top w:w="0" w:type="dxa"/>
            </w:tcMar>
            <w:vAlign w:val="center"/>
          </w:tcPr>
          <w:p>
            <w:pPr>
              <w:pStyle w:val="Normal"/>
              <w:bidi w:val="0"/>
              <w:jc w:val="left"/>
              <w:rPr/>
            </w:pPr>
            <w:r>
              <w:rPr/>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2023</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657,308</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1,635,036</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1,302,624</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131,324</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3,726,292</w:t>
            </w:r>
          </w:p>
        </w:tc>
      </w:tr>
      <w:tr>
        <w:trPr/>
        <w:tc>
          <w:tcPr>
            <w:tcW w:w="4280" w:type="dxa"/>
            <w:vMerge w:val="restart"/>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Peter T. Sadowski</w:t>
              <w:br/>
            </w:r>
            <w:r>
              <w:rPr>
                <w:rFonts w:ascii="Arial;Helvetica;Sans-Serif" w:hAnsi="Arial;Helvetica;Sans-Serif"/>
                <w:i/>
                <w:color w:val="58595B"/>
                <w:sz w:val="18"/>
              </w:rPr>
              <w:t>Executive Vice President and Chief Legal Officer</w:t>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2025</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655,154</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1,680,035</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1,386,000</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117,084</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3,838,273</w:t>
            </w:r>
          </w:p>
        </w:tc>
      </w:tr>
      <w:tr>
        <w:trPr/>
        <w:tc>
          <w:tcPr>
            <w:tcW w:w="4280" w:type="dxa"/>
            <w:vMerge w:val="continue"/>
            <w:tcBorders>
              <w:left w:val="single" w:sz="8" w:space="0" w:color="58595B"/>
              <w:bottom w:val="single" w:sz="8" w:space="0" w:color="58595B"/>
              <w:right w:val="single" w:sz="8" w:space="0" w:color="58595B"/>
            </w:tcBorders>
            <w:tcMar>
              <w:top w:w="0" w:type="dxa"/>
            </w:tcMar>
            <w:vAlign w:val="center"/>
          </w:tcPr>
          <w:p>
            <w:pPr>
              <w:pStyle w:val="Normal"/>
              <w:bidi w:val="0"/>
              <w:jc w:val="left"/>
              <w:rPr/>
            </w:pPr>
            <w:r>
              <w:rPr/>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2024</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626,538</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1,600,010</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1,236,133</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115,965</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3,578,646</w:t>
            </w:r>
          </w:p>
        </w:tc>
      </w:tr>
      <w:tr>
        <w:trPr/>
        <w:tc>
          <w:tcPr>
            <w:tcW w:w="4280" w:type="dxa"/>
            <w:vMerge w:val="continue"/>
            <w:tcBorders>
              <w:left w:val="single" w:sz="8" w:space="0" w:color="58595B"/>
              <w:bottom w:val="single" w:sz="8" w:space="0" w:color="58595B"/>
              <w:right w:val="single" w:sz="8" w:space="0" w:color="58595B"/>
            </w:tcBorders>
            <w:tcMar>
              <w:top w:w="0" w:type="dxa"/>
            </w:tcMar>
            <w:vAlign w:val="center"/>
          </w:tcPr>
          <w:p>
            <w:pPr>
              <w:pStyle w:val="Normal"/>
              <w:bidi w:val="0"/>
              <w:jc w:val="left"/>
              <w:rPr/>
            </w:pPr>
            <w:r>
              <w:rPr/>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2023</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600,000</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1,545,001</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1,073,100</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108,068</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3,326,169</w:t>
            </w:r>
          </w:p>
        </w:tc>
      </w:tr>
      <w:tr>
        <w:trPr/>
        <w:tc>
          <w:tcPr>
            <w:tcW w:w="4280" w:type="dxa"/>
            <w:vMerge w:val="restart"/>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Michael L. Gravelle</w:t>
              <w:br/>
            </w:r>
            <w:r>
              <w:rPr>
                <w:rFonts w:ascii="Arial;Helvetica;Sans-Serif" w:hAnsi="Arial;Helvetica;Sans-Serif"/>
                <w:i/>
                <w:color w:val="58595B"/>
                <w:sz w:val="18"/>
              </w:rPr>
              <w:t>Executive Vice President, General Counsel and Corporate Secretary</w:t>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2025</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570,000</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2,200,069</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1,197,000</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113,000</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4,080,069</w:t>
            </w:r>
          </w:p>
        </w:tc>
      </w:tr>
      <w:tr>
        <w:trPr/>
        <w:tc>
          <w:tcPr>
            <w:tcW w:w="4280" w:type="dxa"/>
            <w:vMerge w:val="continue"/>
            <w:tcBorders>
              <w:left w:val="single" w:sz="8" w:space="0" w:color="58595B"/>
              <w:bottom w:val="single" w:sz="8" w:space="0" w:color="58595B"/>
              <w:right w:val="single" w:sz="8" w:space="0" w:color="58595B"/>
            </w:tcBorders>
            <w:tcMar>
              <w:top w:w="0" w:type="dxa"/>
            </w:tcMar>
            <w:vAlign w:val="center"/>
          </w:tcPr>
          <w:p>
            <w:pPr>
              <w:pStyle w:val="Normal"/>
              <w:bidi w:val="0"/>
              <w:jc w:val="left"/>
              <w:rPr/>
            </w:pPr>
            <w:r>
              <w:rPr/>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2024</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567,115</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1,600,010</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1,118,406</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190,526</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3,476,057</w:t>
            </w:r>
          </w:p>
        </w:tc>
      </w:tr>
      <w:tr>
        <w:trPr/>
        <w:tc>
          <w:tcPr>
            <w:tcW w:w="4280" w:type="dxa"/>
            <w:vMerge w:val="continue"/>
            <w:tcBorders>
              <w:left w:val="single" w:sz="8" w:space="0" w:color="58595B"/>
              <w:bottom w:val="single" w:sz="8" w:space="0" w:color="58595B"/>
              <w:right w:val="single" w:sz="8" w:space="0" w:color="58595B"/>
            </w:tcBorders>
            <w:tcMar>
              <w:top w:w="0" w:type="dxa"/>
            </w:tcMar>
            <w:vAlign w:val="center"/>
          </w:tcPr>
          <w:p>
            <w:pPr>
              <w:pStyle w:val="Normal"/>
              <w:bidi w:val="0"/>
              <w:jc w:val="left"/>
              <w:rPr/>
            </w:pPr>
            <w:r>
              <w:rPr/>
            </w:r>
          </w:p>
        </w:tc>
        <w:tc>
          <w:tcPr>
            <w:tcW w:w="56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2023</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545,000</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1,545,001</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974,733</w:t>
            </w:r>
          </w:p>
        </w:tc>
        <w:tc>
          <w:tcPr>
            <w:tcW w:w="129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95,650</w:t>
            </w:r>
          </w:p>
        </w:tc>
        <w:tc>
          <w:tcPr>
            <w:tcW w:w="102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3,160,384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75"/>
        <w:gridCol w:w="9962"/>
      </w:tblGrid>
      <w:tr>
        <w:trPr/>
        <w:tc>
          <w:tcPr>
            <w:tcW w:w="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16"/>
              </w:rPr>
            </w:pPr>
            <w:r>
              <w:rPr>
                <w:sz w:val="16"/>
              </w:rPr>
              <w:t>1.</w:t>
            </w:r>
          </w:p>
        </w:tc>
        <w:tc>
          <w:tcPr>
            <w:tcW w:w="9962" w:type="dxa"/>
            <w:tcBorders/>
            <w:vAlign w:val="center"/>
          </w:tcPr>
          <w:p>
            <w:pPr>
              <w:pStyle w:val="TableContents"/>
              <w:bidi w:val="0"/>
              <w:spacing w:before="0" w:after="283"/>
              <w:jc w:val="left"/>
              <w:rPr>
                <w:sz w:val="16"/>
              </w:rPr>
            </w:pPr>
            <w:r>
              <w:rPr>
                <w:sz w:val="16"/>
              </w:rPr>
              <w:t xml:space="preserve">Amounts shown are not reduced to reflect the named executive officers' elections, if any, to defer receipt of salary into our 401(k) plan, ESPP, or deferred compensation plans. </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53</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58595B"/>
        </w:rPr>
      </w:pPr>
      <w:r>
        <w:rPr>
          <w:caps w:val="false"/>
          <w:smallCaps w:val="false"/>
          <w:bdr w:val="single" w:sz="8" w:space="1" w:color="58595B"/>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4"/>
        <w:gridCol w:w="9993"/>
      </w:tblGrid>
      <w:tr>
        <w:trPr/>
        <w:tc>
          <w:tcPr>
            <w:tcW w:w="6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16"/>
              </w:rPr>
            </w:pPr>
            <w:r>
              <w:rPr>
                <w:sz w:val="16"/>
              </w:rPr>
              <w:t>2.</w:t>
            </w:r>
          </w:p>
        </w:tc>
        <w:tc>
          <w:tcPr>
            <w:tcW w:w="9993" w:type="dxa"/>
            <w:tcBorders/>
            <w:vAlign w:val="center"/>
          </w:tcPr>
          <w:p>
            <w:pPr>
              <w:pStyle w:val="TableContents"/>
              <w:bidi w:val="0"/>
              <w:spacing w:before="0" w:after="283"/>
              <w:jc w:val="left"/>
              <w:rPr>
                <w:sz w:val="16"/>
              </w:rPr>
            </w:pPr>
            <w:r>
              <w:rPr>
                <w:sz w:val="16"/>
              </w:rPr>
              <w:t>Represents the grant date fair value of the restricted stock awards computed in accordance with ASC Topic 718, excluding forfeiture assumptions. See the "Grants of Plan-Based Awards" table for details regarding each award. Assumptions used in the calculation of the grant date fair value of the FNF restricted stock awards are included in Note T to our audited financial statements for the fiscal year ended December 31, 2025, included in our Annual Report on Form 10-K filed with the Securities and Exchange Commission on February 26, 2026. The FNF restricted stock awards are performance-based. For Messrs. Nolan, Quirk and Gravelle, also includes the grant date fair value of F&amp;G restricted stock awards in connection with their service as directors of F&amp;G. Assumptions used in the calculation of the grant date fair value of the F&amp;G restricted stock awards are included in Note R to F&amp;G's audited financial statements for the fiscal year ended December 31, 2025, included in F&amp;G's Annual Report on Form 10-K filed with the Securities and Exchange Commission on February 26, 2026. The F&amp;G restricted stock awards received by Messrs. Nolan and Quirk are time-based.</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7623" w:type="dxa"/>
        <w:jc w:val="left"/>
        <w:tblInd w:w="0" w:type="dxa"/>
        <w:tblLayout w:type="fixed"/>
        <w:tblCellMar>
          <w:top w:w="0" w:type="dxa"/>
          <w:left w:w="0" w:type="dxa"/>
          <w:bottom w:w="0" w:type="dxa"/>
          <w:right w:w="0" w:type="dxa"/>
        </w:tblCellMar>
      </w:tblPr>
      <w:tblGrid>
        <w:gridCol w:w="68"/>
        <w:gridCol w:w="185"/>
        <w:gridCol w:w="737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6"/>
              </w:rPr>
            </w:pPr>
            <w:r>
              <w:rPr>
                <w:sz w:val="16"/>
              </w:rPr>
              <w:t>3.</w:t>
            </w:r>
          </w:p>
        </w:tc>
        <w:tc>
          <w:tcPr>
            <w:tcW w:w="7370" w:type="dxa"/>
            <w:tcBorders/>
            <w:vAlign w:val="center"/>
          </w:tcPr>
          <w:p>
            <w:pPr>
              <w:pStyle w:val="TableContents"/>
              <w:bidi w:val="0"/>
              <w:spacing w:before="0" w:after="283"/>
              <w:jc w:val="both"/>
              <w:rPr>
                <w:sz w:val="16"/>
              </w:rPr>
            </w:pPr>
            <w:r>
              <w:rPr>
                <w:sz w:val="16"/>
              </w:rPr>
              <w:t xml:space="preserve">Represents performance-based compensation earned under our annual incentive plan by each executive.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53"/>
        <w:gridCol w:w="9984"/>
      </w:tblGrid>
      <w:tr>
        <w:trPr/>
        <w:tc>
          <w:tcPr>
            <w:tcW w:w="6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16"/>
              </w:rPr>
            </w:pPr>
            <w:r>
              <w:rPr>
                <w:sz w:val="16"/>
              </w:rPr>
              <w:t>4.</w:t>
            </w:r>
          </w:p>
        </w:tc>
        <w:tc>
          <w:tcPr>
            <w:tcW w:w="9984" w:type="dxa"/>
            <w:tcBorders/>
            <w:vAlign w:val="center"/>
          </w:tcPr>
          <w:p>
            <w:pPr>
              <w:pStyle w:val="TableContents"/>
              <w:bidi w:val="0"/>
              <w:spacing w:before="0" w:after="283"/>
              <w:jc w:val="left"/>
              <w:rPr>
                <w:sz w:val="16"/>
              </w:rPr>
            </w:pPr>
            <w:r>
              <w:rPr>
                <w:sz w:val="16"/>
              </w:rPr>
              <w:t xml:space="preserve">Amounts shown include matching contributions to our ESPP; life insurance premiums paid by us; health insurance fees paid by us under the executive medical plan; personal use of a company airplane; matching contributions to our 401(k) plan; and, for Messrs. Nolan and Quirk, board retainers for their service on the F&amp;G board of directors (which they elected to receive in F&amp;G shares rather than cash), as reflected in the table below. </w:t>
            </w:r>
          </w:p>
        </w:tc>
      </w:tr>
    </w:tbl>
    <w:p>
      <w:pPr>
        <w:pStyle w:val="TextBody"/>
        <w:bidi w:val="0"/>
        <w:spacing w:before="0" w:after="0"/>
        <w:ind w:left="0" w:right="0" w:hanging="0"/>
        <w:jc w:val="left"/>
        <w:rPr>
          <w:caps w:val="false"/>
          <w:smallCaps w:val="false"/>
        </w:rPr>
      </w:pPr>
      <w:r>
        <w:rPr>
          <w:caps w:val="false"/>
          <w:smallCaps w:val="false"/>
        </w:rPr>
        <w:t> </w:t>
      </w:r>
    </w:p>
    <w:tbl>
      <w:tblPr>
        <w:tblW w:w="8010" w:type="dxa"/>
        <w:jc w:val="left"/>
        <w:tblInd w:w="0" w:type="dxa"/>
        <w:tblLayout w:type="fixed"/>
        <w:tblCellMar>
          <w:top w:w="0" w:type="dxa"/>
          <w:left w:w="0" w:type="dxa"/>
          <w:bottom w:w="160" w:type="dxa"/>
          <w:right w:w="28" w:type="dxa"/>
        </w:tblCellMar>
      </w:tblPr>
      <w:tblGrid>
        <w:gridCol w:w="3455"/>
        <w:gridCol w:w="815"/>
        <w:gridCol w:w="785"/>
        <w:gridCol w:w="725"/>
        <w:gridCol w:w="1145"/>
        <w:gridCol w:w="1085"/>
      </w:tblGrid>
      <w:tr>
        <w:trPr/>
        <w:tc>
          <w:tcPr>
            <w:tcW w:w="3455" w:type="dxa"/>
            <w:tcBorders>
              <w:bottom w:val="single" w:sz="8" w:space="0" w:color="58595B"/>
              <w:right w:val="single" w:sz="8" w:space="0" w:color="58595B"/>
            </w:tcBorders>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58595B"/>
              <w:right w:val="single" w:sz="10" w:space="0" w:color="FFFFFF"/>
            </w:tcBorders>
            <w:shd w:fill="234E77" w:val="cle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Nolan ($)</w:t>
            </w:r>
          </w:p>
        </w:tc>
        <w:tc>
          <w:tcPr>
            <w:tcW w:w="785" w:type="dxa"/>
            <w:tcBorders>
              <w:bottom w:val="single" w:sz="8" w:space="0" w:color="58595B"/>
              <w:right w:val="single" w:sz="10" w:space="0" w:color="FFFFFF"/>
            </w:tcBorders>
            <w:shd w:fill="234E77" w:val="cle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Quirk ($)</w:t>
            </w:r>
          </w:p>
        </w:tc>
        <w:tc>
          <w:tcPr>
            <w:tcW w:w="725" w:type="dxa"/>
            <w:tcBorders>
              <w:bottom w:val="single" w:sz="8" w:space="0" w:color="58595B"/>
              <w:right w:val="single" w:sz="10" w:space="0" w:color="FFFFFF"/>
            </w:tcBorders>
            <w:shd w:fill="234E77" w:val="cle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Park ($)</w:t>
            </w:r>
          </w:p>
        </w:tc>
        <w:tc>
          <w:tcPr>
            <w:tcW w:w="1145" w:type="dxa"/>
            <w:tcBorders>
              <w:bottom w:val="single" w:sz="8" w:space="0" w:color="58595B"/>
              <w:right w:val="single" w:sz="10" w:space="0" w:color="FFFFFF"/>
            </w:tcBorders>
            <w:shd w:fill="234E77" w:val="cle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Sadowski ($)</w:t>
            </w:r>
          </w:p>
        </w:tc>
        <w:tc>
          <w:tcPr>
            <w:tcW w:w="1085" w:type="dxa"/>
            <w:tcBorders>
              <w:bottom w:val="single" w:sz="8" w:space="0" w:color="58595B"/>
            </w:tcBorders>
            <w:shd w:fill="234E77" w:val="clear"/>
            <w:tcMar>
              <w:right w:w="0" w:type="dxa"/>
            </w:tcM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Gravelle ($)</w:t>
            </w:r>
          </w:p>
        </w:tc>
      </w:tr>
      <w:tr>
        <w:trPr/>
        <w:tc>
          <w:tcPr>
            <w:tcW w:w="3455"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ESPP Matching Contributions</w:t>
            </w:r>
          </w:p>
        </w:tc>
        <w:tc>
          <w:tcPr>
            <w:tcW w:w="81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25,000</w:t>
            </w:r>
          </w:p>
        </w:tc>
        <w:tc>
          <w:tcPr>
            <w:tcW w:w="78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29,423</w:t>
            </w:r>
          </w:p>
        </w:tc>
        <w:tc>
          <w:tcPr>
            <w:tcW w:w="72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51,490</w:t>
            </w:r>
          </w:p>
        </w:tc>
        <w:tc>
          <w:tcPr>
            <w:tcW w:w="114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46,385</w:t>
            </w:r>
          </w:p>
        </w:tc>
        <w:tc>
          <w:tcPr>
            <w:tcW w:w="108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42,029</w:t>
            </w:r>
          </w:p>
        </w:tc>
      </w:tr>
      <w:tr>
        <w:trPr/>
        <w:tc>
          <w:tcPr>
            <w:tcW w:w="3455"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Life Insurance Premiums</w:t>
            </w:r>
          </w:p>
        </w:tc>
        <w:tc>
          <w:tcPr>
            <w:tcW w:w="81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1,143</w:t>
            </w:r>
          </w:p>
        </w:tc>
        <w:tc>
          <w:tcPr>
            <w:tcW w:w="78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321</w:t>
            </w:r>
          </w:p>
        </w:tc>
        <w:tc>
          <w:tcPr>
            <w:tcW w:w="72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387</w:t>
            </w:r>
          </w:p>
        </w:tc>
        <w:tc>
          <w:tcPr>
            <w:tcW w:w="114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321</w:t>
            </w:r>
          </w:p>
        </w:tc>
        <w:tc>
          <w:tcPr>
            <w:tcW w:w="108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594</w:t>
            </w:r>
          </w:p>
        </w:tc>
      </w:tr>
      <w:tr>
        <w:trPr/>
        <w:tc>
          <w:tcPr>
            <w:tcW w:w="3455"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Personal Airplane Use</w:t>
            </w:r>
          </w:p>
        </w:tc>
        <w:tc>
          <w:tcPr>
            <w:tcW w:w="81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caps w:val="false"/>
                <w:smallCaps w:val="false"/>
                <w:color w:val="58595B"/>
              </w:rPr>
            </w:pPr>
            <w:r>
              <w:rPr>
                <w:caps w:val="false"/>
                <w:smallCaps w:val="false"/>
                <w:color w:val="58595B"/>
              </w:rPr>
              <w:t>—</w:t>
            </w:r>
          </w:p>
        </w:tc>
        <w:tc>
          <w:tcPr>
            <w:tcW w:w="78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18,350</w:t>
            </w:r>
          </w:p>
        </w:tc>
        <w:tc>
          <w:tcPr>
            <w:tcW w:w="72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caps w:val="false"/>
                <w:smallCaps w:val="false"/>
                <w:color w:val="58595B"/>
              </w:rPr>
            </w:pPr>
            <w:r>
              <w:rPr>
                <w:caps w:val="false"/>
                <w:smallCaps w:val="false"/>
                <w:color w:val="58595B"/>
              </w:rPr>
              <w:t>—</w:t>
            </w:r>
          </w:p>
        </w:tc>
        <w:tc>
          <w:tcPr>
            <w:tcW w:w="114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caps w:val="false"/>
                <w:smallCaps w:val="false"/>
                <w:color w:val="58595B"/>
              </w:rPr>
            </w:pPr>
            <w:r>
              <w:rPr>
                <w:caps w:val="false"/>
                <w:smallCaps w:val="false"/>
                <w:color w:val="58595B"/>
              </w:rPr>
              <w:t>—</w:t>
            </w:r>
          </w:p>
        </w:tc>
        <w:tc>
          <w:tcPr>
            <w:tcW w:w="108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caps w:val="false"/>
                <w:smallCaps w:val="false"/>
                <w:color w:val="58595B"/>
              </w:rPr>
            </w:pPr>
            <w:r>
              <w:rPr>
                <w:caps w:val="false"/>
                <w:smallCaps w:val="false"/>
                <w:color w:val="58595B"/>
              </w:rPr>
              <w:t>—</w:t>
            </w:r>
          </w:p>
        </w:tc>
      </w:tr>
      <w:tr>
        <w:trPr/>
        <w:tc>
          <w:tcPr>
            <w:tcW w:w="3455"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Executive Medical</w:t>
            </w:r>
          </w:p>
        </w:tc>
        <w:tc>
          <w:tcPr>
            <w:tcW w:w="81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63,826</w:t>
            </w:r>
          </w:p>
        </w:tc>
        <w:tc>
          <w:tcPr>
            <w:tcW w:w="78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59,876</w:t>
            </w:r>
          </w:p>
        </w:tc>
        <w:tc>
          <w:tcPr>
            <w:tcW w:w="72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85,544</w:t>
            </w:r>
          </w:p>
        </w:tc>
        <w:tc>
          <w:tcPr>
            <w:tcW w:w="114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59,878</w:t>
            </w:r>
          </w:p>
        </w:tc>
        <w:tc>
          <w:tcPr>
            <w:tcW w:w="108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59,877</w:t>
            </w:r>
          </w:p>
        </w:tc>
      </w:tr>
      <w:tr>
        <w:trPr/>
        <w:tc>
          <w:tcPr>
            <w:tcW w:w="3455"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Company Match – 401(k)</w:t>
            </w:r>
          </w:p>
        </w:tc>
        <w:tc>
          <w:tcPr>
            <w:tcW w:w="81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10,500</w:t>
            </w:r>
          </w:p>
        </w:tc>
        <w:tc>
          <w:tcPr>
            <w:tcW w:w="78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10,500</w:t>
            </w:r>
          </w:p>
        </w:tc>
        <w:tc>
          <w:tcPr>
            <w:tcW w:w="72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10,500</w:t>
            </w:r>
          </w:p>
        </w:tc>
        <w:tc>
          <w:tcPr>
            <w:tcW w:w="114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10,500</w:t>
            </w:r>
          </w:p>
        </w:tc>
        <w:tc>
          <w:tcPr>
            <w:tcW w:w="108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10,500</w:t>
            </w:r>
          </w:p>
        </w:tc>
      </w:tr>
      <w:tr>
        <w:trPr/>
        <w:tc>
          <w:tcPr>
            <w:tcW w:w="3455"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F&amp;G Director Retainer (paid in F&amp;G stock)</w:t>
            </w:r>
          </w:p>
        </w:tc>
        <w:tc>
          <w:tcPr>
            <w:tcW w:w="81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102,571</w:t>
            </w:r>
          </w:p>
        </w:tc>
        <w:tc>
          <w:tcPr>
            <w:tcW w:w="78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102,571</w:t>
            </w:r>
          </w:p>
        </w:tc>
        <w:tc>
          <w:tcPr>
            <w:tcW w:w="72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caps w:val="false"/>
                <w:smallCaps w:val="false"/>
                <w:color w:val="58595B"/>
              </w:rPr>
            </w:pPr>
            <w:r>
              <w:rPr>
                <w:caps w:val="false"/>
                <w:smallCaps w:val="false"/>
                <w:color w:val="58595B"/>
              </w:rPr>
              <w:t>—</w:t>
            </w:r>
          </w:p>
        </w:tc>
        <w:tc>
          <w:tcPr>
            <w:tcW w:w="114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caps w:val="false"/>
                <w:smallCaps w:val="false"/>
                <w:color w:val="58595B"/>
              </w:rPr>
            </w:pPr>
            <w:r>
              <w:rPr>
                <w:caps w:val="false"/>
                <w:smallCaps w:val="false"/>
                <w:color w:val="58595B"/>
              </w:rPr>
              <w:t>—</w:t>
            </w:r>
          </w:p>
        </w:tc>
        <w:tc>
          <w:tcPr>
            <w:tcW w:w="1085" w:type="dxa"/>
            <w:tcBorders>
              <w:bottom w:val="single" w:sz="8" w:space="0" w:color="58595B"/>
              <w:right w:val="single" w:sz="8" w:space="0" w:color="58595B"/>
            </w:tcBorders>
            <w:tcMar>
              <w:bottom w:w="100" w:type="dxa"/>
              <w:right w:w="60" w:type="dxa"/>
            </w:tcMar>
            <w:vAlign w:val="center"/>
          </w:tcPr>
          <w:p>
            <w:pPr>
              <w:pStyle w:val="TableContents"/>
              <w:bidi w:val="0"/>
              <w:spacing w:before="0" w:after="283"/>
              <w:jc w:val="center"/>
              <w:rPr>
                <w:caps w:val="false"/>
                <w:smallCaps w:val="false"/>
                <w:color w:val="58595B"/>
              </w:rPr>
            </w:pPr>
            <w:r>
              <w:rPr>
                <w:caps w:val="false"/>
                <w:smallCaps w:val="false"/>
                <w:color w:val="58595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GRANTS OF PLAN-BASED AWARDS</w:t>
      </w:r>
    </w:p>
    <w:p>
      <w:pPr>
        <w:pStyle w:val="TextBody"/>
        <w:bidi w:val="0"/>
        <w:spacing w:before="0" w:after="0"/>
        <w:ind w:left="1440" w:right="1080" w:hanging="0"/>
        <w:jc w:val="left"/>
        <w:rPr>
          <w:caps w:val="false"/>
          <w:smallCaps w:val="false"/>
        </w:rPr>
      </w:pPr>
      <w:r>
        <w:rPr>
          <w:caps w:val="false"/>
          <w:smallCaps w:val="false"/>
        </w:rPr>
        <w:t> </w:t>
      </w:r>
    </w:p>
    <w:p>
      <w:pPr>
        <w:pStyle w:val="TextBody"/>
        <w:bidi w:val="0"/>
        <w:spacing w:before="0" w:after="0"/>
        <w:ind w:left="144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following tables set forth information concerning awards granted to the named executive officers during the fiscal year ended December 31, 2025.</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54</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58595B"/>
        </w:rPr>
      </w:pPr>
      <w:r>
        <w:rPr>
          <w:caps w:val="false"/>
          <w:smallCaps w:val="false"/>
          <w:bdr w:val="single" w:sz="8" w:space="1" w:color="58595B"/>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25" w:type="dxa"/>
        <w:jc w:val="left"/>
        <w:tblInd w:w="0" w:type="dxa"/>
        <w:tblLayout w:type="fixed"/>
        <w:tblCellMar>
          <w:top w:w="0" w:type="dxa"/>
          <w:left w:w="0" w:type="dxa"/>
          <w:bottom w:w="0" w:type="dxa"/>
          <w:right w:w="0" w:type="dxa"/>
        </w:tblCellMar>
      </w:tblPr>
      <w:tblGrid>
        <w:gridCol w:w="860"/>
        <w:gridCol w:w="530"/>
        <w:gridCol w:w="1685"/>
        <w:gridCol w:w="980"/>
        <w:gridCol w:w="980"/>
        <w:gridCol w:w="980"/>
        <w:gridCol w:w="905"/>
        <w:gridCol w:w="725"/>
        <w:gridCol w:w="890"/>
        <w:gridCol w:w="770"/>
        <w:gridCol w:w="920"/>
      </w:tblGrid>
      <w:tr>
        <w:trPr/>
        <w:tc>
          <w:tcPr>
            <w:tcW w:w="860" w:type="dxa"/>
            <w:tcBorders/>
            <w:vAlign w:val="center"/>
          </w:tcPr>
          <w:p>
            <w:pPr>
              <w:pStyle w:val="TableContents"/>
              <w:bidi w:val="0"/>
              <w:spacing w:before="0" w:after="283"/>
              <w:jc w:val="left"/>
              <w:rPr>
                <w:color w:val="FFFFFF"/>
              </w:rPr>
            </w:pPr>
            <w:r>
              <w:rPr>
                <w:color w:val="FFFFFF"/>
              </w:rPr>
              <w:t> </w:t>
            </w:r>
          </w:p>
        </w:tc>
        <w:tc>
          <w:tcPr>
            <w:tcW w:w="530" w:type="dxa"/>
            <w:tcBorders/>
            <w:vAlign w:val="center"/>
          </w:tcPr>
          <w:p>
            <w:pPr>
              <w:pStyle w:val="TableContents"/>
              <w:bidi w:val="0"/>
              <w:spacing w:before="0" w:after="283"/>
              <w:jc w:val="left"/>
              <w:rPr>
                <w:color w:val="FFFFFF"/>
              </w:rPr>
            </w:pPr>
            <w:r>
              <w:rPr>
                <w:color w:val="FFFFFF"/>
              </w:rPr>
              <w:t> </w:t>
            </w:r>
          </w:p>
        </w:tc>
        <w:tc>
          <w:tcPr>
            <w:tcW w:w="1685" w:type="dxa"/>
            <w:tcBorders>
              <w:right w:val="single" w:sz="8" w:space="0" w:color="586D94"/>
            </w:tcBorders>
            <w:tcMar>
              <w:right w:w="60" w:type="dxa"/>
            </w:tcMar>
            <w:vAlign w:val="center"/>
          </w:tcPr>
          <w:p>
            <w:pPr>
              <w:pStyle w:val="TableContents"/>
              <w:bidi w:val="0"/>
              <w:spacing w:before="0" w:after="283"/>
              <w:jc w:val="left"/>
              <w:rPr>
                <w:color w:val="FFFFFF"/>
              </w:rPr>
            </w:pPr>
            <w:r>
              <w:rPr>
                <w:color w:val="FFFFFF"/>
              </w:rPr>
              <w:t> </w:t>
            </w:r>
          </w:p>
        </w:tc>
        <w:tc>
          <w:tcPr>
            <w:tcW w:w="2940" w:type="dxa"/>
            <w:gridSpan w:val="3"/>
            <w:tcBorders>
              <w:top w:val="single" w:sz="8" w:space="0" w:color="586D94"/>
              <w:right w:val="single" w:sz="10" w:space="0" w:color="FFFFFF"/>
            </w:tcBorders>
            <w:shd w:fill="55779A" w:val="clear"/>
            <w:tcMar>
              <w:top w:w="10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Estimated Future Payouts</w:t>
              <w:br/>
              <w:t>Under Non-Equity Incentive</w:t>
              <w:br/>
              <w:t>Plan Awards</w:t>
            </w:r>
            <w:r>
              <w:rPr>
                <w:rFonts w:ascii="Arial;Helvetica;Sans-Serif" w:hAnsi="Arial;Helvetica;Sans-Serif"/>
                <w:b/>
                <w:color w:val="FFFFFF"/>
                <w:position w:val="6"/>
                <w:sz w:val="14"/>
                <w:sz w:val="18"/>
              </w:rPr>
              <w:t>(1)</w:t>
            </w:r>
          </w:p>
        </w:tc>
        <w:tc>
          <w:tcPr>
            <w:tcW w:w="2520" w:type="dxa"/>
            <w:gridSpan w:val="3"/>
            <w:tcBorders>
              <w:top w:val="single" w:sz="8" w:space="0" w:color="586D94"/>
              <w:right w:val="single" w:sz="10" w:space="0" w:color="FFFFFF"/>
            </w:tcBorders>
            <w:shd w:fill="55779A" w:val="clear"/>
            <w:tcMar>
              <w:top w:w="10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Estimated Future Payouts</w:t>
              <w:br/>
              <w:t>Under Equity Incentive</w:t>
              <w:br/>
              <w:t>Plan Awards</w:t>
            </w:r>
            <w:r>
              <w:rPr>
                <w:rFonts w:ascii="Arial;Helvetica;Sans-Serif" w:hAnsi="Arial;Helvetica;Sans-Serif"/>
                <w:b/>
                <w:color w:val="FFFFFF"/>
                <w:position w:val="6"/>
                <w:sz w:val="14"/>
                <w:sz w:val="18"/>
              </w:rPr>
              <w:t>(2)</w:t>
            </w:r>
          </w:p>
        </w:tc>
        <w:tc>
          <w:tcPr>
            <w:tcW w:w="770" w:type="dxa"/>
            <w:tcBorders>
              <w:top w:val="single" w:sz="8" w:space="0" w:color="000E44"/>
              <w:right w:val="single" w:sz="8" w:space="0" w:color="58595B"/>
            </w:tcBorders>
            <w:shd w:fill="274F78" w:val="clear"/>
            <w:tcMar>
              <w:top w:w="28"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(J)</w:t>
            </w:r>
          </w:p>
        </w:tc>
        <w:tc>
          <w:tcPr>
            <w:tcW w:w="920" w:type="dxa"/>
            <w:tcBorders>
              <w:top w:val="single" w:sz="8" w:space="0" w:color="000E44"/>
              <w:right w:val="single" w:sz="8" w:space="0" w:color="58595B"/>
            </w:tcBorders>
            <w:shd w:fill="274F78" w:val="clear"/>
            <w:tcMar>
              <w:top w:w="28"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(K)</w:t>
              <w:br/>
              <w:t>Grant</w:t>
            </w:r>
          </w:p>
        </w:tc>
      </w:tr>
      <w:tr>
        <w:trPr/>
        <w:tc>
          <w:tcPr>
            <w:tcW w:w="860" w:type="dxa"/>
            <w:tcBorders>
              <w:left w:val="single" w:sz="8" w:space="0" w:color="58595B"/>
              <w:bottom w:val="single" w:sz="8" w:space="0" w:color="58595B"/>
              <w:right w:val="single" w:sz="10" w:space="0" w:color="FFFFFF"/>
            </w:tcBorders>
            <w:shd w:fill="274F78" w:val="clear"/>
            <w:tcMar>
              <w:left w:w="60" w:type="dxa"/>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w:t>
              <w:br/>
              <w:t>Name</w:t>
            </w:r>
          </w:p>
        </w:tc>
        <w:tc>
          <w:tcPr>
            <w:tcW w:w="530"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(B)</w:t>
              <w:br/>
              <w:t>Grant Date</w:t>
            </w:r>
          </w:p>
        </w:tc>
        <w:tc>
          <w:tcPr>
            <w:tcW w:w="1685"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w:t>
              <w:br/>
              <w:t>Award Type</w:t>
            </w:r>
          </w:p>
        </w:tc>
        <w:tc>
          <w:tcPr>
            <w:tcW w:w="980"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(D)</w:t>
              <w:br/>
              <w:t>Threshold</w:t>
              <w:br/>
              <w:t>($)</w:t>
            </w:r>
          </w:p>
        </w:tc>
        <w:tc>
          <w:tcPr>
            <w:tcW w:w="980"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w:t>
              <w:br/>
              <w:t>Target</w:t>
              <w:br/>
              <w:t>($)</w:t>
            </w:r>
          </w:p>
        </w:tc>
        <w:tc>
          <w:tcPr>
            <w:tcW w:w="980"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(F)</w:t>
              <w:br/>
              <w:t>Maximum</w:t>
              <w:br/>
              <w:t>($)</w:t>
            </w:r>
          </w:p>
        </w:tc>
        <w:tc>
          <w:tcPr>
            <w:tcW w:w="905"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(G)</w:t>
              <w:br/>
              <w:t>Threshold</w:t>
              <w:br/>
              <w:t>(#)</w:t>
            </w:r>
          </w:p>
        </w:tc>
        <w:tc>
          <w:tcPr>
            <w:tcW w:w="725"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(H)</w:t>
              <w:br/>
              <w:t>Target</w:t>
              <w:br/>
              <w:t>(#)</w:t>
            </w:r>
          </w:p>
        </w:tc>
        <w:tc>
          <w:tcPr>
            <w:tcW w:w="890"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(I)</w:t>
              <w:br/>
              <w:t>Maximum</w:t>
              <w:br/>
              <w:t>(#)</w:t>
            </w:r>
          </w:p>
        </w:tc>
        <w:tc>
          <w:tcPr>
            <w:tcW w:w="770" w:type="dxa"/>
            <w:tcBorders>
              <w:bottom w:val="single" w:sz="8" w:space="0" w:color="58595B"/>
              <w:right w:val="single" w:sz="8" w:space="0" w:color="58595B"/>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All Other</w:t>
              <w:br/>
              <w:t>Awards:</w:t>
              <w:br/>
              <w:t>Number</w:t>
              <w:br/>
              <w:t>of</w:t>
              <w:br/>
              <w:t>Shares</w:t>
              <w:br/>
              <w:t xml:space="preserve">of Stock </w:t>
              <w:br/>
              <w:t>(#)</w:t>
            </w:r>
            <w:r>
              <w:rPr>
                <w:rFonts w:ascii="Arial;Helvetica;Sans-Serif" w:hAnsi="Arial;Helvetica;Sans-Serif"/>
                <w:b/>
                <w:color w:val="FFFFFF"/>
                <w:position w:val="6"/>
                <w:sz w:val="14"/>
                <w:sz w:val="18"/>
              </w:rPr>
              <w:t>(3)</w:t>
            </w:r>
          </w:p>
        </w:tc>
        <w:tc>
          <w:tcPr>
            <w:tcW w:w="920" w:type="dxa"/>
            <w:tcBorders>
              <w:bottom w:val="single" w:sz="8" w:space="0" w:color="58595B"/>
              <w:right w:val="single" w:sz="8" w:space="0" w:color="58595B"/>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Date</w:t>
              <w:br/>
              <w:t>Fair</w:t>
              <w:br/>
              <w:t>Value of</w:t>
              <w:br/>
              <w:t>Stock and</w:t>
              <w:br/>
              <w:t>Option</w:t>
              <w:br/>
              <w:t>Awards</w:t>
              <w:br/>
              <w:t>($)</w:t>
            </w:r>
            <w:r>
              <w:rPr>
                <w:rFonts w:ascii="Arial;Helvetica;Sans-Serif" w:hAnsi="Arial;Helvetica;Sans-Serif"/>
                <w:b/>
                <w:color w:val="FFFFFF"/>
                <w:position w:val="6"/>
                <w:sz w:val="14"/>
                <w:sz w:val="18"/>
              </w:rPr>
              <w:t>(4)</w:t>
            </w:r>
          </w:p>
        </w:tc>
      </w:tr>
      <w:tr>
        <w:trPr/>
        <w:tc>
          <w:tcPr>
            <w:tcW w:w="860" w:type="dxa"/>
            <w:vMerge w:val="restart"/>
            <w:tcBorders>
              <w:left w:val="single" w:sz="8" w:space="0" w:color="58595B"/>
              <w:bottom w:val="single" w:sz="8" w:space="0" w:color="58595B"/>
            </w:tcBorders>
            <w:shd w:fill="859BB6" w:val="clear"/>
            <w:tcMar>
              <w:left w:w="60" w:type="dxa"/>
              <w:bottom w:w="100" w:type="dxa"/>
            </w:tcM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Michael J. Nolan</w:t>
            </w:r>
          </w:p>
        </w:tc>
        <w:tc>
          <w:tcPr>
            <w:tcW w:w="53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p>
        </w:tc>
        <w:tc>
          <w:tcPr>
            <w:tcW w:w="168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F&amp;G Restricted Stock</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2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89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7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6,436</w:t>
            </w:r>
          </w:p>
        </w:tc>
        <w:tc>
          <w:tcPr>
            <w:tcW w:w="920"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210,007</w:t>
            </w:r>
          </w:p>
        </w:tc>
      </w:tr>
      <w:tr>
        <w:trPr/>
        <w:tc>
          <w:tcPr>
            <w:tcW w:w="860" w:type="dxa"/>
            <w:vMerge w:val="continue"/>
            <w:tcBorders>
              <w:left w:val="single" w:sz="8" w:space="0" w:color="58595B"/>
              <w:bottom w:val="single" w:sz="8" w:space="0" w:color="58595B"/>
            </w:tcBorders>
            <w:shd w:fill="859BB6" w:val="clear"/>
            <w:tcMar>
              <w:left w:w="60" w:type="dxa"/>
              <w:bottom w:w="100" w:type="dxa"/>
            </w:tcMar>
            <w:vAlign w:val="center"/>
          </w:tcPr>
          <w:p>
            <w:pPr>
              <w:pStyle w:val="Normal"/>
              <w:bidi w:val="0"/>
              <w:jc w:val="left"/>
              <w:rPr/>
            </w:pPr>
            <w:r>
              <w:rPr/>
            </w:r>
          </w:p>
        </w:tc>
        <w:tc>
          <w:tcPr>
            <w:tcW w:w="53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p>
        </w:tc>
        <w:tc>
          <w:tcPr>
            <w:tcW w:w="168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Performance-Based Restricted Stock</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2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100,000</w:t>
            </w:r>
          </w:p>
        </w:tc>
        <w:tc>
          <w:tcPr>
            <w:tcW w:w="89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7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20"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5,750,000</w:t>
            </w:r>
          </w:p>
        </w:tc>
      </w:tr>
      <w:tr>
        <w:trPr/>
        <w:tc>
          <w:tcPr>
            <w:tcW w:w="860" w:type="dxa"/>
            <w:vMerge w:val="continue"/>
            <w:tcBorders>
              <w:left w:val="single" w:sz="8" w:space="0" w:color="58595B"/>
              <w:bottom w:val="single" w:sz="8" w:space="0" w:color="58595B"/>
            </w:tcBorders>
            <w:shd w:fill="859BB6" w:val="clear"/>
            <w:tcMar>
              <w:left w:w="60" w:type="dxa"/>
              <w:bottom w:w="100" w:type="dxa"/>
            </w:tcMar>
            <w:vAlign w:val="center"/>
          </w:tcPr>
          <w:p>
            <w:pPr>
              <w:pStyle w:val="Normal"/>
              <w:bidi w:val="0"/>
              <w:jc w:val="left"/>
              <w:rPr/>
            </w:pPr>
            <w:r>
              <w:rPr/>
            </w:r>
          </w:p>
        </w:tc>
        <w:tc>
          <w:tcPr>
            <w:tcW w:w="53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4/14/2025</w:t>
            </w:r>
          </w:p>
        </w:tc>
        <w:tc>
          <w:tcPr>
            <w:tcW w:w="168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Annual Incentive Plan</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$1,100,000</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$2,200,000</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$4,400,000</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2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89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7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20"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center"/>
              <w:rPr>
                <w:color w:val="58595B"/>
              </w:rPr>
            </w:pPr>
            <w:r>
              <w:rPr>
                <w:color w:val="58595B"/>
              </w:rPr>
              <w:t>—</w:t>
            </w:r>
          </w:p>
        </w:tc>
      </w:tr>
      <w:tr>
        <w:trPr/>
        <w:tc>
          <w:tcPr>
            <w:tcW w:w="860" w:type="dxa"/>
            <w:vMerge w:val="restart"/>
            <w:tcBorders>
              <w:left w:val="single" w:sz="8" w:space="0" w:color="58595B"/>
              <w:bottom w:val="single" w:sz="8" w:space="0" w:color="58595B"/>
            </w:tcBorders>
            <w:shd w:fill="859BB6" w:val="clear"/>
            <w:tcMar>
              <w:left w:w="60" w:type="dxa"/>
              <w:bottom w:w="100" w:type="dxa"/>
            </w:tcM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Raymond R. Quirk</w:t>
            </w:r>
          </w:p>
        </w:tc>
        <w:tc>
          <w:tcPr>
            <w:tcW w:w="53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p>
        </w:tc>
        <w:tc>
          <w:tcPr>
            <w:tcW w:w="168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F&amp;G Restricted Stock</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2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 </w:t>
            </w:r>
          </w:p>
        </w:tc>
        <w:tc>
          <w:tcPr>
            <w:tcW w:w="89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7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6,436</w:t>
            </w:r>
          </w:p>
        </w:tc>
        <w:tc>
          <w:tcPr>
            <w:tcW w:w="920"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210,007</w:t>
            </w:r>
          </w:p>
        </w:tc>
      </w:tr>
      <w:tr>
        <w:trPr/>
        <w:tc>
          <w:tcPr>
            <w:tcW w:w="860" w:type="dxa"/>
            <w:vMerge w:val="continue"/>
            <w:tcBorders>
              <w:left w:val="single" w:sz="8" w:space="0" w:color="58595B"/>
              <w:bottom w:val="single" w:sz="8" w:space="0" w:color="58595B"/>
            </w:tcBorders>
            <w:shd w:fill="859BB6" w:val="clear"/>
            <w:tcMar>
              <w:left w:w="60" w:type="dxa"/>
              <w:bottom w:w="100" w:type="dxa"/>
            </w:tcMar>
            <w:vAlign w:val="center"/>
          </w:tcPr>
          <w:p>
            <w:pPr>
              <w:pStyle w:val="Normal"/>
              <w:bidi w:val="0"/>
              <w:jc w:val="left"/>
              <w:rPr/>
            </w:pPr>
            <w:r>
              <w:rPr/>
            </w:r>
          </w:p>
        </w:tc>
        <w:tc>
          <w:tcPr>
            <w:tcW w:w="53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p>
        </w:tc>
        <w:tc>
          <w:tcPr>
            <w:tcW w:w="168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Performance-Based Restricted Stock</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2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55,653</w:t>
            </w:r>
          </w:p>
        </w:tc>
        <w:tc>
          <w:tcPr>
            <w:tcW w:w="89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7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20"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3,200,047</w:t>
            </w:r>
          </w:p>
        </w:tc>
      </w:tr>
      <w:tr>
        <w:trPr/>
        <w:tc>
          <w:tcPr>
            <w:tcW w:w="860" w:type="dxa"/>
            <w:vMerge w:val="continue"/>
            <w:tcBorders>
              <w:left w:val="single" w:sz="8" w:space="0" w:color="58595B"/>
              <w:bottom w:val="single" w:sz="8" w:space="0" w:color="58595B"/>
            </w:tcBorders>
            <w:shd w:fill="859BB6" w:val="clear"/>
            <w:tcMar>
              <w:left w:w="60" w:type="dxa"/>
              <w:bottom w:w="100" w:type="dxa"/>
            </w:tcMar>
            <w:vAlign w:val="center"/>
          </w:tcPr>
          <w:p>
            <w:pPr>
              <w:pStyle w:val="Normal"/>
              <w:bidi w:val="0"/>
              <w:jc w:val="left"/>
              <w:rPr/>
            </w:pPr>
            <w:r>
              <w:rPr/>
            </w:r>
          </w:p>
        </w:tc>
        <w:tc>
          <w:tcPr>
            <w:tcW w:w="53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4/14/2025</w:t>
            </w:r>
          </w:p>
        </w:tc>
        <w:tc>
          <w:tcPr>
            <w:tcW w:w="168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Annual Incentive Plan</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$412,500</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$825,000</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$1,650,000</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2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89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7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20"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center"/>
              <w:rPr>
                <w:color w:val="58595B"/>
              </w:rPr>
            </w:pPr>
            <w:r>
              <w:rPr>
                <w:color w:val="58595B"/>
              </w:rPr>
              <w:t>—</w:t>
            </w:r>
          </w:p>
        </w:tc>
      </w:tr>
      <w:tr>
        <w:trPr/>
        <w:tc>
          <w:tcPr>
            <w:tcW w:w="860" w:type="dxa"/>
            <w:vMerge w:val="restart"/>
            <w:tcBorders>
              <w:left w:val="single" w:sz="8" w:space="0" w:color="58595B"/>
              <w:bottom w:val="single" w:sz="8" w:space="0" w:color="58595B"/>
            </w:tcBorders>
            <w:shd w:fill="859BB6" w:val="clear"/>
            <w:tcMar>
              <w:left w:w="60" w:type="dxa"/>
              <w:bottom w:w="100" w:type="dxa"/>
            </w:tcM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Anthony J. Park</w:t>
            </w:r>
          </w:p>
        </w:tc>
        <w:tc>
          <w:tcPr>
            <w:tcW w:w="53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p>
        </w:tc>
        <w:tc>
          <w:tcPr>
            <w:tcW w:w="168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Performance-Based Restricted Stock</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2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31,044</w:t>
            </w:r>
          </w:p>
        </w:tc>
        <w:tc>
          <w:tcPr>
            <w:tcW w:w="89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7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20"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1,785,030</w:t>
            </w:r>
          </w:p>
        </w:tc>
      </w:tr>
      <w:tr>
        <w:trPr/>
        <w:tc>
          <w:tcPr>
            <w:tcW w:w="860" w:type="dxa"/>
            <w:vMerge w:val="continue"/>
            <w:tcBorders>
              <w:left w:val="single" w:sz="8" w:space="0" w:color="58595B"/>
              <w:bottom w:val="single" w:sz="8" w:space="0" w:color="58595B"/>
            </w:tcBorders>
            <w:shd w:fill="859BB6" w:val="clear"/>
            <w:tcMar>
              <w:left w:w="60" w:type="dxa"/>
              <w:bottom w:w="100" w:type="dxa"/>
            </w:tcMar>
            <w:vAlign w:val="center"/>
          </w:tcPr>
          <w:p>
            <w:pPr>
              <w:pStyle w:val="Normal"/>
              <w:bidi w:val="0"/>
              <w:jc w:val="left"/>
              <w:rPr/>
            </w:pPr>
            <w:r>
              <w:rPr/>
            </w:r>
          </w:p>
        </w:tc>
        <w:tc>
          <w:tcPr>
            <w:tcW w:w="53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4/14/2025</w:t>
            </w:r>
          </w:p>
        </w:tc>
        <w:tc>
          <w:tcPr>
            <w:tcW w:w="168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Annual Incentive Plan</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$484,375</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$968,750</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$1,937,500</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2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89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7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20"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center"/>
              <w:rPr>
                <w:color w:val="58595B"/>
              </w:rPr>
            </w:pPr>
            <w:r>
              <w:rPr>
                <w:color w:val="58595B"/>
              </w:rPr>
              <w:t>—</w:t>
            </w:r>
          </w:p>
        </w:tc>
      </w:tr>
      <w:tr>
        <w:trPr/>
        <w:tc>
          <w:tcPr>
            <w:tcW w:w="860" w:type="dxa"/>
            <w:vMerge w:val="restart"/>
            <w:tcBorders>
              <w:left w:val="single" w:sz="8" w:space="0" w:color="58595B"/>
              <w:bottom w:val="single" w:sz="8" w:space="0" w:color="58595B"/>
            </w:tcBorders>
            <w:shd w:fill="859BB6" w:val="clear"/>
            <w:tcMar>
              <w:left w:w="60" w:type="dxa"/>
              <w:bottom w:w="100" w:type="dxa"/>
            </w:tcM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Peter T. Sadowski</w:t>
            </w:r>
          </w:p>
        </w:tc>
        <w:tc>
          <w:tcPr>
            <w:tcW w:w="53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p>
        </w:tc>
        <w:tc>
          <w:tcPr>
            <w:tcW w:w="168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Performance-Based Restricted Stock</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2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29,218</w:t>
            </w:r>
          </w:p>
        </w:tc>
        <w:tc>
          <w:tcPr>
            <w:tcW w:w="89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7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20"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1,680,035</w:t>
            </w:r>
          </w:p>
        </w:tc>
      </w:tr>
      <w:tr>
        <w:trPr/>
        <w:tc>
          <w:tcPr>
            <w:tcW w:w="860" w:type="dxa"/>
            <w:vMerge w:val="continue"/>
            <w:tcBorders>
              <w:left w:val="single" w:sz="8" w:space="0" w:color="58595B"/>
              <w:bottom w:val="single" w:sz="8" w:space="0" w:color="58595B"/>
            </w:tcBorders>
            <w:shd w:fill="859BB6" w:val="clear"/>
            <w:tcMar>
              <w:left w:w="60" w:type="dxa"/>
              <w:bottom w:w="100" w:type="dxa"/>
            </w:tcMar>
            <w:vAlign w:val="center"/>
          </w:tcPr>
          <w:p>
            <w:pPr>
              <w:pStyle w:val="Normal"/>
              <w:bidi w:val="0"/>
              <w:jc w:val="left"/>
              <w:rPr/>
            </w:pPr>
            <w:r>
              <w:rPr/>
            </w:r>
          </w:p>
        </w:tc>
        <w:tc>
          <w:tcPr>
            <w:tcW w:w="53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4/14/2025</w:t>
            </w:r>
          </w:p>
        </w:tc>
        <w:tc>
          <w:tcPr>
            <w:tcW w:w="168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Annual Incentive Plan</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$346,500</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$693,000</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$1,386,000</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2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89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7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20"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center"/>
              <w:rPr>
                <w:color w:val="58595B"/>
              </w:rPr>
            </w:pPr>
            <w:r>
              <w:rPr>
                <w:color w:val="58595B"/>
              </w:rPr>
              <w:t>—</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55</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58595B"/>
        </w:rPr>
      </w:pPr>
      <w:r>
        <w:rPr>
          <w:caps w:val="false"/>
          <w:smallCaps w:val="false"/>
          <w:bdr w:val="single" w:sz="8" w:space="1" w:color="58595B"/>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1"/>
        <w:gridCol w:w="589"/>
        <w:gridCol w:w="1917"/>
        <w:gridCol w:w="905"/>
        <w:gridCol w:w="830"/>
        <w:gridCol w:w="980"/>
        <w:gridCol w:w="905"/>
        <w:gridCol w:w="620"/>
        <w:gridCol w:w="890"/>
        <w:gridCol w:w="773"/>
        <w:gridCol w:w="925"/>
      </w:tblGrid>
      <w:tr>
        <w:trPr/>
        <w:tc>
          <w:tcPr>
            <w:tcW w:w="871"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left"/>
              <w:rPr/>
            </w:pPr>
            <w:r>
              <w:rPr/>
              <w:t> </w:t>
            </w:r>
          </w:p>
        </w:tc>
        <w:tc>
          <w:tcPr>
            <w:tcW w:w="1917" w:type="dxa"/>
            <w:tcBorders>
              <w:right w:val="single" w:sz="8" w:space="0" w:color="586D94"/>
            </w:tcBorders>
            <w:tcMar>
              <w:right w:w="60" w:type="dxa"/>
            </w:tcMar>
            <w:vAlign w:val="center"/>
          </w:tcPr>
          <w:p>
            <w:pPr>
              <w:pStyle w:val="TableContents"/>
              <w:bidi w:val="0"/>
              <w:spacing w:before="0" w:after="283"/>
              <w:jc w:val="left"/>
              <w:rPr/>
            </w:pPr>
            <w:r>
              <w:rPr/>
              <w:t> </w:t>
            </w:r>
          </w:p>
        </w:tc>
        <w:tc>
          <w:tcPr>
            <w:tcW w:w="2715" w:type="dxa"/>
            <w:gridSpan w:val="3"/>
            <w:tcBorders>
              <w:top w:val="single" w:sz="8" w:space="0" w:color="586D94"/>
              <w:right w:val="single" w:sz="10" w:space="0" w:color="FFFFFF"/>
            </w:tcBorders>
            <w:shd w:fill="55779A" w:val="clear"/>
            <w:tcMar>
              <w:top w:w="10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Estimated Future Payouts</w:t>
              <w:br/>
              <w:t>Under Non-Equity Incentive</w:t>
              <w:br/>
              <w:t>Plan Awards</w:t>
            </w:r>
            <w:r>
              <w:rPr>
                <w:rFonts w:ascii="Arial;Helvetica;Sans-Serif" w:hAnsi="Arial;Helvetica;Sans-Serif"/>
                <w:b/>
                <w:color w:val="FFFFFF"/>
                <w:position w:val="6"/>
                <w:sz w:val="14"/>
                <w:sz w:val="18"/>
              </w:rPr>
              <w:t>(1)</w:t>
            </w:r>
          </w:p>
        </w:tc>
        <w:tc>
          <w:tcPr>
            <w:tcW w:w="2415" w:type="dxa"/>
            <w:gridSpan w:val="3"/>
            <w:tcBorders>
              <w:top w:val="single" w:sz="8" w:space="0" w:color="586D94"/>
              <w:right w:val="single" w:sz="10" w:space="0" w:color="FFFFFF"/>
            </w:tcBorders>
            <w:shd w:fill="55779A" w:val="clear"/>
            <w:tcMar>
              <w:top w:w="10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Estimated Future Payouts</w:t>
              <w:br/>
              <w:t>Under Equity Incentive</w:t>
              <w:br/>
              <w:t>Plan Awards</w:t>
            </w:r>
            <w:r>
              <w:rPr>
                <w:rFonts w:ascii="Arial;Helvetica;Sans-Serif" w:hAnsi="Arial;Helvetica;Sans-Serif"/>
                <w:b/>
                <w:color w:val="FFFFFF"/>
                <w:position w:val="6"/>
                <w:sz w:val="14"/>
                <w:sz w:val="18"/>
              </w:rPr>
              <w:t>(2)</w:t>
            </w:r>
          </w:p>
        </w:tc>
        <w:tc>
          <w:tcPr>
            <w:tcW w:w="773" w:type="dxa"/>
            <w:tcBorders>
              <w:top w:val="single" w:sz="8" w:space="0" w:color="000E44"/>
              <w:right w:val="single" w:sz="8" w:space="0" w:color="58595B"/>
            </w:tcBorders>
            <w:shd w:fill="274F78" w:val="clear"/>
            <w:tcMar>
              <w:top w:w="28"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(J)</w:t>
            </w:r>
          </w:p>
        </w:tc>
        <w:tc>
          <w:tcPr>
            <w:tcW w:w="925" w:type="dxa"/>
            <w:tcBorders>
              <w:top w:val="single" w:sz="8" w:space="0" w:color="000E44"/>
              <w:right w:val="single" w:sz="8" w:space="0" w:color="58595B"/>
            </w:tcBorders>
            <w:shd w:fill="274F78" w:val="clear"/>
            <w:tcMar>
              <w:top w:w="28"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(K)</w:t>
              <w:br/>
              <w:t>Grant</w:t>
            </w:r>
          </w:p>
        </w:tc>
      </w:tr>
      <w:tr>
        <w:trPr/>
        <w:tc>
          <w:tcPr>
            <w:tcW w:w="871" w:type="dxa"/>
            <w:tcBorders>
              <w:left w:val="single" w:sz="8" w:space="0" w:color="58595B"/>
              <w:bottom w:val="single" w:sz="8" w:space="0" w:color="58595B"/>
              <w:right w:val="single" w:sz="10" w:space="0" w:color="FFFFFF"/>
            </w:tcBorders>
            <w:shd w:fill="274F78" w:val="clear"/>
            <w:tcMar>
              <w:left w:w="60" w:type="dxa"/>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w:t>
              <w:br/>
              <w:t>Name</w:t>
            </w:r>
          </w:p>
        </w:tc>
        <w:tc>
          <w:tcPr>
            <w:tcW w:w="589"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(B)</w:t>
              <w:br/>
              <w:t>Grant Date</w:t>
            </w:r>
          </w:p>
        </w:tc>
        <w:tc>
          <w:tcPr>
            <w:tcW w:w="1917"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w:t>
              <w:br/>
              <w:t>Award Type</w:t>
            </w:r>
          </w:p>
        </w:tc>
        <w:tc>
          <w:tcPr>
            <w:tcW w:w="905"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(D)</w:t>
              <w:br/>
              <w:t>Threshold</w:t>
              <w:br/>
              <w:t>($)</w:t>
            </w:r>
          </w:p>
        </w:tc>
        <w:tc>
          <w:tcPr>
            <w:tcW w:w="830"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w:t>
              <w:br/>
              <w:t>Target</w:t>
              <w:br/>
              <w:t>($)</w:t>
            </w:r>
          </w:p>
        </w:tc>
        <w:tc>
          <w:tcPr>
            <w:tcW w:w="980"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(F)</w:t>
              <w:br/>
              <w:t>Maximum</w:t>
              <w:br/>
              <w:t>($)</w:t>
            </w:r>
          </w:p>
        </w:tc>
        <w:tc>
          <w:tcPr>
            <w:tcW w:w="905"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(G)</w:t>
              <w:br/>
              <w:t>Threshold</w:t>
              <w:br/>
              <w:t>(#)</w:t>
            </w:r>
          </w:p>
        </w:tc>
        <w:tc>
          <w:tcPr>
            <w:tcW w:w="620"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(H)</w:t>
              <w:br/>
              <w:t>Target</w:t>
              <w:br/>
              <w:t>(#)</w:t>
            </w:r>
          </w:p>
        </w:tc>
        <w:tc>
          <w:tcPr>
            <w:tcW w:w="890" w:type="dxa"/>
            <w:tcBorders>
              <w:bottom w:val="single" w:sz="8" w:space="0" w:color="58595B"/>
              <w:right w:val="single" w:sz="10" w:space="0" w:color="FFFFFF"/>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(I)</w:t>
              <w:br/>
              <w:t>Maximum</w:t>
              <w:br/>
              <w:t>(#)</w:t>
            </w:r>
          </w:p>
        </w:tc>
        <w:tc>
          <w:tcPr>
            <w:tcW w:w="773" w:type="dxa"/>
            <w:tcBorders>
              <w:bottom w:val="single" w:sz="8" w:space="0" w:color="58595B"/>
              <w:right w:val="single" w:sz="8" w:space="0" w:color="58595B"/>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All Other</w:t>
              <w:br/>
              <w:t>Awards:</w:t>
              <w:br/>
              <w:t>Number</w:t>
              <w:br/>
              <w:t>of</w:t>
              <w:br/>
              <w:t>Shares</w:t>
              <w:br/>
              <w:t xml:space="preserve">of Stock </w:t>
              <w:br/>
              <w:t>(#)</w:t>
            </w:r>
            <w:r>
              <w:rPr>
                <w:rFonts w:ascii="Arial;Helvetica;Sans-Serif" w:hAnsi="Arial;Helvetica;Sans-Serif"/>
                <w:b/>
                <w:color w:val="FFFFFF"/>
                <w:position w:val="6"/>
                <w:sz w:val="14"/>
                <w:sz w:val="18"/>
              </w:rPr>
              <w:t>(3)</w:t>
            </w:r>
          </w:p>
        </w:tc>
        <w:tc>
          <w:tcPr>
            <w:tcW w:w="925" w:type="dxa"/>
            <w:tcBorders>
              <w:bottom w:val="single" w:sz="8" w:space="0" w:color="58595B"/>
              <w:right w:val="single" w:sz="8" w:space="0" w:color="58595B"/>
            </w:tcBorders>
            <w:shd w:fill="274F78" w:val="clear"/>
            <w:tcMar>
              <w:bottom w:w="6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Date</w:t>
              <w:br/>
              <w:t>Fair</w:t>
              <w:br/>
              <w:t>Value of</w:t>
              <w:br/>
              <w:t>Stock and</w:t>
              <w:br/>
              <w:t>Option</w:t>
              <w:br/>
              <w:t>Awards</w:t>
              <w:br/>
              <w:t>($)</w:t>
            </w:r>
            <w:r>
              <w:rPr>
                <w:rFonts w:ascii="Arial;Helvetica;Sans-Serif" w:hAnsi="Arial;Helvetica;Sans-Serif"/>
                <w:b/>
                <w:color w:val="FFFFFF"/>
                <w:position w:val="6"/>
                <w:sz w:val="14"/>
                <w:sz w:val="18"/>
              </w:rPr>
              <w:t>(4)</w:t>
            </w:r>
          </w:p>
        </w:tc>
      </w:tr>
      <w:tr>
        <w:trPr/>
        <w:tc>
          <w:tcPr>
            <w:tcW w:w="871" w:type="dxa"/>
            <w:vMerge w:val="restart"/>
            <w:tcBorders>
              <w:left w:val="single" w:sz="8" w:space="0" w:color="58595B"/>
              <w:bottom w:val="single" w:sz="8" w:space="0" w:color="58595B"/>
            </w:tcBorders>
            <w:shd w:fill="859BB6" w:val="clear"/>
            <w:tcMar>
              <w:left w:w="60" w:type="dxa"/>
              <w:bottom w:w="100" w:type="dxa"/>
            </w:tcM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Micheal L. Gravelle</w:t>
            </w:r>
          </w:p>
        </w:tc>
        <w:tc>
          <w:tcPr>
            <w:tcW w:w="589"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3/24/2025</w:t>
            </w:r>
          </w:p>
        </w:tc>
        <w:tc>
          <w:tcPr>
            <w:tcW w:w="1917"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F&amp;G Performance-Based Restricted Stock</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83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62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8,646</w:t>
            </w:r>
          </w:p>
        </w:tc>
        <w:tc>
          <w:tcPr>
            <w:tcW w:w="89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73"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25"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300,016</w:t>
            </w:r>
          </w:p>
        </w:tc>
      </w:tr>
      <w:tr>
        <w:trPr/>
        <w:tc>
          <w:tcPr>
            <w:tcW w:w="871" w:type="dxa"/>
            <w:vMerge w:val="continue"/>
            <w:tcBorders>
              <w:left w:val="single" w:sz="8" w:space="0" w:color="58595B"/>
              <w:bottom w:val="single" w:sz="8" w:space="0" w:color="58595B"/>
            </w:tcBorders>
            <w:shd w:fill="859BB6" w:val="clear"/>
            <w:tcMar>
              <w:left w:w="60" w:type="dxa"/>
              <w:bottom w:w="100" w:type="dxa"/>
            </w:tcMar>
            <w:vAlign w:val="center"/>
          </w:tcPr>
          <w:p>
            <w:pPr>
              <w:pStyle w:val="Normal"/>
              <w:bidi w:val="0"/>
              <w:jc w:val="left"/>
              <w:rPr/>
            </w:pPr>
            <w:r>
              <w:rPr/>
            </w:r>
          </w:p>
        </w:tc>
        <w:tc>
          <w:tcPr>
            <w:tcW w:w="589"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p>
        </w:tc>
        <w:tc>
          <w:tcPr>
            <w:tcW w:w="1917"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Performance-Based Restricted Stock</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83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62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27,827</w:t>
            </w:r>
          </w:p>
        </w:tc>
        <w:tc>
          <w:tcPr>
            <w:tcW w:w="89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73"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25"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1,600,053</w:t>
            </w:r>
          </w:p>
        </w:tc>
      </w:tr>
      <w:tr>
        <w:trPr/>
        <w:tc>
          <w:tcPr>
            <w:tcW w:w="871" w:type="dxa"/>
            <w:vMerge w:val="continue"/>
            <w:tcBorders>
              <w:left w:val="single" w:sz="8" w:space="0" w:color="58595B"/>
              <w:bottom w:val="single" w:sz="8" w:space="0" w:color="58595B"/>
            </w:tcBorders>
            <w:shd w:fill="859BB6" w:val="clear"/>
            <w:tcMar>
              <w:left w:w="60" w:type="dxa"/>
              <w:bottom w:w="100" w:type="dxa"/>
            </w:tcMar>
            <w:vAlign w:val="center"/>
          </w:tcPr>
          <w:p>
            <w:pPr>
              <w:pStyle w:val="Normal"/>
              <w:bidi w:val="0"/>
              <w:jc w:val="left"/>
              <w:rPr/>
            </w:pPr>
            <w:r>
              <w:rPr/>
            </w:r>
          </w:p>
        </w:tc>
        <w:tc>
          <w:tcPr>
            <w:tcW w:w="589"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p>
        </w:tc>
        <w:tc>
          <w:tcPr>
            <w:tcW w:w="1917"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F&amp;G Performance-Based Restricted Stock</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83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62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9,194</w:t>
            </w:r>
          </w:p>
        </w:tc>
        <w:tc>
          <w:tcPr>
            <w:tcW w:w="89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73"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25"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300,000</w:t>
            </w:r>
          </w:p>
        </w:tc>
      </w:tr>
      <w:tr>
        <w:trPr/>
        <w:tc>
          <w:tcPr>
            <w:tcW w:w="871" w:type="dxa"/>
            <w:vMerge w:val="continue"/>
            <w:tcBorders>
              <w:left w:val="single" w:sz="8" w:space="0" w:color="58595B"/>
              <w:bottom w:val="single" w:sz="8" w:space="0" w:color="58595B"/>
            </w:tcBorders>
            <w:shd w:fill="859BB6" w:val="clear"/>
            <w:tcMar>
              <w:left w:w="60" w:type="dxa"/>
              <w:bottom w:w="100" w:type="dxa"/>
            </w:tcMar>
            <w:vAlign w:val="center"/>
          </w:tcPr>
          <w:p>
            <w:pPr>
              <w:pStyle w:val="Normal"/>
              <w:bidi w:val="0"/>
              <w:jc w:val="left"/>
              <w:rPr/>
            </w:pPr>
            <w:r>
              <w:rPr/>
            </w:r>
          </w:p>
        </w:tc>
        <w:tc>
          <w:tcPr>
            <w:tcW w:w="589"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4/14/2025</w:t>
            </w:r>
          </w:p>
        </w:tc>
        <w:tc>
          <w:tcPr>
            <w:tcW w:w="1917"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Annual Incentive Plan</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$299,250</w:t>
            </w:r>
          </w:p>
        </w:tc>
        <w:tc>
          <w:tcPr>
            <w:tcW w:w="83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$598,500</w:t>
            </w:r>
          </w:p>
        </w:tc>
        <w:tc>
          <w:tcPr>
            <w:tcW w:w="98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$1,197,000</w:t>
            </w:r>
          </w:p>
        </w:tc>
        <w:tc>
          <w:tcPr>
            <w:tcW w:w="905"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62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890"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773" w:type="dxa"/>
            <w:tcBorders>
              <w:left w:val="single" w:sz="8" w:space="0" w:color="58595B"/>
              <w:bottom w:val="single" w:sz="8" w:space="0" w:color="58595B"/>
            </w:tcBorders>
            <w:tcMar>
              <w:left w:w="60" w:type="dxa"/>
              <w:bottom w:w="100" w:type="dxa"/>
            </w:tcMar>
            <w:vAlign w:val="center"/>
          </w:tcPr>
          <w:p>
            <w:pPr>
              <w:pStyle w:val="TableContents"/>
              <w:bidi w:val="0"/>
              <w:spacing w:before="0" w:after="283"/>
              <w:jc w:val="center"/>
              <w:rPr>
                <w:color w:val="58595B"/>
              </w:rPr>
            </w:pPr>
            <w:r>
              <w:rPr>
                <w:color w:val="58595B"/>
              </w:rPr>
              <w:t>—</w:t>
            </w:r>
          </w:p>
        </w:tc>
        <w:tc>
          <w:tcPr>
            <w:tcW w:w="925" w:type="dxa"/>
            <w:tcBorders>
              <w:left w:val="single" w:sz="8" w:space="0" w:color="58595B"/>
              <w:bottom w:val="single" w:sz="8" w:space="0" w:color="58595B"/>
              <w:right w:val="single" w:sz="8" w:space="0" w:color="58595B"/>
            </w:tcBorders>
            <w:tcMar>
              <w:left w:w="60" w:type="dxa"/>
              <w:bottom w:w="100" w:type="dxa"/>
              <w:right w:w="60" w:type="dxa"/>
            </w:tcMar>
            <w:vAlign w:val="center"/>
          </w:tcPr>
          <w:p>
            <w:pPr>
              <w:pStyle w:val="TableContents"/>
              <w:bidi w:val="0"/>
              <w:spacing w:before="0" w:after="283"/>
              <w:jc w:val="center"/>
              <w:rPr>
                <w:color w:val="58595B"/>
              </w:rPr>
            </w:pPr>
            <w:r>
              <w:rPr>
                <w:color w:val="58595B"/>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168"/>
        <w:gridCol w:w="9970"/>
      </w:tblGrid>
      <w:tr>
        <w:trPr/>
        <w:tc>
          <w:tcPr>
            <w:tcW w:w="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16"/>
              </w:rPr>
            </w:pPr>
            <w:r>
              <w:rPr>
                <w:sz w:val="16"/>
              </w:rPr>
              <w:t>1.</w:t>
            </w:r>
          </w:p>
        </w:tc>
        <w:tc>
          <w:tcPr>
            <w:tcW w:w="9970" w:type="dxa"/>
            <w:tcBorders/>
            <w:vAlign w:val="center"/>
          </w:tcPr>
          <w:p>
            <w:pPr>
              <w:pStyle w:val="TableContents"/>
              <w:bidi w:val="0"/>
              <w:spacing w:before="0" w:after="283"/>
              <w:jc w:val="both"/>
              <w:rPr>
                <w:sz w:val="16"/>
              </w:rPr>
            </w:pPr>
            <w:r>
              <w:rPr>
                <w:sz w:val="16"/>
              </w:rPr>
              <w:t xml:space="preserve">With respect to the annual incentive plan, the amount shown in column (D) is 50% of the target amount shown in column (E), and the amount shown in column (F) is 200% of the target amount shown in column (E).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5000" w:type="pct"/>
        <w:jc w:val="left"/>
        <w:tblInd w:w="0" w:type="dxa"/>
        <w:tblLayout w:type="fixed"/>
        <w:tblCellMar>
          <w:top w:w="0" w:type="dxa"/>
          <w:left w:w="0" w:type="dxa"/>
          <w:bottom w:w="0" w:type="dxa"/>
          <w:right w:w="0" w:type="dxa"/>
        </w:tblCellMar>
      </w:tblPr>
      <w:tblGrid>
        <w:gridCol w:w="67"/>
        <w:gridCol w:w="175"/>
        <w:gridCol w:w="9963"/>
      </w:tblGrid>
      <w:tr>
        <w:trPr/>
        <w:tc>
          <w:tcPr>
            <w:tcW w:w="6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16"/>
              </w:rPr>
            </w:pPr>
            <w:r>
              <w:rPr>
                <w:sz w:val="16"/>
              </w:rPr>
              <w:t>2.</w:t>
            </w:r>
          </w:p>
        </w:tc>
        <w:tc>
          <w:tcPr>
            <w:tcW w:w="9963" w:type="dxa"/>
            <w:tcBorders/>
            <w:vAlign w:val="center"/>
          </w:tcPr>
          <w:p>
            <w:pPr>
              <w:pStyle w:val="TableContents"/>
              <w:bidi w:val="0"/>
              <w:spacing w:before="0" w:after="283"/>
              <w:jc w:val="both"/>
              <w:rPr>
                <w:sz w:val="16"/>
              </w:rPr>
            </w:pPr>
            <w:r>
              <w:rPr>
                <w:sz w:val="16"/>
              </w:rPr>
              <w:t xml:space="preserve">The amounts shown in column (H) reflect the number of shares of performance-based restricted stock granted by FNF to each named executive officer under our omnibus plan.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5000" w:type="pct"/>
        <w:jc w:val="left"/>
        <w:tblInd w:w="0" w:type="dxa"/>
        <w:tblLayout w:type="fixed"/>
        <w:tblCellMar>
          <w:top w:w="0" w:type="dxa"/>
          <w:left w:w="0" w:type="dxa"/>
          <w:bottom w:w="0" w:type="dxa"/>
          <w:right w:w="0" w:type="dxa"/>
        </w:tblCellMar>
      </w:tblPr>
      <w:tblGrid>
        <w:gridCol w:w="67"/>
        <w:gridCol w:w="160"/>
        <w:gridCol w:w="9978"/>
      </w:tblGrid>
      <w:tr>
        <w:trPr/>
        <w:tc>
          <w:tcPr>
            <w:tcW w:w="6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16"/>
              </w:rPr>
            </w:pPr>
            <w:r>
              <w:rPr>
                <w:sz w:val="16"/>
              </w:rPr>
              <w:t>3.</w:t>
            </w:r>
          </w:p>
        </w:tc>
        <w:tc>
          <w:tcPr>
            <w:tcW w:w="9978" w:type="dxa"/>
            <w:tcBorders/>
            <w:vAlign w:val="center"/>
          </w:tcPr>
          <w:p>
            <w:pPr>
              <w:pStyle w:val="TableContents"/>
              <w:bidi w:val="0"/>
              <w:spacing w:before="0" w:after="283"/>
              <w:jc w:val="both"/>
              <w:rPr>
                <w:sz w:val="16"/>
              </w:rPr>
            </w:pPr>
            <w:r>
              <w:rPr>
                <w:sz w:val="16"/>
              </w:rPr>
              <w:t xml:space="preserve">The amounts in column (J) reflect time-based awards of F&amp;G restricted stock made by F&amp;G to Messrs. Nolan and Quirk for their services on F&amp;G’s board of directors. The F&amp;G restricted stock awards vest in equal installments over a period of three years on each anniversary of the applicable grant date.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5000" w:type="pct"/>
        <w:jc w:val="left"/>
        <w:tblInd w:w="0" w:type="dxa"/>
        <w:tblLayout w:type="fixed"/>
        <w:tblCellMar>
          <w:top w:w="0" w:type="dxa"/>
          <w:left w:w="0" w:type="dxa"/>
          <w:bottom w:w="0" w:type="dxa"/>
          <w:right w:w="0" w:type="dxa"/>
        </w:tblCellMar>
      </w:tblPr>
      <w:tblGrid>
        <w:gridCol w:w="67"/>
        <w:gridCol w:w="165"/>
        <w:gridCol w:w="9973"/>
      </w:tblGrid>
      <w:tr>
        <w:trPr/>
        <w:tc>
          <w:tcPr>
            <w:tcW w:w="6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16"/>
              </w:rPr>
            </w:pPr>
            <w:r>
              <w:rPr>
                <w:sz w:val="16"/>
              </w:rPr>
              <w:t>4.</w:t>
            </w:r>
          </w:p>
        </w:tc>
        <w:tc>
          <w:tcPr>
            <w:tcW w:w="9973" w:type="dxa"/>
            <w:tcBorders/>
            <w:vAlign w:val="center"/>
          </w:tcPr>
          <w:p>
            <w:pPr>
              <w:pStyle w:val="TableContents"/>
              <w:bidi w:val="0"/>
              <w:spacing w:before="0" w:after="283"/>
              <w:jc w:val="both"/>
              <w:rPr>
                <w:sz w:val="16"/>
              </w:rPr>
            </w:pPr>
            <w:r>
              <w:rPr>
                <w:sz w:val="16"/>
              </w:rPr>
              <w:t xml:space="preserve">The amounts shown in column (K) represent the grant date fair value of each restricted stock award based upon a $55.45 per share grant date fair value of FNF common stock and a $32.63 per share grant date fair value of F&amp;G common stock.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0"/>
        <w:jc w:val="left"/>
        <w:rPr>
          <w:rFonts w:ascii="Arial;Helvetica;Sans-Serif" w:hAnsi="Arial;Helvetica;Sans-Serif"/>
          <w:b/>
          <w:i w:val="false"/>
          <w:caps w:val="false"/>
          <w:smallCaps w:val="false"/>
          <w:color w:val="5E769B"/>
          <w:sz w:val="28"/>
        </w:rPr>
      </w:pPr>
      <w:r>
        <w:rPr>
          <w:rFonts w:ascii="Arial;Helvetica;Sans-Serif" w:hAnsi="Arial;Helvetica;Sans-Serif"/>
          <w:b/>
          <w:i w:val="false"/>
          <w:caps w:val="false"/>
          <w:smallCaps w:val="false"/>
          <w:color w:val="5E769B"/>
          <w:sz w:val="28"/>
        </w:rPr>
        <w:t>OUTSTANDING EQUITY AWARDS AT FISCAL YEAR-END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10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following table sets forth certain information with respect to outstanding equity awards held by our named executive officers as of December 31, 2025.</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56</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58595B"/>
        </w:rPr>
      </w:pPr>
      <w:r>
        <w:rPr>
          <w:caps w:val="false"/>
          <w:smallCaps w:val="false"/>
          <w:bdr w:val="single" w:sz="8" w:space="1" w:color="58595B"/>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550" w:type="dxa"/>
        <w:jc w:val="left"/>
        <w:tblInd w:w="0" w:type="dxa"/>
        <w:tblLayout w:type="fixed"/>
        <w:tblCellMar>
          <w:top w:w="0" w:type="dxa"/>
          <w:left w:w="0" w:type="dxa"/>
          <w:bottom w:w="80" w:type="dxa"/>
          <w:right w:w="0" w:type="dxa"/>
        </w:tblCellMar>
      </w:tblPr>
      <w:tblGrid>
        <w:gridCol w:w="1640"/>
        <w:gridCol w:w="1160"/>
        <w:gridCol w:w="1355"/>
        <w:gridCol w:w="1040"/>
        <w:gridCol w:w="1550"/>
        <w:gridCol w:w="1805"/>
      </w:tblGrid>
      <w:tr>
        <w:trPr/>
        <w:tc>
          <w:tcPr>
            <w:tcW w:w="1640" w:type="dxa"/>
            <w:tcBorders>
              <w:bottom w:val="single" w:sz="8" w:space="0" w:color="58595B"/>
            </w:tcBorders>
            <w:vAlign w:val="center"/>
          </w:tcPr>
          <w:p>
            <w:pPr>
              <w:pStyle w:val="TableContents"/>
              <w:bidi w:val="0"/>
              <w:spacing w:before="0" w:after="283"/>
              <w:jc w:val="center"/>
              <w:rPr>
                <w:color w:val="FFFFFF"/>
              </w:rPr>
            </w:pPr>
            <w:r>
              <w:rPr>
                <w:color w:val="FFFFFF"/>
              </w:rPr>
              <w:t> </w:t>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left"/>
              <w:rPr>
                <w:color w:val="FFFFFF"/>
              </w:rPr>
            </w:pPr>
            <w:r>
              <w:rPr>
                <w:color w:val="FFFFFF"/>
              </w:rPr>
              <w:t> </w:t>
            </w:r>
          </w:p>
        </w:tc>
        <w:tc>
          <w:tcPr>
            <w:tcW w:w="5750" w:type="dxa"/>
            <w:gridSpan w:val="4"/>
            <w:tcBorders>
              <w:top w:val="single" w:sz="8" w:space="0" w:color="58595B"/>
              <w:bottom w:val="single" w:sz="8" w:space="0" w:color="58595B"/>
              <w:right w:val="single" w:sz="8" w:space="0" w:color="58595B"/>
            </w:tcBorders>
            <w:shd w:fill="8A9DBB" w:val="clear"/>
            <w:tcMar>
              <w:top w:w="80" w:type="dxa"/>
              <w:right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Stock Awards</w:t>
            </w:r>
            <w:r>
              <w:rPr>
                <w:rFonts w:ascii="Arial;Helvetica;Sans-Serif" w:hAnsi="Arial;Helvetica;Sans-Serif"/>
                <w:b/>
                <w:color w:val="FFFFFF"/>
                <w:position w:val="6"/>
                <w:sz w:val="14"/>
                <w:sz w:val="18"/>
              </w:rPr>
              <w:t>1,2</w:t>
            </w:r>
          </w:p>
        </w:tc>
      </w:tr>
      <w:tr>
        <w:trPr/>
        <w:tc>
          <w:tcPr>
            <w:tcW w:w="1640" w:type="dxa"/>
            <w:tcBorders>
              <w:left w:val="single" w:sz="8" w:space="0" w:color="58595B"/>
              <w:bottom w:val="single" w:sz="8" w:space="0" w:color="58595B"/>
              <w:right w:val="single" w:sz="8" w:space="0" w:color="58595B"/>
            </w:tcBorders>
            <w:shd w:fill="264F78" w:val="clear"/>
            <w:tcMar>
              <w:left w:w="60" w:type="dxa"/>
              <w:right w:w="60" w:type="dxa"/>
            </w:tcMar>
            <w:vAlign w:val="center"/>
          </w:tcPr>
          <w:p>
            <w:pPr>
              <w:pStyle w:val="TableContents"/>
              <w:bidi w:val="0"/>
              <w:spacing w:before="0" w:after="283"/>
              <w:jc w:val="center"/>
              <w:rPr>
                <w:rFonts w:ascii="Arial;Helvetica;Sans-Serif" w:hAnsi="Arial;Helvetica;Sans-Serif"/>
                <w:b/>
                <w:color w:val="FFFFFF"/>
                <w:sz w:val="20"/>
              </w:rPr>
            </w:pPr>
            <w:r>
              <w:rPr>
                <w:rFonts w:ascii="Arial;Helvetica;Sans-Serif" w:hAnsi="Arial;Helvetica;Sans-Serif"/>
                <w:b/>
                <w:color w:val="FFFFFF"/>
                <w:sz w:val="20"/>
              </w:rPr>
              <w:t>Name</w:t>
            </w:r>
          </w:p>
        </w:tc>
        <w:tc>
          <w:tcPr>
            <w:tcW w:w="1160" w:type="dxa"/>
            <w:tcBorders>
              <w:left w:val="single" w:sz="10" w:space="0" w:color="FFFFFF"/>
              <w:bottom w:val="single" w:sz="8" w:space="0" w:color="58595B"/>
              <w:right w:val="single" w:sz="8" w:space="0" w:color="58595B"/>
            </w:tcBorders>
            <w:shd w:fill="264F78" w:val="clear"/>
            <w:tcMar>
              <w:left w:w="60" w:type="dxa"/>
              <w:right w:w="60" w:type="dxa"/>
            </w:tcM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Grant Date</w:t>
            </w:r>
          </w:p>
        </w:tc>
        <w:tc>
          <w:tcPr>
            <w:tcW w:w="1355" w:type="dxa"/>
            <w:tcBorders>
              <w:left w:val="single" w:sz="10" w:space="0" w:color="FFFFFF"/>
              <w:bottom w:val="single" w:sz="8" w:space="0" w:color="58595B"/>
              <w:right w:val="single" w:sz="8" w:space="0" w:color="58595B"/>
            </w:tcBorders>
            <w:shd w:fill="264F78" w:val="clear"/>
            <w:tcMar>
              <w:left w:w="60" w:type="dxa"/>
              <w:right w:w="60" w:type="dxa"/>
            </w:tcM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Number of</w:t>
              <w:br/>
              <w:t>Shares or</w:t>
              <w:br/>
              <w:t>Units of Stock</w:t>
              <w:br/>
              <w:t>That Have</w:t>
              <w:br/>
              <w:t>Not Vested</w:t>
              <w:br/>
              <w:t>(#)</w:t>
            </w:r>
          </w:p>
        </w:tc>
        <w:tc>
          <w:tcPr>
            <w:tcW w:w="1040" w:type="dxa"/>
            <w:tcBorders>
              <w:left w:val="single" w:sz="10" w:space="0" w:color="FFFFFF"/>
              <w:bottom w:val="single" w:sz="8" w:space="0" w:color="58595B"/>
              <w:right w:val="single" w:sz="8" w:space="0" w:color="58595B"/>
            </w:tcBorders>
            <w:shd w:fill="264F78" w:val="clear"/>
            <w:tcMar>
              <w:left w:w="60" w:type="dxa"/>
              <w:right w:w="60" w:type="dxa"/>
            </w:tcM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Market</w:t>
              <w:br/>
              <w:t>Value of</w:t>
              <w:br/>
              <w:t>Shares or</w:t>
              <w:br/>
              <w:t>Units of</w:t>
              <w:br/>
              <w:t>Stock That</w:t>
              <w:br/>
              <w:t>Have Not</w:t>
              <w:br/>
              <w:t>Vested</w:t>
              <w:br/>
              <w:t>($)</w:t>
            </w:r>
          </w:p>
        </w:tc>
        <w:tc>
          <w:tcPr>
            <w:tcW w:w="1550" w:type="dxa"/>
            <w:tcBorders>
              <w:left w:val="single" w:sz="10" w:space="0" w:color="FFFFFF"/>
              <w:bottom w:val="single" w:sz="8" w:space="0" w:color="58595B"/>
              <w:right w:val="single" w:sz="8" w:space="0" w:color="58595B"/>
            </w:tcBorders>
            <w:shd w:fill="264F78" w:val="clear"/>
            <w:tcMar>
              <w:left w:w="60" w:type="dxa"/>
              <w:right w:w="60" w:type="dxa"/>
            </w:tcM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Equity Incentive</w:t>
              <w:br/>
              <w:t>Plan Awards:</w:t>
              <w:br/>
              <w:t>Number of</w:t>
              <w:br/>
              <w:t>Unearned</w:t>
              <w:br/>
              <w:t>Shares, Units</w:t>
              <w:br/>
              <w:t>or Other Rights</w:t>
              <w:br/>
              <w:t>That Have Not</w:t>
              <w:br/>
              <w:t>Vested</w:t>
              <w:br/>
              <w:t>(#)</w:t>
            </w:r>
          </w:p>
        </w:tc>
        <w:tc>
          <w:tcPr>
            <w:tcW w:w="1805" w:type="dxa"/>
            <w:tcBorders>
              <w:left w:val="single" w:sz="10" w:space="0" w:color="FFFFFF"/>
              <w:bottom w:val="single" w:sz="8" w:space="0" w:color="58595B"/>
              <w:right w:val="single" w:sz="8" w:space="0" w:color="58595B"/>
            </w:tcBorders>
            <w:shd w:fill="264F78" w:val="clear"/>
            <w:tcMar>
              <w:left w:w="60" w:type="dxa"/>
              <w:right w:w="60" w:type="dxa"/>
            </w:tcM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Equity Incentive</w:t>
              <w:br/>
              <w:t>Plan Awards:</w:t>
              <w:br/>
              <w:t>Market or Payout</w:t>
              <w:br/>
              <w:t>Value of Unearned</w:t>
              <w:br/>
              <w:t>Shares, Units or</w:t>
              <w:br/>
              <w:t>Other Rights That</w:t>
              <w:br/>
              <w:t>Have Not Vested</w:t>
              <w:br/>
              <w:t>($)</w:t>
            </w:r>
          </w:p>
        </w:tc>
      </w:tr>
      <w:tr>
        <w:trPr/>
        <w:tc>
          <w:tcPr>
            <w:tcW w:w="1640" w:type="dxa"/>
            <w:vMerge w:val="restart"/>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Michael J. Nolan</w:t>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11/15/2023</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39,754</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2,170,171</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11/15/2023</w:t>
            </w:r>
            <w:r>
              <w:rPr>
                <w:rFonts w:ascii="Arial;Helvetica;Sans-Serif" w:hAnsi="Arial;Helvetica;Sans-Serif"/>
                <w:color w:val="58595B"/>
                <w:position w:val="6"/>
                <w:sz w:val="14"/>
                <w:sz w:val="18"/>
              </w:rPr>
              <w:t>(2)</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1,724</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53,185</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11/8/2024</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60,878</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3,323,330</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11/8/2024</w:t>
            </w:r>
            <w:r>
              <w:rPr>
                <w:rFonts w:ascii="Arial;Helvetica;Sans-Serif" w:hAnsi="Arial;Helvetica;Sans-Serif"/>
                <w:color w:val="58595B"/>
                <w:position w:val="6"/>
                <w:sz w:val="14"/>
                <w:sz w:val="18"/>
              </w:rPr>
              <w:t>(2)</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4,344</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134,012</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100,000</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5,459,000</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r>
              <w:rPr>
                <w:rFonts w:ascii="Arial;Helvetica;Sans-Serif" w:hAnsi="Arial;Helvetica;Sans-Serif"/>
                <w:color w:val="58595B"/>
                <w:position w:val="6"/>
                <w:sz w:val="14"/>
                <w:sz w:val="18"/>
              </w:rPr>
              <w:t>(2)</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6,436</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198,551</w:t>
            </w:r>
          </w:p>
        </w:tc>
      </w:tr>
      <w:tr>
        <w:trPr/>
        <w:tc>
          <w:tcPr>
            <w:tcW w:w="1640" w:type="dxa"/>
            <w:vMerge w:val="restart"/>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Raymond R. Quirk</w:t>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11/15/2023</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30,004</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1,637,918</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11/15/2023</w:t>
            </w:r>
            <w:r>
              <w:rPr>
                <w:rFonts w:ascii="Arial;Helvetica;Sans-Serif" w:hAnsi="Arial;Helvetica;Sans-Serif"/>
                <w:color w:val="58595B"/>
                <w:position w:val="6"/>
                <w:sz w:val="14"/>
                <w:sz w:val="18"/>
              </w:rPr>
              <w:t>(2)</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1,724</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53,185</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11/8/2024</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44,276</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1,663,722</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11/8/2024</w:t>
            </w:r>
            <w:r>
              <w:rPr>
                <w:rFonts w:ascii="Arial;Helvetica;Sans-Serif" w:hAnsi="Arial;Helvetica;Sans-Serif"/>
                <w:color w:val="58595B"/>
                <w:position w:val="6"/>
                <w:sz w:val="14"/>
                <w:sz w:val="18"/>
              </w:rPr>
              <w:t>(2)</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4,344</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134,012</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55,653</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3,038,097</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r>
              <w:rPr>
                <w:rFonts w:ascii="Arial;Helvetica;Sans-Serif" w:hAnsi="Arial;Helvetica;Sans-Serif"/>
                <w:color w:val="58595B"/>
                <w:position w:val="6"/>
                <w:sz w:val="14"/>
                <w:sz w:val="18"/>
              </w:rPr>
              <w:t>(2)</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6,436</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198,551</w:t>
            </w:r>
          </w:p>
        </w:tc>
      </w:tr>
      <w:tr>
        <w:trPr/>
        <w:tc>
          <w:tcPr>
            <w:tcW w:w="1640" w:type="dxa"/>
            <w:vMerge w:val="restart"/>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Anthony J. Park</w:t>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11/15/2023</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12,264</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669,492</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11/8/2024</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18,818</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1,027,275</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31,044</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1,694,692</w:t>
            </w:r>
          </w:p>
        </w:tc>
      </w:tr>
      <w:tr>
        <w:trPr/>
        <w:tc>
          <w:tcPr>
            <w:tcW w:w="1640" w:type="dxa"/>
            <w:vMerge w:val="restart"/>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Peter T. Sadowski</w:t>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11/15/2023</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11,589</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632,644</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11/8/2024</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17,710</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966,789</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29,218</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1,595,011</w:t>
            </w:r>
          </w:p>
        </w:tc>
      </w:tr>
      <w:tr>
        <w:trPr/>
        <w:tc>
          <w:tcPr>
            <w:tcW w:w="1640" w:type="dxa"/>
            <w:vMerge w:val="restart"/>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Michael L. Gravelle</w:t>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11/15/2023</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11,589</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632,644</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11/8/2024</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17,710</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966,789</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3/24/2025</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8,646</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266,729</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r>
              <w:rPr>
                <w:rFonts w:ascii="Arial;Helvetica;Sans-Serif" w:hAnsi="Arial;Helvetica;Sans-Serif"/>
                <w:color w:val="58595B"/>
                <w:position w:val="6"/>
                <w:sz w:val="14"/>
                <w:sz w:val="18"/>
              </w:rPr>
              <w:t>(1)</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27,827</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1,519,076</w:t>
            </w:r>
          </w:p>
        </w:tc>
      </w:tr>
      <w:tr>
        <w:trPr/>
        <w:tc>
          <w:tcPr>
            <w:tcW w:w="1640" w:type="dxa"/>
            <w:vMerge w:val="continue"/>
            <w:tcBorders>
              <w:left w:val="single" w:sz="8" w:space="0" w:color="58595B"/>
              <w:bottom w:val="single" w:sz="8" w:space="0" w:color="58595B"/>
              <w:right w:val="single" w:sz="8" w:space="0" w:color="58595B"/>
            </w:tcBorders>
            <w:shd w:fill="8A9BB6" w:val="clear"/>
            <w:tcMar>
              <w:left w:w="60" w:type="dxa"/>
              <w:right w:w="60" w:type="dxa"/>
            </w:tcMar>
            <w:vAlign w:val="center"/>
          </w:tcPr>
          <w:p>
            <w:pPr>
              <w:pStyle w:val="Normal"/>
              <w:bidi w:val="0"/>
              <w:jc w:val="left"/>
              <w:rPr/>
            </w:pPr>
            <w:r>
              <w:rPr/>
            </w:r>
          </w:p>
        </w:tc>
        <w:tc>
          <w:tcPr>
            <w:tcW w:w="116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11/10/2025</w:t>
            </w:r>
            <w:r>
              <w:rPr>
                <w:rFonts w:ascii="Arial;Helvetica;Sans-Serif" w:hAnsi="Arial;Helvetica;Sans-Serif"/>
                <w:color w:val="58595B"/>
                <w:position w:val="6"/>
                <w:sz w:val="14"/>
                <w:sz w:val="18"/>
              </w:rPr>
              <w:t>(2)</w:t>
            </w:r>
          </w:p>
        </w:tc>
        <w:tc>
          <w:tcPr>
            <w:tcW w:w="1355"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040" w:type="dxa"/>
            <w:tcBorders>
              <w:bottom w:val="single" w:sz="8" w:space="0" w:color="58595B"/>
              <w:right w:val="single" w:sz="8" w:space="0" w:color="58595B"/>
            </w:tcBorders>
            <w:tcMar>
              <w:right w:w="60" w:type="dxa"/>
            </w:tcMar>
            <w:vAlign w:val="center"/>
          </w:tcPr>
          <w:p>
            <w:pPr>
              <w:pStyle w:val="TableContents"/>
              <w:bidi w:val="0"/>
              <w:spacing w:before="0" w:after="283"/>
              <w:jc w:val="center"/>
              <w:rPr>
                <w:color w:val="58595B"/>
              </w:rPr>
            </w:pPr>
            <w:r>
              <w:rPr>
                <w:color w:val="58595B"/>
              </w:rPr>
              <w:t>—</w:t>
            </w:r>
          </w:p>
        </w:tc>
        <w:tc>
          <w:tcPr>
            <w:tcW w:w="1550"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9,194</w:t>
            </w:r>
          </w:p>
        </w:tc>
        <w:tc>
          <w:tcPr>
            <w:tcW w:w="1805" w:type="dxa"/>
            <w:tcBorders>
              <w:bottom w:val="single" w:sz="8" w:space="0" w:color="58595B"/>
              <w:right w:val="single" w:sz="8" w:space="0" w:color="58595B"/>
            </w:tcBorders>
            <w:tcMar>
              <w:right w:w="6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283,635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9"/>
        <w:gridCol w:w="9988"/>
      </w:tblGrid>
      <w:tr>
        <w:trPr/>
        <w:tc>
          <w:tcPr>
            <w:tcW w:w="6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16"/>
              </w:rPr>
            </w:pPr>
            <w:r>
              <w:rPr>
                <w:sz w:val="16"/>
              </w:rPr>
              <w:t>1.</w:t>
            </w:r>
          </w:p>
        </w:tc>
        <w:tc>
          <w:tcPr>
            <w:tcW w:w="9988" w:type="dxa"/>
            <w:tcBorders/>
            <w:vAlign w:val="center"/>
          </w:tcPr>
          <w:p>
            <w:pPr>
              <w:pStyle w:val="TableContents"/>
              <w:bidi w:val="0"/>
              <w:spacing w:before="0" w:after="283"/>
              <w:jc w:val="left"/>
              <w:rPr>
                <w:sz w:val="16"/>
              </w:rPr>
            </w:pPr>
            <w:r>
              <w:rPr>
                <w:sz w:val="16"/>
              </w:rPr>
              <w:t xml:space="preserve">We awarded the November 2023, November 2024, and November 2025 stock awards under the omnibus incentive plan. The November 2023 grants vest in equal installments over a period of three years on each anniversary of the grant date provided that we achieve title operating margin of 7.5% in our title segment in at least two of the five quarters beginning October 1, 2023. The November 2024 grants vest in equal installments over a period of three years on each anniversary of the grant date provided that we achieve title operating margin of 9.5% in our title segment in at least two of the five quarters beginning October 1, 2024. The </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57</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58595B"/>
        </w:rPr>
      </w:pPr>
      <w:r>
        <w:rPr>
          <w:caps w:val="false"/>
          <w:smallCaps w:val="false"/>
          <w:bdr w:val="single" w:sz="8" w:space="1" w:color="58595B"/>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
        <w:gridCol w:w="90"/>
        <w:gridCol w:w="10025"/>
      </w:tblGrid>
      <w:tr>
        <w:trPr/>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both"/>
              <w:rPr/>
            </w:pPr>
            <w:r>
              <w:rPr/>
              <w:t> </w:t>
            </w:r>
          </w:p>
        </w:tc>
        <w:tc>
          <w:tcPr>
            <w:tcW w:w="10025" w:type="dxa"/>
            <w:tcBorders/>
            <w:vAlign w:val="center"/>
          </w:tcPr>
          <w:p>
            <w:pPr>
              <w:pStyle w:val="TableContents"/>
              <w:bidi w:val="0"/>
              <w:spacing w:before="0" w:after="283"/>
              <w:jc w:val="both"/>
              <w:rPr/>
            </w:pPr>
            <w:r>
              <w:rPr/>
              <w:t>November 2025 grants vest in equal installments over a period of three years on each anniversary of the grant date provided that we achieve title operating margin of 11.0% in our title segment in at least two of the five quarters beginning October 1, 2025. Market values are based on the December 31, 2025 closing price of $54.59 per share of FNF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
        <w:gridCol w:w="145"/>
        <w:gridCol w:w="10007"/>
      </w:tblGrid>
      <w:tr>
        <w:trPr/>
        <w:tc>
          <w:tcPr>
            <w:tcW w:w="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16"/>
              </w:rPr>
            </w:pPr>
            <w:r>
              <w:rPr>
                <w:sz w:val="16"/>
              </w:rPr>
              <w:t>2.</w:t>
            </w:r>
          </w:p>
        </w:tc>
        <w:tc>
          <w:tcPr>
            <w:tcW w:w="10007" w:type="dxa"/>
            <w:tcBorders/>
            <w:vAlign w:val="center"/>
          </w:tcPr>
          <w:p>
            <w:pPr>
              <w:pStyle w:val="TableContents"/>
              <w:bidi w:val="0"/>
              <w:spacing w:before="0" w:after="283"/>
              <w:jc w:val="left"/>
              <w:rPr>
                <w:sz w:val="16"/>
              </w:rPr>
            </w:pPr>
            <w:r>
              <w:rPr>
                <w:sz w:val="16"/>
              </w:rPr>
              <w:t xml:space="preserve">In November 2023, Messrs. Nolan and Quirk each received an award of 5,172 shares of F&amp;G restricted stock, of which 1,724 remain unvested as of December 31, 2025. In November 2024, Messrs. Nolan and Quirk each received an award of 6,515 shares of F&amp;G restricted stock, of which 4,344 remain unvested as of December 31, 2025. In November 2025, Messrs. Nolan and Quirk each received an award of 6,436 shares of F&amp;G restricted stock. In March and November 2025, Mr. Gravelle received awards of 8,646 and 9,194 shares of F&amp;G restricted stock, respectively. Market values are based on the December 31, 2025 closing price of $30.85 per share of F&amp;G common stock. The 2023, 2024 and 2025 F&amp;G restricted stock awards vest in equal installments over a period of three years on each anniversary of the applicable grant date; provided that, in the case of Messrs. Nolan's and Quirk's 2023 F&amp;G restricted stock awards and Mr. Gravelle's 2025 F&amp;G restricted stock awards, F&amp;G achieves a one-year Adjusted Net Earnings goal established at the start of the three-year period.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OPTION EXERCISES AND STOCK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The following table sets forth information concerning each vesting of stock, including restricted stock, restricted stock units and similar instruments, during the fiscal year ended December 31, 2025 for each of the named executive officers on an aggregated basis. None of our named executive officers exercised options in 2025.</w:t>
      </w:r>
    </w:p>
    <w:p>
      <w:pPr>
        <w:pStyle w:val="TextBody"/>
        <w:bidi w:val="0"/>
        <w:spacing w:before="0" w:after="0"/>
        <w:ind w:left="0" w:right="0" w:hanging="0"/>
        <w:jc w:val="left"/>
        <w:rPr>
          <w:caps w:val="false"/>
          <w:smallCaps w:val="false"/>
        </w:rPr>
      </w:pPr>
      <w:r>
        <w:rPr>
          <w:caps w:val="false"/>
          <w:smallCaps w:val="false"/>
        </w:rPr>
        <w:t> </w:t>
      </w:r>
    </w:p>
    <w:tbl>
      <w:tblPr>
        <w:tblW w:w="6285" w:type="dxa"/>
        <w:jc w:val="left"/>
        <w:tblInd w:w="-10" w:type="dxa"/>
        <w:tblLayout w:type="fixed"/>
        <w:tblCellMar>
          <w:top w:w="60" w:type="dxa"/>
          <w:left w:w="28" w:type="dxa"/>
          <w:bottom w:w="0" w:type="dxa"/>
          <w:right w:w="0" w:type="dxa"/>
        </w:tblCellMar>
      </w:tblPr>
      <w:tblGrid>
        <w:gridCol w:w="1670"/>
        <w:gridCol w:w="2045"/>
        <w:gridCol w:w="2570"/>
      </w:tblGrid>
      <w:tr>
        <w:trPr/>
        <w:tc>
          <w:tcPr>
            <w:tcW w:w="1670" w:type="dxa"/>
            <w:tcBorders>
              <w:top w:val="single" w:sz="8" w:space="0" w:color="333333"/>
              <w:left w:val="single" w:sz="8" w:space="0" w:color="333333"/>
            </w:tcBorders>
            <w:shd w:fill="254F79" w:val="clear"/>
            <w:vAlign w:val="center"/>
          </w:tcPr>
          <w:p>
            <w:pPr>
              <w:pStyle w:val="TableContents"/>
              <w:bidi w:val="0"/>
              <w:spacing w:before="0" w:after="283"/>
              <w:jc w:val="left"/>
              <w:rPr/>
            </w:pPr>
            <w:r>
              <w:rPr/>
              <w:t> </w:t>
            </w:r>
          </w:p>
        </w:tc>
        <w:tc>
          <w:tcPr>
            <w:tcW w:w="2045" w:type="dxa"/>
            <w:tcBorders>
              <w:top w:val="single" w:sz="8" w:space="0" w:color="727898"/>
            </w:tcBorders>
            <w:shd w:fill="254F79"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Number of Shares</w:t>
            </w:r>
          </w:p>
        </w:tc>
        <w:tc>
          <w:tcPr>
            <w:tcW w:w="2570" w:type="dxa"/>
            <w:tcBorders>
              <w:top w:val="single" w:sz="8" w:space="0" w:color="727898"/>
              <w:right w:val="single" w:sz="8" w:space="0" w:color="333333"/>
            </w:tcBorders>
            <w:shd w:fill="254F79" w:val="clear"/>
            <w:tcMar>
              <w:left w:w="0" w:type="dxa"/>
              <w:right w:w="28" w:type="dxa"/>
            </w:tcMar>
            <w:vAlign w:val="center"/>
          </w:tcPr>
          <w:p>
            <w:pPr>
              <w:pStyle w:val="TableContents"/>
              <w:bidi w:val="0"/>
              <w:spacing w:before="0" w:after="283"/>
              <w:jc w:val="left"/>
              <w:rPr/>
            </w:pPr>
            <w:r>
              <w:rPr/>
              <w:t> </w:t>
            </w:r>
          </w:p>
        </w:tc>
      </w:tr>
      <w:tr>
        <w:trPr/>
        <w:tc>
          <w:tcPr>
            <w:tcW w:w="1670" w:type="dxa"/>
            <w:tcBorders>
              <w:left w:val="single" w:sz="8" w:space="0" w:color="333333"/>
            </w:tcBorders>
            <w:shd w:fill="254F79" w:val="clear"/>
            <w:tcMar>
              <w:top w:w="0" w:type="dxa"/>
              <w:left w:w="10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Name</w:t>
            </w:r>
          </w:p>
        </w:tc>
        <w:tc>
          <w:tcPr>
            <w:tcW w:w="2045" w:type="dxa"/>
            <w:tcBorders/>
            <w:shd w:fill="254F7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Acquired on Vesting (#)</w:t>
            </w:r>
          </w:p>
        </w:tc>
        <w:tc>
          <w:tcPr>
            <w:tcW w:w="2570" w:type="dxa"/>
            <w:tcBorders>
              <w:right w:val="single" w:sz="8" w:space="0" w:color="333333"/>
            </w:tcBorders>
            <w:shd w:fill="254F79" w:val="clear"/>
            <w:tcMar>
              <w:top w:w="0" w:type="dxa"/>
              <w:left w:w="0" w:type="dxa"/>
              <w:right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Value Realized on Vesting ($)</w:t>
            </w:r>
          </w:p>
        </w:tc>
      </w:tr>
      <w:tr>
        <w:trPr/>
        <w:tc>
          <w:tcPr>
            <w:tcW w:w="1670" w:type="dxa"/>
            <w:tcBorders>
              <w:left w:val="single" w:sz="8" w:space="0" w:color="333333"/>
              <w:right w:val="single" w:sz="8" w:space="0" w:color="333333"/>
            </w:tcBorders>
            <w:tcMar>
              <w:top w:w="0" w:type="dxa"/>
              <w:left w:w="100" w:type="dxa"/>
              <w:right w:w="28" w:type="dxa"/>
            </w:tcMar>
            <w:vAlign w:val="center"/>
          </w:tcPr>
          <w:p>
            <w:pPr>
              <w:pStyle w:val="TableContents"/>
              <w:bidi w:val="0"/>
              <w:spacing w:before="0" w:after="283"/>
              <w:jc w:val="left"/>
              <w:rPr>
                <w:rFonts w:ascii="Arial;Helvetica;Sans-Serif" w:hAnsi="Arial;Helvetica;Sans-Serif"/>
                <w:color w:val="333333"/>
                <w:sz w:val="19"/>
              </w:rPr>
            </w:pPr>
            <w:r>
              <w:rPr>
                <w:rFonts w:ascii="Arial;Helvetica;Sans-Serif" w:hAnsi="Arial;Helvetica;Sans-Serif"/>
                <w:color w:val="333333"/>
                <w:sz w:val="19"/>
              </w:rPr>
              <w:t>Michael J. Nolan</w:t>
            </w:r>
          </w:p>
        </w:tc>
        <w:tc>
          <w:tcPr>
            <w:tcW w:w="2045" w:type="dxa"/>
            <w:tcBorders>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9"/>
              </w:rPr>
            </w:pPr>
            <w:r>
              <w:rPr>
                <w:rFonts w:ascii="Arial;Helvetica;Sans-Serif" w:hAnsi="Arial;Helvetica;Sans-Serif"/>
                <w:color w:val="333333"/>
                <w:sz w:val="19"/>
              </w:rPr>
              <w:t>107,685</w:t>
            </w:r>
          </w:p>
        </w:tc>
        <w:tc>
          <w:tcPr>
            <w:tcW w:w="2570" w:type="dxa"/>
            <w:tcBorders>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9"/>
              </w:rPr>
            </w:pPr>
            <w:r>
              <w:rPr>
                <w:rFonts w:ascii="Arial;Helvetica;Sans-Serif" w:hAnsi="Arial;Helvetica;Sans-Serif"/>
                <w:color w:val="333333"/>
                <w:sz w:val="19"/>
              </w:rPr>
              <w:t>6,149,038</w:t>
            </w:r>
          </w:p>
        </w:tc>
      </w:tr>
      <w:tr>
        <w:trPr/>
        <w:tc>
          <w:tcPr>
            <w:tcW w:w="1670" w:type="dxa"/>
            <w:tcBorders>
              <w:left w:val="single" w:sz="8" w:space="0" w:color="333333"/>
              <w:bottom w:val="single" w:sz="8" w:space="0" w:color="333333"/>
              <w:right w:val="single" w:sz="8" w:space="0" w:color="333333"/>
            </w:tcBorders>
            <w:tcMar>
              <w:top w:w="0" w:type="dxa"/>
              <w:bottom w:w="28" w:type="dxa"/>
              <w:right w:w="28" w:type="dxa"/>
            </w:tcMar>
            <w:vAlign w:val="center"/>
          </w:tcPr>
          <w:p>
            <w:pPr>
              <w:pStyle w:val="TableContents"/>
              <w:bidi w:val="0"/>
              <w:spacing w:before="0" w:after="283"/>
              <w:jc w:val="left"/>
              <w:rPr/>
            </w:pPr>
            <w:r>
              <w:rPr/>
              <w:t> </w:t>
            </w:r>
          </w:p>
        </w:tc>
        <w:tc>
          <w:tcPr>
            <w:tcW w:w="2045" w:type="dxa"/>
            <w:tcBorders>
              <w:bottom w:val="single" w:sz="8" w:space="0" w:color="333333"/>
              <w:right w:val="single" w:sz="8" w:space="0" w:color="333333"/>
            </w:tcBorders>
            <w:tcMar>
              <w:top w:w="0" w:type="dxa"/>
              <w:left w:w="0" w:type="dxa"/>
              <w:bottom w:w="28" w:type="dxa"/>
              <w:right w:w="28" w:type="dxa"/>
            </w:tcMar>
            <w:vAlign w:val="center"/>
          </w:tcPr>
          <w:p>
            <w:pPr>
              <w:pStyle w:val="TableContents"/>
              <w:bidi w:val="0"/>
              <w:spacing w:before="0" w:after="283"/>
              <w:jc w:val="left"/>
              <w:rPr/>
            </w:pPr>
            <w:r>
              <w:rPr/>
              <w:t> </w:t>
            </w:r>
          </w:p>
        </w:tc>
        <w:tc>
          <w:tcPr>
            <w:tcW w:w="2570" w:type="dxa"/>
            <w:tcBorders>
              <w:bottom w:val="single" w:sz="8" w:space="0" w:color="333333"/>
              <w:right w:val="single" w:sz="8" w:space="0" w:color="333333"/>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1670" w:type="dxa"/>
            <w:tcBorders>
              <w:left w:val="single" w:sz="8" w:space="0" w:color="333333"/>
              <w:right w:val="single" w:sz="8" w:space="0" w:color="333333"/>
            </w:tcBorders>
            <w:tcMar>
              <w:top w:w="0" w:type="dxa"/>
              <w:left w:w="100" w:type="dxa"/>
              <w:right w:w="28" w:type="dxa"/>
            </w:tcMar>
            <w:vAlign w:val="center"/>
          </w:tcPr>
          <w:p>
            <w:pPr>
              <w:pStyle w:val="TableContents"/>
              <w:bidi w:val="0"/>
              <w:spacing w:before="0" w:after="283"/>
              <w:jc w:val="left"/>
              <w:rPr>
                <w:rFonts w:ascii="Arial;Helvetica;Sans-Serif" w:hAnsi="Arial;Helvetica;Sans-Serif"/>
                <w:color w:val="333333"/>
                <w:sz w:val="19"/>
              </w:rPr>
            </w:pPr>
            <w:r>
              <w:rPr>
                <w:rFonts w:ascii="Arial;Helvetica;Sans-Serif" w:hAnsi="Arial;Helvetica;Sans-Serif"/>
                <w:color w:val="333333"/>
                <w:sz w:val="19"/>
              </w:rPr>
              <w:t>Raymond R. Quirk</w:t>
            </w:r>
          </w:p>
        </w:tc>
        <w:tc>
          <w:tcPr>
            <w:tcW w:w="2045" w:type="dxa"/>
            <w:tcBorders>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9"/>
              </w:rPr>
            </w:pPr>
            <w:r>
              <w:rPr>
                <w:rFonts w:ascii="Arial;Helvetica;Sans-Serif" w:hAnsi="Arial;Helvetica;Sans-Serif"/>
                <w:color w:val="333333"/>
                <w:sz w:val="19"/>
              </w:rPr>
              <w:t>94,429</w:t>
            </w:r>
          </w:p>
        </w:tc>
        <w:tc>
          <w:tcPr>
            <w:tcW w:w="2570" w:type="dxa"/>
            <w:tcBorders>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9"/>
              </w:rPr>
            </w:pPr>
            <w:r>
              <w:rPr>
                <w:rFonts w:ascii="Arial;Helvetica;Sans-Serif" w:hAnsi="Arial;Helvetica;Sans-Serif"/>
                <w:color w:val="333333"/>
                <w:sz w:val="19"/>
              </w:rPr>
              <w:t>5,375,533</w:t>
            </w:r>
          </w:p>
        </w:tc>
      </w:tr>
      <w:tr>
        <w:trPr/>
        <w:tc>
          <w:tcPr>
            <w:tcW w:w="1670" w:type="dxa"/>
            <w:tcBorders>
              <w:left w:val="single" w:sz="8" w:space="0" w:color="333333"/>
              <w:bottom w:val="single" w:sz="8" w:space="0" w:color="333333"/>
              <w:right w:val="single" w:sz="8" w:space="0" w:color="333333"/>
            </w:tcBorders>
            <w:tcMar>
              <w:top w:w="0" w:type="dxa"/>
              <w:bottom w:w="28" w:type="dxa"/>
              <w:right w:w="28" w:type="dxa"/>
            </w:tcMar>
            <w:vAlign w:val="center"/>
          </w:tcPr>
          <w:p>
            <w:pPr>
              <w:pStyle w:val="TableContents"/>
              <w:bidi w:val="0"/>
              <w:spacing w:before="0" w:after="283"/>
              <w:jc w:val="left"/>
              <w:rPr/>
            </w:pPr>
            <w:r>
              <w:rPr/>
              <w:t> </w:t>
            </w:r>
          </w:p>
        </w:tc>
        <w:tc>
          <w:tcPr>
            <w:tcW w:w="2045" w:type="dxa"/>
            <w:tcBorders>
              <w:bottom w:val="single" w:sz="8" w:space="0" w:color="333333"/>
              <w:right w:val="single" w:sz="8" w:space="0" w:color="333333"/>
            </w:tcBorders>
            <w:tcMar>
              <w:top w:w="0" w:type="dxa"/>
              <w:left w:w="0" w:type="dxa"/>
              <w:bottom w:w="28" w:type="dxa"/>
              <w:right w:w="28" w:type="dxa"/>
            </w:tcMar>
            <w:vAlign w:val="center"/>
          </w:tcPr>
          <w:p>
            <w:pPr>
              <w:pStyle w:val="TableContents"/>
              <w:bidi w:val="0"/>
              <w:spacing w:before="0" w:after="283"/>
              <w:jc w:val="left"/>
              <w:rPr/>
            </w:pPr>
            <w:r>
              <w:rPr/>
              <w:t> </w:t>
            </w:r>
          </w:p>
        </w:tc>
        <w:tc>
          <w:tcPr>
            <w:tcW w:w="2570" w:type="dxa"/>
            <w:tcBorders>
              <w:bottom w:val="single" w:sz="8" w:space="0" w:color="333333"/>
              <w:right w:val="single" w:sz="8" w:space="0" w:color="333333"/>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1670" w:type="dxa"/>
            <w:tcBorders>
              <w:left w:val="single" w:sz="8" w:space="0" w:color="333333"/>
              <w:right w:val="single" w:sz="8" w:space="0" w:color="333333"/>
            </w:tcBorders>
            <w:tcMar>
              <w:top w:w="0" w:type="dxa"/>
              <w:left w:w="100" w:type="dxa"/>
              <w:right w:w="28" w:type="dxa"/>
            </w:tcMar>
            <w:vAlign w:val="center"/>
          </w:tcPr>
          <w:p>
            <w:pPr>
              <w:pStyle w:val="TableContents"/>
              <w:bidi w:val="0"/>
              <w:spacing w:before="0" w:after="283"/>
              <w:jc w:val="left"/>
              <w:rPr>
                <w:rFonts w:ascii="Arial;Helvetica;Sans-Serif" w:hAnsi="Arial;Helvetica;Sans-Serif"/>
                <w:color w:val="333333"/>
                <w:sz w:val="19"/>
              </w:rPr>
            </w:pPr>
            <w:r>
              <w:rPr>
                <w:rFonts w:ascii="Arial;Helvetica;Sans-Serif" w:hAnsi="Arial;Helvetica;Sans-Serif"/>
                <w:color w:val="333333"/>
                <w:sz w:val="19"/>
              </w:rPr>
              <w:t>Anthony J. Park</w:t>
            </w:r>
          </w:p>
        </w:tc>
        <w:tc>
          <w:tcPr>
            <w:tcW w:w="2045" w:type="dxa"/>
            <w:tcBorders>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9"/>
              </w:rPr>
            </w:pPr>
            <w:r>
              <w:rPr>
                <w:rFonts w:ascii="Arial;Helvetica;Sans-Serif" w:hAnsi="Arial;Helvetica;Sans-Serif"/>
                <w:color w:val="333333"/>
                <w:sz w:val="19"/>
              </w:rPr>
              <w:t>34,838</w:t>
            </w:r>
          </w:p>
        </w:tc>
        <w:tc>
          <w:tcPr>
            <w:tcW w:w="2570" w:type="dxa"/>
            <w:tcBorders>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9"/>
              </w:rPr>
            </w:pPr>
            <w:r>
              <w:rPr>
                <w:rFonts w:ascii="Arial;Helvetica;Sans-Serif" w:hAnsi="Arial;Helvetica;Sans-Serif"/>
                <w:color w:val="333333"/>
                <w:sz w:val="19"/>
              </w:rPr>
              <w:t>1,987,431</w:t>
            </w:r>
          </w:p>
        </w:tc>
      </w:tr>
      <w:tr>
        <w:trPr/>
        <w:tc>
          <w:tcPr>
            <w:tcW w:w="1670" w:type="dxa"/>
            <w:tcBorders>
              <w:left w:val="single" w:sz="8" w:space="0" w:color="333333"/>
              <w:bottom w:val="single" w:sz="8" w:space="0" w:color="333333"/>
              <w:right w:val="single" w:sz="8" w:space="0" w:color="333333"/>
            </w:tcBorders>
            <w:tcMar>
              <w:top w:w="0" w:type="dxa"/>
              <w:bottom w:w="28" w:type="dxa"/>
              <w:right w:w="28" w:type="dxa"/>
            </w:tcMar>
            <w:vAlign w:val="center"/>
          </w:tcPr>
          <w:p>
            <w:pPr>
              <w:pStyle w:val="TableContents"/>
              <w:bidi w:val="0"/>
              <w:spacing w:before="0" w:after="283"/>
              <w:jc w:val="left"/>
              <w:rPr/>
            </w:pPr>
            <w:r>
              <w:rPr/>
              <w:t> </w:t>
            </w:r>
          </w:p>
        </w:tc>
        <w:tc>
          <w:tcPr>
            <w:tcW w:w="2045" w:type="dxa"/>
            <w:tcBorders>
              <w:bottom w:val="single" w:sz="8" w:space="0" w:color="333333"/>
              <w:right w:val="single" w:sz="8" w:space="0" w:color="333333"/>
            </w:tcBorders>
            <w:tcMar>
              <w:top w:w="0" w:type="dxa"/>
              <w:left w:w="0" w:type="dxa"/>
              <w:bottom w:w="28" w:type="dxa"/>
              <w:right w:w="28" w:type="dxa"/>
            </w:tcMar>
            <w:vAlign w:val="center"/>
          </w:tcPr>
          <w:p>
            <w:pPr>
              <w:pStyle w:val="TableContents"/>
              <w:bidi w:val="0"/>
              <w:spacing w:before="0" w:after="283"/>
              <w:jc w:val="left"/>
              <w:rPr/>
            </w:pPr>
            <w:r>
              <w:rPr/>
              <w:t> </w:t>
            </w:r>
          </w:p>
        </w:tc>
        <w:tc>
          <w:tcPr>
            <w:tcW w:w="2570" w:type="dxa"/>
            <w:tcBorders>
              <w:bottom w:val="single" w:sz="8" w:space="0" w:color="333333"/>
              <w:right w:val="single" w:sz="8" w:space="0" w:color="333333"/>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1670" w:type="dxa"/>
            <w:tcBorders>
              <w:left w:val="single" w:sz="8" w:space="0" w:color="333333"/>
              <w:right w:val="single" w:sz="8" w:space="0" w:color="333333"/>
            </w:tcBorders>
            <w:tcMar>
              <w:top w:w="0" w:type="dxa"/>
              <w:left w:w="100" w:type="dxa"/>
              <w:right w:w="28" w:type="dxa"/>
            </w:tcMar>
            <w:vAlign w:val="center"/>
          </w:tcPr>
          <w:p>
            <w:pPr>
              <w:pStyle w:val="TableContents"/>
              <w:bidi w:val="0"/>
              <w:spacing w:before="0" w:after="283"/>
              <w:jc w:val="left"/>
              <w:rPr>
                <w:rFonts w:ascii="Arial;Helvetica;Sans-Serif" w:hAnsi="Arial;Helvetica;Sans-Serif"/>
                <w:color w:val="333333"/>
                <w:sz w:val="19"/>
              </w:rPr>
            </w:pPr>
            <w:r>
              <w:rPr>
                <w:rFonts w:ascii="Arial;Helvetica;Sans-Serif" w:hAnsi="Arial;Helvetica;Sans-Serif"/>
                <w:color w:val="333333"/>
                <w:sz w:val="19"/>
              </w:rPr>
              <w:t>Peter T. Sadowski</w:t>
            </w:r>
          </w:p>
        </w:tc>
        <w:tc>
          <w:tcPr>
            <w:tcW w:w="2045" w:type="dxa"/>
            <w:tcBorders>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9"/>
              </w:rPr>
            </w:pPr>
            <w:r>
              <w:rPr>
                <w:rFonts w:ascii="Arial;Helvetica;Sans-Serif" w:hAnsi="Arial;Helvetica;Sans-Serif"/>
                <w:color w:val="333333"/>
                <w:sz w:val="19"/>
              </w:rPr>
              <w:t>33,043</w:t>
            </w:r>
          </w:p>
        </w:tc>
        <w:tc>
          <w:tcPr>
            <w:tcW w:w="2570" w:type="dxa"/>
            <w:tcBorders>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9"/>
              </w:rPr>
            </w:pPr>
            <w:r>
              <w:rPr>
                <w:rFonts w:ascii="Arial;Helvetica;Sans-Serif" w:hAnsi="Arial;Helvetica;Sans-Serif"/>
                <w:color w:val="333333"/>
                <w:sz w:val="19"/>
              </w:rPr>
              <w:t>1,884,850</w:t>
            </w:r>
          </w:p>
        </w:tc>
      </w:tr>
      <w:tr>
        <w:trPr/>
        <w:tc>
          <w:tcPr>
            <w:tcW w:w="1670" w:type="dxa"/>
            <w:tcBorders>
              <w:left w:val="single" w:sz="8" w:space="0" w:color="333333"/>
              <w:bottom w:val="single" w:sz="8" w:space="0" w:color="333333"/>
              <w:right w:val="single" w:sz="8" w:space="0" w:color="333333"/>
            </w:tcBorders>
            <w:tcMar>
              <w:top w:w="0" w:type="dxa"/>
              <w:bottom w:w="28" w:type="dxa"/>
              <w:right w:w="28" w:type="dxa"/>
            </w:tcMar>
            <w:vAlign w:val="center"/>
          </w:tcPr>
          <w:p>
            <w:pPr>
              <w:pStyle w:val="TableContents"/>
              <w:bidi w:val="0"/>
              <w:spacing w:before="0" w:after="283"/>
              <w:jc w:val="left"/>
              <w:rPr/>
            </w:pPr>
            <w:r>
              <w:rPr/>
              <w:t> </w:t>
            </w:r>
          </w:p>
        </w:tc>
        <w:tc>
          <w:tcPr>
            <w:tcW w:w="2045" w:type="dxa"/>
            <w:tcBorders>
              <w:bottom w:val="single" w:sz="8" w:space="0" w:color="333333"/>
              <w:right w:val="single" w:sz="8" w:space="0" w:color="333333"/>
            </w:tcBorders>
            <w:tcMar>
              <w:top w:w="0" w:type="dxa"/>
              <w:left w:w="0" w:type="dxa"/>
              <w:bottom w:w="28" w:type="dxa"/>
              <w:right w:w="28" w:type="dxa"/>
            </w:tcMar>
            <w:vAlign w:val="center"/>
          </w:tcPr>
          <w:p>
            <w:pPr>
              <w:pStyle w:val="TableContents"/>
              <w:bidi w:val="0"/>
              <w:spacing w:before="0" w:after="283"/>
              <w:jc w:val="left"/>
              <w:rPr/>
            </w:pPr>
            <w:r>
              <w:rPr/>
              <w:t> </w:t>
            </w:r>
          </w:p>
        </w:tc>
        <w:tc>
          <w:tcPr>
            <w:tcW w:w="2570" w:type="dxa"/>
            <w:tcBorders>
              <w:bottom w:val="single" w:sz="8" w:space="0" w:color="333333"/>
              <w:right w:val="single" w:sz="8" w:space="0" w:color="333333"/>
            </w:tcBorders>
            <w:tcMar>
              <w:top w:w="0" w:type="dxa"/>
              <w:left w:w="0" w:type="dxa"/>
              <w:bottom w:w="28" w:type="dxa"/>
              <w:right w:w="28" w:type="dxa"/>
            </w:tcMar>
            <w:vAlign w:val="center"/>
          </w:tcPr>
          <w:p>
            <w:pPr>
              <w:pStyle w:val="TableContents"/>
              <w:bidi w:val="0"/>
              <w:spacing w:before="0" w:after="283"/>
              <w:jc w:val="left"/>
              <w:rPr/>
            </w:pPr>
            <w:r>
              <w:rPr/>
              <w:t> </w:t>
            </w:r>
          </w:p>
        </w:tc>
      </w:tr>
      <w:tr>
        <w:trPr/>
        <w:tc>
          <w:tcPr>
            <w:tcW w:w="1670" w:type="dxa"/>
            <w:tcBorders>
              <w:left w:val="single" w:sz="8" w:space="0" w:color="333333"/>
              <w:right w:val="single" w:sz="8" w:space="0" w:color="333333"/>
            </w:tcBorders>
            <w:tcMar>
              <w:top w:w="0" w:type="dxa"/>
              <w:left w:w="100" w:type="dxa"/>
              <w:right w:w="28" w:type="dxa"/>
            </w:tcMar>
            <w:vAlign w:val="center"/>
          </w:tcPr>
          <w:p>
            <w:pPr>
              <w:pStyle w:val="TableContents"/>
              <w:bidi w:val="0"/>
              <w:spacing w:before="0" w:after="283"/>
              <w:jc w:val="left"/>
              <w:rPr>
                <w:rFonts w:ascii="Arial;Helvetica;Sans-Serif" w:hAnsi="Arial;Helvetica;Sans-Serif"/>
                <w:color w:val="333333"/>
                <w:sz w:val="18"/>
              </w:rPr>
            </w:pPr>
            <w:r>
              <w:rPr>
                <w:rFonts w:ascii="Arial;Helvetica;Sans-Serif" w:hAnsi="Arial;Helvetica;Sans-Serif"/>
                <w:color w:val="333333"/>
                <w:sz w:val="18"/>
              </w:rPr>
              <w:t>Michael L. Gravelle</w:t>
            </w:r>
          </w:p>
        </w:tc>
        <w:tc>
          <w:tcPr>
            <w:tcW w:w="2045" w:type="dxa"/>
            <w:tcBorders>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9"/>
              </w:rPr>
            </w:pPr>
            <w:r>
              <w:rPr>
                <w:rFonts w:ascii="Arial;Helvetica;Sans-Serif" w:hAnsi="Arial;Helvetica;Sans-Serif"/>
                <w:color w:val="333333"/>
                <w:sz w:val="19"/>
              </w:rPr>
              <w:t>33,043</w:t>
            </w:r>
          </w:p>
        </w:tc>
        <w:tc>
          <w:tcPr>
            <w:tcW w:w="2570" w:type="dxa"/>
            <w:tcBorders>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9"/>
              </w:rPr>
            </w:pPr>
            <w:r>
              <w:rPr>
                <w:rFonts w:ascii="Arial;Helvetica;Sans-Serif" w:hAnsi="Arial;Helvetica;Sans-Serif"/>
                <w:color w:val="333333"/>
                <w:sz w:val="19"/>
              </w:rPr>
              <w:t>1,884,850</w:t>
            </w:r>
          </w:p>
        </w:tc>
      </w:tr>
      <w:tr>
        <w:trPr/>
        <w:tc>
          <w:tcPr>
            <w:tcW w:w="1670" w:type="dxa"/>
            <w:tcBorders>
              <w:left w:val="single" w:sz="8" w:space="0" w:color="333333"/>
              <w:bottom w:val="single" w:sz="8" w:space="0" w:color="333333"/>
              <w:right w:val="single" w:sz="8" w:space="0" w:color="333333"/>
            </w:tcBorders>
            <w:tcMar>
              <w:top w:w="0" w:type="dxa"/>
              <w:bottom w:w="28" w:type="dxa"/>
              <w:right w:w="28" w:type="dxa"/>
            </w:tcMar>
            <w:vAlign w:val="center"/>
          </w:tcPr>
          <w:p>
            <w:pPr>
              <w:pStyle w:val="TableContents"/>
              <w:bidi w:val="0"/>
              <w:spacing w:before="0" w:after="283"/>
              <w:jc w:val="left"/>
              <w:rPr/>
            </w:pPr>
            <w:r>
              <w:rPr/>
              <w:t> </w:t>
            </w:r>
          </w:p>
        </w:tc>
        <w:tc>
          <w:tcPr>
            <w:tcW w:w="2045" w:type="dxa"/>
            <w:tcBorders>
              <w:bottom w:val="single" w:sz="8" w:space="0" w:color="333333"/>
              <w:right w:val="single" w:sz="8" w:space="0" w:color="333333"/>
            </w:tcBorders>
            <w:tcMar>
              <w:top w:w="0" w:type="dxa"/>
              <w:left w:w="0" w:type="dxa"/>
              <w:bottom w:w="28" w:type="dxa"/>
              <w:right w:w="28" w:type="dxa"/>
            </w:tcMar>
            <w:vAlign w:val="center"/>
          </w:tcPr>
          <w:p>
            <w:pPr>
              <w:pStyle w:val="TableContents"/>
              <w:bidi w:val="0"/>
              <w:spacing w:before="0" w:after="283"/>
              <w:jc w:val="left"/>
              <w:rPr/>
            </w:pPr>
            <w:r>
              <w:rPr/>
              <w:t> </w:t>
            </w:r>
          </w:p>
        </w:tc>
        <w:tc>
          <w:tcPr>
            <w:tcW w:w="2570" w:type="dxa"/>
            <w:tcBorders>
              <w:bottom w:val="single" w:sz="8" w:space="0" w:color="333333"/>
              <w:right w:val="single" w:sz="8" w:space="0" w:color="333333"/>
            </w:tcBorders>
            <w:tcMar>
              <w:top w:w="0" w:type="dxa"/>
              <w:left w:w="0" w:type="dxa"/>
              <w:bottom w:w="28" w:type="dxa"/>
              <w:right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EMPLOYMENT AGREEMENTS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We have entered into employment agreements with all of our named executive officers. Additional information regarding post-termination benefits provided under these employment agreements can be found in the "Potential Payments Upon Termination or Change in Control" section.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RAYMOND R. QUIRK</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In connection with Mr. Quirk's transition from Chief Executive Officer to Executive Vice-Chairman of our Board, we entered into a three-year Amended and Restated Employment Agreement with Mr. Quirk, effective as of February 1, 2022, with a provision for automatic annual extensions beginning on the first anniversary of the effective date and continuing thereafter unless either party provides timely notice that the term should not be extended. Pursuant to the terms of Mr. Quirk's employment agreement, his minimum annual base salary was set at $750,000 with an annual cash incentive target of 150% of his annual base salary, with amounts payable depending on performance relative to targeted results. Mr. Quirk and his eligible dependents were entitled to medical and other insurance coverage we provide to our other top executives as a group.</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Mr. Quirk is also eligible to receive equity grants under our equity incentive plans, as determined by our compensation committee.</w:t>
      </w:r>
    </w:p>
    <w:p>
      <w:pPr>
        <w:pStyle w:val="TextBody"/>
        <w:bidi w:val="0"/>
        <w:spacing w:before="0" w:after="0"/>
        <w:ind w:left="1440" w:right="0" w:hanging="0"/>
        <w:jc w:val="left"/>
        <w:rPr>
          <w:caps w:val="false"/>
          <w:smallCaps w:val="false"/>
          <w:color w:val="333333"/>
        </w:rPr>
      </w:pPr>
      <w:r>
        <w:rPr>
          <w:caps w:val="false"/>
          <w:smallCaps w:val="false"/>
          <w:color w:val="333333"/>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58</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54F79" w:val="clear"/>
            <w:vAlign w:val="center"/>
          </w:tcPr>
          <w:p>
            <w:pPr>
              <w:pStyle w:val="TableContents"/>
              <w:bidi w:val="0"/>
              <w:spacing w:before="0" w:after="283"/>
              <w:jc w:val="left"/>
              <w:rPr/>
            </w:pPr>
            <w:r>
              <w:rPr/>
              <w:t> </w:t>
            </w:r>
          </w:p>
        </w:tc>
        <w:tc>
          <w:tcPr>
            <w:tcW w:w="3005" w:type="dxa"/>
            <w:tcBorders/>
            <w:shd w:fill="254F79" w:val="clear"/>
            <w:vAlign w:val="center"/>
          </w:tcPr>
          <w:p>
            <w:pPr>
              <w:pStyle w:val="TableContents"/>
              <w:bidi w:val="0"/>
              <w:spacing w:before="0" w:after="283"/>
              <w:jc w:val="left"/>
              <w:rPr/>
            </w:pPr>
            <w:r>
              <w:rPr/>
              <w:t> </w:t>
            </w:r>
          </w:p>
        </w:tc>
        <w:tc>
          <w:tcPr>
            <w:tcW w:w="335" w:type="dxa"/>
            <w:tcBorders/>
            <w:shd w:fill="254F79"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MICHAEL J. NOLAN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1"/>
        </w:rPr>
      </w:pPr>
      <w:r>
        <w:rPr>
          <w:rFonts w:ascii="Arial;Helvetica;Sans-Serif" w:hAnsi="Arial;Helvetica;Sans-Serif"/>
          <w:b w:val="false"/>
          <w:i w:val="false"/>
          <w:caps w:val="false"/>
          <w:smallCaps w:val="false"/>
          <w:color w:val="333333"/>
          <w:sz w:val="21"/>
        </w:rPr>
        <w:t>In connection with Mr. Nolan's transition from President to Chief Executive Officer, we entered into a three-year Amended and Restated Employment Agreement, effective as of February 1, 2022, with a provision for automatic annual extensions beginning on the first anniversary of the effective date and continuing thereafter unless either party provides timely notice that the term should not be extended. Pursuant to the terms of Mr. Nolan's employment agreement, Mr. Nolan is entitled to an annual base salary of $900,000 and an annual incentive target of 150% of his annual base salary, with amounts payable depending on performance relative to targeted results. Mr. Nolan and his eligible dependents are entitled to medical and other insurance coverage we provide to our other top executives as a group. Mr. Nolan is also eligible to receive equity grants under our equity incentive plans, as determined by our compensation committee.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Mr. Nolan's employment agreement contained provisions related to the payment of benefits upon certain termination events. The details of these provisions are set forth in the "Potential Payments Upon Termination or Change in Control" section.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ANTHONY J. PARK</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1"/>
        </w:rPr>
      </w:pPr>
      <w:r>
        <w:rPr>
          <w:rFonts w:ascii="Arial;Helvetica;Sans-Serif" w:hAnsi="Arial;Helvetica;Sans-Serif"/>
          <w:b w:val="false"/>
          <w:i w:val="false"/>
          <w:caps w:val="false"/>
          <w:smallCaps w:val="false"/>
          <w:color w:val="333333"/>
          <w:sz w:val="21"/>
        </w:rPr>
        <w:t>We entered into a three-year amended and restated employment agreement with Mr. Park, effective as of October 10, 2008, with a provision for automatic annual extensions beginning on the first anniversary of the effective date and continuing thereafter unless either party provides timely notice that the term should not be extended. Under the terms of the 2008 agreement, Mr. Park's minimum annual base salary is $375,000, with an annual cash incentive target equal to at least 100% of his annual base salary, with amounts payable depending on performance relative to targeted results. Mr. Park is entitled to supplemental disability insurance sufficient to provide at least 2/3 of his pre-disability base salary, and Mr. Park and his eligible dependents are entitled to medical and other insurance coverage we provide to our other top executives as a group. Mr. Park is also entitled to, but does not receive, the payment of initiation and membership dues in any social or recreational clubs that we deem appropriate to maintain our business relationships, and he is eligible to receive equity grants under our equity incentive plans, as determined by our compensation committee.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Mr. Park's employment agreement contains provisions related to the payment of benefits upon certain termination events. The details of these provisions are set forth in the "Potential Payments Upon Termination or Change in Control" section.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PETER T. SADOWSKI</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1"/>
        </w:rPr>
      </w:pPr>
      <w:r>
        <w:rPr>
          <w:rFonts w:ascii="Arial;Helvetica;Sans-Serif" w:hAnsi="Arial;Helvetica;Sans-Serif"/>
          <w:b w:val="false"/>
          <w:i w:val="false"/>
          <w:caps w:val="false"/>
          <w:smallCaps w:val="false"/>
          <w:color w:val="333333"/>
          <w:sz w:val="21"/>
        </w:rPr>
        <w:t>We entered into a three-year amended and restated employment agreement with Mr. Sadowski, effective as of July 23, 2008, with a provision for automatic annual extensions beginning on the first anniversary of the effective date and continuing thereafter unless either party provides timely notice that the term should not be extended. Under the terms of the 2008 agreement, Mr. Sadowski's minimum annual base salary is $460,000, with an annual cash incentive target of 105% his annual base salary, with amounts payable depending on performance relative to targeted results. Mr. Sadowski is entitled to supplemental disability insurance sufficient to provide at least 2/3 of his pre-disability base salary, and Mr. Sadowski and his eligible dependents are entitled to medical and other insurance coverage we provide to our other top executives as a group. Mr. Sadowski is also entitled to, but does not receive, the payment of initiation and membership dues in any social or recreational clubs that we deem appropriate to maintain our business relationships, and he is eligible to receive equity grants under our equity incentive plans, as determined by our compensation committee.</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59</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Mr. Sadowski's employment agreement contains provisions related to the payment of benefits upon certain termination events. The details of these provisions are set forth in the "Potential Payments Upon Termination or Change in Control" section.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MICHAEL L. GRAVELLE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1"/>
        </w:rPr>
      </w:pPr>
      <w:r>
        <w:rPr>
          <w:rFonts w:ascii="Arial;Helvetica;Sans-Serif" w:hAnsi="Arial;Helvetica;Sans-Serif"/>
          <w:b w:val="false"/>
          <w:i w:val="false"/>
          <w:caps w:val="false"/>
          <w:smallCaps w:val="false"/>
          <w:color w:val="333333"/>
          <w:sz w:val="21"/>
        </w:rPr>
        <w:t>We entered into a three-year amended and restated employment agreement with Mr. Gravelle, effective as of January 1, 2010, to serve as our Executive Vice President, General Counsel and Corporate Secretary, with a provision for automatic annual extensions beginning on the first anniversary of the effective date and continuing thereafter unless either party provides timely notice that the term should not be extended. Under the terms of the agreement as amended effective November 1, 2019, Mr. Gravelle's minimum annual base salary is $326,375 with an annual cash incentive target equal to at least 105% of his base salary with a maximum of up to 210% of his target opportunity, with amounts payable depending on performance relative to targeted results. Mr. Gravelle is entitled to purchase supplemental disability insurance sufficient to provide at least 60% of his pre-disability base salary, and Mr. Gravelle and his eligible dependents are entitled to medical and other insurance coverage we provide to our other top executives as a group. Mr. Gravelle is also entitled to, but does not receive, the payment of initiation and membership dues in any social or recreational clubs that we deem appropriate to maintain our business relationships, and he is eligible to receive equity grants under our equity incentive plans, as determined by our compensation committee.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Mr. Gravelle's employment agreement contains provisions related to the payment of benefits upon certain termination events. The details of these provisions are set forth in the "Potential Payments Upon Termination or Change in Control" section.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ANNUAL INCENTIVE AWARDS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1"/>
        </w:rPr>
      </w:pPr>
      <w:r>
        <w:rPr>
          <w:rFonts w:ascii="Arial;Helvetica;Sans-Serif" w:hAnsi="Arial;Helvetica;Sans-Serif"/>
          <w:b w:val="false"/>
          <w:i w:val="false"/>
          <w:caps w:val="false"/>
          <w:smallCaps w:val="false"/>
          <w:color w:val="333333"/>
          <w:sz w:val="21"/>
        </w:rPr>
        <w:t>In April 2025, our compensation committee approved performance-based cash incentive opportunities for our named executive officers. The performance-based cash incentive opportunities are determined by multiplying base salary by the named executive officer's applicable percentage approved by our compensation committee based on the level of performance that we achieved. More information about the annual incentive awards, including the targets and criteria for determining the amounts payable to our named executive officers, can be found in the "Compensation Discussion and Analysis" section.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LONG-TERM EQUITY INCENTIVE AWARDS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In November 2025, our compensation committee approved grants of performance-based restricted stock to all our named executive officers. The performance element applicable to the performance-based restricted stock is based upon achievement of adjusted pre-tax title margin of 11.0% in at least two of the five quarters beginning October 1, 2025. The restricted stock also vests proportionately each year over three years based on continued employment with us. More information about the long-term equity incentive awards can be found in the "Compensation Discussion and Analysis" section.</w:t>
      </w:r>
    </w:p>
    <w:p>
      <w:pPr>
        <w:pStyle w:val="TextBody"/>
        <w:bidi w:val="0"/>
        <w:spacing w:before="0" w:after="0"/>
        <w:ind w:left="1440" w:right="0" w:hanging="0"/>
        <w:jc w:val="left"/>
        <w:rPr>
          <w:caps w:val="false"/>
          <w:smallCaps w:val="false"/>
          <w:color w:val="333333"/>
        </w:rPr>
      </w:pPr>
      <w:r>
        <w:rPr>
          <w:caps w:val="false"/>
          <w:smallCaps w:val="false"/>
          <w:color w:val="333333"/>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60</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54F79" w:val="clear"/>
            <w:vAlign w:val="center"/>
          </w:tcPr>
          <w:p>
            <w:pPr>
              <w:pStyle w:val="TableContents"/>
              <w:bidi w:val="0"/>
              <w:spacing w:before="0" w:after="283"/>
              <w:jc w:val="left"/>
              <w:rPr/>
            </w:pPr>
            <w:r>
              <w:rPr/>
              <w:t> </w:t>
            </w:r>
          </w:p>
        </w:tc>
        <w:tc>
          <w:tcPr>
            <w:tcW w:w="3005" w:type="dxa"/>
            <w:tcBorders/>
            <w:shd w:fill="254F79" w:val="clear"/>
            <w:vAlign w:val="center"/>
          </w:tcPr>
          <w:p>
            <w:pPr>
              <w:pStyle w:val="TableContents"/>
              <w:bidi w:val="0"/>
              <w:spacing w:before="0" w:after="283"/>
              <w:jc w:val="left"/>
              <w:rPr/>
            </w:pPr>
            <w:r>
              <w:rPr/>
              <w:t> </w:t>
            </w:r>
          </w:p>
        </w:tc>
        <w:tc>
          <w:tcPr>
            <w:tcW w:w="335" w:type="dxa"/>
            <w:tcBorders/>
            <w:shd w:fill="254F79"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NONQUALIFIED DEFERRED COMPENSATION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Under our nonqualified deferred compensation plan, which was amended and restated effective January 1, 2009, participants, including our named executive officers, can defer up to 75% of their base salary and 100% of their monthly, quarterly and annual incentives. Deferral elections are made during specified enrollment periods. Deferrals and related earnings are not subject to vesting conditions.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1"/>
        </w:rPr>
      </w:pPr>
      <w:r>
        <w:rPr>
          <w:rFonts w:ascii="Arial;Helvetica;Sans-Serif" w:hAnsi="Arial;Helvetica;Sans-Serif"/>
          <w:b w:val="false"/>
          <w:i w:val="false"/>
          <w:caps w:val="false"/>
          <w:smallCaps w:val="false"/>
          <w:color w:val="333333"/>
          <w:sz w:val="21"/>
        </w:rPr>
        <w:t>Participants' accounts are bookkeeping entries only and participants' benefits are unsecured. Participants' accounts are credited or debited daily based on the performance of hypothetical investments selected by the participant and may be changed on any business day.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1"/>
        </w:rPr>
      </w:pPr>
      <w:r>
        <w:rPr>
          <w:rFonts w:ascii="Arial;Helvetica;Sans-Serif" w:hAnsi="Arial;Helvetica;Sans-Serif"/>
          <w:b w:val="false"/>
          <w:i w:val="false"/>
          <w:caps w:val="false"/>
          <w:smallCaps w:val="false"/>
          <w:color w:val="333333"/>
          <w:sz w:val="21"/>
        </w:rPr>
        <w:t>Upon retirement, which generally means separation of employment after attaining age 60, an individual may elect either a lump-sum withdrawal or installment payments over 5, 10 or 15 years. Similar payment elections are available for pre-retirement survivor benefits. In the event of a termination prior to retirement, distributions are paid over a 5-year period. Account balances less than the applicable Internal Revenue Code Section 402(g) limit will be distributed in a lump sum. Participants can elect to receive in-service distributions in a plan year designated by the participant and these amounts will be paid within two and one-half months from the close of the plan year in which they were elected to be paid. The participant may also petition us to suspend elected deferrals, and to receive partial or full payout under the plan, in the event of an unforeseeable financial emergency, provided that the participant does not have other resources to meet the hardship.</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Plan participation continues until termination of employment. Participants will receive their account balance in a lump-sum distribution if employment is terminated within two years after a change in control.</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In 2004, Section 409A of the Internal Revenue Code was passed. Section 409A changed the tax laws applicable to nonqualified deferred compensation plans, generally placing more restrictions on the timing of deferrals and distributions. The deferred compensation plan contains amounts deferred before and after the passage of Section 409A.</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For amounts subject to Section 409A, which in general terms includes amounts deferred after December 31, 2004, a modification to a participant's payment elections may be made upon the following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333333"/>
              </w:rPr>
            </w:pPr>
            <w:r>
              <w:rPr>
                <w:color w:val="333333"/>
              </w:rPr>
              <w:t>•</w:t>
            </w:r>
          </w:p>
        </w:tc>
        <w:tc>
          <w:tcPr>
            <w:tcW w:w="9997" w:type="dxa"/>
            <w:tcBorders/>
            <w:vAlign w:val="center"/>
          </w:tcPr>
          <w:p>
            <w:pPr>
              <w:pStyle w:val="TableContents"/>
              <w:bidi w:val="0"/>
              <w:spacing w:before="0" w:after="283"/>
              <w:jc w:val="left"/>
              <w:rPr/>
            </w:pPr>
            <w:r>
              <w:rPr>
                <w:b/>
                <w:color w:val="062A5D"/>
                <w:sz w:val="22"/>
              </w:rPr>
              <w:t xml:space="preserve">Retirement: </w:t>
            </w:r>
            <w:r>
              <w:rPr>
                <w:color w:val="333333"/>
                <w:sz w:val="22"/>
              </w:rPr>
              <w:t xml:space="preserve">Participants may modify the distribution schedule for a retirement distribution from a lump-sum to annual installments or vice versa, however, a modification to the form of payment requires that the payment(s) commence at least five years after the participant's retirement, and this election must be filed with the administrator at least 12 months prior to retirement.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333333"/>
              </w:rPr>
            </w:pPr>
            <w:r>
              <w:rPr>
                <w:color w:val="333333"/>
              </w:rPr>
              <w:t>•</w:t>
            </w:r>
          </w:p>
        </w:tc>
        <w:tc>
          <w:tcPr>
            <w:tcW w:w="9997" w:type="dxa"/>
            <w:tcBorders/>
            <w:vAlign w:val="center"/>
          </w:tcPr>
          <w:p>
            <w:pPr>
              <w:pStyle w:val="TableContents"/>
              <w:bidi w:val="0"/>
              <w:spacing w:before="0" w:after="283"/>
              <w:jc w:val="left"/>
              <w:rPr/>
            </w:pPr>
            <w:r>
              <w:rPr>
                <w:b/>
                <w:color w:val="062A5D"/>
                <w:sz w:val="22"/>
              </w:rPr>
              <w:t xml:space="preserve">In-service Distributions: </w:t>
            </w:r>
            <w:r>
              <w:rPr>
                <w:color w:val="333333"/>
                <w:sz w:val="22"/>
              </w:rPr>
              <w:t xml:space="preserve">Participants may modify each in-service distribution date by extending it by at least five years; however, participants may not accelerate the in-service distribution date and this election must be filed with the administrator at least 12 months prior to the scheduled in-service distribution date. </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61</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Deferral amounts that were vested on or before December 31, 2004 are generally not subject to Section 409A and are governed by more liberal distribution provisions that were in effect prior to the passage of Section 409A. For example, a participant may withdraw these grandfathered amounts at any time, subject to a withdrawal penalty of ten percent, or may change the payment elections for these grandfathered amounts if notice is timely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The table below describes the contributions and distributions made with respect to the named executive officers' accounts under our nonqualified deferred compensation plan. Only Mr. Gravelle deferred 2025 compensation under the plan. Mr. Quirk does not have a balance in the nonqualified deferred compensation plan.</w:t>
      </w:r>
    </w:p>
    <w:p>
      <w:pPr>
        <w:pStyle w:val="TextBody"/>
        <w:bidi w:val="0"/>
        <w:spacing w:before="0" w:after="0"/>
        <w:ind w:left="0" w:right="0" w:hanging="0"/>
        <w:jc w:val="left"/>
        <w:rPr>
          <w:caps w:val="false"/>
          <w:smallCaps w:val="false"/>
        </w:rPr>
      </w:pPr>
      <w:r>
        <w:rPr>
          <w:caps w:val="false"/>
          <w:smallCaps w:val="false"/>
        </w:rPr>
        <w:t> </w:t>
      </w:r>
    </w:p>
    <w:tbl>
      <w:tblPr>
        <w:tblW w:w="7995" w:type="dxa"/>
        <w:jc w:val="left"/>
        <w:tblInd w:w="-10" w:type="dxa"/>
        <w:tblLayout w:type="fixed"/>
        <w:tblCellMar>
          <w:top w:w="80" w:type="dxa"/>
          <w:left w:w="28" w:type="dxa"/>
          <w:bottom w:w="0" w:type="dxa"/>
          <w:right w:w="0" w:type="dxa"/>
        </w:tblCellMar>
      </w:tblPr>
      <w:tblGrid>
        <w:gridCol w:w="1640"/>
        <w:gridCol w:w="1400"/>
        <w:gridCol w:w="1400"/>
        <w:gridCol w:w="1010"/>
        <w:gridCol w:w="1415"/>
        <w:gridCol w:w="1130"/>
      </w:tblGrid>
      <w:tr>
        <w:trPr/>
        <w:tc>
          <w:tcPr>
            <w:tcW w:w="1640" w:type="dxa"/>
            <w:tcBorders>
              <w:top w:val="single" w:sz="8" w:space="0" w:color="333333"/>
              <w:left w:val="single" w:sz="8" w:space="0" w:color="333333"/>
            </w:tcBorders>
            <w:shd w:fill="254F79" w:val="clear"/>
            <w:vAlign w:val="center"/>
          </w:tcPr>
          <w:p>
            <w:pPr>
              <w:pStyle w:val="TableContents"/>
              <w:bidi w:val="0"/>
              <w:spacing w:before="0" w:after="283"/>
              <w:jc w:val="left"/>
              <w:rPr/>
            </w:pPr>
            <w:r>
              <w:rPr/>
              <w:t> </w:t>
            </w:r>
          </w:p>
        </w:tc>
        <w:tc>
          <w:tcPr>
            <w:tcW w:w="1400" w:type="dxa"/>
            <w:tcBorders>
              <w:top w:val="single" w:sz="8" w:space="0" w:color="333333"/>
            </w:tcBorders>
            <w:shd w:fill="254F79"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Executive</w:t>
            </w:r>
          </w:p>
        </w:tc>
        <w:tc>
          <w:tcPr>
            <w:tcW w:w="1400" w:type="dxa"/>
            <w:tcBorders>
              <w:top w:val="single" w:sz="8" w:space="0" w:color="333333"/>
            </w:tcBorders>
            <w:shd w:fill="254F79"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Registrant</w:t>
            </w:r>
          </w:p>
        </w:tc>
        <w:tc>
          <w:tcPr>
            <w:tcW w:w="1010" w:type="dxa"/>
            <w:tcBorders>
              <w:top w:val="single" w:sz="8" w:space="0" w:color="333333"/>
            </w:tcBorders>
            <w:shd w:fill="254F79" w:val="clear"/>
            <w:tcMar>
              <w:left w:w="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Aggregate</w:t>
            </w:r>
          </w:p>
        </w:tc>
        <w:tc>
          <w:tcPr>
            <w:tcW w:w="1415" w:type="dxa"/>
            <w:tcBorders>
              <w:top w:val="single" w:sz="8" w:space="0" w:color="333333"/>
            </w:tcBorders>
            <w:shd w:fill="254F79"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Aggregate</w:t>
            </w:r>
          </w:p>
        </w:tc>
        <w:tc>
          <w:tcPr>
            <w:tcW w:w="1130" w:type="dxa"/>
            <w:tcBorders>
              <w:top w:val="single" w:sz="8" w:space="0" w:color="333333"/>
              <w:right w:val="single" w:sz="8" w:space="0" w:color="333333"/>
            </w:tcBorders>
            <w:shd w:fill="254F79" w:val="clear"/>
            <w:tcMar>
              <w:left w:w="0" w:type="dxa"/>
              <w:right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Aggregate</w:t>
            </w:r>
          </w:p>
        </w:tc>
      </w:tr>
      <w:tr>
        <w:trPr/>
        <w:tc>
          <w:tcPr>
            <w:tcW w:w="1640" w:type="dxa"/>
            <w:tcBorders>
              <w:left w:val="single" w:sz="8" w:space="0" w:color="333333"/>
            </w:tcBorders>
            <w:shd w:fill="254F79" w:val="clear"/>
            <w:tcMar>
              <w:top w:w="0" w:type="dxa"/>
            </w:tcMar>
            <w:vAlign w:val="center"/>
          </w:tcPr>
          <w:p>
            <w:pPr>
              <w:pStyle w:val="TableContents"/>
              <w:bidi w:val="0"/>
              <w:spacing w:before="0" w:after="283"/>
              <w:jc w:val="left"/>
              <w:rPr/>
            </w:pPr>
            <w:r>
              <w:rPr/>
              <w:t> </w:t>
            </w:r>
          </w:p>
        </w:tc>
        <w:tc>
          <w:tcPr>
            <w:tcW w:w="1400" w:type="dxa"/>
            <w:tcBorders/>
            <w:shd w:fill="254F7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Contributions in</w:t>
            </w:r>
          </w:p>
        </w:tc>
        <w:tc>
          <w:tcPr>
            <w:tcW w:w="1400" w:type="dxa"/>
            <w:tcBorders/>
            <w:shd w:fill="254F7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Contributions in</w:t>
            </w:r>
          </w:p>
        </w:tc>
        <w:tc>
          <w:tcPr>
            <w:tcW w:w="1010" w:type="dxa"/>
            <w:tcBorders/>
            <w:shd w:fill="254F79" w:val="clear"/>
            <w:tcMar>
              <w:top w:w="0" w:type="dxa"/>
              <w:left w:w="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Earnings in</w:t>
            </w:r>
          </w:p>
        </w:tc>
        <w:tc>
          <w:tcPr>
            <w:tcW w:w="1415" w:type="dxa"/>
            <w:tcBorders/>
            <w:shd w:fill="254F7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Withdrawals/</w:t>
            </w:r>
          </w:p>
        </w:tc>
        <w:tc>
          <w:tcPr>
            <w:tcW w:w="1130" w:type="dxa"/>
            <w:tcBorders>
              <w:right w:val="single" w:sz="8" w:space="0" w:color="333333"/>
            </w:tcBorders>
            <w:shd w:fill="254F79" w:val="clear"/>
            <w:tcMar>
              <w:top w:w="0" w:type="dxa"/>
              <w:left w:w="0" w:type="dxa"/>
              <w:right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Balance at</w:t>
            </w:r>
          </w:p>
        </w:tc>
      </w:tr>
      <w:tr>
        <w:trPr/>
        <w:tc>
          <w:tcPr>
            <w:tcW w:w="1640" w:type="dxa"/>
            <w:tcBorders>
              <w:left w:val="single" w:sz="8" w:space="0" w:color="333333"/>
              <w:bottom w:val="single" w:sz="8" w:space="0" w:color="000000"/>
            </w:tcBorders>
            <w:shd w:fill="254F79" w:val="clear"/>
            <w:tcMar>
              <w:top w:w="0" w:type="dxa"/>
              <w:left w:w="180" w:type="dxa"/>
              <w:bottom w:w="8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Name</w:t>
            </w:r>
          </w:p>
        </w:tc>
        <w:tc>
          <w:tcPr>
            <w:tcW w:w="1400" w:type="dxa"/>
            <w:tcBorders>
              <w:bottom w:val="single" w:sz="8" w:space="0" w:color="000000"/>
            </w:tcBorders>
            <w:shd w:fill="254F79" w:val="clear"/>
            <w:tcMar>
              <w:top w:w="0" w:type="dxa"/>
              <w:left w:w="0" w:type="dxa"/>
              <w:bottom w:w="8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Last FY ($)</w:t>
            </w:r>
          </w:p>
        </w:tc>
        <w:tc>
          <w:tcPr>
            <w:tcW w:w="1400" w:type="dxa"/>
            <w:tcBorders>
              <w:bottom w:val="single" w:sz="8" w:space="0" w:color="000000"/>
            </w:tcBorders>
            <w:shd w:fill="254F79" w:val="clear"/>
            <w:tcMar>
              <w:top w:w="0" w:type="dxa"/>
              <w:left w:w="0" w:type="dxa"/>
              <w:bottom w:w="8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Last FY ($)</w:t>
            </w:r>
          </w:p>
        </w:tc>
        <w:tc>
          <w:tcPr>
            <w:tcW w:w="1010" w:type="dxa"/>
            <w:tcBorders>
              <w:bottom w:val="single" w:sz="8" w:space="0" w:color="000000"/>
            </w:tcBorders>
            <w:shd w:fill="254F79" w:val="clear"/>
            <w:tcMar>
              <w:top w:w="0" w:type="dxa"/>
              <w:left w:w="0" w:type="dxa"/>
              <w:bottom w:w="8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Last FY ($)</w:t>
            </w:r>
          </w:p>
        </w:tc>
        <w:tc>
          <w:tcPr>
            <w:tcW w:w="1415" w:type="dxa"/>
            <w:tcBorders>
              <w:bottom w:val="single" w:sz="8" w:space="0" w:color="000000"/>
            </w:tcBorders>
            <w:shd w:fill="254F79" w:val="clear"/>
            <w:tcMar>
              <w:top w:w="0" w:type="dxa"/>
              <w:left w:w="0" w:type="dxa"/>
              <w:bottom w:w="8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Distributions ($)</w:t>
            </w:r>
          </w:p>
        </w:tc>
        <w:tc>
          <w:tcPr>
            <w:tcW w:w="1130" w:type="dxa"/>
            <w:tcBorders>
              <w:bottom w:val="single" w:sz="8" w:space="0" w:color="000000"/>
              <w:right w:val="single" w:sz="8" w:space="0" w:color="333333"/>
            </w:tcBorders>
            <w:shd w:fill="254F79" w:val="clear"/>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Last FYE ($)</w:t>
            </w:r>
          </w:p>
        </w:tc>
      </w:tr>
      <w:tr>
        <w:trPr/>
        <w:tc>
          <w:tcPr>
            <w:tcW w:w="1640" w:type="dxa"/>
            <w:tcBorders>
              <w:left w:val="single" w:sz="8" w:space="0" w:color="333333"/>
              <w:bottom w:val="single" w:sz="8" w:space="0" w:color="000000"/>
              <w:right w:val="single" w:sz="8" w:space="0" w:color="333333"/>
            </w:tcBorders>
            <w:tcMar>
              <w:top w:w="0" w:type="dxa"/>
              <w:left w:w="100" w:type="dxa"/>
              <w:bottom w:w="80" w:type="dxa"/>
              <w:right w:w="28" w:type="dxa"/>
            </w:tcMar>
            <w:vAlign w:val="center"/>
          </w:tcPr>
          <w:p>
            <w:pPr>
              <w:pStyle w:val="TableContents"/>
              <w:bidi w:val="0"/>
              <w:spacing w:before="0" w:after="283"/>
              <w:jc w:val="left"/>
              <w:rPr>
                <w:rFonts w:ascii="Arial;Helvetica;Sans-Serif" w:hAnsi="Arial;Helvetica;Sans-Serif"/>
                <w:color w:val="333333"/>
                <w:sz w:val="18"/>
              </w:rPr>
            </w:pPr>
            <w:r>
              <w:rPr>
                <w:rFonts w:ascii="Arial;Helvetica;Sans-Serif" w:hAnsi="Arial;Helvetica;Sans-Serif"/>
                <w:color w:val="333333"/>
                <w:sz w:val="18"/>
              </w:rPr>
              <w:t>Michael J. Nolan</w:t>
            </w:r>
          </w:p>
        </w:tc>
        <w:tc>
          <w:tcPr>
            <w:tcW w:w="140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color w:val="333333"/>
              </w:rPr>
            </w:pPr>
            <w:r>
              <w:rPr>
                <w:color w:val="333333"/>
              </w:rPr>
              <w:t>—</w:t>
            </w:r>
          </w:p>
        </w:tc>
        <w:tc>
          <w:tcPr>
            <w:tcW w:w="140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color w:val="333333"/>
              </w:rPr>
            </w:pPr>
            <w:r>
              <w:rPr>
                <w:color w:val="333333"/>
              </w:rPr>
              <w:t>—</w:t>
            </w:r>
          </w:p>
        </w:tc>
        <w:tc>
          <w:tcPr>
            <w:tcW w:w="101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5,791</w:t>
            </w:r>
          </w:p>
        </w:tc>
        <w:tc>
          <w:tcPr>
            <w:tcW w:w="1415"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color w:val="333333"/>
              </w:rPr>
            </w:pPr>
            <w:r>
              <w:rPr>
                <w:color w:val="333333"/>
              </w:rPr>
              <w:t>—</w:t>
            </w:r>
          </w:p>
        </w:tc>
        <w:tc>
          <w:tcPr>
            <w:tcW w:w="113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38,737</w:t>
            </w:r>
          </w:p>
        </w:tc>
      </w:tr>
      <w:tr>
        <w:trPr/>
        <w:tc>
          <w:tcPr>
            <w:tcW w:w="1640" w:type="dxa"/>
            <w:tcBorders>
              <w:left w:val="single" w:sz="8" w:space="0" w:color="333333"/>
              <w:bottom w:val="single" w:sz="8" w:space="0" w:color="000000"/>
              <w:right w:val="single" w:sz="8" w:space="0" w:color="333333"/>
            </w:tcBorders>
            <w:tcMar>
              <w:top w:w="0" w:type="dxa"/>
              <w:left w:w="100" w:type="dxa"/>
              <w:bottom w:w="80" w:type="dxa"/>
              <w:right w:w="28" w:type="dxa"/>
            </w:tcMar>
            <w:vAlign w:val="center"/>
          </w:tcPr>
          <w:p>
            <w:pPr>
              <w:pStyle w:val="TableContents"/>
              <w:bidi w:val="0"/>
              <w:spacing w:before="0" w:after="283"/>
              <w:jc w:val="left"/>
              <w:rPr>
                <w:rFonts w:ascii="Arial;Helvetica;Sans-Serif" w:hAnsi="Arial;Helvetica;Sans-Serif"/>
                <w:color w:val="333333"/>
                <w:sz w:val="18"/>
              </w:rPr>
            </w:pPr>
            <w:r>
              <w:rPr>
                <w:rFonts w:ascii="Arial;Helvetica;Sans-Serif" w:hAnsi="Arial;Helvetica;Sans-Serif"/>
                <w:color w:val="333333"/>
                <w:sz w:val="18"/>
              </w:rPr>
              <w:t>Anthony J. Park</w:t>
            </w:r>
          </w:p>
        </w:tc>
        <w:tc>
          <w:tcPr>
            <w:tcW w:w="140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color w:val="333333"/>
              </w:rPr>
            </w:pPr>
            <w:r>
              <w:rPr>
                <w:color w:val="333333"/>
              </w:rPr>
              <w:t>—</w:t>
            </w:r>
          </w:p>
        </w:tc>
        <w:tc>
          <w:tcPr>
            <w:tcW w:w="140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color w:val="333333"/>
              </w:rPr>
            </w:pPr>
            <w:r>
              <w:rPr>
                <w:color w:val="333333"/>
              </w:rPr>
              <w:t>—</w:t>
            </w:r>
          </w:p>
        </w:tc>
        <w:tc>
          <w:tcPr>
            <w:tcW w:w="101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106,293</w:t>
            </w:r>
          </w:p>
        </w:tc>
        <w:tc>
          <w:tcPr>
            <w:tcW w:w="1415"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color w:val="333333"/>
              </w:rPr>
            </w:pPr>
            <w:r>
              <w:rPr>
                <w:color w:val="333333"/>
              </w:rPr>
              <w:t>—</w:t>
            </w:r>
          </w:p>
        </w:tc>
        <w:tc>
          <w:tcPr>
            <w:tcW w:w="113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765,456</w:t>
            </w:r>
          </w:p>
        </w:tc>
      </w:tr>
      <w:tr>
        <w:trPr/>
        <w:tc>
          <w:tcPr>
            <w:tcW w:w="1640" w:type="dxa"/>
            <w:tcBorders>
              <w:left w:val="single" w:sz="8" w:space="0" w:color="333333"/>
              <w:bottom w:val="single" w:sz="8" w:space="0" w:color="000000"/>
              <w:right w:val="single" w:sz="8" w:space="0" w:color="333333"/>
            </w:tcBorders>
            <w:tcMar>
              <w:top w:w="0" w:type="dxa"/>
              <w:left w:w="100" w:type="dxa"/>
              <w:bottom w:w="80" w:type="dxa"/>
              <w:right w:w="28" w:type="dxa"/>
            </w:tcMar>
            <w:vAlign w:val="center"/>
          </w:tcPr>
          <w:p>
            <w:pPr>
              <w:pStyle w:val="TableContents"/>
              <w:bidi w:val="0"/>
              <w:spacing w:before="0" w:after="283"/>
              <w:jc w:val="left"/>
              <w:rPr>
                <w:rFonts w:ascii="Arial;Helvetica;Sans-Serif" w:hAnsi="Arial;Helvetica;Sans-Serif"/>
                <w:color w:val="333333"/>
                <w:sz w:val="18"/>
              </w:rPr>
            </w:pPr>
            <w:r>
              <w:rPr>
                <w:rFonts w:ascii="Arial;Helvetica;Sans-Serif" w:hAnsi="Arial;Helvetica;Sans-Serif"/>
                <w:color w:val="333333"/>
                <w:sz w:val="18"/>
              </w:rPr>
              <w:t>Peter T. Sadowski</w:t>
            </w:r>
          </w:p>
        </w:tc>
        <w:tc>
          <w:tcPr>
            <w:tcW w:w="140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color w:val="333333"/>
              </w:rPr>
            </w:pPr>
            <w:r>
              <w:rPr>
                <w:color w:val="333333"/>
              </w:rPr>
              <w:t>—</w:t>
            </w:r>
          </w:p>
        </w:tc>
        <w:tc>
          <w:tcPr>
            <w:tcW w:w="140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color w:val="333333"/>
              </w:rPr>
            </w:pPr>
            <w:r>
              <w:rPr>
                <w:color w:val="333333"/>
              </w:rPr>
              <w:t>—</w:t>
            </w:r>
          </w:p>
        </w:tc>
        <w:tc>
          <w:tcPr>
            <w:tcW w:w="101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85,460</w:t>
            </w:r>
          </w:p>
        </w:tc>
        <w:tc>
          <w:tcPr>
            <w:tcW w:w="1415"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color w:val="333333"/>
              </w:rPr>
            </w:pPr>
            <w:r>
              <w:rPr>
                <w:color w:val="333333"/>
              </w:rPr>
              <w:t>—</w:t>
            </w:r>
          </w:p>
        </w:tc>
        <w:tc>
          <w:tcPr>
            <w:tcW w:w="113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800,369</w:t>
            </w:r>
          </w:p>
        </w:tc>
      </w:tr>
      <w:tr>
        <w:trPr/>
        <w:tc>
          <w:tcPr>
            <w:tcW w:w="1640" w:type="dxa"/>
            <w:tcBorders>
              <w:left w:val="single" w:sz="8" w:space="0" w:color="333333"/>
              <w:bottom w:val="single" w:sz="8" w:space="0" w:color="000000"/>
              <w:right w:val="single" w:sz="8" w:space="0" w:color="333333"/>
            </w:tcBorders>
            <w:tcMar>
              <w:top w:w="0" w:type="dxa"/>
              <w:left w:w="100" w:type="dxa"/>
              <w:bottom w:w="80" w:type="dxa"/>
              <w:right w:w="28" w:type="dxa"/>
            </w:tcMar>
            <w:vAlign w:val="center"/>
          </w:tcPr>
          <w:p>
            <w:pPr>
              <w:pStyle w:val="TableContents"/>
              <w:bidi w:val="0"/>
              <w:spacing w:before="0" w:after="283"/>
              <w:jc w:val="left"/>
              <w:rPr>
                <w:rFonts w:ascii="Arial;Helvetica;Sans-Serif" w:hAnsi="Arial;Helvetica;Sans-Serif"/>
                <w:color w:val="333333"/>
                <w:sz w:val="18"/>
              </w:rPr>
            </w:pPr>
            <w:r>
              <w:rPr>
                <w:rFonts w:ascii="Arial;Helvetica;Sans-Serif" w:hAnsi="Arial;Helvetica;Sans-Serif"/>
                <w:color w:val="333333"/>
                <w:sz w:val="18"/>
              </w:rPr>
              <w:t>Michael L. Gravelle</w:t>
            </w:r>
          </w:p>
        </w:tc>
        <w:tc>
          <w:tcPr>
            <w:tcW w:w="140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85,500</w:t>
            </w:r>
          </w:p>
        </w:tc>
        <w:tc>
          <w:tcPr>
            <w:tcW w:w="140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color w:val="333333"/>
              </w:rPr>
            </w:pPr>
            <w:r>
              <w:rPr>
                <w:color w:val="333333"/>
              </w:rPr>
              <w:t>—</w:t>
            </w:r>
          </w:p>
        </w:tc>
        <w:tc>
          <w:tcPr>
            <w:tcW w:w="101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219,049</w:t>
            </w:r>
          </w:p>
        </w:tc>
        <w:tc>
          <w:tcPr>
            <w:tcW w:w="1415"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color w:val="333333"/>
              </w:rPr>
            </w:pPr>
            <w:r>
              <w:rPr>
                <w:color w:val="333333"/>
              </w:rPr>
              <w:t>—</w:t>
            </w:r>
          </w:p>
        </w:tc>
        <w:tc>
          <w:tcPr>
            <w:tcW w:w="1130" w:type="dxa"/>
            <w:tcBorders>
              <w:bottom w:val="single" w:sz="8" w:space="0" w:color="000000"/>
              <w:right w:val="single" w:sz="8" w:space="0" w:color="333333"/>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1,738,813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586D94"/>
          <w:sz w:val="27"/>
        </w:rPr>
      </w:pPr>
      <w:r>
        <w:rPr>
          <w:rFonts w:ascii="Arial;Helvetica;Sans-Serif" w:hAnsi="Arial;Helvetica;Sans-Serif"/>
          <w:b/>
          <w:i w:val="false"/>
          <w:caps w:val="false"/>
          <w:smallCaps w:val="false"/>
          <w:color w:val="586D94"/>
          <w:sz w:val="27"/>
        </w:rPr>
        <w:t>POTENTIAL PAYMENTS UPON TERMINATION OR CHANGE IN CONTROL</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1"/>
        </w:rPr>
      </w:pPr>
      <w:r>
        <w:rPr>
          <w:rFonts w:ascii="Arial;Helvetica;Sans-Serif" w:hAnsi="Arial;Helvetica;Sans-Serif"/>
          <w:b w:val="false"/>
          <w:i w:val="false"/>
          <w:caps w:val="false"/>
          <w:smallCaps w:val="false"/>
          <w:color w:val="333333"/>
          <w:sz w:val="21"/>
        </w:rPr>
        <w:t>In this section, we discuss the nature and estimated value of payments and benefits we would provide to our named executive officers in the event of termination of employment or a change in control. The amounts described in this section reflect amounts that would have been payable under (i) our plans, and (ii) where applicable, their employment agreements if their employment had terminated on December 31, 2025.</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The types of termination situations include a voluntary termination by the executive, with or without good reason, a termination by us either for cause or not for cause and termination in the event of disability or death. We also describe the estimated payments and benefits that would be provided upon a change in control without a termination of employment. The actual payments and benefits that would be provided upon a termination of employment would be based on the named executive officers' compensation and benefit levels at the time of the termination of employment and the value of accelerated vesting of share-based awards would be dependent on the value of the underlying stock.</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1"/>
        </w:rPr>
      </w:pPr>
      <w:r>
        <w:rPr>
          <w:rFonts w:ascii="Arial;Helvetica;Sans-Serif" w:hAnsi="Arial;Helvetica;Sans-Serif"/>
          <w:b w:val="false"/>
          <w:i w:val="false"/>
          <w:caps w:val="false"/>
          <w:smallCaps w:val="false"/>
          <w:color w:val="333333"/>
          <w:sz w:val="21"/>
        </w:rPr>
        <w:t>For each type of employment termination, the named executive officers would be entitled to benefits that are available generally to our domestic salaried employees, such as distributions under our 401(k) savings plan, certain disability benefits and accrued vacation. We have not described or provided an estimate of the value of any payments or benefits under plans or arrangements that do not discriminate in scope, terms or operation in favor of a named executive officer and that are generally available to all salaried employees. In addition to these generally available plans and arrangements, certain of our named executive officers would be entitled to benefits under our nonqualified deferred compensation plan, as described above in the "Nonqualified Deferred Compensation" table and accompanying narrative.</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62</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54F79" w:val="clear"/>
            <w:vAlign w:val="center"/>
          </w:tcPr>
          <w:p>
            <w:pPr>
              <w:pStyle w:val="TableContents"/>
              <w:bidi w:val="0"/>
              <w:spacing w:before="0" w:after="283"/>
              <w:jc w:val="left"/>
              <w:rPr/>
            </w:pPr>
            <w:r>
              <w:rPr/>
              <w:t> </w:t>
            </w:r>
          </w:p>
        </w:tc>
        <w:tc>
          <w:tcPr>
            <w:tcW w:w="3005" w:type="dxa"/>
            <w:tcBorders/>
            <w:shd w:fill="254F79" w:val="clear"/>
            <w:vAlign w:val="center"/>
          </w:tcPr>
          <w:p>
            <w:pPr>
              <w:pStyle w:val="TableContents"/>
              <w:bidi w:val="0"/>
              <w:spacing w:before="0" w:after="283"/>
              <w:jc w:val="left"/>
              <w:rPr/>
            </w:pPr>
            <w:r>
              <w:rPr/>
              <w:t> </w:t>
            </w:r>
          </w:p>
        </w:tc>
        <w:tc>
          <w:tcPr>
            <w:tcW w:w="335" w:type="dxa"/>
            <w:tcBorders/>
            <w:shd w:fill="254F79"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POTENTIAL PAYMENTS UNDER EMPLOYMENT AGREEMENTS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As discussed above, we have entered into employment agreements with our named executive officers. The agreements contain provisions for the payment of severance benefits following certain termination events. Below is a summary of the payments and benefits that the named executive officers would receive in connection with various employment or service termination scenarios if their terminations had occurred on December 31, 2025, based on their employment agreements in effect at that time. None of our named executive officers would receive payments upon a change of control without a related termination of employment.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00" w:type="dxa"/>
          <w:left w:w="28" w:type="dxa"/>
          <w:bottom w:w="0" w:type="dxa"/>
          <w:right w:w="0" w:type="dxa"/>
        </w:tblCellMar>
      </w:tblPr>
      <w:tblGrid>
        <w:gridCol w:w="7267"/>
        <w:gridCol w:w="1018"/>
        <w:gridCol w:w="935"/>
        <w:gridCol w:w="849"/>
        <w:gridCol w:w="136"/>
      </w:tblGrid>
      <w:tr>
        <w:trPr/>
        <w:tc>
          <w:tcPr>
            <w:tcW w:w="7267" w:type="dxa"/>
            <w:tcBorders>
              <w:top w:val="single" w:sz="8" w:space="0" w:color="333333"/>
              <w:left w:val="single" w:sz="8" w:space="0" w:color="333333"/>
            </w:tcBorders>
            <w:shd w:fill="254F79" w:val="clear"/>
            <w:vAlign w:val="center"/>
          </w:tcPr>
          <w:p>
            <w:pPr>
              <w:pStyle w:val="TableContents"/>
              <w:bidi w:val="0"/>
              <w:spacing w:before="0" w:after="283"/>
              <w:jc w:val="left"/>
              <w:rPr/>
            </w:pPr>
            <w:r>
              <w:rPr/>
              <w:t> </w:t>
            </w:r>
          </w:p>
        </w:tc>
        <w:tc>
          <w:tcPr>
            <w:tcW w:w="1018" w:type="dxa"/>
            <w:tcBorders>
              <w:top w:val="single" w:sz="8" w:space="0" w:color="333333"/>
            </w:tcBorders>
            <w:shd w:fill="254F79"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Without Cause</w:t>
            </w:r>
          </w:p>
        </w:tc>
        <w:tc>
          <w:tcPr>
            <w:tcW w:w="935" w:type="dxa"/>
            <w:tcBorders>
              <w:top w:val="single" w:sz="8" w:space="0" w:color="333333"/>
            </w:tcBorders>
            <w:shd w:fill="254F79" w:val="clear"/>
            <w:tcMar>
              <w:left w:w="0" w:type="dxa"/>
            </w:tcMar>
            <w:vAlign w:val="center"/>
          </w:tcPr>
          <w:p>
            <w:pPr>
              <w:pStyle w:val="TableContents"/>
              <w:bidi w:val="0"/>
              <w:spacing w:before="0" w:after="283"/>
              <w:jc w:val="left"/>
              <w:rPr/>
            </w:pPr>
            <w:r>
              <w:rPr/>
              <w:t> </w:t>
            </w:r>
          </w:p>
        </w:tc>
        <w:tc>
          <w:tcPr>
            <w:tcW w:w="849" w:type="dxa"/>
            <w:tcBorders>
              <w:top w:val="single" w:sz="8" w:space="0" w:color="333333"/>
              <w:right w:val="single" w:sz="8" w:space="0" w:color="333333"/>
            </w:tcBorders>
            <w:shd w:fill="254F79" w:val="clear"/>
            <w:tcMar>
              <w:left w:w="0" w:type="dxa"/>
              <w:right w:w="28" w:type="dxa"/>
            </w:tcMar>
            <w:vAlign w:val="center"/>
          </w:tcPr>
          <w:p>
            <w:pPr>
              <w:pStyle w:val="TableContents"/>
              <w:bidi w:val="0"/>
              <w:spacing w:before="0" w:after="283"/>
              <w:jc w:val="left"/>
              <w:rPr/>
            </w:pPr>
            <w:r>
              <w:rPr/>
              <w:t> </w:t>
            </w:r>
          </w:p>
        </w:tc>
        <w:tc>
          <w:tcPr>
            <w:tcW w:w="136" w:type="dxa"/>
            <w:tcBorders/>
            <w:shd w:fill="254F79" w:val="clear"/>
            <w:tcMar>
              <w:top w:w="0" w:type="dxa"/>
              <w:left w:w="0" w:type="dxa"/>
            </w:tcMar>
            <w:vAlign w:val="center"/>
          </w:tcPr>
          <w:p>
            <w:pPr>
              <w:pStyle w:val="TableContents"/>
              <w:bidi w:val="0"/>
              <w:spacing w:before="0" w:after="283"/>
              <w:jc w:val="left"/>
              <w:rPr/>
            </w:pPr>
            <w:r>
              <w:rPr/>
              <w:t> </w:t>
            </w:r>
          </w:p>
        </w:tc>
      </w:tr>
      <w:tr>
        <w:trPr/>
        <w:tc>
          <w:tcPr>
            <w:tcW w:w="7267" w:type="dxa"/>
            <w:tcBorders>
              <w:left w:val="single" w:sz="8" w:space="0" w:color="333333"/>
            </w:tcBorders>
            <w:shd w:fill="254F79" w:val="clear"/>
            <w:tcMar>
              <w:top w:w="0" w:type="dxa"/>
            </w:tcMar>
            <w:vAlign w:val="center"/>
          </w:tcPr>
          <w:p>
            <w:pPr>
              <w:pStyle w:val="TableContents"/>
              <w:bidi w:val="0"/>
              <w:spacing w:before="0" w:after="283"/>
              <w:jc w:val="left"/>
              <w:rPr/>
            </w:pPr>
            <w:r>
              <w:rPr/>
              <w:t> </w:t>
            </w:r>
          </w:p>
        </w:tc>
        <w:tc>
          <w:tcPr>
            <w:tcW w:w="1018" w:type="dxa"/>
            <w:tcBorders/>
            <w:shd w:fill="254F7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or by the</w:t>
            </w:r>
          </w:p>
        </w:tc>
        <w:tc>
          <w:tcPr>
            <w:tcW w:w="935" w:type="dxa"/>
            <w:tcBorders/>
            <w:shd w:fill="254F79" w:val="clear"/>
            <w:tcMar>
              <w:top w:w="0" w:type="dxa"/>
              <w:left w:w="0" w:type="dxa"/>
            </w:tcMar>
            <w:vAlign w:val="center"/>
          </w:tcPr>
          <w:p>
            <w:pPr>
              <w:pStyle w:val="TableContents"/>
              <w:bidi w:val="0"/>
              <w:spacing w:before="0" w:after="283"/>
              <w:jc w:val="left"/>
              <w:rPr/>
            </w:pPr>
            <w:r>
              <w:rPr/>
              <w:t> </w:t>
            </w:r>
          </w:p>
        </w:tc>
        <w:tc>
          <w:tcPr>
            <w:tcW w:w="849" w:type="dxa"/>
            <w:tcBorders>
              <w:right w:val="single" w:sz="8" w:space="0" w:color="333333"/>
            </w:tcBorders>
            <w:shd w:fill="254F79" w:val="clear"/>
            <w:tcMar>
              <w:top w:w="0" w:type="dxa"/>
              <w:left w:w="0" w:type="dxa"/>
              <w:right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For Cause or</w:t>
            </w:r>
          </w:p>
        </w:tc>
        <w:tc>
          <w:tcPr>
            <w:tcW w:w="136" w:type="dxa"/>
            <w:tcBorders/>
            <w:shd w:fill="254F79" w:val="clear"/>
            <w:tcMar>
              <w:top w:w="0" w:type="dxa"/>
              <w:left w:w="0" w:type="dxa"/>
            </w:tcMar>
            <w:vAlign w:val="center"/>
          </w:tcPr>
          <w:p>
            <w:pPr>
              <w:pStyle w:val="TableContents"/>
              <w:bidi w:val="0"/>
              <w:spacing w:before="0" w:after="283"/>
              <w:jc w:val="left"/>
              <w:rPr/>
            </w:pPr>
            <w:r>
              <w:rPr/>
              <w:t> </w:t>
            </w:r>
          </w:p>
        </w:tc>
      </w:tr>
      <w:tr>
        <w:trPr/>
        <w:tc>
          <w:tcPr>
            <w:tcW w:w="7267" w:type="dxa"/>
            <w:tcBorders>
              <w:left w:val="single" w:sz="8" w:space="0" w:color="333333"/>
            </w:tcBorders>
            <w:shd w:fill="254F79" w:val="clear"/>
            <w:tcMar>
              <w:top w:w="0" w:type="dxa"/>
            </w:tcMar>
            <w:vAlign w:val="center"/>
          </w:tcPr>
          <w:p>
            <w:pPr>
              <w:pStyle w:val="TableContents"/>
              <w:bidi w:val="0"/>
              <w:spacing w:before="0" w:after="283"/>
              <w:jc w:val="left"/>
              <w:rPr/>
            </w:pPr>
            <w:r>
              <w:rPr/>
              <w:t> </w:t>
            </w:r>
          </w:p>
        </w:tc>
        <w:tc>
          <w:tcPr>
            <w:tcW w:w="1018" w:type="dxa"/>
            <w:tcBorders/>
            <w:shd w:fill="254F7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Executive for</w:t>
            </w:r>
          </w:p>
        </w:tc>
        <w:tc>
          <w:tcPr>
            <w:tcW w:w="935" w:type="dxa"/>
            <w:tcBorders/>
            <w:shd w:fill="254F7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Death or</w:t>
            </w:r>
          </w:p>
        </w:tc>
        <w:tc>
          <w:tcPr>
            <w:tcW w:w="849" w:type="dxa"/>
            <w:tcBorders>
              <w:right w:val="single" w:sz="8" w:space="0" w:color="333333"/>
            </w:tcBorders>
            <w:shd w:fill="254F79" w:val="clear"/>
            <w:tcMar>
              <w:top w:w="0" w:type="dxa"/>
              <w:left w:w="0" w:type="dxa"/>
              <w:right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Without Good</w:t>
            </w:r>
          </w:p>
        </w:tc>
        <w:tc>
          <w:tcPr>
            <w:tcW w:w="136" w:type="dxa"/>
            <w:tcBorders/>
            <w:shd w:fill="254F79" w:val="clear"/>
            <w:tcMar>
              <w:top w:w="0" w:type="dxa"/>
              <w:left w:w="0" w:type="dxa"/>
            </w:tcMar>
            <w:vAlign w:val="center"/>
          </w:tcPr>
          <w:p>
            <w:pPr>
              <w:pStyle w:val="TableContents"/>
              <w:bidi w:val="0"/>
              <w:spacing w:before="0" w:after="283"/>
              <w:jc w:val="left"/>
              <w:rPr/>
            </w:pPr>
            <w:r>
              <w:rPr/>
              <w:t> </w:t>
            </w:r>
          </w:p>
        </w:tc>
      </w:tr>
      <w:tr>
        <w:trPr/>
        <w:tc>
          <w:tcPr>
            <w:tcW w:w="7267" w:type="dxa"/>
            <w:tcBorders>
              <w:left w:val="single" w:sz="8" w:space="0" w:color="333333"/>
              <w:bottom w:val="single" w:sz="8" w:space="0" w:color="000000"/>
            </w:tcBorders>
            <w:shd w:fill="254F79" w:val="clear"/>
            <w:tcMar>
              <w:top w:w="0" w:type="dxa"/>
              <w:left w:w="160" w:type="dxa"/>
              <w:bottom w:w="10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Termination Payment</w:t>
            </w:r>
          </w:p>
        </w:tc>
        <w:tc>
          <w:tcPr>
            <w:tcW w:w="1018" w:type="dxa"/>
            <w:tcBorders>
              <w:bottom w:val="single" w:sz="8" w:space="0" w:color="000000"/>
            </w:tcBorders>
            <w:shd w:fill="254F79" w:val="clear"/>
            <w:tcMar>
              <w:top w:w="0" w:type="dxa"/>
              <w:left w:w="0" w:type="dxa"/>
              <w:bottom w:w="10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Good Reason</w:t>
            </w:r>
          </w:p>
        </w:tc>
        <w:tc>
          <w:tcPr>
            <w:tcW w:w="935" w:type="dxa"/>
            <w:tcBorders>
              <w:bottom w:val="single" w:sz="8" w:space="0" w:color="000000"/>
            </w:tcBorders>
            <w:shd w:fill="254F79" w:val="clear"/>
            <w:tcMar>
              <w:top w:w="0" w:type="dxa"/>
              <w:left w:w="0" w:type="dxa"/>
              <w:bottom w:w="100" w:type="dxa"/>
            </w:tcMar>
            <w:vAlign w:val="center"/>
          </w:tcPr>
          <w:p>
            <w:pPr>
              <w:pStyle w:val="TableContents"/>
              <w:bidi w:val="0"/>
              <w:spacing w:before="0" w:after="283"/>
              <w:jc w:val="center"/>
              <w:rPr/>
            </w:pPr>
            <w:r>
              <w:rPr>
                <w:rFonts w:ascii="Arial;Helvetica;Sans-Serif" w:hAnsi="Arial;Helvetica;Sans-Serif"/>
                <w:b/>
                <w:color w:val="FFFFFF"/>
                <w:sz w:val="18"/>
              </w:rPr>
              <w:t>Disability</w:t>
            </w:r>
            <w:r>
              <w:rPr>
                <w:rFonts w:ascii="Arial;Helvetica;Sans-Serif" w:hAnsi="Arial;Helvetica;Sans-Serif"/>
                <w:b/>
                <w:color w:val="FFFFFF"/>
                <w:position w:val="7"/>
                <w:sz w:val="16"/>
                <w:sz w:val="20"/>
              </w:rPr>
              <w:t>1</w:t>
            </w:r>
          </w:p>
        </w:tc>
        <w:tc>
          <w:tcPr>
            <w:tcW w:w="849" w:type="dxa"/>
            <w:tcBorders>
              <w:bottom w:val="single" w:sz="8" w:space="0" w:color="000000"/>
              <w:right w:val="single" w:sz="8" w:space="0" w:color="333333"/>
            </w:tcBorders>
            <w:shd w:fill="254F79" w:val="clear"/>
            <w:tcMar>
              <w:top w:w="0" w:type="dxa"/>
              <w:left w:w="0" w:type="dxa"/>
              <w:bottom w:w="100" w:type="dxa"/>
              <w:right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Reason</w:t>
            </w:r>
          </w:p>
        </w:tc>
        <w:tc>
          <w:tcPr>
            <w:tcW w:w="136" w:type="dxa"/>
            <w:tcBorders>
              <w:bottom w:val="single" w:sz="8" w:space="0" w:color="000000"/>
            </w:tcBorders>
            <w:shd w:fill="254F79" w:val="clear"/>
            <w:tcMar>
              <w:top w:w="0" w:type="dxa"/>
              <w:left w:w="0" w:type="dxa"/>
              <w:bottom w:w="100" w:type="dxa"/>
            </w:tcMar>
            <w:vAlign w:val="center"/>
          </w:tcPr>
          <w:p>
            <w:pPr>
              <w:pStyle w:val="TableContents"/>
              <w:bidi w:val="0"/>
              <w:spacing w:before="0" w:after="283"/>
              <w:jc w:val="left"/>
              <w:rPr/>
            </w:pPr>
            <w:r>
              <w:rPr/>
              <w:t> </w:t>
            </w:r>
          </w:p>
        </w:tc>
      </w:tr>
      <w:tr>
        <w:trPr/>
        <w:tc>
          <w:tcPr>
            <w:tcW w:w="7267" w:type="dxa"/>
            <w:tcBorders>
              <w:left w:val="single" w:sz="8" w:space="0" w:color="333333"/>
              <w:bottom w:val="single" w:sz="8" w:space="0" w:color="000000"/>
              <w:right w:val="single" w:sz="8" w:space="0" w:color="333333"/>
            </w:tcBorders>
            <w:tcMar>
              <w:top w:w="0" w:type="dxa"/>
              <w:left w:w="160" w:type="dxa"/>
              <w:bottom w:w="100" w:type="dxa"/>
              <w:right w:w="28" w:type="dxa"/>
            </w:tcMar>
            <w:vAlign w:val="center"/>
          </w:tcPr>
          <w:p>
            <w:pPr>
              <w:pStyle w:val="TableContents"/>
              <w:bidi w:val="0"/>
              <w:spacing w:before="0" w:after="283"/>
              <w:jc w:val="left"/>
              <w:rPr>
                <w:rFonts w:ascii="Arial;Helvetica;Sans-Serif" w:hAnsi="Arial;Helvetica;Sans-Serif"/>
                <w:color w:val="333333"/>
                <w:sz w:val="18"/>
              </w:rPr>
            </w:pPr>
            <w:r>
              <w:rPr>
                <w:rFonts w:ascii="Arial;Helvetica;Sans-Serif" w:hAnsi="Arial;Helvetica;Sans-Serif"/>
                <w:b/>
                <w:color w:val="333333"/>
                <w:sz w:val="18"/>
              </w:rPr>
              <w:t xml:space="preserve">Accrued obligations </w:t>
            </w:r>
            <w:r>
              <w:rPr>
                <w:rFonts w:ascii="Arial;Helvetica;Sans-Serif" w:hAnsi="Arial;Helvetica;Sans-Serif"/>
                <w:color w:val="333333"/>
                <w:sz w:val="18"/>
              </w:rPr>
              <w:t>(earned unpaid base salary, annual bonus payments relating to the prior year, and any unpaid expense reimbursements)</w:t>
            </w:r>
          </w:p>
        </w:tc>
        <w:tc>
          <w:tcPr>
            <w:tcW w:w="1018"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283"/>
              <w:jc w:val="center"/>
              <w:rPr>
                <w:color w:val="274F78"/>
              </w:rPr>
            </w:pPr>
            <w:r>
              <w:rPr>
                <w:color w:val="274F78"/>
              </w:rPr>
              <w:t>✓</w:t>
            </w:r>
          </w:p>
        </w:tc>
        <w:tc>
          <w:tcPr>
            <w:tcW w:w="935"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283"/>
              <w:jc w:val="center"/>
              <w:rPr>
                <w:color w:val="274F78"/>
              </w:rPr>
            </w:pPr>
            <w:r>
              <w:rPr>
                <w:color w:val="274F78"/>
              </w:rPr>
              <w:t>✓</w:t>
            </w:r>
          </w:p>
        </w:tc>
        <w:tc>
          <w:tcPr>
            <w:tcW w:w="849"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283"/>
              <w:jc w:val="center"/>
              <w:rPr>
                <w:color w:val="274F78"/>
              </w:rPr>
            </w:pPr>
            <w:r>
              <w:rPr>
                <w:color w:val="274F78"/>
              </w:rPr>
              <w:t>✓</w:t>
            </w:r>
          </w:p>
        </w:tc>
        <w:tc>
          <w:tcPr>
            <w:tcW w:w="136" w:type="dxa"/>
            <w:tcBorders>
              <w:bottom w:val="single" w:sz="8" w:space="0" w:color="000000"/>
            </w:tcBorders>
            <w:tcMar>
              <w:top w:w="0" w:type="dxa"/>
              <w:left w:w="0" w:type="dxa"/>
              <w:bottom w:w="100" w:type="dxa"/>
            </w:tcMar>
            <w:vAlign w:val="center"/>
          </w:tcPr>
          <w:p>
            <w:pPr>
              <w:pStyle w:val="TableContents"/>
              <w:bidi w:val="0"/>
              <w:spacing w:before="0" w:after="283"/>
              <w:jc w:val="left"/>
              <w:rPr/>
            </w:pPr>
            <w:r>
              <w:rPr/>
              <w:t> </w:t>
            </w:r>
          </w:p>
        </w:tc>
      </w:tr>
      <w:tr>
        <w:trPr/>
        <w:tc>
          <w:tcPr>
            <w:tcW w:w="7267" w:type="dxa"/>
            <w:tcBorders>
              <w:left w:val="single" w:sz="8" w:space="0" w:color="333333"/>
              <w:bottom w:val="single" w:sz="8" w:space="0" w:color="000000"/>
              <w:right w:val="single" w:sz="8" w:space="0" w:color="333333"/>
            </w:tcBorders>
            <w:tcMar>
              <w:top w:w="0" w:type="dxa"/>
              <w:left w:w="160" w:type="dxa"/>
              <w:bottom w:w="100" w:type="dxa"/>
              <w:right w:w="28" w:type="dxa"/>
            </w:tcMar>
            <w:vAlign w:val="center"/>
          </w:tcPr>
          <w:p>
            <w:pPr>
              <w:pStyle w:val="TableContents"/>
              <w:bidi w:val="0"/>
              <w:spacing w:before="0" w:after="283"/>
              <w:jc w:val="left"/>
              <w:rPr/>
            </w:pPr>
            <w:r>
              <w:rPr>
                <w:rFonts w:ascii="Arial;Helvetica;Sans-Serif" w:hAnsi="Arial;Helvetica;Sans-Serif"/>
                <w:b/>
                <w:color w:val="333333"/>
                <w:sz w:val="18"/>
              </w:rPr>
              <w:t xml:space="preserve">Prorated Annual Bonus </w:t>
            </w:r>
            <w:r>
              <w:rPr>
                <w:rFonts w:ascii="Arial;Helvetica;Sans-Serif" w:hAnsi="Arial;Helvetica;Sans-Serif"/>
                <w:color w:val="333333"/>
                <w:sz w:val="18"/>
              </w:rPr>
              <w:t>based on the actual incentive the named executive officer would have earned for the year of termination</w:t>
            </w:r>
            <w:r>
              <w:rPr>
                <w:rFonts w:ascii="Arial;Helvetica;Sans-Serif" w:hAnsi="Arial;Helvetica;Sans-Serif"/>
                <w:color w:val="333333"/>
                <w:position w:val="7"/>
                <w:sz w:val="16"/>
                <w:sz w:val="20"/>
              </w:rPr>
              <w:t>2</w:t>
            </w:r>
          </w:p>
        </w:tc>
        <w:tc>
          <w:tcPr>
            <w:tcW w:w="1018"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283"/>
              <w:jc w:val="center"/>
              <w:rPr>
                <w:color w:val="274F78"/>
              </w:rPr>
            </w:pPr>
            <w:r>
              <w:rPr>
                <w:color w:val="274F78"/>
              </w:rPr>
              <w:t>✓</w:t>
            </w:r>
          </w:p>
        </w:tc>
        <w:tc>
          <w:tcPr>
            <w:tcW w:w="935"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283"/>
              <w:jc w:val="center"/>
              <w:rPr>
                <w:color w:val="274F78"/>
              </w:rPr>
            </w:pPr>
            <w:r>
              <w:rPr>
                <w:color w:val="274F78"/>
              </w:rPr>
              <w:t>✓</w:t>
            </w:r>
          </w:p>
        </w:tc>
        <w:tc>
          <w:tcPr>
            <w:tcW w:w="849"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0"/>
              <w:ind w:left="0" w:right="0" w:hanging="0"/>
              <w:jc w:val="center"/>
              <w:rPr>
                <w:rFonts w:ascii="Segoe UI Symbol;sans-serif" w:hAnsi="Segoe UI Symbol;sans-serif"/>
                <w:b w:val="false"/>
                <w:i w:val="false"/>
                <w:caps w:val="false"/>
                <w:smallCaps w:val="false"/>
                <w:color w:val="274F78"/>
                <w:sz w:val="26"/>
              </w:rPr>
            </w:pPr>
            <w:r>
              <w:rPr>
                <w:rFonts w:ascii="Segoe UI Symbol;sans-serif" w:hAnsi="Segoe UI Symbol;sans-serif"/>
                <w:b w:val="false"/>
                <w:i w:val="false"/>
                <w:caps w:val="false"/>
                <w:smallCaps w:val="false"/>
                <w:color w:val="274F78"/>
                <w:sz w:val="26"/>
              </w:rPr>
              <w:t>X</w:t>
            </w:r>
          </w:p>
        </w:tc>
        <w:tc>
          <w:tcPr>
            <w:tcW w:w="136" w:type="dxa"/>
            <w:tcBorders>
              <w:bottom w:val="single" w:sz="8" w:space="0" w:color="000000"/>
            </w:tcBorders>
            <w:tcMar>
              <w:top w:w="0" w:type="dxa"/>
              <w:left w:w="0" w:type="dxa"/>
              <w:bottom w:w="100" w:type="dxa"/>
            </w:tcMar>
            <w:vAlign w:val="center"/>
          </w:tcPr>
          <w:p>
            <w:pPr>
              <w:pStyle w:val="TableContents"/>
              <w:bidi w:val="0"/>
              <w:spacing w:before="0" w:after="283"/>
              <w:jc w:val="left"/>
              <w:rPr/>
            </w:pPr>
            <w:r>
              <w:rPr/>
              <w:t> </w:t>
            </w:r>
          </w:p>
        </w:tc>
      </w:tr>
      <w:tr>
        <w:trPr/>
        <w:tc>
          <w:tcPr>
            <w:tcW w:w="7267" w:type="dxa"/>
            <w:tcBorders>
              <w:left w:val="single" w:sz="8" w:space="0" w:color="000000"/>
              <w:bottom w:val="single" w:sz="8" w:space="0" w:color="000000"/>
              <w:right w:val="single" w:sz="8" w:space="0" w:color="000000"/>
            </w:tcBorders>
            <w:tcMar>
              <w:top w:w="0" w:type="dxa"/>
              <w:left w:w="160" w:type="dxa"/>
              <w:bottom w:w="100" w:type="dxa"/>
              <w:right w:w="28" w:type="dxa"/>
            </w:tcMar>
            <w:vAlign w:val="center"/>
          </w:tcPr>
          <w:p>
            <w:pPr>
              <w:pStyle w:val="TableContents"/>
              <w:bidi w:val="0"/>
              <w:spacing w:before="0" w:after="283"/>
              <w:jc w:val="left"/>
              <w:rPr/>
            </w:pPr>
            <w:r>
              <w:rPr>
                <w:rFonts w:ascii="Arial;Helvetica;Sans-Serif" w:hAnsi="Arial;Helvetica;Sans-Serif"/>
                <w:b/>
                <w:color w:val="333333"/>
                <w:sz w:val="18"/>
              </w:rPr>
              <w:t xml:space="preserve">Lump-sum Payment </w:t>
            </w:r>
            <w:r>
              <w:rPr>
                <w:rFonts w:ascii="Arial;Helvetica;Sans-Serif" w:hAnsi="Arial;Helvetica;Sans-Serif"/>
                <w:color w:val="333333"/>
                <w:sz w:val="18"/>
              </w:rPr>
              <w:t>equal to a percentage of the sum of the executive's (a) annual base salary and (b) the target bonus opportunity in the year in which the termination of employment occurs</w:t>
            </w:r>
            <w:r>
              <w:rPr>
                <w:rFonts w:ascii="Arial;Helvetica;Sans-Serif" w:hAnsi="Arial;Helvetica;Sans-Serif"/>
                <w:color w:val="333333"/>
                <w:position w:val="7"/>
                <w:sz w:val="16"/>
                <w:sz w:val="20"/>
              </w:rPr>
              <w:t>3</w:t>
            </w:r>
          </w:p>
        </w:tc>
        <w:tc>
          <w:tcPr>
            <w:tcW w:w="1018"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283"/>
              <w:jc w:val="center"/>
              <w:rPr>
                <w:color w:val="274F78"/>
              </w:rPr>
            </w:pPr>
            <w:r>
              <w:rPr>
                <w:color w:val="274F78"/>
              </w:rPr>
              <w:t>✓</w:t>
            </w:r>
          </w:p>
        </w:tc>
        <w:tc>
          <w:tcPr>
            <w:tcW w:w="935"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0"/>
              <w:ind w:left="0" w:right="0" w:hanging="0"/>
              <w:jc w:val="center"/>
              <w:rPr>
                <w:rFonts w:ascii="Segoe UI Symbol;sans-serif" w:hAnsi="Segoe UI Symbol;sans-serif"/>
                <w:b w:val="false"/>
                <w:i w:val="false"/>
                <w:caps w:val="false"/>
                <w:smallCaps w:val="false"/>
                <w:color w:val="274F78"/>
                <w:sz w:val="26"/>
              </w:rPr>
            </w:pPr>
            <w:r>
              <w:rPr>
                <w:rFonts w:ascii="Segoe UI Symbol;sans-serif" w:hAnsi="Segoe UI Symbol;sans-serif"/>
                <w:b w:val="false"/>
                <w:i w:val="false"/>
                <w:caps w:val="false"/>
                <w:smallCaps w:val="false"/>
                <w:color w:val="274F78"/>
                <w:sz w:val="26"/>
              </w:rPr>
              <w:t>X</w:t>
            </w:r>
          </w:p>
        </w:tc>
        <w:tc>
          <w:tcPr>
            <w:tcW w:w="849"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0"/>
              <w:ind w:left="0" w:right="0" w:hanging="0"/>
              <w:jc w:val="center"/>
              <w:rPr>
                <w:rFonts w:ascii="Segoe UI Symbol;sans-serif" w:hAnsi="Segoe UI Symbol;sans-serif"/>
                <w:b w:val="false"/>
                <w:i w:val="false"/>
                <w:caps w:val="false"/>
                <w:smallCaps w:val="false"/>
                <w:color w:val="274F78"/>
                <w:sz w:val="26"/>
              </w:rPr>
            </w:pPr>
            <w:r>
              <w:rPr>
                <w:rFonts w:ascii="Segoe UI Symbol;sans-serif" w:hAnsi="Segoe UI Symbol;sans-serif"/>
                <w:b w:val="false"/>
                <w:i w:val="false"/>
                <w:caps w:val="false"/>
                <w:smallCaps w:val="false"/>
                <w:color w:val="274F78"/>
                <w:sz w:val="26"/>
              </w:rPr>
              <w:t>X</w:t>
            </w:r>
          </w:p>
        </w:tc>
        <w:tc>
          <w:tcPr>
            <w:tcW w:w="136" w:type="dxa"/>
            <w:tcBorders>
              <w:bottom w:val="single" w:sz="8" w:space="0" w:color="000000"/>
            </w:tcBorders>
            <w:tcMar>
              <w:top w:w="0" w:type="dxa"/>
              <w:left w:w="0" w:type="dxa"/>
              <w:bottom w:w="100" w:type="dxa"/>
            </w:tcMar>
            <w:vAlign w:val="center"/>
          </w:tcPr>
          <w:p>
            <w:pPr>
              <w:pStyle w:val="TableContents"/>
              <w:bidi w:val="0"/>
              <w:spacing w:before="0" w:after="283"/>
              <w:jc w:val="left"/>
              <w:rPr/>
            </w:pPr>
            <w:r>
              <w:rPr/>
              <w:t> </w:t>
            </w:r>
          </w:p>
        </w:tc>
      </w:tr>
      <w:tr>
        <w:trPr/>
        <w:tc>
          <w:tcPr>
            <w:tcW w:w="7267" w:type="dxa"/>
            <w:tcBorders>
              <w:left w:val="single" w:sz="8" w:space="0" w:color="333333"/>
              <w:bottom w:val="single" w:sz="8" w:space="0" w:color="000000"/>
              <w:right w:val="single" w:sz="8" w:space="0" w:color="333333"/>
            </w:tcBorders>
            <w:tcMar>
              <w:top w:w="0" w:type="dxa"/>
              <w:left w:w="160" w:type="dxa"/>
              <w:bottom w:w="100" w:type="dxa"/>
              <w:right w:w="28" w:type="dxa"/>
            </w:tcMar>
            <w:vAlign w:val="center"/>
          </w:tcPr>
          <w:p>
            <w:pPr>
              <w:pStyle w:val="TableContents"/>
              <w:bidi w:val="0"/>
              <w:spacing w:before="0" w:after="283"/>
              <w:jc w:val="left"/>
              <w:rPr>
                <w:rFonts w:ascii="Arial;Helvetica;Sans-Serif" w:hAnsi="Arial;Helvetica;Sans-Serif"/>
                <w:color w:val="333333"/>
                <w:sz w:val="18"/>
              </w:rPr>
            </w:pPr>
            <w:r>
              <w:rPr>
                <w:rFonts w:ascii="Arial;Helvetica;Sans-Serif" w:hAnsi="Arial;Helvetica;Sans-Serif"/>
                <w:color w:val="333333"/>
                <w:sz w:val="18"/>
              </w:rPr>
              <w:t xml:space="preserve">Right to </w:t>
            </w:r>
            <w:r>
              <w:rPr>
                <w:rFonts w:ascii="Arial;Helvetica;Sans-Serif" w:hAnsi="Arial;Helvetica;Sans-Serif"/>
                <w:b/>
                <w:color w:val="333333"/>
                <w:sz w:val="18"/>
              </w:rPr>
              <w:t>convert any life insurance</w:t>
            </w:r>
            <w:r>
              <w:rPr>
                <w:rFonts w:ascii="Arial;Helvetica;Sans-Serif" w:hAnsi="Arial;Helvetica;Sans-Serif"/>
                <w:color w:val="333333"/>
                <w:sz w:val="18"/>
              </w:rPr>
              <w:t xml:space="preserve"> provided by us into an individual policy, plus a </w:t>
            </w:r>
            <w:r>
              <w:rPr>
                <w:rFonts w:ascii="Arial;Helvetica;Sans-Serif" w:hAnsi="Arial;Helvetica;Sans-Serif"/>
                <w:b/>
                <w:color w:val="333333"/>
                <w:sz w:val="18"/>
              </w:rPr>
              <w:t>lump-sum cash payment</w:t>
            </w:r>
            <w:r>
              <w:rPr>
                <w:rFonts w:ascii="Arial;Helvetica;Sans-Serif" w:hAnsi="Arial;Helvetica;Sans-Serif"/>
                <w:color w:val="333333"/>
                <w:sz w:val="18"/>
              </w:rPr>
              <w:t xml:space="preserve"> equal to 36 months of premiums</w:t>
            </w:r>
          </w:p>
        </w:tc>
        <w:tc>
          <w:tcPr>
            <w:tcW w:w="1018"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283"/>
              <w:jc w:val="center"/>
              <w:rPr>
                <w:color w:val="274F78"/>
              </w:rPr>
            </w:pPr>
            <w:r>
              <w:rPr>
                <w:color w:val="274F78"/>
              </w:rPr>
              <w:t>✓</w:t>
            </w:r>
          </w:p>
        </w:tc>
        <w:tc>
          <w:tcPr>
            <w:tcW w:w="935"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0"/>
              <w:ind w:left="0" w:right="0" w:hanging="0"/>
              <w:jc w:val="center"/>
              <w:rPr>
                <w:rFonts w:ascii="Segoe UI Symbol;sans-serif" w:hAnsi="Segoe UI Symbol;sans-serif"/>
                <w:b w:val="false"/>
                <w:i w:val="false"/>
                <w:caps w:val="false"/>
                <w:smallCaps w:val="false"/>
                <w:color w:val="274F78"/>
                <w:sz w:val="26"/>
              </w:rPr>
            </w:pPr>
            <w:r>
              <w:rPr>
                <w:rFonts w:ascii="Segoe UI Symbol;sans-serif" w:hAnsi="Segoe UI Symbol;sans-serif"/>
                <w:b w:val="false"/>
                <w:i w:val="false"/>
                <w:caps w:val="false"/>
                <w:smallCaps w:val="false"/>
                <w:color w:val="274F78"/>
                <w:sz w:val="26"/>
              </w:rPr>
              <w:t>X</w:t>
            </w:r>
          </w:p>
        </w:tc>
        <w:tc>
          <w:tcPr>
            <w:tcW w:w="849"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0"/>
              <w:ind w:left="0" w:right="0" w:hanging="0"/>
              <w:jc w:val="center"/>
              <w:rPr>
                <w:rFonts w:ascii="Segoe UI Symbol;sans-serif" w:hAnsi="Segoe UI Symbol;sans-serif"/>
                <w:b w:val="false"/>
                <w:i w:val="false"/>
                <w:caps w:val="false"/>
                <w:smallCaps w:val="false"/>
                <w:color w:val="274F78"/>
                <w:sz w:val="26"/>
              </w:rPr>
            </w:pPr>
            <w:r>
              <w:rPr>
                <w:rFonts w:ascii="Segoe UI Symbol;sans-serif" w:hAnsi="Segoe UI Symbol;sans-serif"/>
                <w:b w:val="false"/>
                <w:i w:val="false"/>
                <w:caps w:val="false"/>
                <w:smallCaps w:val="false"/>
                <w:color w:val="274F78"/>
                <w:sz w:val="26"/>
              </w:rPr>
              <w:t>X</w:t>
            </w:r>
          </w:p>
        </w:tc>
        <w:tc>
          <w:tcPr>
            <w:tcW w:w="136" w:type="dxa"/>
            <w:tcBorders>
              <w:bottom w:val="single" w:sz="8" w:space="0" w:color="000000"/>
            </w:tcBorders>
            <w:tcMar>
              <w:top w:w="0" w:type="dxa"/>
              <w:left w:w="0" w:type="dxa"/>
              <w:bottom w:w="100" w:type="dxa"/>
            </w:tcMar>
            <w:vAlign w:val="center"/>
          </w:tcPr>
          <w:p>
            <w:pPr>
              <w:pStyle w:val="TableContents"/>
              <w:bidi w:val="0"/>
              <w:spacing w:before="0" w:after="283"/>
              <w:jc w:val="left"/>
              <w:rPr/>
            </w:pPr>
            <w:r>
              <w:rPr/>
              <w:t> </w:t>
            </w:r>
          </w:p>
        </w:tc>
      </w:tr>
      <w:tr>
        <w:trPr/>
        <w:tc>
          <w:tcPr>
            <w:tcW w:w="7267" w:type="dxa"/>
            <w:tcBorders>
              <w:left w:val="single" w:sz="8" w:space="0" w:color="333333"/>
              <w:bottom w:val="single" w:sz="8" w:space="0" w:color="000000"/>
              <w:right w:val="single" w:sz="8" w:space="0" w:color="333333"/>
            </w:tcBorders>
            <w:tcMar>
              <w:top w:w="0" w:type="dxa"/>
              <w:left w:w="160" w:type="dxa"/>
              <w:bottom w:w="100" w:type="dxa"/>
              <w:right w:w="28" w:type="dxa"/>
            </w:tcMar>
            <w:vAlign w:val="center"/>
          </w:tcPr>
          <w:p>
            <w:pPr>
              <w:pStyle w:val="TableContents"/>
              <w:bidi w:val="0"/>
              <w:spacing w:before="0" w:after="283"/>
              <w:jc w:val="left"/>
              <w:rPr>
                <w:rFonts w:ascii="Arial;Helvetica;Sans-Serif" w:hAnsi="Arial;Helvetica;Sans-Serif"/>
                <w:color w:val="333333"/>
                <w:sz w:val="18"/>
              </w:rPr>
            </w:pPr>
            <w:r>
              <w:rPr>
                <w:rFonts w:ascii="Arial;Helvetica;Sans-Serif" w:hAnsi="Arial;Helvetica;Sans-Serif"/>
                <w:b/>
                <w:color w:val="333333"/>
                <w:sz w:val="18"/>
              </w:rPr>
              <w:t xml:space="preserve">COBRA coverage </w:t>
            </w:r>
            <w:r>
              <w:rPr>
                <w:rFonts w:ascii="Arial;Helvetica;Sans-Serif" w:hAnsi="Arial;Helvetica;Sans-Serif"/>
                <w:color w:val="333333"/>
                <w:sz w:val="18"/>
              </w:rPr>
              <w:t xml:space="preserve">(so long as the executive pays the premiums) for a period of three years or, if earlier, until eligible for comparable benefits from another employer, plus a </w:t>
            </w:r>
            <w:r>
              <w:rPr>
                <w:rFonts w:ascii="Arial;Helvetica;Sans-Serif" w:hAnsi="Arial;Helvetica;Sans-Serif"/>
                <w:b/>
                <w:color w:val="333333"/>
                <w:sz w:val="18"/>
              </w:rPr>
              <w:t xml:space="preserve">lump-sum cash payment </w:t>
            </w:r>
            <w:r>
              <w:rPr>
                <w:rFonts w:ascii="Arial;Helvetica;Sans-Serif" w:hAnsi="Arial;Helvetica;Sans-Serif"/>
                <w:color w:val="333333"/>
                <w:sz w:val="18"/>
              </w:rPr>
              <w:t>equal to the sum of monthly COBRA premium payments</w:t>
            </w:r>
          </w:p>
        </w:tc>
        <w:tc>
          <w:tcPr>
            <w:tcW w:w="1018"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283"/>
              <w:jc w:val="center"/>
              <w:rPr>
                <w:color w:val="274F78"/>
              </w:rPr>
            </w:pPr>
            <w:r>
              <w:rPr>
                <w:color w:val="274F78"/>
              </w:rPr>
              <w:t>✓</w:t>
            </w:r>
          </w:p>
        </w:tc>
        <w:tc>
          <w:tcPr>
            <w:tcW w:w="935"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0"/>
              <w:ind w:left="0" w:right="0" w:hanging="0"/>
              <w:jc w:val="center"/>
              <w:rPr>
                <w:rFonts w:ascii="Segoe UI Symbol;sans-serif" w:hAnsi="Segoe UI Symbol;sans-serif"/>
                <w:b w:val="false"/>
                <w:i w:val="false"/>
                <w:caps w:val="false"/>
                <w:smallCaps w:val="false"/>
                <w:color w:val="274F78"/>
                <w:sz w:val="26"/>
              </w:rPr>
            </w:pPr>
            <w:r>
              <w:rPr>
                <w:rFonts w:ascii="Segoe UI Symbol;sans-serif" w:hAnsi="Segoe UI Symbol;sans-serif"/>
                <w:b w:val="false"/>
                <w:i w:val="false"/>
                <w:caps w:val="false"/>
                <w:smallCaps w:val="false"/>
                <w:color w:val="274F78"/>
                <w:sz w:val="26"/>
              </w:rPr>
              <w:t>X</w:t>
            </w:r>
          </w:p>
        </w:tc>
        <w:tc>
          <w:tcPr>
            <w:tcW w:w="849"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0"/>
              <w:ind w:left="0" w:right="0" w:hanging="0"/>
              <w:jc w:val="center"/>
              <w:rPr>
                <w:rFonts w:ascii="Segoe UI Symbol;sans-serif" w:hAnsi="Segoe UI Symbol;sans-serif"/>
                <w:b w:val="false"/>
                <w:i w:val="false"/>
                <w:caps w:val="false"/>
                <w:smallCaps w:val="false"/>
                <w:color w:val="274F78"/>
                <w:sz w:val="26"/>
              </w:rPr>
            </w:pPr>
            <w:r>
              <w:rPr>
                <w:rFonts w:ascii="Segoe UI Symbol;sans-serif" w:hAnsi="Segoe UI Symbol;sans-serif"/>
                <w:b w:val="false"/>
                <w:i w:val="false"/>
                <w:caps w:val="false"/>
                <w:smallCaps w:val="false"/>
                <w:color w:val="274F78"/>
                <w:sz w:val="26"/>
              </w:rPr>
              <w:t>X</w:t>
            </w:r>
          </w:p>
        </w:tc>
        <w:tc>
          <w:tcPr>
            <w:tcW w:w="136" w:type="dxa"/>
            <w:tcBorders>
              <w:bottom w:val="single" w:sz="8" w:space="0" w:color="000000"/>
            </w:tcBorders>
            <w:tcMar>
              <w:top w:w="0" w:type="dxa"/>
              <w:left w:w="0" w:type="dxa"/>
              <w:bottom w:w="100" w:type="dxa"/>
            </w:tcMar>
            <w:vAlign w:val="center"/>
          </w:tcPr>
          <w:p>
            <w:pPr>
              <w:pStyle w:val="TableContents"/>
              <w:bidi w:val="0"/>
              <w:spacing w:before="0" w:after="283"/>
              <w:jc w:val="left"/>
              <w:rPr/>
            </w:pPr>
            <w:r>
              <w:rPr/>
              <w:t> </w:t>
            </w:r>
          </w:p>
        </w:tc>
      </w:tr>
      <w:tr>
        <w:trPr/>
        <w:tc>
          <w:tcPr>
            <w:tcW w:w="7267" w:type="dxa"/>
            <w:tcBorders>
              <w:left w:val="single" w:sz="8" w:space="0" w:color="333333"/>
              <w:bottom w:val="single" w:sz="8" w:space="0" w:color="000000"/>
              <w:right w:val="single" w:sz="8" w:space="0" w:color="333333"/>
            </w:tcBorders>
            <w:tcMar>
              <w:top w:w="0" w:type="dxa"/>
              <w:left w:w="160" w:type="dxa"/>
              <w:bottom w:w="100" w:type="dxa"/>
              <w:right w:w="28" w:type="dxa"/>
            </w:tcMar>
            <w:vAlign w:val="center"/>
          </w:tcPr>
          <w:p>
            <w:pPr>
              <w:pStyle w:val="TableContents"/>
              <w:bidi w:val="0"/>
              <w:spacing w:before="0" w:after="283"/>
              <w:jc w:val="left"/>
              <w:rPr>
                <w:rFonts w:ascii="Arial;Helvetica;Sans-Serif" w:hAnsi="Arial;Helvetica;Sans-Serif"/>
                <w:color w:val="333333"/>
                <w:sz w:val="18"/>
              </w:rPr>
            </w:pPr>
            <w:r>
              <w:rPr>
                <w:rFonts w:ascii="Arial;Helvetica;Sans-Serif" w:hAnsi="Arial;Helvetica;Sans-Serif"/>
                <w:b/>
                <w:color w:val="333333"/>
                <w:sz w:val="18"/>
              </w:rPr>
              <w:t>Vesting of all stock option, restricted stock and other equity-based incentive awards</w:t>
            </w:r>
            <w:r>
              <w:rPr>
                <w:rFonts w:ascii="Arial;Helvetica;Sans-Serif" w:hAnsi="Arial;Helvetica;Sans-Serif"/>
                <w:color w:val="333333"/>
                <w:sz w:val="18"/>
              </w:rPr>
              <w:t>, unless the equity incentive awards are based upon satisfaction of performance criteria and not based solely on the passage of time, which vest pursuant to the terms of the award</w:t>
            </w:r>
          </w:p>
        </w:tc>
        <w:tc>
          <w:tcPr>
            <w:tcW w:w="1018"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283"/>
              <w:jc w:val="center"/>
              <w:rPr>
                <w:color w:val="274F78"/>
              </w:rPr>
            </w:pPr>
            <w:r>
              <w:rPr>
                <w:color w:val="274F78"/>
              </w:rPr>
              <w:t>✓</w:t>
            </w:r>
          </w:p>
        </w:tc>
        <w:tc>
          <w:tcPr>
            <w:tcW w:w="935"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283"/>
              <w:jc w:val="center"/>
              <w:rPr>
                <w:color w:val="274F78"/>
              </w:rPr>
            </w:pPr>
            <w:r>
              <w:rPr>
                <w:color w:val="274F78"/>
              </w:rPr>
              <w:t>✓</w:t>
            </w:r>
          </w:p>
        </w:tc>
        <w:tc>
          <w:tcPr>
            <w:tcW w:w="849" w:type="dxa"/>
            <w:tcBorders>
              <w:bottom w:val="single" w:sz="8" w:space="0" w:color="000000"/>
              <w:right w:val="single" w:sz="8" w:space="0" w:color="333333"/>
            </w:tcBorders>
            <w:tcMar>
              <w:top w:w="0" w:type="dxa"/>
              <w:left w:w="0" w:type="dxa"/>
              <w:bottom w:w="100" w:type="dxa"/>
              <w:right w:w="28" w:type="dxa"/>
            </w:tcMar>
            <w:vAlign w:val="center"/>
          </w:tcPr>
          <w:p>
            <w:pPr>
              <w:pStyle w:val="TableContents"/>
              <w:bidi w:val="0"/>
              <w:spacing w:before="0" w:after="0"/>
              <w:ind w:left="0" w:right="0" w:hanging="0"/>
              <w:jc w:val="center"/>
              <w:rPr>
                <w:rFonts w:ascii="Segoe UI Symbol;sans-serif" w:hAnsi="Segoe UI Symbol;sans-serif"/>
                <w:b w:val="false"/>
                <w:i w:val="false"/>
                <w:caps w:val="false"/>
                <w:smallCaps w:val="false"/>
                <w:color w:val="274F78"/>
                <w:sz w:val="26"/>
              </w:rPr>
            </w:pPr>
            <w:r>
              <w:rPr>
                <w:rFonts w:ascii="Segoe UI Symbol;sans-serif" w:hAnsi="Segoe UI Symbol;sans-serif"/>
                <w:b w:val="false"/>
                <w:i w:val="false"/>
                <w:caps w:val="false"/>
                <w:smallCaps w:val="false"/>
                <w:color w:val="274F78"/>
                <w:sz w:val="26"/>
              </w:rPr>
              <w:t>X</w:t>
            </w:r>
          </w:p>
        </w:tc>
        <w:tc>
          <w:tcPr>
            <w:tcW w:w="136" w:type="dxa"/>
            <w:tcBorders>
              <w:bottom w:val="single" w:sz="8" w:space="0" w:color="000000"/>
            </w:tcBorders>
            <w:tcMar>
              <w:top w:w="0" w:type="dxa"/>
              <w:left w:w="0" w:type="dxa"/>
              <w:bottom w:w="10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5"/>
        <w:gridCol w:w="9982"/>
      </w:tblGrid>
      <w:tr>
        <w:trPr/>
        <w:tc>
          <w:tcPr>
            <w:tcW w:w="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16"/>
              </w:rPr>
            </w:pPr>
            <w:r>
              <w:rPr>
                <w:sz w:val="16"/>
              </w:rPr>
              <w:t>1.</w:t>
            </w:r>
          </w:p>
        </w:tc>
        <w:tc>
          <w:tcPr>
            <w:tcW w:w="9982" w:type="dxa"/>
            <w:tcBorders/>
            <w:vAlign w:val="center"/>
          </w:tcPr>
          <w:p>
            <w:pPr>
              <w:pStyle w:val="TableContents"/>
              <w:bidi w:val="0"/>
              <w:spacing w:before="0" w:after="283"/>
              <w:jc w:val="left"/>
              <w:rPr>
                <w:sz w:val="16"/>
              </w:rPr>
            </w:pPr>
            <w:r>
              <w:rPr>
                <w:sz w:val="16"/>
              </w:rPr>
              <w:t xml:space="preserve">Messrs. Park's, Sadowski's and Gravelle's employment agreements provide for supplemental disability insurance sufficient to provide at least 2/3 of the executive's pre-disability base salary (or in the case of Mr. Gravelle, 60% of his pre-disability base salary). An executive will be deemed to have a "disability" if he is entitled to receive long-term disability benefits under our long-term disability plan.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4098" w:type="dxa"/>
        <w:jc w:val="left"/>
        <w:tblInd w:w="0" w:type="dxa"/>
        <w:tblLayout w:type="fixed"/>
        <w:tblCellMar>
          <w:top w:w="0" w:type="dxa"/>
          <w:left w:w="0" w:type="dxa"/>
          <w:bottom w:w="0" w:type="dxa"/>
          <w:right w:w="0" w:type="dxa"/>
        </w:tblCellMar>
      </w:tblPr>
      <w:tblGrid>
        <w:gridCol w:w="68"/>
        <w:gridCol w:w="185"/>
        <w:gridCol w:w="3845"/>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6"/>
              </w:rPr>
            </w:pPr>
            <w:r>
              <w:rPr>
                <w:sz w:val="16"/>
              </w:rPr>
              <w:t>2.</w:t>
            </w:r>
          </w:p>
        </w:tc>
        <w:tc>
          <w:tcPr>
            <w:tcW w:w="3845" w:type="dxa"/>
            <w:tcBorders/>
            <w:vAlign w:val="center"/>
          </w:tcPr>
          <w:p>
            <w:pPr>
              <w:pStyle w:val="TableContents"/>
              <w:bidi w:val="0"/>
              <w:spacing w:before="0" w:after="283"/>
              <w:jc w:val="both"/>
              <w:rPr>
                <w:sz w:val="16"/>
              </w:rPr>
            </w:pPr>
            <w:r>
              <w:rPr>
                <w:sz w:val="16"/>
              </w:rPr>
              <w:t xml:space="preserve">The prorated annual bonus is based on the following: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15"/>
              </w:rPr>
            </w:pPr>
            <w:r>
              <w:rPr>
                <w:sz w:val="15"/>
              </w:rPr>
              <w:t xml:space="preserve">In the event of a termination without Cause or by the executive for Good Reason, the actual incentive the named executive officer would have earned for the year of termination and the fraction of the year the executive was employed by us.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16"/>
              </w:rPr>
            </w:pPr>
            <w:r>
              <w:rPr>
                <w:sz w:val="16"/>
              </w:rPr>
              <w:t xml:space="preserve">In the event of a termination for death or disability, the target annual bonus opportunity in the year in which the termination occurs or the prior year if no target annual bonus opportunity has yet been determined and (b) the fraction of the year the executive was employed.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1"/>
        <w:gridCol w:w="9996"/>
      </w:tblGrid>
      <w:tr>
        <w:trPr/>
        <w:tc>
          <w:tcPr>
            <w:tcW w:w="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15"/>
              </w:rPr>
            </w:pPr>
            <w:r>
              <w:rPr>
                <w:sz w:val="15"/>
              </w:rPr>
              <w:t>3.</w:t>
            </w:r>
          </w:p>
        </w:tc>
        <w:tc>
          <w:tcPr>
            <w:tcW w:w="9996" w:type="dxa"/>
            <w:tcBorders/>
            <w:vAlign w:val="center"/>
          </w:tcPr>
          <w:p>
            <w:pPr>
              <w:pStyle w:val="TableContents"/>
              <w:bidi w:val="0"/>
              <w:spacing w:before="0" w:after="283"/>
              <w:jc w:val="both"/>
              <w:rPr>
                <w:sz w:val="15"/>
              </w:rPr>
            </w:pPr>
            <w:r>
              <w:rPr>
                <w:sz w:val="15"/>
              </w:rPr>
              <w:t>The percentage for the lump sum payment for each executive is as follows: Mr. Quirk 200%, Mr. Nolan 200%, Mr. Park 200%, Mr. Sadowski 200%, and Mr. Gravelle 100%. For Messrs. Park, Sadowski and Gravelle, the bonus used for the lump-sum payment is the higher of (1) the target bonus opportunity for the year of termination or (2) the highest annual bonus paid to the executive within the preceding three years.</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63</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300" w:hanging="0"/>
        <w:jc w:val="both"/>
        <w:rPr>
          <w:caps w:val="false"/>
          <w:smallCaps w:val="false"/>
          <w:color w:val="333333"/>
        </w:rPr>
      </w:pPr>
      <w:r>
        <w:rPr>
          <w:caps w:val="false"/>
          <w:smallCaps w:val="false"/>
          <w:color w:val="333333"/>
        </w:rPr>
        <w:t> </w:t>
      </w:r>
    </w:p>
    <w:p>
      <w:pPr>
        <w:pStyle w:val="TextBody"/>
        <w:bidi w:val="0"/>
        <w:spacing w:before="0" w:after="0"/>
        <w:ind w:left="1440" w:right="60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caps w:val="false"/>
          <w:smallCaps w:val="false"/>
          <w:color w:val="333333"/>
          <w:sz w:val="22"/>
        </w:rPr>
        <w:t>Definition: Cause.</w:t>
      </w:r>
      <w:r>
        <w:rPr>
          <w:rFonts w:ascii="Arial;Helvetica;Sans-Serif" w:hAnsi="Arial;Helvetica;Sans-Serif"/>
          <w:b w:val="false"/>
          <w:i w:val="false"/>
          <w:caps w:val="false"/>
          <w:smallCaps w:val="false"/>
          <w:color w:val="333333"/>
          <w:sz w:val="22"/>
        </w:rPr>
        <w:t xml:space="preserve"> The following table shows for each of the named executive officers the reasons that the Company may terminate the executive's employment for "Cause."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75" w:type="dxa"/>
          <w:bottom w:w="100" w:type="dxa"/>
          <w:right w:w="28" w:type="dxa"/>
        </w:tblCellMar>
      </w:tblPr>
      <w:tblGrid>
        <w:gridCol w:w="7000"/>
        <w:gridCol w:w="515"/>
        <w:gridCol w:w="455"/>
        <w:gridCol w:w="545"/>
        <w:gridCol w:w="875"/>
        <w:gridCol w:w="815"/>
      </w:tblGrid>
      <w:tr>
        <w:trPr/>
        <w:tc>
          <w:tcPr>
            <w:tcW w:w="7000" w:type="dxa"/>
            <w:tcBorders>
              <w:top w:val="single" w:sz="8" w:space="0" w:color="58595B"/>
              <w:left w:val="single" w:sz="8" w:space="0" w:color="58595B"/>
              <w:bottom w:val="single" w:sz="8" w:space="0" w:color="58595B"/>
              <w:right w:val="single" w:sz="8" w:space="0" w:color="FFFFFF"/>
            </w:tcBorders>
            <w:shd w:fill="274F78" w:val="cle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Definition of "Cause" includes:</w:t>
            </w:r>
          </w:p>
        </w:tc>
        <w:tc>
          <w:tcPr>
            <w:tcW w:w="51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Quirk</w:t>
            </w:r>
          </w:p>
        </w:tc>
        <w:tc>
          <w:tcPr>
            <w:tcW w:w="45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Park</w:t>
            </w:r>
          </w:p>
        </w:tc>
        <w:tc>
          <w:tcPr>
            <w:tcW w:w="54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Nolan</w:t>
            </w:r>
          </w:p>
        </w:tc>
        <w:tc>
          <w:tcPr>
            <w:tcW w:w="87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Sadowski</w:t>
            </w:r>
          </w:p>
        </w:tc>
        <w:tc>
          <w:tcPr>
            <w:tcW w:w="81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Gravelle</w:t>
            </w:r>
          </w:p>
        </w:tc>
      </w:tr>
      <w:tr>
        <w:trPr/>
        <w:tc>
          <w:tcPr>
            <w:tcW w:w="7000"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Persistent failure to perform duties consistent with a commercially reasonable standard of care</w:t>
            </w:r>
          </w:p>
        </w:tc>
        <w:tc>
          <w:tcPr>
            <w:tcW w:w="5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45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54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8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r>
      <w:tr>
        <w:trPr/>
        <w:tc>
          <w:tcPr>
            <w:tcW w:w="7000" w:type="dxa"/>
            <w:tcBorders>
              <w:left w:val="single" w:sz="8" w:space="0" w:color="58595B"/>
              <w:bottom w:val="single" w:sz="8" w:space="0" w:color="231F20"/>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Willful neglect of duties</w:t>
            </w:r>
          </w:p>
        </w:tc>
        <w:tc>
          <w:tcPr>
            <w:tcW w:w="5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45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54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8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r>
      <w:tr>
        <w:trPr/>
        <w:tc>
          <w:tcPr>
            <w:tcW w:w="7000" w:type="dxa"/>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Conviction of, or pleading nolo contendere to, criminal or other illegal activities involving dishonesty</w:t>
            </w:r>
          </w:p>
        </w:tc>
        <w:tc>
          <w:tcPr>
            <w:tcW w:w="515" w:type="dxa"/>
            <w:tcBorders>
              <w:bottom w:val="single" w:sz="8" w:space="0" w:color="58595B"/>
              <w:right w:val="single" w:sz="8" w:space="0" w:color="231F20"/>
            </w:tcBorders>
            <w:tcMar>
              <w:top w:w="0" w:type="dxa"/>
              <w:left w:w="0" w:type="dxa"/>
            </w:tcMar>
            <w:vAlign w:val="center"/>
          </w:tcPr>
          <w:p>
            <w:pPr>
              <w:pStyle w:val="TableContents"/>
              <w:bidi w:val="0"/>
              <w:spacing w:before="0" w:after="283"/>
              <w:jc w:val="center"/>
              <w:rPr>
                <w:color w:val="274F78"/>
              </w:rPr>
            </w:pPr>
            <w:r>
              <w:rPr>
                <w:color w:val="274F78"/>
              </w:rPr>
              <w:t>✓</w:t>
            </w:r>
          </w:p>
        </w:tc>
        <w:tc>
          <w:tcPr>
            <w:tcW w:w="455" w:type="dxa"/>
            <w:tcBorders>
              <w:bottom w:val="single" w:sz="8" w:space="0" w:color="58595B"/>
              <w:right w:val="single" w:sz="8" w:space="0" w:color="231F20"/>
            </w:tcBorders>
            <w:tcMar>
              <w:top w:w="0" w:type="dxa"/>
              <w:left w:w="0" w:type="dxa"/>
            </w:tcMar>
            <w:vAlign w:val="center"/>
          </w:tcPr>
          <w:p>
            <w:pPr>
              <w:pStyle w:val="TableContents"/>
              <w:bidi w:val="0"/>
              <w:spacing w:before="0" w:after="283"/>
              <w:jc w:val="center"/>
              <w:rPr>
                <w:color w:val="274F78"/>
              </w:rPr>
            </w:pPr>
            <w:r>
              <w:rPr>
                <w:color w:val="274F78"/>
              </w:rPr>
              <w:t>✓</w:t>
            </w:r>
          </w:p>
        </w:tc>
        <w:tc>
          <w:tcPr>
            <w:tcW w:w="545" w:type="dxa"/>
            <w:tcBorders>
              <w:bottom w:val="single" w:sz="8" w:space="0" w:color="58595B"/>
              <w:right w:val="single" w:sz="8" w:space="0" w:color="231F20"/>
            </w:tcBorders>
            <w:tcMar>
              <w:top w:w="0" w:type="dxa"/>
              <w:left w:w="0" w:type="dxa"/>
            </w:tcMar>
            <w:vAlign w:val="center"/>
          </w:tcPr>
          <w:p>
            <w:pPr>
              <w:pStyle w:val="TableContents"/>
              <w:bidi w:val="0"/>
              <w:spacing w:before="0" w:after="283"/>
              <w:jc w:val="center"/>
              <w:rPr>
                <w:color w:val="274F78"/>
              </w:rPr>
            </w:pPr>
            <w:r>
              <w:rPr>
                <w:color w:val="274F78"/>
              </w:rPr>
              <w:t>✓</w:t>
            </w:r>
          </w:p>
        </w:tc>
        <w:tc>
          <w:tcPr>
            <w:tcW w:w="875" w:type="dxa"/>
            <w:tcBorders>
              <w:bottom w:val="single" w:sz="8" w:space="0" w:color="58595B"/>
              <w:right w:val="single" w:sz="8" w:space="0" w:color="231F20"/>
            </w:tcBorders>
            <w:tcMar>
              <w:top w:w="0" w:type="dxa"/>
              <w:left w:w="0" w:type="dxa"/>
            </w:tcMar>
            <w:vAlign w:val="center"/>
          </w:tcPr>
          <w:p>
            <w:pPr>
              <w:pStyle w:val="TableContents"/>
              <w:bidi w:val="0"/>
              <w:spacing w:before="0" w:after="283"/>
              <w:jc w:val="center"/>
              <w:rPr>
                <w:color w:val="274F78"/>
              </w:rPr>
            </w:pPr>
            <w:r>
              <w:rPr>
                <w:color w:val="274F78"/>
              </w:rPr>
              <w:t>✓</w:t>
            </w:r>
          </w:p>
        </w:tc>
        <w:tc>
          <w:tcPr>
            <w:tcW w:w="815" w:type="dxa"/>
            <w:tcBorders>
              <w:bottom w:val="single" w:sz="8" w:space="0" w:color="58595B"/>
              <w:right w:val="single" w:sz="8" w:space="0" w:color="231F20"/>
            </w:tcBorders>
            <w:tcMar>
              <w:top w:w="0" w:type="dxa"/>
              <w:left w:w="0" w:type="dxa"/>
            </w:tcMar>
            <w:vAlign w:val="center"/>
          </w:tcPr>
          <w:p>
            <w:pPr>
              <w:pStyle w:val="TableContents"/>
              <w:bidi w:val="0"/>
              <w:spacing w:before="0" w:after="283"/>
              <w:jc w:val="center"/>
              <w:rPr>
                <w:color w:val="274F78"/>
              </w:rPr>
            </w:pPr>
            <w:r>
              <w:rPr>
                <w:color w:val="274F78"/>
              </w:rPr>
              <w:t>✓</w:t>
            </w:r>
          </w:p>
        </w:tc>
      </w:tr>
      <w:tr>
        <w:trPr/>
        <w:tc>
          <w:tcPr>
            <w:tcW w:w="7000"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Material breach of the employment agreement</w:t>
            </w:r>
          </w:p>
        </w:tc>
        <w:tc>
          <w:tcPr>
            <w:tcW w:w="5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45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54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8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r>
      <w:tr>
        <w:trPr/>
        <w:tc>
          <w:tcPr>
            <w:tcW w:w="7000"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Impeding or failing to materially cooperate with an investigation authorized by our board of directors</w:t>
            </w:r>
          </w:p>
        </w:tc>
        <w:tc>
          <w:tcPr>
            <w:tcW w:w="5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45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54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8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60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caps w:val="false"/>
          <w:smallCaps w:val="false"/>
          <w:color w:val="333333"/>
          <w:sz w:val="22"/>
        </w:rPr>
        <w:t>Definition: Good Reason.</w:t>
      </w:r>
      <w:r>
        <w:rPr>
          <w:rFonts w:ascii="Arial;Helvetica;Sans-Serif" w:hAnsi="Arial;Helvetica;Sans-Serif"/>
          <w:b w:val="false"/>
          <w:i w:val="false"/>
          <w:caps w:val="false"/>
          <w:smallCaps w:val="false"/>
          <w:color w:val="333333"/>
          <w:sz w:val="22"/>
        </w:rPr>
        <w:t xml:space="preserve"> The table below shows for each of the named executive officers the reasons that each executive may terminate his employment for "Good Reason."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75" w:type="dxa"/>
          <w:bottom w:w="100" w:type="dxa"/>
          <w:right w:w="28" w:type="dxa"/>
        </w:tblCellMar>
      </w:tblPr>
      <w:tblGrid>
        <w:gridCol w:w="6910"/>
        <w:gridCol w:w="515"/>
        <w:gridCol w:w="455"/>
        <w:gridCol w:w="545"/>
        <w:gridCol w:w="875"/>
        <w:gridCol w:w="905"/>
      </w:tblGrid>
      <w:tr>
        <w:trPr/>
        <w:tc>
          <w:tcPr>
            <w:tcW w:w="6910" w:type="dxa"/>
            <w:tcBorders>
              <w:top w:val="single" w:sz="8" w:space="0" w:color="58595B"/>
              <w:left w:val="single" w:sz="8" w:space="0" w:color="58595B"/>
              <w:bottom w:val="single" w:sz="8" w:space="0" w:color="58595B"/>
              <w:right w:val="single" w:sz="8" w:space="0" w:color="FFFFFF"/>
            </w:tcBorders>
            <w:shd w:fill="274F78" w:val="cle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Definition of “Good Reason” includes:</w:t>
            </w:r>
          </w:p>
        </w:tc>
        <w:tc>
          <w:tcPr>
            <w:tcW w:w="51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Quirk</w:t>
            </w:r>
          </w:p>
        </w:tc>
        <w:tc>
          <w:tcPr>
            <w:tcW w:w="45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Park</w:t>
            </w:r>
          </w:p>
        </w:tc>
        <w:tc>
          <w:tcPr>
            <w:tcW w:w="54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Nolan</w:t>
            </w:r>
          </w:p>
        </w:tc>
        <w:tc>
          <w:tcPr>
            <w:tcW w:w="87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Sadowski</w:t>
            </w:r>
          </w:p>
        </w:tc>
        <w:tc>
          <w:tcPr>
            <w:tcW w:w="90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Gravelle</w:t>
            </w:r>
            <w:r>
              <w:rPr>
                <w:rFonts w:ascii="Arial;Helvetica;Sans-Serif" w:hAnsi="Arial;Helvetica;Sans-Serif"/>
                <w:b/>
                <w:color w:val="FFFFFF"/>
                <w:position w:val="6"/>
                <w:sz w:val="14"/>
                <w:sz w:val="18"/>
              </w:rPr>
              <w:t>3</w:t>
            </w:r>
          </w:p>
        </w:tc>
      </w:tr>
      <w:tr>
        <w:trPr/>
        <w:tc>
          <w:tcPr>
            <w:tcW w:w="6910"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Material diminution in the executive’s title</w:t>
            </w:r>
            <w:r>
              <w:rPr>
                <w:rFonts w:ascii="Arial;Helvetica;Sans-Serif" w:hAnsi="Arial;Helvetica;Sans-Serif"/>
                <w:color w:val="58595B"/>
                <w:position w:val="6"/>
                <w:sz w:val="14"/>
                <w:sz w:val="18"/>
              </w:rPr>
              <w:t>1</w:t>
            </w:r>
          </w:p>
        </w:tc>
        <w:tc>
          <w:tcPr>
            <w:tcW w:w="5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45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54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90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r>
      <w:tr>
        <w:trPr/>
        <w:tc>
          <w:tcPr>
            <w:tcW w:w="6910" w:type="dxa"/>
            <w:tcBorders>
              <w:left w:val="single" w:sz="8" w:space="0" w:color="58595B"/>
              <w:bottom w:val="single" w:sz="8" w:space="0" w:color="231F20"/>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Material diminution of the executive’s base salary or annual bonus opportunity</w:t>
            </w:r>
            <w:r>
              <w:rPr>
                <w:rFonts w:ascii="Arial;Helvetica;Sans-Serif" w:hAnsi="Arial;Helvetica;Sans-Serif"/>
                <w:color w:val="58595B"/>
                <w:position w:val="6"/>
                <w:sz w:val="14"/>
                <w:sz w:val="18"/>
              </w:rPr>
              <w:t>2</w:t>
            </w:r>
          </w:p>
        </w:tc>
        <w:tc>
          <w:tcPr>
            <w:tcW w:w="51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45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54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c>
          <w:tcPr>
            <w:tcW w:w="90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color w:val="274F78"/>
              </w:rPr>
            </w:pPr>
            <w:r>
              <w:rPr>
                <w:color w:val="274F78"/>
              </w:rPr>
              <w:t>✓</w:t>
            </w:r>
          </w:p>
        </w:tc>
      </w:tr>
      <w:tr>
        <w:trPr/>
        <w:tc>
          <w:tcPr>
            <w:tcW w:w="6910" w:type="dxa"/>
            <w:tcBorders>
              <w:left w:val="single" w:sz="8" w:space="0" w:color="231F20"/>
              <w:bottom w:val="single" w:sz="8" w:space="0" w:color="231F20"/>
              <w:right w:val="single" w:sz="8" w:space="0" w:color="231F20"/>
            </w:tcBorders>
            <w:tcMar>
              <w:top w:w="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Material breach of any of our obligations under the employment agreement</w:t>
            </w:r>
          </w:p>
        </w:tc>
        <w:tc>
          <w:tcPr>
            <w:tcW w:w="515" w:type="dxa"/>
            <w:tcBorders>
              <w:bottom w:val="single" w:sz="8" w:space="0" w:color="58595B"/>
              <w:right w:val="single" w:sz="8" w:space="0" w:color="231F20"/>
            </w:tcBorders>
            <w:tcMar>
              <w:top w:w="0" w:type="dxa"/>
              <w:left w:w="0" w:type="dxa"/>
            </w:tcMar>
            <w:vAlign w:val="center"/>
          </w:tcPr>
          <w:p>
            <w:pPr>
              <w:pStyle w:val="TableContents"/>
              <w:bidi w:val="0"/>
              <w:spacing w:before="0" w:after="283"/>
              <w:jc w:val="center"/>
              <w:rPr>
                <w:color w:val="274F78"/>
              </w:rPr>
            </w:pPr>
            <w:r>
              <w:rPr>
                <w:color w:val="274F78"/>
              </w:rPr>
              <w:t>✓</w:t>
            </w:r>
          </w:p>
        </w:tc>
        <w:tc>
          <w:tcPr>
            <w:tcW w:w="455" w:type="dxa"/>
            <w:tcBorders>
              <w:bottom w:val="single" w:sz="8" w:space="0" w:color="58595B"/>
              <w:right w:val="single" w:sz="8" w:space="0" w:color="231F20"/>
            </w:tcBorders>
            <w:tcMar>
              <w:top w:w="0" w:type="dxa"/>
              <w:left w:w="0" w:type="dxa"/>
            </w:tcMar>
            <w:vAlign w:val="center"/>
          </w:tcPr>
          <w:p>
            <w:pPr>
              <w:pStyle w:val="TableContents"/>
              <w:bidi w:val="0"/>
              <w:spacing w:before="0" w:after="283"/>
              <w:jc w:val="center"/>
              <w:rPr>
                <w:color w:val="274F78"/>
              </w:rPr>
            </w:pPr>
            <w:r>
              <w:rPr>
                <w:color w:val="274F78"/>
              </w:rPr>
              <w:t>✓</w:t>
            </w:r>
          </w:p>
        </w:tc>
        <w:tc>
          <w:tcPr>
            <w:tcW w:w="545" w:type="dxa"/>
            <w:tcBorders>
              <w:bottom w:val="single" w:sz="8" w:space="0" w:color="58595B"/>
              <w:right w:val="single" w:sz="8" w:space="0" w:color="231F20"/>
            </w:tcBorders>
            <w:tcMar>
              <w:top w:w="0" w:type="dxa"/>
              <w:left w:w="0" w:type="dxa"/>
            </w:tcMar>
            <w:vAlign w:val="center"/>
          </w:tcPr>
          <w:p>
            <w:pPr>
              <w:pStyle w:val="TableContents"/>
              <w:bidi w:val="0"/>
              <w:spacing w:before="0" w:after="283"/>
              <w:jc w:val="center"/>
              <w:rPr>
                <w:color w:val="274F78"/>
              </w:rPr>
            </w:pPr>
            <w:r>
              <w:rPr>
                <w:color w:val="274F78"/>
              </w:rPr>
              <w:t>✓</w:t>
            </w:r>
          </w:p>
        </w:tc>
        <w:tc>
          <w:tcPr>
            <w:tcW w:w="875" w:type="dxa"/>
            <w:tcBorders>
              <w:bottom w:val="single" w:sz="8" w:space="0" w:color="58595B"/>
              <w:right w:val="single" w:sz="8" w:space="0" w:color="231F20"/>
            </w:tcBorders>
            <w:tcMar>
              <w:top w:w="0" w:type="dxa"/>
              <w:left w:w="0" w:type="dxa"/>
            </w:tcMar>
            <w:vAlign w:val="center"/>
          </w:tcPr>
          <w:p>
            <w:pPr>
              <w:pStyle w:val="TableContents"/>
              <w:bidi w:val="0"/>
              <w:spacing w:before="0" w:after="283"/>
              <w:jc w:val="center"/>
              <w:rPr>
                <w:color w:val="274F78"/>
              </w:rPr>
            </w:pPr>
            <w:r>
              <w:rPr>
                <w:color w:val="274F78"/>
              </w:rPr>
              <w:t>✓</w:t>
            </w:r>
          </w:p>
        </w:tc>
        <w:tc>
          <w:tcPr>
            <w:tcW w:w="905" w:type="dxa"/>
            <w:tcBorders>
              <w:bottom w:val="single" w:sz="8" w:space="0" w:color="58595B"/>
              <w:right w:val="single" w:sz="8" w:space="0" w:color="231F20"/>
            </w:tcBorders>
            <w:tcMar>
              <w:top w:w="0" w:type="dxa"/>
              <w:left w:w="0" w:type="dxa"/>
            </w:tcMar>
            <w:vAlign w:val="center"/>
          </w:tcPr>
          <w:p>
            <w:pPr>
              <w:pStyle w:val="TableContents"/>
              <w:bidi w:val="0"/>
              <w:spacing w:before="0" w:after="283"/>
              <w:jc w:val="center"/>
              <w:rPr>
                <w:color w:val="274F78"/>
              </w:rPr>
            </w:pPr>
            <w:r>
              <w:rPr>
                <w:color w:val="274F78"/>
              </w:rPr>
              <w:t>✓</w:t>
            </w:r>
          </w:p>
        </w:tc>
      </w:tr>
      <w:tr>
        <w:trPr/>
        <w:tc>
          <w:tcPr>
            <w:tcW w:w="6910" w:type="dxa"/>
            <w:tcBorders>
              <w:left w:val="single" w:sz="8" w:space="0" w:color="58595B"/>
              <w:bottom w:val="single" w:sz="8" w:space="0" w:color="58595B"/>
              <w:right w:val="single" w:sz="8" w:space="0" w:color="58595B"/>
            </w:tcBorders>
            <w:tcMar>
              <w:top w:w="0" w:type="dxa"/>
              <w:left w:w="28" w:type="dxa"/>
            </w:tcMar>
            <w:vAlign w:val="center"/>
          </w:tcPr>
          <w:p>
            <w:pPr>
              <w:pStyle w:val="TableContents"/>
              <w:bidi w:val="0"/>
              <w:spacing w:before="0" w:after="0"/>
              <w:ind w:left="175" w:right="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Within six months immediately preceding or within two years immediately following a change of control:</w:t>
            </w:r>
            <w:r>
              <w:rPr>
                <w:rFonts w:ascii="Arial;Helvetica;Sans-Serif" w:hAnsi="Arial;Helvetica;Sans-Serif"/>
                <w:b w:val="false"/>
                <w:i w:val="false"/>
                <w:caps w:val="false"/>
                <w:smallCaps w:val="false"/>
                <w:color w:val="58595B"/>
                <w:position w:val="6"/>
                <w:sz w:val="14"/>
                <w:sz w:val="18"/>
              </w:rPr>
              <w:t>3</w:t>
            </w:r>
          </w:p>
          <w:p>
            <w:pPr>
              <w:pStyle w:val="TableContents"/>
              <w:bidi w:val="0"/>
              <w:spacing w:before="0" w:after="0"/>
              <w:ind w:left="535" w:right="0" w:hanging="270"/>
              <w:jc w:val="both"/>
              <w:rPr>
                <w:caps w:val="false"/>
                <w:smallCaps w:val="false"/>
                <w:color w:val="58595B"/>
              </w:rPr>
            </w:pPr>
            <w:r>
              <w:rPr>
                <w:caps w:val="false"/>
                <w:smallCaps w:val="false"/>
                <w:color w:val="58595B"/>
              </w:rPr>
              <w:t>•       </w:t>
            </w:r>
            <w:r>
              <w:rPr>
                <w:rFonts w:ascii="Arial;Helvetica;Sans-Serif" w:hAnsi="Arial;Helvetica;Sans-Serif"/>
                <w:b w:val="false"/>
                <w:i w:val="false"/>
                <w:caps w:val="false"/>
                <w:smallCaps w:val="false"/>
                <w:color w:val="58595B"/>
                <w:sz w:val="18"/>
              </w:rPr>
              <w:t>A material adverse change in the executive’s status, authority or responsibility;</w:t>
            </w:r>
          </w:p>
          <w:p>
            <w:pPr>
              <w:pStyle w:val="TableContents"/>
              <w:bidi w:val="0"/>
              <w:spacing w:before="0" w:after="0"/>
              <w:ind w:left="535" w:right="0" w:hanging="270"/>
              <w:jc w:val="both"/>
              <w:rPr>
                <w:caps w:val="false"/>
                <w:smallCaps w:val="false"/>
                <w:color w:val="58595B"/>
              </w:rPr>
            </w:pPr>
            <w:r>
              <w:rPr>
                <w:caps w:val="false"/>
                <w:smallCaps w:val="false"/>
                <w:color w:val="58595B"/>
              </w:rPr>
              <w:t> </w:t>
            </w:r>
          </w:p>
          <w:p>
            <w:pPr>
              <w:pStyle w:val="TableContents"/>
              <w:bidi w:val="0"/>
              <w:spacing w:before="0" w:after="0"/>
              <w:ind w:left="535" w:right="0" w:hanging="270"/>
              <w:jc w:val="both"/>
              <w:rPr>
                <w:caps w:val="false"/>
                <w:smallCaps w:val="false"/>
                <w:color w:val="58595B"/>
              </w:rPr>
            </w:pPr>
            <w:r>
              <w:rPr>
                <w:caps w:val="false"/>
                <w:smallCaps w:val="false"/>
                <w:color w:val="58595B"/>
              </w:rPr>
              <w:t>•      </w:t>
            </w:r>
            <w:r>
              <w:rPr>
                <w:rFonts w:ascii="Arial;Helvetica;Sans-Serif" w:hAnsi="Arial;Helvetica;Sans-Serif"/>
                <w:b w:val="false"/>
                <w:i w:val="false"/>
                <w:caps w:val="false"/>
                <w:smallCaps w:val="false"/>
                <w:color w:val="58595B"/>
                <w:sz w:val="18"/>
              </w:rPr>
              <w:t>A material adverse change in the position to whom the executive reports or to the executive’s service relationship as a result of such reporting structure</w:t>
            </w:r>
          </w:p>
          <w:p>
            <w:pPr>
              <w:pStyle w:val="TableContents"/>
              <w:bidi w:val="0"/>
              <w:spacing w:before="0" w:after="0"/>
              <w:ind w:left="535" w:right="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change, or a material diminution in the authority, duties or responsibilities of the position to whom the executive reports;</w:t>
            </w:r>
          </w:p>
          <w:p>
            <w:pPr>
              <w:pStyle w:val="TableContents"/>
              <w:bidi w:val="0"/>
              <w:spacing w:before="0" w:after="0"/>
              <w:ind w:left="535" w:right="0" w:hanging="0"/>
              <w:jc w:val="left"/>
              <w:rPr>
                <w:caps w:val="false"/>
                <w:smallCaps w:val="false"/>
                <w:color w:val="58595B"/>
              </w:rPr>
            </w:pPr>
            <w:r>
              <w:rPr>
                <w:caps w:val="false"/>
                <w:smallCaps w:val="false"/>
                <w:color w:val="58595B"/>
              </w:rPr>
              <w:t> </w:t>
            </w:r>
          </w:p>
          <w:p>
            <w:pPr>
              <w:pStyle w:val="TableContents"/>
              <w:bidi w:val="0"/>
              <w:spacing w:before="0" w:after="0"/>
              <w:ind w:left="535" w:right="0" w:hanging="270"/>
              <w:jc w:val="left"/>
              <w:rPr>
                <w:caps w:val="false"/>
                <w:smallCaps w:val="false"/>
                <w:color w:val="58595B"/>
              </w:rPr>
            </w:pPr>
            <w:r>
              <w:rPr>
                <w:caps w:val="false"/>
                <w:smallCaps w:val="false"/>
                <w:color w:val="58595B"/>
              </w:rPr>
              <w:t>•      </w:t>
            </w:r>
            <w:r>
              <w:rPr>
                <w:rFonts w:ascii="Arial;Helvetica;Sans-Serif" w:hAnsi="Arial;Helvetica;Sans-Serif"/>
                <w:b w:val="false"/>
                <w:i w:val="false"/>
                <w:caps w:val="false"/>
                <w:smallCaps w:val="false"/>
                <w:color w:val="58595B"/>
                <w:sz w:val="18"/>
              </w:rPr>
              <w:t>A material diminution in the budget over which the executive has managing authority; or</w:t>
            </w:r>
          </w:p>
          <w:p>
            <w:pPr>
              <w:pStyle w:val="TableContents"/>
              <w:bidi w:val="0"/>
              <w:spacing w:before="0" w:after="0"/>
              <w:ind w:left="535" w:right="0" w:hanging="270"/>
              <w:jc w:val="left"/>
              <w:rPr>
                <w:caps w:val="false"/>
                <w:smallCaps w:val="false"/>
                <w:color w:val="58595B"/>
              </w:rPr>
            </w:pPr>
            <w:r>
              <w:rPr>
                <w:caps w:val="false"/>
                <w:smallCaps w:val="false"/>
                <w:color w:val="58595B"/>
              </w:rPr>
              <w:t> </w:t>
            </w:r>
          </w:p>
          <w:p>
            <w:pPr>
              <w:pStyle w:val="TableContents"/>
              <w:bidi w:val="0"/>
              <w:spacing w:before="0" w:after="0"/>
              <w:ind w:left="535" w:right="0" w:hanging="270"/>
              <w:jc w:val="left"/>
              <w:rPr>
                <w:caps w:val="false"/>
                <w:smallCaps w:val="false"/>
                <w:color w:val="58595B"/>
              </w:rPr>
            </w:pPr>
            <w:r>
              <w:rPr>
                <w:caps w:val="false"/>
                <w:smallCaps w:val="false"/>
                <w:color w:val="58595B"/>
              </w:rPr>
              <w:t>•      </w:t>
            </w:r>
            <w:r>
              <w:rPr>
                <w:rFonts w:ascii="Arial;Helvetica;Sans-Serif" w:hAnsi="Arial;Helvetica;Sans-Serif"/>
                <w:b w:val="false"/>
                <w:i w:val="false"/>
                <w:caps w:val="false"/>
                <w:smallCaps w:val="false"/>
                <w:color w:val="58595B"/>
                <w:sz w:val="18"/>
              </w:rPr>
              <w:t>A material change in the geographic location of the executive’s place of employment.</w:t>
            </w:r>
          </w:p>
        </w:tc>
        <w:tc>
          <w:tcPr>
            <w:tcW w:w="515" w:type="dxa"/>
            <w:tcBorders>
              <w:bottom w:val="single" w:sz="8" w:space="0" w:color="58595B"/>
              <w:right w:val="single" w:sz="8" w:space="0" w:color="58595B"/>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caps w:val="false"/>
                <w:smallCaps w:val="false"/>
                <w:color w:val="274F78"/>
              </w:rPr>
            </w:pPr>
            <w:r>
              <w:rPr>
                <w:caps w:val="false"/>
                <w:smallCaps w:val="false"/>
                <w:color w:val="274F78"/>
              </w:rPr>
              <w:t>✓</w:t>
            </w:r>
          </w:p>
        </w:tc>
        <w:tc>
          <w:tcPr>
            <w:tcW w:w="455" w:type="dxa"/>
            <w:tcBorders>
              <w:bottom w:val="single" w:sz="8" w:space="0" w:color="58595B"/>
              <w:right w:val="single" w:sz="8" w:space="0" w:color="58595B"/>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caps w:val="false"/>
                <w:smallCaps w:val="false"/>
                <w:color w:val="274F78"/>
              </w:rPr>
            </w:pPr>
            <w:r>
              <w:rPr>
                <w:caps w:val="false"/>
                <w:smallCaps w:val="false"/>
                <w:color w:val="274F78"/>
              </w:rPr>
              <w:t>✓</w:t>
            </w:r>
          </w:p>
        </w:tc>
        <w:tc>
          <w:tcPr>
            <w:tcW w:w="545" w:type="dxa"/>
            <w:tcBorders>
              <w:bottom w:val="single" w:sz="8" w:space="0" w:color="58595B"/>
              <w:right w:val="single" w:sz="8" w:space="0" w:color="58595B"/>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caps w:val="false"/>
                <w:smallCaps w:val="false"/>
                <w:color w:val="274F78"/>
              </w:rPr>
            </w:pPr>
            <w:r>
              <w:rPr>
                <w:caps w:val="false"/>
                <w:smallCaps w:val="false"/>
                <w:color w:val="274F78"/>
              </w:rPr>
              <w:t>✓</w:t>
            </w:r>
          </w:p>
        </w:tc>
        <w:tc>
          <w:tcPr>
            <w:tcW w:w="875" w:type="dxa"/>
            <w:tcBorders>
              <w:bottom w:val="single" w:sz="8" w:space="0" w:color="58595B"/>
              <w:right w:val="single" w:sz="8" w:space="0" w:color="58595B"/>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caps w:val="false"/>
                <w:smallCaps w:val="false"/>
                <w:color w:val="274F78"/>
              </w:rPr>
            </w:pPr>
            <w:r>
              <w:rPr>
                <w:caps w:val="false"/>
                <w:smallCaps w:val="false"/>
                <w:color w:val="274F78"/>
              </w:rPr>
              <w:t>✓</w:t>
            </w:r>
          </w:p>
        </w:tc>
        <w:tc>
          <w:tcPr>
            <w:tcW w:w="905" w:type="dxa"/>
            <w:tcBorders>
              <w:bottom w:val="single" w:sz="8" w:space="0" w:color="58595B"/>
              <w:right w:val="single" w:sz="8" w:space="0" w:color="58595B"/>
            </w:tcBorders>
            <w:tcMar>
              <w:top w:w="0" w:type="dxa"/>
              <w:left w:w="0"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Segoe UI Symbol;sans-serif" w:hAnsi="Segoe UI Symbol;sans-serif"/>
                <w:b w:val="false"/>
                <w:i w:val="false"/>
                <w:caps w:val="false"/>
                <w:smallCaps w:val="false"/>
                <w:color w:val="274F78"/>
                <w:sz w:val="26"/>
              </w:rPr>
            </w:pPr>
            <w:r>
              <w:rPr>
                <w:rFonts w:ascii="Segoe UI Symbol;sans-serif" w:hAnsi="Segoe UI Symbol;sans-serif"/>
                <w:b w:val="false"/>
                <w:i w:val="false"/>
                <w:caps w:val="false"/>
                <w:smallCaps w:val="false"/>
                <w:color w:val="274F78"/>
                <w:sz w:val="26"/>
              </w:rPr>
              <w:t>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1"/>
        <w:gridCol w:w="9986"/>
      </w:tblGrid>
      <w:tr>
        <w:trPr/>
        <w:tc>
          <w:tcPr>
            <w:tcW w:w="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15"/>
              </w:rPr>
            </w:pPr>
            <w:r>
              <w:rPr>
                <w:sz w:val="15"/>
              </w:rPr>
              <w:t>1.</w:t>
            </w:r>
          </w:p>
        </w:tc>
        <w:tc>
          <w:tcPr>
            <w:tcW w:w="9986" w:type="dxa"/>
            <w:tcBorders/>
            <w:vAlign w:val="center"/>
          </w:tcPr>
          <w:p>
            <w:pPr>
              <w:pStyle w:val="TableContents"/>
              <w:bidi w:val="0"/>
              <w:spacing w:before="0" w:after="283"/>
              <w:jc w:val="left"/>
              <w:rPr>
                <w:sz w:val="15"/>
              </w:rPr>
            </w:pPr>
            <w:r>
              <w:rPr>
                <w:sz w:val="15"/>
              </w:rPr>
              <w:t xml:space="preserve">For purposes of Messrs. Park’s, Sadowski’s and Gravelle’s employment agreements, this also includes a material diminution in the executive’s position or the assignment of duties to the executive that are materially inconsistent with the executive’s position or title.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30"/>
        <w:gridCol w:w="10007"/>
      </w:tblGrid>
      <w:tr>
        <w:trPr/>
        <w:tc>
          <w:tcPr>
            <w:tcW w:w="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15"/>
              </w:rPr>
            </w:pPr>
            <w:r>
              <w:rPr>
                <w:sz w:val="15"/>
              </w:rPr>
              <w:t>2.</w:t>
            </w:r>
          </w:p>
        </w:tc>
        <w:tc>
          <w:tcPr>
            <w:tcW w:w="10007" w:type="dxa"/>
            <w:tcBorders/>
            <w:vAlign w:val="center"/>
          </w:tcPr>
          <w:p>
            <w:pPr>
              <w:pStyle w:val="TableContents"/>
              <w:bidi w:val="0"/>
              <w:spacing w:before="0" w:after="283"/>
              <w:jc w:val="both"/>
              <w:rPr>
                <w:sz w:val="15"/>
              </w:rPr>
            </w:pPr>
            <w:r>
              <w:rPr>
                <w:sz w:val="15"/>
              </w:rPr>
              <w:t>For purposes of our executives' employment agreements, a "change of control" includes (1) an acquisition by an individual, entity or group of more than 50% of our voting power; (2) a merger in which we are not the surviving entity, unless our shareholders immediately prior to the merger hold more than 50% of the combined voting power of the resulting corporation after the merger; (3) a reverse merger in which we are the surviving entity but in which more than 50% of the combined voting power is transferred to persons different from those holding the securities immediately prior to such merger; (4) during any period of two consecutive years during the employment term, a change in the majority of our board, unless the changes are approved by 2/3 of the directors then in office; (5) a sale, transfer or other disposition of our assets that have a total fair market value equal to or more than 1/3 of the total fair market value of all of our assets immediately before the sale, transfer or disposition, other than a sale, transfer or disposition to an entity (i) which immediately after the sale, transfer or disposition owns 50% of our voting stock or (ii) 50% of the voting stock of which is owned by us after the sale, transfer or disposition; or (6) our shareholders approve a plan or proposal for the liquidation or dissolution of our Company.</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64</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54F79" w:val="clear"/>
            <w:vAlign w:val="center"/>
          </w:tcPr>
          <w:p>
            <w:pPr>
              <w:pStyle w:val="TableContents"/>
              <w:bidi w:val="0"/>
              <w:spacing w:before="0" w:after="283"/>
              <w:jc w:val="left"/>
              <w:rPr/>
            </w:pPr>
            <w:r>
              <w:rPr/>
              <w:t> </w:t>
            </w:r>
          </w:p>
        </w:tc>
        <w:tc>
          <w:tcPr>
            <w:tcW w:w="3005" w:type="dxa"/>
            <w:tcBorders/>
            <w:shd w:fill="254F79" w:val="clear"/>
            <w:vAlign w:val="center"/>
          </w:tcPr>
          <w:p>
            <w:pPr>
              <w:pStyle w:val="TableContents"/>
              <w:bidi w:val="0"/>
              <w:spacing w:before="0" w:after="283"/>
              <w:jc w:val="left"/>
              <w:rPr/>
            </w:pPr>
            <w:r>
              <w:rPr/>
              <w:t> </w:t>
            </w:r>
          </w:p>
        </w:tc>
        <w:tc>
          <w:tcPr>
            <w:tcW w:w="335" w:type="dxa"/>
            <w:tcBorders/>
            <w:shd w:fill="254F79"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4"/>
        <w:gridCol w:w="9993"/>
      </w:tblGrid>
      <w:tr>
        <w:trPr/>
        <w:tc>
          <w:tcPr>
            <w:tcW w:w="6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15"/>
              </w:rPr>
            </w:pPr>
            <w:r>
              <w:rPr>
                <w:sz w:val="15"/>
              </w:rPr>
              <w:t>3.</w:t>
            </w:r>
          </w:p>
        </w:tc>
        <w:tc>
          <w:tcPr>
            <w:tcW w:w="9993" w:type="dxa"/>
            <w:tcBorders/>
            <w:vAlign w:val="center"/>
          </w:tcPr>
          <w:p>
            <w:pPr>
              <w:pStyle w:val="TableContents"/>
              <w:bidi w:val="0"/>
              <w:spacing w:before="0" w:after="283"/>
              <w:jc w:val="left"/>
              <w:rPr>
                <w:sz w:val="15"/>
              </w:rPr>
            </w:pPr>
            <w:r>
              <w:rPr>
                <w:sz w:val="15"/>
              </w:rPr>
              <w:t>For Mr. Gravelle's employment agreement, "Good Reason" also includes (1) a material adverse change in the position to whom Mr. Gravelle reports or a material diminution in the authority, duties or responsibilities of the position to whom Mr. Gravelle reports, and (2) a material change in the geographic location of Mr. Gravelle's place of employment.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val="false"/>
          <w:i w:val="false"/>
          <w:caps w:val="false"/>
          <w:smallCaps w:val="false"/>
          <w:color w:val="333333"/>
          <w:sz w:val="21"/>
        </w:rPr>
      </w:pPr>
      <w:r>
        <w:rPr>
          <w:rFonts w:ascii="Arial;Helvetica;Sans-Serif" w:hAnsi="Arial;Helvetica;Sans-Serif"/>
          <w:b w:val="false"/>
          <w:i w:val="false"/>
          <w:caps w:val="false"/>
          <w:smallCaps w:val="false"/>
          <w:color w:val="333333"/>
          <w:sz w:val="21"/>
        </w:rPr>
        <w:t>The agreements also contain provisions relating to the excess parachute payment excise tax under Sections 280G and 4999 of the Internal Revenue Code. The agreements provide that if any payments or benefits to be paid to the named executive officer would be subject to the excise tax on excess parachute payments, then the executive may elect for such payments to be reduced to one dollar less than the amount that would constitute a "parachute payment" under Section 280G of the Internal Revenue Code. If the executive does not elect to have such payments so reduced, the executive is responsible for payment of any excise tax resulting from such payments. None of the agreements provide for a gross-up payment for the excise tax.</w:t>
      </w:r>
    </w:p>
    <w:p>
      <w:pPr>
        <w:pStyle w:val="TextBody"/>
        <w:bidi w:val="0"/>
        <w:spacing w:before="0" w:after="0"/>
        <w:ind w:left="1440" w:right="18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POTENTIAL PAYMENTS UNDER THE OMNIBUS INCENTIVE PLAN</w:t>
      </w:r>
    </w:p>
    <w:p>
      <w:pPr>
        <w:pStyle w:val="TextBody"/>
        <w:bidi w:val="0"/>
        <w:spacing w:before="0" w:after="0"/>
        <w:ind w:left="1440" w:right="18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In addition to the post-termination rights and obligations set forth in the employment agreements of our named executive officers, our omnibus incentive plan provides for the potential acceleration of vesting and/or payment of equity awards in connection with a change in control. Under our omnibus incentive plan, except as otherwise provided in a participant's award agreement, upon the occurrence of a change in control, any and all outstanding options and stock appreciation rights will become immediately exercisable, any restriction imposed on restricted stock, restricted stock units and other awards will lapse, and any and all performance shares, performance units and other awards with performance conditions will be deemed earned at the target level, or, if no target level is specified, the maximum level.</w:t>
      </w:r>
    </w:p>
    <w:p>
      <w:pPr>
        <w:pStyle w:val="TextBody"/>
        <w:bidi w:val="0"/>
        <w:spacing w:before="0" w:after="0"/>
        <w:ind w:left="1440" w:right="18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For purposes of our omnibus plan, the term "change in control" means the occurrence of any of the following events: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2"/>
              </w:rPr>
            </w:pPr>
            <w:r>
              <w:rPr>
                <w:sz w:val="22"/>
              </w:rPr>
              <w:t xml:space="preserve">An acquisition by an individual, entity or group of 25% or more of our voting power (except for acquisitions by us or any of our employee benefit plans);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2"/>
              </w:rPr>
            </w:pPr>
            <w:r>
              <w:rPr>
                <w:sz w:val="22"/>
              </w:rPr>
              <w:t xml:space="preserve">During any period of two consecutive years, a change in the majority of our board of directors, unless the change is approved by 2/3 of the directors then in office;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2"/>
              </w:rPr>
            </w:pPr>
            <w:r>
              <w:rPr>
                <w:sz w:val="22"/>
              </w:rPr>
              <w:t xml:space="preserve">A reorganization, merger, share exchange, consolidation or sale or other disposition of all or substantially all of our assets; excluding, however, a transaction pursuant to which we retain specified levels of stock ownership and board of directors seats; or </w:t>
            </w:r>
          </w:p>
        </w:tc>
      </w:tr>
    </w:tbl>
    <w:p>
      <w:pPr>
        <w:pStyle w:val="TextBody"/>
        <w:bidi w:val="0"/>
        <w:spacing w:before="0" w:after="0"/>
        <w:ind w:left="0" w:right="0" w:hanging="0"/>
        <w:jc w:val="left"/>
        <w:rPr>
          <w:caps w:val="false"/>
          <w:smallCaps w:val="false"/>
          <w:color w:val="333333"/>
        </w:rPr>
      </w:pPr>
      <w:r>
        <w:rPr>
          <w:caps w:val="false"/>
          <w:smallCaps w:val="false"/>
          <w:color w:val="333333"/>
        </w:rPr>
        <w:t> </w:t>
      </w:r>
    </w:p>
    <w:tbl>
      <w:tblPr>
        <w:tblW w:w="7713" w:type="dxa"/>
        <w:jc w:val="left"/>
        <w:tblInd w:w="0" w:type="dxa"/>
        <w:tblLayout w:type="fixed"/>
        <w:tblCellMar>
          <w:top w:w="0" w:type="dxa"/>
          <w:left w:w="0" w:type="dxa"/>
          <w:bottom w:w="0" w:type="dxa"/>
          <w:right w:w="0" w:type="dxa"/>
        </w:tblCellMar>
      </w:tblPr>
      <w:tblGrid>
        <w:gridCol w:w="68"/>
        <w:gridCol w:w="140"/>
        <w:gridCol w:w="750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7505" w:type="dxa"/>
            <w:tcBorders/>
            <w:vAlign w:val="center"/>
          </w:tcPr>
          <w:p>
            <w:pPr>
              <w:pStyle w:val="TableContents"/>
              <w:bidi w:val="0"/>
              <w:spacing w:before="0" w:after="283"/>
              <w:jc w:val="both"/>
              <w:rPr>
                <w:sz w:val="22"/>
              </w:rPr>
            </w:pPr>
            <w:r>
              <w:rPr>
                <w:sz w:val="22"/>
              </w:rPr>
              <w:t xml:space="preserve">Our shareholders approve a plan or proposal for our liquidation or dissolution.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ESTIMATED CASH PAYMENTS UPON TERMINATION OF EMPLOYMENT</w:t>
      </w:r>
    </w:p>
    <w:p>
      <w:pPr>
        <w:pStyle w:val="TextBody"/>
        <w:bidi w:val="0"/>
        <w:spacing w:before="0" w:after="0"/>
        <w:ind w:left="1440" w:right="18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val="false"/>
          <w:i w:val="false"/>
          <w:caps w:val="false"/>
          <w:smallCaps w:val="false"/>
          <w:color w:val="333333"/>
          <w:sz w:val="21"/>
        </w:rPr>
      </w:pPr>
      <w:r>
        <w:rPr>
          <w:rFonts w:ascii="Arial;Helvetica;Sans-Serif" w:hAnsi="Arial;Helvetica;Sans-Serif"/>
          <w:b w:val="false"/>
          <w:i w:val="false"/>
          <w:caps w:val="false"/>
          <w:smallCaps w:val="false"/>
          <w:color w:val="333333"/>
          <w:sz w:val="21"/>
        </w:rPr>
        <w:t>The table below includes the cash severance amounts that would have been payable to each executive in the event of a termination of employment by us not for cause or a termination by the executive for good reason. None of our executives would have received a termination payment if their employment had been terminated on December 31, 2025 for cause or without good reason by the executive, or due to death or disability. Our estimate of the cash severance amounts that would be provided to each executive assumes that their employment terminated on December 31, 2025. The severance amounts do not include a prorated 2025 annual incentive since the named executive officers would have been paid based on their service through the end of the year and therefore would have received the annual incentive whether or not the termination occurred.</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65</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650" w:type="dxa"/>
        <w:jc w:val="left"/>
        <w:tblInd w:w="-10" w:type="dxa"/>
        <w:tblLayout w:type="fixed"/>
        <w:tblCellMar>
          <w:top w:w="100" w:type="dxa"/>
          <w:left w:w="100" w:type="dxa"/>
          <w:bottom w:w="100" w:type="dxa"/>
          <w:right w:w="28" w:type="dxa"/>
        </w:tblCellMar>
      </w:tblPr>
      <w:tblGrid>
        <w:gridCol w:w="3215"/>
        <w:gridCol w:w="950"/>
        <w:gridCol w:w="860"/>
        <w:gridCol w:w="860"/>
        <w:gridCol w:w="860"/>
        <w:gridCol w:w="905"/>
      </w:tblGrid>
      <w:tr>
        <w:trPr/>
        <w:tc>
          <w:tcPr>
            <w:tcW w:w="3215" w:type="dxa"/>
            <w:tcBorders>
              <w:top w:val="single" w:sz="8" w:space="0" w:color="58595B"/>
              <w:left w:val="single" w:sz="8" w:space="0" w:color="58595B"/>
              <w:bottom w:val="single" w:sz="8" w:space="0" w:color="58595B"/>
              <w:right w:val="single" w:sz="8" w:space="0" w:color="FFFFFF"/>
            </w:tcBorders>
            <w:shd w:fill="274F78" w:val="clear"/>
            <w:vAlign w:val="center"/>
          </w:tcPr>
          <w:p>
            <w:pPr>
              <w:pStyle w:val="TableContents"/>
              <w:bidi w:val="0"/>
              <w:spacing w:before="0" w:after="283"/>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 xml:space="preserve">Reason for Termination </w:t>
              <w:br/>
              <w:t>Payment:</w:t>
            </w:r>
          </w:p>
        </w:tc>
        <w:tc>
          <w:tcPr>
            <w:tcW w:w="950"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8"/>
              </w:rPr>
            </w:pPr>
            <w:r>
              <w:rPr>
                <w:rFonts w:ascii="Arial;Helvetica;Sans-Serif" w:hAnsi="Arial;Helvetica;Sans-Serif"/>
                <w:b w:val="false"/>
                <w:i w:val="false"/>
                <w:caps w:val="false"/>
                <w:smallCaps w:val="false"/>
                <w:color w:val="FFFFFF"/>
                <w:sz w:val="18"/>
              </w:rPr>
              <w:t>Nolan</w:t>
            </w:r>
          </w:p>
        </w:tc>
        <w:tc>
          <w:tcPr>
            <w:tcW w:w="860"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8"/>
              </w:rPr>
            </w:pPr>
            <w:r>
              <w:rPr>
                <w:rFonts w:ascii="Arial;Helvetica;Sans-Serif" w:hAnsi="Arial;Helvetica;Sans-Serif"/>
                <w:b w:val="false"/>
                <w:i w:val="false"/>
                <w:caps w:val="false"/>
                <w:smallCaps w:val="false"/>
                <w:color w:val="FFFFFF"/>
                <w:sz w:val="18"/>
              </w:rPr>
              <w:t>Quirk</w:t>
            </w:r>
          </w:p>
        </w:tc>
        <w:tc>
          <w:tcPr>
            <w:tcW w:w="860"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8"/>
              </w:rPr>
            </w:pPr>
            <w:r>
              <w:rPr>
                <w:rFonts w:ascii="Arial;Helvetica;Sans-Serif" w:hAnsi="Arial;Helvetica;Sans-Serif"/>
                <w:b w:val="false"/>
                <w:i w:val="false"/>
                <w:caps w:val="false"/>
                <w:smallCaps w:val="false"/>
                <w:color w:val="FFFFFF"/>
                <w:sz w:val="18"/>
              </w:rPr>
              <w:t>Park</w:t>
            </w:r>
          </w:p>
        </w:tc>
        <w:tc>
          <w:tcPr>
            <w:tcW w:w="860"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8"/>
              </w:rPr>
            </w:pPr>
            <w:r>
              <w:rPr>
                <w:rFonts w:ascii="Arial;Helvetica;Sans-Serif" w:hAnsi="Arial;Helvetica;Sans-Serif"/>
                <w:b w:val="false"/>
                <w:i w:val="false"/>
                <w:caps w:val="false"/>
                <w:smallCaps w:val="false"/>
                <w:color w:val="FFFFFF"/>
                <w:sz w:val="18"/>
              </w:rPr>
              <w:t>Sadowski</w:t>
            </w:r>
          </w:p>
        </w:tc>
        <w:tc>
          <w:tcPr>
            <w:tcW w:w="90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8"/>
              </w:rPr>
            </w:pPr>
            <w:r>
              <w:rPr>
                <w:rFonts w:ascii="Arial;Helvetica;Sans-Serif" w:hAnsi="Arial;Helvetica;Sans-Serif"/>
                <w:b w:val="false"/>
                <w:i w:val="false"/>
                <w:caps w:val="false"/>
                <w:smallCaps w:val="false"/>
                <w:color w:val="FFFFFF"/>
                <w:sz w:val="18"/>
              </w:rPr>
              <w:t>Gravelle</w:t>
            </w:r>
          </w:p>
        </w:tc>
      </w:tr>
      <w:tr>
        <w:trPr/>
        <w:tc>
          <w:tcPr>
            <w:tcW w:w="3215" w:type="dxa"/>
            <w:tcBorders>
              <w:left w:val="single" w:sz="8" w:space="0" w:color="58595B"/>
              <w:bottom w:val="single" w:sz="8" w:space="0" w:color="58595B"/>
              <w:right w:val="single" w:sz="8" w:space="0" w:color="58595B"/>
            </w:tcBorders>
            <w:tcMar>
              <w:top w:w="0" w:type="dxa"/>
              <w:bottom w:w="20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Termination by Company without Cause</w:t>
            </w:r>
          </w:p>
        </w:tc>
        <w:tc>
          <w:tcPr>
            <w:tcW w:w="950" w:type="dxa"/>
            <w:tcBorders>
              <w:bottom w:val="single" w:sz="8" w:space="0" w:color="58595B"/>
              <w:right w:val="single" w:sz="8" w:space="0" w:color="58595B"/>
            </w:tcBorders>
            <w:tcMar>
              <w:top w:w="0" w:type="dxa"/>
              <w:left w:w="0" w:type="dxa"/>
              <w:bottom w:w="20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$11,281,526</w:t>
            </w:r>
          </w:p>
        </w:tc>
        <w:tc>
          <w:tcPr>
            <w:tcW w:w="860" w:type="dxa"/>
            <w:tcBorders>
              <w:bottom w:val="single" w:sz="8" w:space="0" w:color="58595B"/>
              <w:right w:val="single" w:sz="8" w:space="0" w:color="58595B"/>
            </w:tcBorders>
            <w:tcMar>
              <w:top w:w="0" w:type="dxa"/>
              <w:left w:w="0" w:type="dxa"/>
              <w:bottom w:w="20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$4,638,230</w:t>
            </w:r>
          </w:p>
        </w:tc>
        <w:tc>
          <w:tcPr>
            <w:tcW w:w="860" w:type="dxa"/>
            <w:tcBorders>
              <w:bottom w:val="single" w:sz="8" w:space="0" w:color="58595B"/>
              <w:right w:val="single" w:sz="8" w:space="0" w:color="58595B"/>
            </w:tcBorders>
            <w:tcMar>
              <w:top w:w="0" w:type="dxa"/>
              <w:left w:w="0" w:type="dxa"/>
              <w:bottom w:w="20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$5,710,287</w:t>
            </w:r>
          </w:p>
        </w:tc>
        <w:tc>
          <w:tcPr>
            <w:tcW w:w="860" w:type="dxa"/>
            <w:tcBorders>
              <w:bottom w:val="single" w:sz="8" w:space="0" w:color="58595B"/>
              <w:right w:val="single" w:sz="8" w:space="0" w:color="58595B"/>
            </w:tcBorders>
            <w:tcMar>
              <w:top w:w="0" w:type="dxa"/>
              <w:left w:w="0" w:type="dxa"/>
              <w:bottom w:w="20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$3,686,734</w:t>
            </w:r>
          </w:p>
        </w:tc>
        <w:tc>
          <w:tcPr>
            <w:tcW w:w="905" w:type="dxa"/>
            <w:tcBorders>
              <w:bottom w:val="single" w:sz="8" w:space="0" w:color="58595B"/>
              <w:right w:val="single" w:sz="8" w:space="0" w:color="58595B"/>
            </w:tcBorders>
            <w:tcMar>
              <w:top w:w="0" w:type="dxa"/>
              <w:left w:w="0" w:type="dxa"/>
              <w:bottom w:w="20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$1,983,344</w:t>
            </w:r>
          </w:p>
        </w:tc>
      </w:tr>
      <w:tr>
        <w:trPr/>
        <w:tc>
          <w:tcPr>
            <w:tcW w:w="3215" w:type="dxa"/>
            <w:tcBorders>
              <w:left w:val="single" w:sz="8" w:space="0" w:color="58595B"/>
              <w:bottom w:val="single" w:sz="8" w:space="0" w:color="58595B"/>
              <w:right w:val="single" w:sz="8" w:space="0" w:color="58595B"/>
            </w:tcBorders>
            <w:tcMar>
              <w:top w:w="0" w:type="dxa"/>
              <w:bottom w:w="200" w:type="dxa"/>
            </w:tcMar>
            <w:vAlign w:val="center"/>
          </w:tcPr>
          <w:p>
            <w:pPr>
              <w:pStyle w:val="TableContents"/>
              <w:bidi w:val="0"/>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Termination by Executive for Good Reason</w:t>
            </w:r>
          </w:p>
        </w:tc>
        <w:tc>
          <w:tcPr>
            <w:tcW w:w="950" w:type="dxa"/>
            <w:tcBorders>
              <w:bottom w:val="single" w:sz="8" w:space="0" w:color="58595B"/>
              <w:right w:val="single" w:sz="8" w:space="0" w:color="58595B"/>
            </w:tcBorders>
            <w:tcMar>
              <w:top w:w="0" w:type="dxa"/>
              <w:left w:w="0" w:type="dxa"/>
              <w:bottom w:w="20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$11,281,526</w:t>
            </w:r>
          </w:p>
        </w:tc>
        <w:tc>
          <w:tcPr>
            <w:tcW w:w="860" w:type="dxa"/>
            <w:tcBorders>
              <w:bottom w:val="single" w:sz="8" w:space="0" w:color="58595B"/>
              <w:right w:val="single" w:sz="8" w:space="0" w:color="58595B"/>
            </w:tcBorders>
            <w:tcMar>
              <w:top w:w="0" w:type="dxa"/>
              <w:left w:w="0" w:type="dxa"/>
              <w:bottom w:w="20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$4,638,230</w:t>
            </w:r>
          </w:p>
        </w:tc>
        <w:tc>
          <w:tcPr>
            <w:tcW w:w="860" w:type="dxa"/>
            <w:tcBorders>
              <w:bottom w:val="single" w:sz="8" w:space="0" w:color="58595B"/>
              <w:right w:val="single" w:sz="8" w:space="0" w:color="58595B"/>
            </w:tcBorders>
            <w:tcMar>
              <w:top w:w="0" w:type="dxa"/>
              <w:left w:w="0" w:type="dxa"/>
              <w:bottom w:w="20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$5,710,287</w:t>
            </w:r>
          </w:p>
        </w:tc>
        <w:tc>
          <w:tcPr>
            <w:tcW w:w="860" w:type="dxa"/>
            <w:tcBorders>
              <w:bottom w:val="single" w:sz="8" w:space="0" w:color="58595B"/>
              <w:right w:val="single" w:sz="8" w:space="0" w:color="58595B"/>
            </w:tcBorders>
            <w:tcMar>
              <w:top w:w="0" w:type="dxa"/>
              <w:left w:w="0" w:type="dxa"/>
              <w:bottom w:w="20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$3,686,734</w:t>
            </w:r>
          </w:p>
        </w:tc>
        <w:tc>
          <w:tcPr>
            <w:tcW w:w="905" w:type="dxa"/>
            <w:tcBorders>
              <w:bottom w:val="single" w:sz="8" w:space="0" w:color="58595B"/>
              <w:right w:val="single" w:sz="8" w:space="0" w:color="58595B"/>
            </w:tcBorders>
            <w:tcMar>
              <w:top w:w="0" w:type="dxa"/>
              <w:left w:w="0" w:type="dxa"/>
              <w:bottom w:w="200" w:type="dxa"/>
            </w:tcMar>
            <w:vAlign w:val="center"/>
          </w:tcPr>
          <w:p>
            <w:pPr>
              <w:pStyle w:val="TableContents"/>
              <w:bidi w:val="0"/>
              <w:spacing w:before="0" w:after="283"/>
              <w:jc w:val="center"/>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$1,983,344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ESTIMATED EQUITY PAYMENTS UPON TERMINATION OF EMPLOYMENT OR CHANGE IN CONTROL</w:t>
      </w:r>
    </w:p>
    <w:p>
      <w:pPr>
        <w:pStyle w:val="TextBody"/>
        <w:bidi w:val="0"/>
        <w:spacing w:before="0" w:after="0"/>
        <w:ind w:left="1440" w:right="18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val="false"/>
          <w:i w:val="false"/>
          <w:caps w:val="false"/>
          <w:smallCaps w:val="false"/>
          <w:color w:val="333333"/>
          <w:sz w:val="21"/>
        </w:rPr>
      </w:pPr>
      <w:r>
        <w:rPr>
          <w:rFonts w:ascii="Arial;Helvetica;Sans-Serif" w:hAnsi="Arial;Helvetica;Sans-Serif"/>
          <w:b w:val="false"/>
          <w:i w:val="false"/>
          <w:caps w:val="false"/>
          <w:smallCaps w:val="false"/>
          <w:color w:val="333333"/>
          <w:sz w:val="21"/>
        </w:rPr>
        <w:t>The table below includes the estimated values of the FNF restricted stock awards held by the named executive officers that would vest upon the executive's termination of employment by reason of death, disability, a change of control of FNF, or upon the termination of their employment with FNF without cause or by the executive for good reason, in each case assuming such event occurred on December 31, 2025. None of our executives' restricted stock awards would have vested in the event of their termination with cause or by the executive without good reason. The amounts below were determined based upon the number of unvested shares of FNF restricted stock held by each executive as of December 31, 2025 (as set forth in the "Outstanding Equity Awards at Fiscal Year End" table above), multiplied by $54.59 per share, which was the closing price of our common stock on December 31, 2025. None of our named executive officers held any unvested stock options as of December 31, 2025 and we have not included any amounts related to termination of Messrs. Nolan's, Quirk's or Gravelle's service with F&amp;G.</w:t>
      </w:r>
    </w:p>
    <w:p>
      <w:pPr>
        <w:pStyle w:val="TextBody"/>
        <w:bidi w:val="0"/>
        <w:spacing w:before="0" w:after="0"/>
        <w:ind w:left="0" w:right="0" w:hanging="0"/>
        <w:jc w:val="left"/>
        <w:rPr>
          <w:caps w:val="false"/>
          <w:smallCaps w:val="false"/>
        </w:rPr>
      </w:pPr>
      <w:r>
        <w:rPr>
          <w:caps w:val="false"/>
          <w:smallCaps w:val="false"/>
        </w:rPr>
        <w:t> </w:t>
      </w:r>
    </w:p>
    <w:tbl>
      <w:tblPr>
        <w:tblW w:w="7305" w:type="dxa"/>
        <w:jc w:val="left"/>
        <w:tblInd w:w="-10" w:type="dxa"/>
        <w:tblLayout w:type="fixed"/>
        <w:tblCellMar>
          <w:top w:w="100" w:type="dxa"/>
          <w:left w:w="180" w:type="dxa"/>
          <w:bottom w:w="100" w:type="dxa"/>
          <w:right w:w="0" w:type="dxa"/>
        </w:tblCellMar>
      </w:tblPr>
      <w:tblGrid>
        <w:gridCol w:w="2255"/>
        <w:gridCol w:w="1085"/>
        <w:gridCol w:w="980"/>
        <w:gridCol w:w="980"/>
        <w:gridCol w:w="980"/>
        <w:gridCol w:w="1025"/>
      </w:tblGrid>
      <w:tr>
        <w:trPr/>
        <w:tc>
          <w:tcPr>
            <w:tcW w:w="2255" w:type="dxa"/>
            <w:tcBorders>
              <w:top w:val="single" w:sz="8" w:space="0" w:color="333333"/>
              <w:left w:val="single" w:sz="8" w:space="0" w:color="333333"/>
              <w:bottom w:val="single" w:sz="8" w:space="0" w:color="000000"/>
            </w:tcBorders>
            <w:shd w:fill="254F79" w:val="cle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Reason for Payment:</w:t>
            </w:r>
          </w:p>
        </w:tc>
        <w:tc>
          <w:tcPr>
            <w:tcW w:w="1085" w:type="dxa"/>
            <w:tcBorders>
              <w:top w:val="single" w:sz="8" w:space="0" w:color="333333"/>
              <w:bottom w:val="single" w:sz="8" w:space="0" w:color="000000"/>
            </w:tcBorders>
            <w:shd w:fill="254F79" w:val="clear"/>
            <w:tcMar>
              <w:left w:w="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Nolan</w:t>
            </w:r>
          </w:p>
        </w:tc>
        <w:tc>
          <w:tcPr>
            <w:tcW w:w="980" w:type="dxa"/>
            <w:tcBorders>
              <w:top w:val="single" w:sz="8" w:space="0" w:color="333333"/>
              <w:bottom w:val="single" w:sz="8" w:space="0" w:color="000000"/>
            </w:tcBorders>
            <w:shd w:fill="254F79" w:val="clear"/>
            <w:tcMar>
              <w:left w:w="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Quirk</w:t>
            </w:r>
          </w:p>
        </w:tc>
        <w:tc>
          <w:tcPr>
            <w:tcW w:w="980" w:type="dxa"/>
            <w:tcBorders>
              <w:top w:val="single" w:sz="8" w:space="0" w:color="333333"/>
              <w:bottom w:val="single" w:sz="8" w:space="0" w:color="000000"/>
            </w:tcBorders>
            <w:shd w:fill="254F79" w:val="clear"/>
            <w:tcMar>
              <w:left w:w="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Park</w:t>
            </w:r>
          </w:p>
        </w:tc>
        <w:tc>
          <w:tcPr>
            <w:tcW w:w="980" w:type="dxa"/>
            <w:tcBorders>
              <w:top w:val="single" w:sz="8" w:space="0" w:color="333333"/>
              <w:bottom w:val="single" w:sz="8" w:space="0" w:color="000000"/>
            </w:tcBorders>
            <w:shd w:fill="254F79" w:val="clear"/>
            <w:tcMar>
              <w:left w:w="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Sadowski</w:t>
            </w:r>
          </w:p>
        </w:tc>
        <w:tc>
          <w:tcPr>
            <w:tcW w:w="1025" w:type="dxa"/>
            <w:tcBorders>
              <w:top w:val="single" w:sz="8" w:space="0" w:color="333333"/>
              <w:bottom w:val="single" w:sz="8" w:space="0" w:color="000000"/>
            </w:tcBorders>
            <w:shd w:fill="254F79" w:val="clear"/>
            <w:tcMar>
              <w:left w:w="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Gravelle</w:t>
            </w:r>
          </w:p>
        </w:tc>
      </w:tr>
      <w:tr>
        <w:trPr/>
        <w:tc>
          <w:tcPr>
            <w:tcW w:w="2255" w:type="dxa"/>
            <w:tcBorders>
              <w:left w:val="single" w:sz="8" w:space="0" w:color="333333"/>
              <w:bottom w:val="single" w:sz="8" w:space="0" w:color="000000"/>
              <w:right w:val="single" w:sz="8" w:space="0" w:color="333333"/>
            </w:tcBorders>
            <w:tcMar>
              <w:top w:w="0" w:type="dxa"/>
              <w:right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Termination without Cause</w:t>
            </w:r>
          </w:p>
          <w:p>
            <w:pPr>
              <w:pStyle w:val="TableContents"/>
              <w:bidi w:val="0"/>
              <w:spacing w:before="0" w:after="0"/>
              <w:ind w:left="0" w:right="0" w:hanging="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or by Executive for Good</w:t>
            </w:r>
          </w:p>
          <w:p>
            <w:pPr>
              <w:pStyle w:val="TableContents"/>
              <w:bidi w:val="0"/>
              <w:spacing w:before="0" w:after="0"/>
              <w:ind w:left="0" w:right="0" w:hanging="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Reason</w:t>
            </w:r>
          </w:p>
        </w:tc>
        <w:tc>
          <w:tcPr>
            <w:tcW w:w="1085"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$5,719,093</w:t>
            </w:r>
          </w:p>
          <w:p>
            <w:pPr>
              <w:pStyle w:val="TableContents"/>
              <w:bidi w:val="0"/>
              <w:spacing w:before="0" w:after="0"/>
              <w:ind w:left="0" w:right="0" w:hanging="0"/>
              <w:jc w:val="left"/>
              <w:rPr>
                <w:caps w:val="false"/>
                <w:smallCaps w:val="false"/>
              </w:rPr>
            </w:pPr>
            <w:r>
              <w:rPr>
                <w:caps w:val="false"/>
                <w:smallCaps w:val="false"/>
              </w:rPr>
              <w:t> </w:t>
            </w:r>
          </w:p>
        </w:tc>
        <w:tc>
          <w:tcPr>
            <w:tcW w:w="980"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$4,232,174</w:t>
            </w:r>
          </w:p>
          <w:p>
            <w:pPr>
              <w:pStyle w:val="TableContents"/>
              <w:bidi w:val="0"/>
              <w:spacing w:before="0" w:after="0"/>
              <w:ind w:left="0" w:right="0" w:hanging="0"/>
              <w:jc w:val="left"/>
              <w:rPr>
                <w:caps w:val="false"/>
                <w:smallCaps w:val="false"/>
              </w:rPr>
            </w:pPr>
            <w:r>
              <w:rPr>
                <w:caps w:val="false"/>
                <w:smallCaps w:val="false"/>
              </w:rPr>
              <w:t> </w:t>
            </w:r>
          </w:p>
        </w:tc>
        <w:tc>
          <w:tcPr>
            <w:tcW w:w="980"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$1,766,335</w:t>
            </w:r>
          </w:p>
          <w:p>
            <w:pPr>
              <w:pStyle w:val="TableContents"/>
              <w:bidi w:val="0"/>
              <w:spacing w:before="0" w:after="0"/>
              <w:ind w:left="0" w:right="0" w:hanging="0"/>
              <w:jc w:val="left"/>
              <w:rPr>
                <w:caps w:val="false"/>
                <w:smallCaps w:val="false"/>
              </w:rPr>
            </w:pPr>
            <w:r>
              <w:rPr>
                <w:caps w:val="false"/>
                <w:smallCaps w:val="false"/>
              </w:rPr>
              <w:t> </w:t>
            </w:r>
          </w:p>
        </w:tc>
        <w:tc>
          <w:tcPr>
            <w:tcW w:w="980"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$1,665,088</w:t>
            </w:r>
          </w:p>
          <w:p>
            <w:pPr>
              <w:pStyle w:val="TableContents"/>
              <w:bidi w:val="0"/>
              <w:spacing w:before="0" w:after="0"/>
              <w:ind w:left="0" w:right="0" w:hanging="0"/>
              <w:jc w:val="left"/>
              <w:rPr>
                <w:caps w:val="false"/>
                <w:smallCaps w:val="false"/>
              </w:rPr>
            </w:pPr>
            <w:r>
              <w:rPr>
                <w:caps w:val="false"/>
                <w:smallCaps w:val="false"/>
              </w:rPr>
              <w:t> </w:t>
            </w:r>
          </w:p>
        </w:tc>
        <w:tc>
          <w:tcPr>
            <w:tcW w:w="1025"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$1,665,811</w:t>
            </w:r>
          </w:p>
          <w:p>
            <w:pPr>
              <w:pStyle w:val="TableContents"/>
              <w:bidi w:val="0"/>
              <w:spacing w:before="0" w:after="0"/>
              <w:ind w:left="0" w:right="0" w:hanging="0"/>
              <w:jc w:val="left"/>
              <w:rPr>
                <w:caps w:val="false"/>
                <w:smallCaps w:val="false"/>
              </w:rPr>
            </w:pPr>
            <w:r>
              <w:rPr>
                <w:caps w:val="false"/>
                <w:smallCaps w:val="false"/>
              </w:rPr>
              <w:t> </w:t>
            </w:r>
          </w:p>
        </w:tc>
      </w:tr>
      <w:tr>
        <w:trPr/>
        <w:tc>
          <w:tcPr>
            <w:tcW w:w="2255" w:type="dxa"/>
            <w:tcBorders>
              <w:left w:val="single" w:sz="8" w:space="0" w:color="333333"/>
              <w:bottom w:val="single" w:sz="8" w:space="0" w:color="000000"/>
              <w:right w:val="single" w:sz="8" w:space="0" w:color="333333"/>
            </w:tcBorders>
            <w:tcMar>
              <w:top w:w="0" w:type="dxa"/>
              <w:right w:w="28" w:type="dxa"/>
            </w:tcMar>
            <w:vAlign w:val="center"/>
          </w:tcPr>
          <w:p>
            <w:pPr>
              <w:pStyle w:val="TableContents"/>
              <w:bidi w:val="0"/>
              <w:spacing w:before="0" w:after="283"/>
              <w:jc w:val="left"/>
              <w:rPr>
                <w:rFonts w:ascii="Arial;Helvetica;Sans-Serif" w:hAnsi="Arial;Helvetica;Sans-Serif"/>
                <w:color w:val="333333"/>
                <w:sz w:val="18"/>
              </w:rPr>
            </w:pPr>
            <w:r>
              <w:rPr>
                <w:rFonts w:ascii="Arial;Helvetica;Sans-Serif" w:hAnsi="Arial;Helvetica;Sans-Serif"/>
                <w:color w:val="333333"/>
                <w:sz w:val="18"/>
              </w:rPr>
              <w:t>Death</w:t>
            </w:r>
          </w:p>
        </w:tc>
        <w:tc>
          <w:tcPr>
            <w:tcW w:w="1085"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$852,879</w:t>
            </w:r>
          </w:p>
        </w:tc>
        <w:tc>
          <w:tcPr>
            <w:tcW w:w="980"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$595,395</w:t>
            </w:r>
          </w:p>
        </w:tc>
        <w:tc>
          <w:tcPr>
            <w:tcW w:w="980"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$263,720</w:t>
            </w:r>
          </w:p>
        </w:tc>
        <w:tc>
          <w:tcPr>
            <w:tcW w:w="980"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$248,603</w:t>
            </w:r>
          </w:p>
        </w:tc>
        <w:tc>
          <w:tcPr>
            <w:tcW w:w="1025"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$245,771</w:t>
            </w:r>
          </w:p>
        </w:tc>
      </w:tr>
      <w:tr>
        <w:trPr/>
        <w:tc>
          <w:tcPr>
            <w:tcW w:w="2255" w:type="dxa"/>
            <w:tcBorders>
              <w:left w:val="single" w:sz="8" w:space="0" w:color="333333"/>
              <w:bottom w:val="single" w:sz="8" w:space="0" w:color="000000"/>
              <w:right w:val="single" w:sz="8" w:space="0" w:color="333333"/>
            </w:tcBorders>
            <w:tcMar>
              <w:top w:w="0" w:type="dxa"/>
              <w:right w:w="28" w:type="dxa"/>
            </w:tcMar>
            <w:vAlign w:val="center"/>
          </w:tcPr>
          <w:p>
            <w:pPr>
              <w:pStyle w:val="TableContents"/>
              <w:bidi w:val="0"/>
              <w:spacing w:before="0" w:after="283"/>
              <w:jc w:val="left"/>
              <w:rPr>
                <w:rFonts w:ascii="Arial;Helvetica;Sans-Serif" w:hAnsi="Arial;Helvetica;Sans-Serif"/>
                <w:color w:val="333333"/>
                <w:sz w:val="18"/>
              </w:rPr>
            </w:pPr>
            <w:r>
              <w:rPr>
                <w:rFonts w:ascii="Arial;Helvetica;Sans-Serif" w:hAnsi="Arial;Helvetica;Sans-Serif"/>
                <w:color w:val="333333"/>
                <w:sz w:val="18"/>
              </w:rPr>
              <w:t>Disability</w:t>
            </w:r>
          </w:p>
        </w:tc>
        <w:tc>
          <w:tcPr>
            <w:tcW w:w="1085"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$852,879</w:t>
            </w:r>
          </w:p>
        </w:tc>
        <w:tc>
          <w:tcPr>
            <w:tcW w:w="980"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$595,395</w:t>
            </w:r>
          </w:p>
        </w:tc>
        <w:tc>
          <w:tcPr>
            <w:tcW w:w="980"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$263,720</w:t>
            </w:r>
          </w:p>
        </w:tc>
        <w:tc>
          <w:tcPr>
            <w:tcW w:w="980"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$248,603</w:t>
            </w:r>
          </w:p>
        </w:tc>
        <w:tc>
          <w:tcPr>
            <w:tcW w:w="1025"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$245,771</w:t>
            </w:r>
          </w:p>
        </w:tc>
      </w:tr>
      <w:tr>
        <w:trPr/>
        <w:tc>
          <w:tcPr>
            <w:tcW w:w="2255" w:type="dxa"/>
            <w:tcBorders>
              <w:left w:val="single" w:sz="8" w:space="0" w:color="333333"/>
              <w:bottom w:val="single" w:sz="8" w:space="0" w:color="000000"/>
              <w:right w:val="single" w:sz="8" w:space="0" w:color="333333"/>
            </w:tcBorders>
            <w:tcMar>
              <w:top w:w="0" w:type="dxa"/>
              <w:right w:w="28" w:type="dxa"/>
            </w:tcMar>
            <w:vAlign w:val="center"/>
          </w:tcPr>
          <w:p>
            <w:pPr>
              <w:pStyle w:val="TableContents"/>
              <w:bidi w:val="0"/>
              <w:spacing w:before="0" w:after="283"/>
              <w:jc w:val="left"/>
              <w:rPr>
                <w:rFonts w:ascii="Arial;Helvetica;Sans-Serif" w:hAnsi="Arial;Helvetica;Sans-Serif"/>
                <w:color w:val="333333"/>
                <w:sz w:val="18"/>
              </w:rPr>
            </w:pPr>
            <w:r>
              <w:rPr>
                <w:rFonts w:ascii="Arial;Helvetica;Sans-Serif" w:hAnsi="Arial;Helvetica;Sans-Serif"/>
                <w:color w:val="333333"/>
                <w:sz w:val="18"/>
              </w:rPr>
              <w:t>Change in Control</w:t>
            </w:r>
          </w:p>
        </w:tc>
        <w:tc>
          <w:tcPr>
            <w:tcW w:w="1085"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$11,230,093</w:t>
            </w:r>
          </w:p>
        </w:tc>
        <w:tc>
          <w:tcPr>
            <w:tcW w:w="980"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$7,299,211</w:t>
            </w:r>
          </w:p>
        </w:tc>
        <w:tc>
          <w:tcPr>
            <w:tcW w:w="980"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$3,477,169</w:t>
            </w:r>
          </w:p>
        </w:tc>
        <w:tc>
          <w:tcPr>
            <w:tcW w:w="980"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$3,275,292</w:t>
            </w:r>
          </w:p>
        </w:tc>
        <w:tc>
          <w:tcPr>
            <w:tcW w:w="1025" w:type="dxa"/>
            <w:tcBorders>
              <w:bottom w:val="single" w:sz="8" w:space="0" w:color="000000"/>
              <w:right w:val="single" w:sz="8" w:space="0" w:color="333333"/>
            </w:tcBorders>
            <w:tcMar>
              <w:top w:w="0" w:type="dxa"/>
              <w:left w:w="0" w:type="dxa"/>
              <w:right w:w="28" w:type="dxa"/>
            </w:tcMar>
            <w:vAlign w:val="center"/>
          </w:tcPr>
          <w:p>
            <w:pPr>
              <w:pStyle w:val="TableContents"/>
              <w:bidi w:val="0"/>
              <w:spacing w:before="0" w:after="283"/>
              <w:jc w:val="center"/>
              <w:rPr>
                <w:rFonts w:ascii="Arial;Helvetica;Sans-Serif" w:hAnsi="Arial;Helvetica;Sans-Serif"/>
                <w:color w:val="333333"/>
                <w:sz w:val="18"/>
              </w:rPr>
            </w:pPr>
            <w:r>
              <w:rPr>
                <w:rFonts w:ascii="Arial;Helvetica;Sans-Serif" w:hAnsi="Arial;Helvetica;Sans-Serif"/>
                <w:color w:val="333333"/>
                <w:sz w:val="18"/>
              </w:rPr>
              <w:t>$3,199,357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In connection with certain change in control transactions, our named executive officers may require ServiceLink to purchase their ServiceLink profits interest awards for an amount equal to the fair market value of the interests.</w:t>
      </w:r>
    </w:p>
    <w:p>
      <w:pPr>
        <w:pStyle w:val="TextBody"/>
        <w:bidi w:val="0"/>
        <w:spacing w:before="0" w:after="0"/>
        <w:ind w:left="1440" w:right="18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COMPENSATION COMMITTEE INTERLOCKS AND INSIDER PARTICIPATION</w:t>
      </w:r>
    </w:p>
    <w:p>
      <w:pPr>
        <w:pStyle w:val="TextBody"/>
        <w:bidi w:val="0"/>
        <w:spacing w:before="0" w:after="0"/>
        <w:ind w:left="1440" w:right="18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val="false"/>
          <w:i w:val="false"/>
          <w:caps w:val="false"/>
          <w:smallCaps w:val="false"/>
          <w:color w:val="333333"/>
          <w:sz w:val="21"/>
        </w:rPr>
      </w:pPr>
      <w:r>
        <w:rPr>
          <w:rFonts w:ascii="Arial;Helvetica;Sans-Serif" w:hAnsi="Arial;Helvetica;Sans-Serif"/>
          <w:b w:val="false"/>
          <w:i w:val="false"/>
          <w:caps w:val="false"/>
          <w:smallCaps w:val="false"/>
          <w:color w:val="333333"/>
          <w:sz w:val="21"/>
        </w:rPr>
        <w:t>The compensation committee is composed of Thomas M. Hagerty (Chair), Daniel D. (Ron) Lane and Cary H. Thompson. During fiscal year 2025, no member of the compensation committee was a former or current officer or employee of FNF or any of its subsidiaries. In addition, during fiscal year 2025, none of our 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66</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54F79" w:val="clear"/>
            <w:vAlign w:val="center"/>
          </w:tcPr>
          <w:p>
            <w:pPr>
              <w:pStyle w:val="TableContents"/>
              <w:bidi w:val="0"/>
              <w:spacing w:before="0" w:after="283"/>
              <w:jc w:val="left"/>
              <w:rPr/>
            </w:pPr>
            <w:r>
              <w:rPr/>
              <w:t> </w:t>
            </w:r>
          </w:p>
        </w:tc>
        <w:tc>
          <w:tcPr>
            <w:tcW w:w="3005" w:type="dxa"/>
            <w:tcBorders/>
            <w:shd w:fill="254F79" w:val="clear"/>
            <w:vAlign w:val="center"/>
          </w:tcPr>
          <w:p>
            <w:pPr>
              <w:pStyle w:val="TableContents"/>
              <w:bidi w:val="0"/>
              <w:spacing w:before="0" w:after="283"/>
              <w:jc w:val="left"/>
              <w:rPr/>
            </w:pPr>
            <w:r>
              <w:rPr/>
              <w:t> </w:t>
            </w:r>
          </w:p>
        </w:tc>
        <w:tc>
          <w:tcPr>
            <w:tcW w:w="335" w:type="dxa"/>
            <w:tcBorders/>
            <w:shd w:fill="254F79"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DISCUSSION OF OUR COMPENSATION POLICIES AND PRACTICES AS THEY RELATE TO RISK MANAGEMENT</w:t>
      </w:r>
    </w:p>
    <w:p>
      <w:pPr>
        <w:pStyle w:val="TextBody"/>
        <w:bidi w:val="0"/>
        <w:spacing w:before="0" w:after="0"/>
        <w:ind w:left="1440" w:right="18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We reviewed our compensation policies and programs for all employees, including our named executive officers, and determined that our compensation programs are not reasonably likely to have a material adverse effect on our company. In conducting the analysis, we reviewed the structure of our executive, non-officer and sales commission incentive programs and the internal controls and risk abatement processes that are in place for each program. We also reviewed data compiled across our direct title operations, agency title operations, ServiceLink, F&amp;G and corporate operations relative to total revenue, total pre-tax profits, total compensation expenses and incentive program expenses (including as a percentage of both revenue and total compensation expenses).</w:t>
      </w:r>
    </w:p>
    <w:p>
      <w:pPr>
        <w:pStyle w:val="TextBody"/>
        <w:bidi w:val="0"/>
        <w:spacing w:before="0" w:after="0"/>
        <w:ind w:left="1440" w:right="18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We believe that several design features of our executive compensation program mitigate risk. We set base salaries at levels that provide our employees with assured cash compensation that is appropriate to their job duties and level of responsibility and that, when taken together with incentive awards, motivate them to perform at a high level without encouraging inappropriate risk-taking to achieve a reasonable level of secure compensation.</w:t>
      </w:r>
    </w:p>
    <w:p>
      <w:pPr>
        <w:pStyle w:val="TextBody"/>
        <w:bidi w:val="0"/>
        <w:spacing w:before="0" w:after="0"/>
        <w:ind w:left="1440" w:right="18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With respect to our executives' incentive opportunities, we believe that our use of measurable corporate financial performance goals, multiple performance levels and minimum, target and maximum achievable payouts, together with the compensation committee's discretion to reduce awards, serve to mitigate excessive risk-taking. The risk of overstatement of financial figures to which incentives are tied is mitigated by the compensation committee's review and approval of the awards and payments under the awards, our ability to recover any incentive-based compensation pursuant to our clawback policy and the internal and external review of our financials. We also believe that our use of restricted stock and multi-year vesting schedules in our long-term incentive awards encourages recipients to deliver incremental value to our shareholders and aligns their interests with our sustainable long-term performance, thereby mitigating risk. In addition, we have market competitive stock ownership requirements for some executives and we include stock retention requirements in our executives' restricted stock awards, both of which help to align our executives' interests with our long-term performance and mitigate risk.</w:t>
      </w:r>
    </w:p>
    <w:p>
      <w:pPr>
        <w:pStyle w:val="TextBody"/>
        <w:bidi w:val="0"/>
        <w:spacing w:before="0" w:after="0"/>
        <w:ind w:left="1440" w:right="18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With respect to our non-officer incentive program, we believe that our use of clearly communicated performance goals and close monitoring by our corporate accounting group, corporate underwriting group and senior management serve to mitigate excessive risk-taking. Our sales commission incentive program is based on revenue generation, which is critical to our performance. We have controls in place that mitigate the risk that transactions might be recommended or executed to earn short-term, commission-based incentive compensation, including operational management oversight and approval, management reporting, and detailed underwriting guidelines and approval escalation.</w:t>
      </w:r>
    </w:p>
    <w:p>
      <w:pPr>
        <w:pStyle w:val="TextBody"/>
        <w:bidi w:val="0"/>
        <w:spacing w:before="0" w:after="0"/>
        <w:ind w:left="1440" w:right="18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CEO PAY RATIO</w:t>
      </w:r>
    </w:p>
    <w:p>
      <w:pPr>
        <w:pStyle w:val="TextBody"/>
        <w:bidi w:val="0"/>
        <w:spacing w:before="0" w:after="0"/>
        <w:ind w:left="1440" w:right="18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As required by the Dodd-Frank Wall Street Reform and Consumer Protection Act, we are providing the following information about the relationship of the annual total compensation of our CEO and the annual total compensation of our employees for 2025, which we refer to as the CEO pay ratio. Our CEO pay ratio information is a reasonable good faith estimate calculated in a manner consistent with Item 402(u) of Regulation S-K.</w:t>
      </w:r>
    </w:p>
    <w:p>
      <w:pPr>
        <w:pStyle w:val="TextBody"/>
        <w:bidi w:val="0"/>
        <w:spacing w:before="0" w:after="0"/>
        <w:ind w:left="1440" w:right="180" w:hanging="0"/>
        <w:jc w:val="left"/>
        <w:rPr>
          <w:caps w:val="false"/>
          <w:smallCaps w:val="false"/>
        </w:rPr>
      </w:pPr>
      <w:r>
        <w:rPr>
          <w:caps w:val="false"/>
          <w:smallCaps w:val="false"/>
        </w:rPr>
        <w:t> </w:t>
      </w:r>
    </w:p>
    <w:p>
      <w:pPr>
        <w:pStyle w:val="TextBody"/>
        <w:bidi w:val="0"/>
        <w:spacing w:before="0" w:after="0"/>
        <w:ind w:left="1440" w:right="180" w:hanging="0"/>
        <w:jc w:val="left"/>
        <w:rPr>
          <w:rFonts w:ascii="Arial;Helvetica;Sans-Serif" w:hAnsi="Arial;Helvetica;Sans-Serif"/>
          <w:b w:val="false"/>
          <w:i w:val="false"/>
          <w:caps w:val="false"/>
          <w:smallCaps w:val="false"/>
          <w:color w:val="333333"/>
          <w:sz w:val="22"/>
        </w:rPr>
      </w:pPr>
      <w:r>
        <w:rPr>
          <w:rFonts w:ascii="Arial;Helvetica;Sans-Serif" w:hAnsi="Arial;Helvetica;Sans-Serif"/>
          <w:b w:val="false"/>
          <w:i w:val="false"/>
          <w:caps w:val="false"/>
          <w:smallCaps w:val="false"/>
          <w:color w:val="333333"/>
          <w:sz w:val="22"/>
        </w:rPr>
        <w:t>The ratio of the annual total compensation of our CEO, calculated as described above, to the median of the annual total compensation of all employees for 2025 was 137 to 1. This ratio was based on the following:</w:t>
      </w:r>
    </w:p>
    <w:p>
      <w:pPr>
        <w:pStyle w:val="TextBody"/>
        <w:bidi w:val="0"/>
        <w:spacing w:before="0" w:after="0"/>
        <w:ind w:left="1440" w:right="18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305"/>
        <w:gridCol w:w="3005"/>
        <w:gridCol w:w="135"/>
      </w:tblGrid>
      <w:tr>
        <w:trPr/>
        <w:tc>
          <w:tcPr>
            <w:tcW w:w="3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67</w:t>
            </w:r>
          </w:p>
        </w:tc>
        <w:tc>
          <w:tcPr>
            <w:tcW w:w="3005"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135" w:type="dxa"/>
            <w:tcBorders/>
            <w:shd w:fill="5B769B" w:val="cle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1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68"/>
        <w:gridCol w:w="140"/>
        <w:gridCol w:w="939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9395" w:type="dxa"/>
            <w:tcBorders/>
            <w:vAlign w:val="center"/>
          </w:tcPr>
          <w:p>
            <w:pPr>
              <w:pStyle w:val="TableContents"/>
              <w:bidi w:val="0"/>
              <w:spacing w:before="0" w:after="283"/>
              <w:jc w:val="both"/>
              <w:rPr>
                <w:color w:val="58595B"/>
                <w:sz w:val="22"/>
              </w:rPr>
            </w:pPr>
            <w:r>
              <w:rPr>
                <w:color w:val="58595B"/>
                <w:sz w:val="22"/>
              </w:rPr>
              <w:t xml:space="preserve">The annual total compensation of our CEO, determined as described above, was $11,646,893; and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9997" w:type="dxa"/>
            <w:tcBorders/>
            <w:vAlign w:val="center"/>
          </w:tcPr>
          <w:p>
            <w:pPr>
              <w:pStyle w:val="TableContents"/>
              <w:bidi w:val="0"/>
              <w:spacing w:before="0" w:after="283"/>
              <w:jc w:val="both"/>
              <w:rPr>
                <w:color w:val="58595B"/>
                <w:sz w:val="22"/>
              </w:rPr>
            </w:pPr>
            <w:r>
              <w:rPr>
                <w:color w:val="58595B"/>
                <w:sz w:val="22"/>
              </w:rPr>
              <w:t xml:space="preserve">The median of the annual total compensation of all employees (other than our CEO), determined in accordance with SEC rules, was $84,796.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0" w:hanging="0"/>
        <w:jc w:val="left"/>
        <w:rPr>
          <w:rFonts w:ascii="Arial;Helvetica;Sans-Serif" w:hAnsi="Arial;Helvetica;Sans-Serif"/>
          <w:b w:val="false"/>
          <w:i w:val="false"/>
          <w:caps w:val="false"/>
          <w:smallCaps w:val="false"/>
          <w:sz w:val="21"/>
        </w:rPr>
      </w:pPr>
      <w:r>
        <w:rPr>
          <w:rFonts w:ascii="Arial;Helvetica;Sans-Serif" w:hAnsi="Arial;Helvetica;Sans-Serif"/>
          <w:b/>
          <w:i w:val="false"/>
          <w:caps w:val="false"/>
          <w:smallCaps w:val="false"/>
          <w:color w:val="062A5D"/>
          <w:sz w:val="21"/>
        </w:rPr>
        <w:t xml:space="preserve">Methodology for Determining Our Median Employee. </w:t>
      </w:r>
      <w:r>
        <w:rPr>
          <w:rFonts w:ascii="Arial;Helvetica;Sans-Serif" w:hAnsi="Arial;Helvetica;Sans-Serif"/>
          <w:b w:val="false"/>
          <w:i w:val="false"/>
          <w:caps w:val="false"/>
          <w:smallCaps w:val="false"/>
          <w:color w:val="58595B"/>
          <w:sz w:val="21"/>
        </w:rPr>
        <w:t>For purposes of the above CEO pay ratio disclosure, we are required to identify a median employee based on our worldwide workforce, without regard to their location, compensation arrangements, or employment status (full-time versus part-time). The median employee is determined by identifying the employee whose compensation is at the median of the compensation of our employee population (other than our CEO). Accordingly, to identify the median of the compensation of our employee population, the methodology and the material assumptions and estimates that we used were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062A5D"/>
          <w:sz w:val="22"/>
        </w:rPr>
        <w:t xml:space="preserve">Employee Population. </w:t>
      </w:r>
      <w:r>
        <w:rPr>
          <w:rFonts w:ascii="Arial;Helvetica;Sans-Serif" w:hAnsi="Arial;Helvetica;Sans-Serif"/>
          <w:b w:val="false"/>
          <w:i w:val="false"/>
          <w:caps w:val="false"/>
          <w:smallCaps w:val="false"/>
          <w:color w:val="58595B"/>
          <w:sz w:val="22"/>
        </w:rPr>
        <w:t>We determined that, as of December 31, 2023, the date we selected to identify the median employee, our total global employee population consisted of approximately 22,000 individuals working for FNF.</w:t>
      </w:r>
    </w:p>
    <w:p>
      <w:pPr>
        <w:pStyle w:val="TextBody"/>
        <w:bidi w:val="0"/>
        <w:spacing w:before="0" w:after="0"/>
        <w:ind w:left="1440" w:right="20" w:hanging="0"/>
        <w:jc w:val="left"/>
        <w:rPr>
          <w:caps w:val="false"/>
          <w:smallCaps w:val="false"/>
        </w:rPr>
      </w:pPr>
      <w:r>
        <w:rPr>
          <w:caps w:val="false"/>
          <w:smallCaps w:val="false"/>
        </w:rPr>
        <w:t> </w:t>
      </w:r>
    </w:p>
    <w:p>
      <w:pPr>
        <w:pStyle w:val="TextBody"/>
        <w:bidi w:val="0"/>
        <w:spacing w:before="0" w:after="0"/>
        <w:ind w:left="1440" w:right="2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062A5D"/>
          <w:sz w:val="22"/>
        </w:rPr>
        <w:t xml:space="preserve">Compensation Measure Used to Identify the Median Employee. </w:t>
      </w:r>
      <w:r>
        <w:rPr>
          <w:rFonts w:ascii="Arial;Helvetica;Sans-Serif" w:hAnsi="Arial;Helvetica;Sans-Serif"/>
          <w:b w:val="false"/>
          <w:i w:val="false"/>
          <w:caps w:val="false"/>
          <w:smallCaps w:val="false"/>
          <w:color w:val="58595B"/>
          <w:sz w:val="22"/>
        </w:rPr>
        <w:t>Given the geographical distribution of our employee population, we use a variety of pay elements to structure the compensation arrangements of our employees. Consequently, for purposes of measuring the compensation of our employees to identify the median employee, rather than using annual total compensation, we selected base salary/wages and overtime pay, plus paid incentive bonus through December 31, 2023 as the compensation measure.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9997" w:type="dxa"/>
            <w:tcBorders/>
            <w:vAlign w:val="center"/>
          </w:tcPr>
          <w:p>
            <w:pPr>
              <w:pStyle w:val="TableContents"/>
              <w:bidi w:val="0"/>
              <w:spacing w:before="0" w:after="283"/>
              <w:jc w:val="both"/>
              <w:rPr>
                <w:color w:val="58595B"/>
                <w:sz w:val="22"/>
              </w:rPr>
            </w:pPr>
            <w:r>
              <w:rPr>
                <w:color w:val="58595B"/>
                <w:sz w:val="22"/>
              </w:rPr>
              <w:t xml:space="preserve">We annualized the compensation of employees to cover the full calendar year and annualized any new hires in 2023 as if they were hired at the beginning of the fiscal year, as permitted by SEC rules, in identifying the median employee.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8313" w:type="dxa"/>
        <w:jc w:val="left"/>
        <w:tblInd w:w="0" w:type="dxa"/>
        <w:tblLayout w:type="fixed"/>
        <w:tblCellMar>
          <w:top w:w="0" w:type="dxa"/>
          <w:left w:w="0" w:type="dxa"/>
          <w:bottom w:w="0" w:type="dxa"/>
          <w:right w:w="0" w:type="dxa"/>
        </w:tblCellMar>
      </w:tblPr>
      <w:tblGrid>
        <w:gridCol w:w="68"/>
        <w:gridCol w:w="140"/>
        <w:gridCol w:w="810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color w:val="58595B"/>
              </w:rPr>
            </w:pPr>
            <w:r>
              <w:rPr>
                <w:color w:val="58595B"/>
              </w:rPr>
              <w:t>•</w:t>
            </w:r>
          </w:p>
        </w:tc>
        <w:tc>
          <w:tcPr>
            <w:tcW w:w="8105" w:type="dxa"/>
            <w:tcBorders/>
            <w:vAlign w:val="center"/>
          </w:tcPr>
          <w:p>
            <w:pPr>
              <w:pStyle w:val="TableContents"/>
              <w:bidi w:val="0"/>
              <w:spacing w:before="0" w:after="283"/>
              <w:jc w:val="both"/>
              <w:rPr>
                <w:color w:val="58595B"/>
                <w:sz w:val="22"/>
              </w:rPr>
            </w:pPr>
            <w:r>
              <w:rPr>
                <w:color w:val="58595B"/>
                <w:sz w:val="22"/>
              </w:rPr>
              <w:t xml:space="preserve">We did not make any cost-of-living adjustments in identifying the median employee.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062A5D"/>
          <w:sz w:val="22"/>
        </w:rPr>
        <w:t xml:space="preserve">Annual Total Compensation of Median Employee. </w:t>
      </w:r>
      <w:r>
        <w:rPr>
          <w:rFonts w:ascii="Arial;Helvetica;Sans-Serif" w:hAnsi="Arial;Helvetica;Sans-Serif"/>
          <w:b w:val="false"/>
          <w:i w:val="false"/>
          <w:caps w:val="false"/>
          <w:smallCaps w:val="false"/>
          <w:color w:val="58595B"/>
          <w:sz w:val="22"/>
        </w:rPr>
        <w:t>To determine the annual total compensation of the median employee, we identified and calculated the elements of that employee's compensation for 2025 in accordance with the requirements of Item 402(c)(2)(x) of Regulation S-K, resulting in annual total compensation in the amount of $84,796.</w:t>
      </w:r>
    </w:p>
    <w:p>
      <w:pPr>
        <w:pStyle w:val="TextBody"/>
        <w:bidi w:val="0"/>
        <w:spacing w:before="0" w:after="0"/>
        <w:ind w:left="1440" w:right="20" w:hanging="0"/>
        <w:jc w:val="left"/>
        <w:rPr>
          <w:caps w:val="false"/>
          <w:smallCaps w:val="false"/>
        </w:rPr>
      </w:pPr>
      <w:r>
        <w:rPr>
          <w:caps w:val="false"/>
          <w:smallCaps w:val="false"/>
        </w:rPr>
        <w:t> </w:t>
      </w:r>
    </w:p>
    <w:p>
      <w:pPr>
        <w:pStyle w:val="TextBody"/>
        <w:bidi w:val="0"/>
        <w:spacing w:before="0" w:after="0"/>
        <w:ind w:left="1440" w:right="2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062A5D"/>
          <w:sz w:val="22"/>
        </w:rPr>
        <w:t xml:space="preserve">Annual Total Compensation of Chief Executive Officer. </w:t>
      </w:r>
      <w:r>
        <w:rPr>
          <w:rFonts w:ascii="Arial;Helvetica;Sans-Serif" w:hAnsi="Arial;Helvetica;Sans-Serif"/>
          <w:b w:val="false"/>
          <w:i w:val="false"/>
          <w:caps w:val="false"/>
          <w:smallCaps w:val="false"/>
          <w:color w:val="58595B"/>
          <w:sz w:val="22"/>
        </w:rPr>
        <w:t>With respect to the annual total compensation of our CEO, in accordance with SEC rules, we included the amount reported for Mr. Nolan in the "Total" column for 2025 in the Summary Compensation Table included in this proxy statement.</w:t>
      </w:r>
    </w:p>
    <w:p>
      <w:pPr>
        <w:pStyle w:val="TextBody"/>
        <w:bidi w:val="0"/>
        <w:spacing w:before="0" w:after="0"/>
        <w:ind w:left="1440" w:right="20" w:hanging="0"/>
        <w:jc w:val="left"/>
        <w:rPr>
          <w:caps w:val="false"/>
          <w:smallCaps w:val="false"/>
        </w:rPr>
      </w:pPr>
      <w:r>
        <w:rPr>
          <w:caps w:val="false"/>
          <w:smallCaps w:val="false"/>
        </w:rPr>
        <w:t> </w:t>
      </w:r>
    </w:p>
    <w:p>
      <w:pPr>
        <w:pStyle w:val="TextBody"/>
        <w:bidi w:val="0"/>
        <w:spacing w:before="0" w:after="0"/>
        <w:ind w:left="1440" w:right="2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PAY VERSUS PERFORMANCE</w:t>
      </w:r>
    </w:p>
    <w:p>
      <w:pPr>
        <w:pStyle w:val="TextBody"/>
        <w:bidi w:val="0"/>
        <w:spacing w:before="0" w:after="0"/>
        <w:ind w:left="1440" w:right="20" w:hanging="0"/>
        <w:jc w:val="left"/>
        <w:rPr>
          <w:caps w:val="false"/>
          <w:smallCaps w:val="false"/>
        </w:rPr>
      </w:pPr>
      <w:r>
        <w:rPr>
          <w:caps w:val="false"/>
          <w:smallCaps w:val="false"/>
        </w:rPr>
        <w:t> </w:t>
      </w:r>
    </w:p>
    <w:p>
      <w:pPr>
        <w:pStyle w:val="TextBody"/>
        <w:bidi w:val="0"/>
        <w:spacing w:before="0" w:after="0"/>
        <w:ind w:left="1440" w:right="2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As required by Item 402(v) of Regulation S-K, we are providing the following information about the relationship between executive compensation actually paid and certain financial performance of the Company. For further information concerning the Company's variable pay-for-performance philosophy and how the Company aligns executive compensation with the Company's performance, refer to "Executive Compensation – Compensation Discussion and Analysis."</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68</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9214" w:type="dxa"/>
        <w:jc w:val="left"/>
        <w:tblInd w:w="-10" w:type="dxa"/>
        <w:tblLayout w:type="fixed"/>
        <w:tblCellMar>
          <w:top w:w="28" w:type="dxa"/>
          <w:left w:w="28" w:type="dxa"/>
          <w:bottom w:w="0" w:type="dxa"/>
          <w:right w:w="0" w:type="dxa"/>
        </w:tblCellMar>
      </w:tblPr>
      <w:tblGrid>
        <w:gridCol w:w="425"/>
        <w:gridCol w:w="935"/>
        <w:gridCol w:w="875"/>
        <w:gridCol w:w="890"/>
        <w:gridCol w:w="875"/>
        <w:gridCol w:w="875"/>
        <w:gridCol w:w="875"/>
        <w:gridCol w:w="90"/>
        <w:gridCol w:w="827"/>
        <w:gridCol w:w="827"/>
        <w:gridCol w:w="890"/>
        <w:gridCol w:w="830"/>
      </w:tblGrid>
      <w:tr>
        <w:trPr/>
        <w:tc>
          <w:tcPr>
            <w:tcW w:w="425" w:type="dxa"/>
            <w:tcBorders>
              <w:top w:val="single" w:sz="8" w:space="0" w:color="58595B"/>
              <w:left w:val="single" w:sz="8" w:space="0" w:color="58595B"/>
            </w:tcBorders>
            <w:shd w:fill="254F79" w:val="clear"/>
            <w:vAlign w:val="center"/>
          </w:tcPr>
          <w:p>
            <w:pPr>
              <w:pStyle w:val="TableContents"/>
              <w:bidi w:val="0"/>
              <w:spacing w:before="0" w:after="283"/>
              <w:jc w:val="center"/>
              <w:rPr/>
            </w:pPr>
            <w:r>
              <w:rPr/>
              <w:t> </w:t>
            </w:r>
          </w:p>
        </w:tc>
        <w:tc>
          <w:tcPr>
            <w:tcW w:w="935" w:type="dxa"/>
            <w:tcBorders>
              <w:top w:val="single" w:sz="8" w:space="0" w:color="58595B"/>
              <w:left w:val="single" w:sz="8" w:space="0" w:color="FFFFFF"/>
            </w:tcBorders>
            <w:shd w:fill="254F79" w:val="clear"/>
            <w:vAlign w:val="center"/>
          </w:tcPr>
          <w:p>
            <w:pPr>
              <w:pStyle w:val="TableContents"/>
              <w:bidi w:val="0"/>
              <w:spacing w:before="0" w:after="283"/>
              <w:jc w:val="left"/>
              <w:rPr/>
            </w:pPr>
            <w:r>
              <w:rPr/>
              <w:t> </w:t>
            </w:r>
          </w:p>
        </w:tc>
        <w:tc>
          <w:tcPr>
            <w:tcW w:w="875" w:type="dxa"/>
            <w:tcBorders>
              <w:top w:val="single" w:sz="8" w:space="0" w:color="58595B"/>
              <w:left w:val="single" w:sz="8" w:space="0" w:color="FFFFFF"/>
            </w:tcBorders>
            <w:shd w:fill="254F79" w:val="clear"/>
            <w:vAlign w:val="center"/>
          </w:tcPr>
          <w:p>
            <w:pPr>
              <w:pStyle w:val="TableContents"/>
              <w:bidi w:val="0"/>
              <w:spacing w:before="0" w:after="283"/>
              <w:jc w:val="left"/>
              <w:rPr/>
            </w:pPr>
            <w:r>
              <w:rPr/>
              <w:t> </w:t>
            </w:r>
          </w:p>
        </w:tc>
        <w:tc>
          <w:tcPr>
            <w:tcW w:w="890" w:type="dxa"/>
            <w:tcBorders>
              <w:top w:val="single" w:sz="8" w:space="0" w:color="58595B"/>
              <w:left w:val="single" w:sz="8" w:space="0" w:color="FFFFFF"/>
            </w:tcBorders>
            <w:shd w:fill="254F79" w:val="clear"/>
            <w:vAlign w:val="center"/>
          </w:tcPr>
          <w:p>
            <w:pPr>
              <w:pStyle w:val="TableContents"/>
              <w:bidi w:val="0"/>
              <w:spacing w:before="0" w:after="283"/>
              <w:jc w:val="left"/>
              <w:rPr/>
            </w:pPr>
            <w:r>
              <w:rPr/>
              <w:t> </w:t>
            </w:r>
          </w:p>
        </w:tc>
        <w:tc>
          <w:tcPr>
            <w:tcW w:w="875" w:type="dxa"/>
            <w:tcBorders>
              <w:top w:val="single" w:sz="8" w:space="0" w:color="58595B"/>
              <w:left w:val="single" w:sz="8" w:space="0" w:color="FFFFFF"/>
            </w:tcBorders>
            <w:shd w:fill="254F79" w:val="clear"/>
            <w:vAlign w:val="center"/>
          </w:tcPr>
          <w:p>
            <w:pPr>
              <w:pStyle w:val="TableContents"/>
              <w:bidi w:val="0"/>
              <w:spacing w:before="0" w:after="283"/>
              <w:jc w:val="left"/>
              <w:rPr/>
            </w:pPr>
            <w:r>
              <w:rPr/>
              <w:t> </w:t>
            </w:r>
          </w:p>
        </w:tc>
        <w:tc>
          <w:tcPr>
            <w:tcW w:w="875" w:type="dxa"/>
            <w:tcBorders>
              <w:top w:val="single" w:sz="8" w:space="0" w:color="58595B"/>
              <w:left w:val="single" w:sz="8" w:space="0" w:color="FFFFFF"/>
            </w:tcBorders>
            <w:shd w:fill="254F79" w:val="clear"/>
            <w:vAlign w:val="center"/>
          </w:tcPr>
          <w:p>
            <w:pPr>
              <w:pStyle w:val="TableContents"/>
              <w:bidi w:val="0"/>
              <w:spacing w:before="0" w:after="283"/>
              <w:jc w:val="left"/>
              <w:rPr/>
            </w:pPr>
            <w:r>
              <w:rPr/>
              <w:t> </w:t>
            </w:r>
          </w:p>
        </w:tc>
        <w:tc>
          <w:tcPr>
            <w:tcW w:w="965" w:type="dxa"/>
            <w:gridSpan w:val="2"/>
            <w:tcBorders>
              <w:top w:val="single" w:sz="8" w:space="0" w:color="58595B"/>
              <w:left w:val="single" w:sz="8" w:space="0" w:color="FFFFFF"/>
            </w:tcBorders>
            <w:shd w:fill="254F79" w:val="clear"/>
            <w:vAlign w:val="center"/>
          </w:tcPr>
          <w:p>
            <w:pPr>
              <w:pStyle w:val="TableContents"/>
              <w:bidi w:val="0"/>
              <w:spacing w:before="0" w:after="283"/>
              <w:jc w:val="left"/>
              <w:rPr/>
            </w:pPr>
            <w:r>
              <w:rPr/>
              <w:t> </w:t>
            </w:r>
          </w:p>
        </w:tc>
        <w:tc>
          <w:tcPr>
            <w:tcW w:w="1654" w:type="dxa"/>
            <w:gridSpan w:val="2"/>
            <w:tcBorders>
              <w:top w:val="single" w:sz="8" w:space="0" w:color="58595B"/>
              <w:left w:val="single" w:sz="8" w:space="0" w:color="FFFFFF"/>
            </w:tcBorders>
            <w:shd w:fill="254F79" w:val="cle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Value of Initial Fixed</w:t>
            </w:r>
          </w:p>
        </w:tc>
        <w:tc>
          <w:tcPr>
            <w:tcW w:w="890" w:type="dxa"/>
            <w:tcBorders>
              <w:top w:val="single" w:sz="8" w:space="0" w:color="58595B"/>
              <w:left w:val="single" w:sz="8" w:space="0" w:color="FFFFFF"/>
            </w:tcBorders>
            <w:shd w:fill="254F79" w:val="clear"/>
            <w:vAlign w:val="center"/>
          </w:tcPr>
          <w:p>
            <w:pPr>
              <w:pStyle w:val="TableContents"/>
              <w:bidi w:val="0"/>
              <w:spacing w:before="0" w:after="283"/>
              <w:jc w:val="left"/>
              <w:rPr/>
            </w:pPr>
            <w:r>
              <w:rPr/>
              <w:t> </w:t>
            </w:r>
          </w:p>
        </w:tc>
        <w:tc>
          <w:tcPr>
            <w:tcW w:w="830" w:type="dxa"/>
            <w:tcBorders>
              <w:top w:val="single" w:sz="8" w:space="0" w:color="58595B"/>
              <w:left w:val="single" w:sz="8" w:space="0" w:color="FFFFFF"/>
              <w:right w:val="single" w:sz="8" w:space="0" w:color="58595B"/>
            </w:tcBorders>
            <w:shd w:fill="254F79" w:val="clear"/>
            <w:tcMar>
              <w:right w:w="28" w:type="dxa"/>
            </w:tcMar>
            <w:vAlign w:val="center"/>
          </w:tcPr>
          <w:p>
            <w:pPr>
              <w:pStyle w:val="TableContents"/>
              <w:bidi w:val="0"/>
              <w:spacing w:before="0" w:after="283"/>
              <w:jc w:val="left"/>
              <w:rPr/>
            </w:pPr>
            <w:r>
              <w:rPr/>
              <w:t> </w:t>
            </w:r>
          </w:p>
        </w:tc>
      </w:tr>
      <w:tr>
        <w:trPr/>
        <w:tc>
          <w:tcPr>
            <w:tcW w:w="425" w:type="dxa"/>
            <w:tcBorders>
              <w:left w:val="single" w:sz="8" w:space="0" w:color="58595B"/>
            </w:tcBorders>
            <w:shd w:fill="254F79" w:val="clear"/>
            <w:tcMar>
              <w:top w:w="0" w:type="dxa"/>
            </w:tcMar>
            <w:vAlign w:val="center"/>
          </w:tcPr>
          <w:p>
            <w:pPr>
              <w:pStyle w:val="TableContents"/>
              <w:bidi w:val="0"/>
              <w:spacing w:before="0" w:after="283"/>
              <w:jc w:val="center"/>
              <w:rPr/>
            </w:pPr>
            <w:r>
              <w:rPr/>
              <w:t> </w:t>
            </w:r>
          </w:p>
        </w:tc>
        <w:tc>
          <w:tcPr>
            <w:tcW w:w="935"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75"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90"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75"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75"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965" w:type="dxa"/>
            <w:gridSpan w:val="2"/>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1654" w:type="dxa"/>
            <w:gridSpan w:val="2"/>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$100 Investment</w:t>
            </w:r>
          </w:p>
        </w:tc>
        <w:tc>
          <w:tcPr>
            <w:tcW w:w="890"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30" w:type="dxa"/>
            <w:tcBorders>
              <w:left w:val="single" w:sz="8" w:space="0" w:color="FFFFFF"/>
              <w:right w:val="single" w:sz="8" w:space="0" w:color="58595B"/>
            </w:tcBorders>
            <w:shd w:fill="254F79" w:val="clear"/>
            <w:tcMar>
              <w:top w:w="0" w:type="dxa"/>
              <w:right w:w="28" w:type="dxa"/>
            </w:tcMar>
            <w:vAlign w:val="center"/>
          </w:tcPr>
          <w:p>
            <w:pPr>
              <w:pStyle w:val="TableContents"/>
              <w:bidi w:val="0"/>
              <w:spacing w:before="0" w:after="283"/>
              <w:jc w:val="left"/>
              <w:rPr/>
            </w:pPr>
            <w:r>
              <w:rPr/>
              <w:t> </w:t>
            </w:r>
          </w:p>
        </w:tc>
      </w:tr>
      <w:tr>
        <w:trPr/>
        <w:tc>
          <w:tcPr>
            <w:tcW w:w="425" w:type="dxa"/>
            <w:tcBorders>
              <w:left w:val="single" w:sz="8" w:space="0" w:color="58595B"/>
            </w:tcBorders>
            <w:shd w:fill="254F79" w:val="clear"/>
            <w:tcMar>
              <w:top w:w="0" w:type="dxa"/>
            </w:tcMar>
            <w:vAlign w:val="center"/>
          </w:tcPr>
          <w:p>
            <w:pPr>
              <w:pStyle w:val="TableContents"/>
              <w:bidi w:val="0"/>
              <w:spacing w:before="0" w:after="283"/>
              <w:jc w:val="center"/>
              <w:rPr/>
            </w:pPr>
            <w:r>
              <w:rPr/>
              <w:t> </w:t>
            </w:r>
          </w:p>
        </w:tc>
        <w:tc>
          <w:tcPr>
            <w:tcW w:w="935"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75"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90"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75"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75"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965" w:type="dxa"/>
            <w:gridSpan w:val="2"/>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1654" w:type="dxa"/>
            <w:gridSpan w:val="2"/>
            <w:tcBorders>
              <w:left w:val="single" w:sz="8" w:space="0" w:color="FFFFFF"/>
              <w:bottom w:val="single" w:sz="8" w:space="0" w:color="58595B"/>
            </w:tcBorders>
            <w:shd w:fill="254F79" w:val="clear"/>
            <w:tcMar>
              <w:top w:w="0" w:type="dxa"/>
              <w:bottom w:w="6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Based On:</w:t>
            </w:r>
          </w:p>
        </w:tc>
        <w:tc>
          <w:tcPr>
            <w:tcW w:w="890"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30" w:type="dxa"/>
            <w:tcBorders>
              <w:left w:val="single" w:sz="8" w:space="0" w:color="FFFFFF"/>
              <w:right w:val="single" w:sz="8" w:space="0" w:color="58595B"/>
            </w:tcBorders>
            <w:shd w:fill="254F79" w:val="clear"/>
            <w:tcMar>
              <w:top w:w="0" w:type="dxa"/>
              <w:right w:w="28" w:type="dxa"/>
            </w:tcMar>
            <w:vAlign w:val="center"/>
          </w:tcPr>
          <w:p>
            <w:pPr>
              <w:pStyle w:val="TableContents"/>
              <w:bidi w:val="0"/>
              <w:spacing w:before="0" w:after="283"/>
              <w:jc w:val="left"/>
              <w:rPr/>
            </w:pPr>
            <w:r>
              <w:rPr/>
              <w:t> </w:t>
            </w:r>
          </w:p>
        </w:tc>
      </w:tr>
      <w:tr>
        <w:trPr/>
        <w:tc>
          <w:tcPr>
            <w:tcW w:w="425" w:type="dxa"/>
            <w:tcBorders>
              <w:left w:val="single" w:sz="8" w:space="0" w:color="58595B"/>
            </w:tcBorders>
            <w:shd w:fill="254F79" w:val="clear"/>
            <w:tcMar>
              <w:top w:w="0" w:type="dxa"/>
            </w:tcMar>
            <w:vAlign w:val="center"/>
          </w:tcPr>
          <w:p>
            <w:pPr>
              <w:pStyle w:val="TableContents"/>
              <w:bidi w:val="0"/>
              <w:spacing w:before="0" w:after="283"/>
              <w:jc w:val="center"/>
              <w:rPr/>
            </w:pPr>
            <w:r>
              <w:rPr/>
              <w:t> </w:t>
            </w:r>
          </w:p>
        </w:tc>
        <w:tc>
          <w:tcPr>
            <w:tcW w:w="935"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75"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90"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Summary</w:t>
            </w:r>
          </w:p>
        </w:tc>
        <w:tc>
          <w:tcPr>
            <w:tcW w:w="875"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Average</w:t>
            </w:r>
          </w:p>
        </w:tc>
        <w:tc>
          <w:tcPr>
            <w:tcW w:w="965" w:type="dxa"/>
            <w:gridSpan w:val="2"/>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27"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27"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90"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30" w:type="dxa"/>
            <w:tcBorders>
              <w:left w:val="single" w:sz="8" w:space="0" w:color="FFFFFF"/>
              <w:right w:val="single" w:sz="8" w:space="0" w:color="58595B"/>
            </w:tcBorders>
            <w:shd w:fill="254F79" w:val="clear"/>
            <w:tcMar>
              <w:top w:w="0" w:type="dxa"/>
              <w:right w:w="28" w:type="dxa"/>
            </w:tcMar>
            <w:vAlign w:val="center"/>
          </w:tcPr>
          <w:p>
            <w:pPr>
              <w:pStyle w:val="TableContents"/>
              <w:bidi w:val="0"/>
              <w:spacing w:before="0" w:after="283"/>
              <w:jc w:val="left"/>
              <w:rPr/>
            </w:pPr>
            <w:r>
              <w:rPr/>
              <w:t> </w:t>
            </w:r>
          </w:p>
        </w:tc>
      </w:tr>
      <w:tr>
        <w:trPr/>
        <w:tc>
          <w:tcPr>
            <w:tcW w:w="425" w:type="dxa"/>
            <w:tcBorders>
              <w:left w:val="single" w:sz="8" w:space="0" w:color="58595B"/>
            </w:tcBorders>
            <w:shd w:fill="254F79" w:val="clear"/>
            <w:tcMar>
              <w:top w:w="0" w:type="dxa"/>
            </w:tcMar>
            <w:vAlign w:val="center"/>
          </w:tcPr>
          <w:p>
            <w:pPr>
              <w:pStyle w:val="TableContents"/>
              <w:bidi w:val="0"/>
              <w:spacing w:before="0" w:after="283"/>
              <w:jc w:val="center"/>
              <w:rPr/>
            </w:pPr>
            <w:r>
              <w:rPr/>
              <w:t> </w:t>
            </w:r>
          </w:p>
        </w:tc>
        <w:tc>
          <w:tcPr>
            <w:tcW w:w="93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Summary</w:t>
            </w:r>
          </w:p>
        </w:tc>
        <w:tc>
          <w:tcPr>
            <w:tcW w:w="875"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90"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Compen-</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Compen-</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Summary</w:t>
            </w:r>
          </w:p>
        </w:tc>
        <w:tc>
          <w:tcPr>
            <w:tcW w:w="965" w:type="dxa"/>
            <w:gridSpan w:val="2"/>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27"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27"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90"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30" w:type="dxa"/>
            <w:tcBorders>
              <w:left w:val="single" w:sz="8" w:space="0" w:color="FFFFFF"/>
              <w:right w:val="single" w:sz="8" w:space="0" w:color="58595B"/>
            </w:tcBorders>
            <w:shd w:fill="254F79" w:val="clear"/>
            <w:tcMar>
              <w:top w:w="0" w:type="dxa"/>
              <w:right w:w="28" w:type="dxa"/>
            </w:tcMar>
            <w:vAlign w:val="center"/>
          </w:tcPr>
          <w:p>
            <w:pPr>
              <w:pStyle w:val="TableContents"/>
              <w:bidi w:val="0"/>
              <w:spacing w:before="0" w:after="283"/>
              <w:jc w:val="left"/>
              <w:rPr/>
            </w:pPr>
            <w:r>
              <w:rPr/>
              <w:t> </w:t>
            </w:r>
          </w:p>
        </w:tc>
      </w:tr>
      <w:tr>
        <w:trPr/>
        <w:tc>
          <w:tcPr>
            <w:tcW w:w="425" w:type="dxa"/>
            <w:tcBorders>
              <w:left w:val="single" w:sz="8" w:space="0" w:color="58595B"/>
            </w:tcBorders>
            <w:shd w:fill="254F79" w:val="clear"/>
            <w:tcMar>
              <w:top w:w="0" w:type="dxa"/>
            </w:tcMar>
            <w:vAlign w:val="center"/>
          </w:tcPr>
          <w:p>
            <w:pPr>
              <w:pStyle w:val="TableContents"/>
              <w:bidi w:val="0"/>
              <w:spacing w:before="0" w:after="283"/>
              <w:jc w:val="center"/>
              <w:rPr/>
            </w:pPr>
            <w:r>
              <w:rPr/>
              <w:t> </w:t>
            </w:r>
          </w:p>
        </w:tc>
        <w:tc>
          <w:tcPr>
            <w:tcW w:w="93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Compen-</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Compen-</w:t>
            </w:r>
          </w:p>
        </w:tc>
        <w:tc>
          <w:tcPr>
            <w:tcW w:w="890"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sation Ta-</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sation Ac-</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Compen-</w:t>
            </w:r>
          </w:p>
        </w:tc>
        <w:tc>
          <w:tcPr>
            <w:tcW w:w="965" w:type="dxa"/>
            <w:gridSpan w:val="2"/>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Average</w:t>
            </w:r>
          </w:p>
        </w:tc>
        <w:tc>
          <w:tcPr>
            <w:tcW w:w="827"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27"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Peer</w:t>
            </w:r>
          </w:p>
        </w:tc>
        <w:tc>
          <w:tcPr>
            <w:tcW w:w="890"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30" w:type="dxa"/>
            <w:tcBorders>
              <w:left w:val="single" w:sz="8" w:space="0" w:color="FFFFFF"/>
              <w:right w:val="single" w:sz="8" w:space="0" w:color="58595B"/>
            </w:tcBorders>
            <w:shd w:fill="254F79" w:val="clear"/>
            <w:tcMar>
              <w:top w:w="0" w:type="dxa"/>
              <w:right w:w="28" w:type="dxa"/>
            </w:tcMar>
            <w:vAlign w:val="center"/>
          </w:tcPr>
          <w:p>
            <w:pPr>
              <w:pStyle w:val="TableContents"/>
              <w:bidi w:val="0"/>
              <w:spacing w:before="0" w:after="283"/>
              <w:jc w:val="left"/>
              <w:rPr/>
            </w:pPr>
            <w:r>
              <w:rPr/>
              <w:t> </w:t>
            </w:r>
          </w:p>
        </w:tc>
      </w:tr>
      <w:tr>
        <w:trPr/>
        <w:tc>
          <w:tcPr>
            <w:tcW w:w="425" w:type="dxa"/>
            <w:tcBorders>
              <w:left w:val="single" w:sz="8" w:space="0" w:color="58595B"/>
            </w:tcBorders>
            <w:shd w:fill="254F79" w:val="clear"/>
            <w:tcMar>
              <w:top w:w="0" w:type="dxa"/>
            </w:tcMar>
            <w:vAlign w:val="center"/>
          </w:tcPr>
          <w:p>
            <w:pPr>
              <w:pStyle w:val="TableContents"/>
              <w:bidi w:val="0"/>
              <w:spacing w:before="0" w:after="283"/>
              <w:jc w:val="center"/>
              <w:rPr/>
            </w:pPr>
            <w:r>
              <w:rPr/>
              <w:t> </w:t>
            </w:r>
          </w:p>
        </w:tc>
        <w:tc>
          <w:tcPr>
            <w:tcW w:w="93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sation</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sation Ac-</w:t>
            </w:r>
          </w:p>
        </w:tc>
        <w:tc>
          <w:tcPr>
            <w:tcW w:w="890"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ble Total</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tually Paid</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sation</w:t>
            </w:r>
          </w:p>
        </w:tc>
        <w:tc>
          <w:tcPr>
            <w:tcW w:w="965" w:type="dxa"/>
            <w:gridSpan w:val="2"/>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Compensa-</w:t>
            </w:r>
          </w:p>
        </w:tc>
        <w:tc>
          <w:tcPr>
            <w:tcW w:w="827"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27"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Group</w:t>
            </w:r>
          </w:p>
        </w:tc>
        <w:tc>
          <w:tcPr>
            <w:tcW w:w="890"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30" w:type="dxa"/>
            <w:tcBorders>
              <w:left w:val="single" w:sz="8" w:space="0" w:color="FFFFFF"/>
              <w:right w:val="single" w:sz="8" w:space="0" w:color="58595B"/>
            </w:tcBorders>
            <w:shd w:fill="254F79" w:val="clear"/>
            <w:tcMar>
              <w:top w:w="0" w:type="dxa"/>
              <w:right w:w="28" w:type="dxa"/>
            </w:tcMar>
            <w:vAlign w:val="center"/>
          </w:tcPr>
          <w:p>
            <w:pPr>
              <w:pStyle w:val="TableContents"/>
              <w:bidi w:val="0"/>
              <w:spacing w:before="0" w:after="283"/>
              <w:jc w:val="left"/>
              <w:rPr/>
            </w:pPr>
            <w:r>
              <w:rPr/>
              <w:t> </w:t>
            </w:r>
          </w:p>
        </w:tc>
      </w:tr>
      <w:tr>
        <w:trPr/>
        <w:tc>
          <w:tcPr>
            <w:tcW w:w="425" w:type="dxa"/>
            <w:tcBorders>
              <w:left w:val="single" w:sz="8" w:space="0" w:color="58595B"/>
            </w:tcBorders>
            <w:shd w:fill="254F79" w:val="clear"/>
            <w:tcMar>
              <w:top w:w="0" w:type="dxa"/>
            </w:tcMar>
            <w:vAlign w:val="center"/>
          </w:tcPr>
          <w:p>
            <w:pPr>
              <w:pStyle w:val="TableContents"/>
              <w:bidi w:val="0"/>
              <w:spacing w:before="0" w:after="283"/>
              <w:jc w:val="center"/>
              <w:rPr/>
            </w:pPr>
            <w:r>
              <w:rPr/>
              <w:t> </w:t>
            </w:r>
          </w:p>
        </w:tc>
        <w:tc>
          <w:tcPr>
            <w:tcW w:w="93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Table Total</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tually Paid</w:t>
            </w:r>
          </w:p>
        </w:tc>
        <w:tc>
          <w:tcPr>
            <w:tcW w:w="890"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for Former</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to Former</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Table</w:t>
            </w:r>
          </w:p>
        </w:tc>
        <w:tc>
          <w:tcPr>
            <w:tcW w:w="965" w:type="dxa"/>
            <w:gridSpan w:val="2"/>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tion Actu-</w:t>
            </w:r>
          </w:p>
        </w:tc>
        <w:tc>
          <w:tcPr>
            <w:tcW w:w="827"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Total</w:t>
            </w:r>
          </w:p>
        </w:tc>
        <w:tc>
          <w:tcPr>
            <w:tcW w:w="827"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Total</w:t>
            </w:r>
          </w:p>
        </w:tc>
        <w:tc>
          <w:tcPr>
            <w:tcW w:w="890" w:type="dxa"/>
            <w:tcBorders>
              <w:left w:val="single" w:sz="8" w:space="0" w:color="FFFFFF"/>
            </w:tcBorders>
            <w:shd w:fill="254F79" w:val="clear"/>
            <w:tcMar>
              <w:top w:w="0" w:type="dxa"/>
            </w:tcMar>
            <w:vAlign w:val="center"/>
          </w:tcPr>
          <w:p>
            <w:pPr>
              <w:pStyle w:val="TableContents"/>
              <w:bidi w:val="0"/>
              <w:spacing w:before="0" w:after="283"/>
              <w:jc w:val="left"/>
              <w:rPr/>
            </w:pPr>
            <w:r>
              <w:rPr/>
              <w:t> </w:t>
            </w:r>
          </w:p>
        </w:tc>
        <w:tc>
          <w:tcPr>
            <w:tcW w:w="830" w:type="dxa"/>
            <w:tcBorders>
              <w:left w:val="single" w:sz="8" w:space="0" w:color="FFFFFF"/>
              <w:right w:val="single" w:sz="8" w:space="0" w:color="58595B"/>
            </w:tcBorders>
            <w:shd w:fill="254F79" w:val="clear"/>
            <w:tcMar>
              <w:top w:w="0" w:type="dxa"/>
              <w:right w:w="28"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Adjusted</w:t>
            </w:r>
          </w:p>
        </w:tc>
      </w:tr>
      <w:tr>
        <w:trPr/>
        <w:tc>
          <w:tcPr>
            <w:tcW w:w="425" w:type="dxa"/>
            <w:tcBorders>
              <w:left w:val="single" w:sz="8" w:space="0" w:color="58595B"/>
            </w:tcBorders>
            <w:shd w:fill="254F79" w:val="clear"/>
            <w:tcMar>
              <w:top w:w="0" w:type="dxa"/>
            </w:tcMar>
            <w:vAlign w:val="center"/>
          </w:tcPr>
          <w:p>
            <w:pPr>
              <w:pStyle w:val="TableContents"/>
              <w:bidi w:val="0"/>
              <w:spacing w:before="0" w:after="283"/>
              <w:jc w:val="center"/>
              <w:rPr/>
            </w:pPr>
            <w:r>
              <w:rPr/>
              <w:t> </w:t>
            </w:r>
          </w:p>
        </w:tc>
        <w:tc>
          <w:tcPr>
            <w:tcW w:w="93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for PEO</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to PEO</w:t>
            </w:r>
          </w:p>
        </w:tc>
        <w:tc>
          <w:tcPr>
            <w:tcW w:w="890"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PEO (Ray-</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PEO (Ray-</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Total for</w:t>
            </w:r>
          </w:p>
        </w:tc>
        <w:tc>
          <w:tcPr>
            <w:tcW w:w="965" w:type="dxa"/>
            <w:gridSpan w:val="2"/>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ally Paid to</w:t>
            </w:r>
          </w:p>
        </w:tc>
        <w:tc>
          <w:tcPr>
            <w:tcW w:w="827"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Share-</w:t>
            </w:r>
          </w:p>
        </w:tc>
        <w:tc>
          <w:tcPr>
            <w:tcW w:w="827"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Share-</w:t>
            </w:r>
          </w:p>
        </w:tc>
        <w:tc>
          <w:tcPr>
            <w:tcW w:w="890"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Net</w:t>
            </w:r>
          </w:p>
        </w:tc>
        <w:tc>
          <w:tcPr>
            <w:tcW w:w="830" w:type="dxa"/>
            <w:tcBorders>
              <w:left w:val="single" w:sz="8" w:space="0" w:color="FFFFFF"/>
              <w:right w:val="single" w:sz="8" w:space="0" w:color="58595B"/>
            </w:tcBorders>
            <w:shd w:fill="254F79" w:val="clear"/>
            <w:tcMar>
              <w:top w:w="0" w:type="dxa"/>
              <w:right w:w="28"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Pre-Tax</w:t>
            </w:r>
          </w:p>
        </w:tc>
      </w:tr>
      <w:tr>
        <w:trPr/>
        <w:tc>
          <w:tcPr>
            <w:tcW w:w="425" w:type="dxa"/>
            <w:tcBorders>
              <w:left w:val="single" w:sz="8" w:space="0" w:color="58595B"/>
            </w:tcBorders>
            <w:shd w:fill="254F79" w:val="clear"/>
            <w:tcMar>
              <w:top w:w="0" w:type="dxa"/>
            </w:tcMar>
            <w:vAlign w:val="center"/>
          </w:tcPr>
          <w:p>
            <w:pPr>
              <w:pStyle w:val="TableContents"/>
              <w:bidi w:val="0"/>
              <w:spacing w:before="0" w:after="283"/>
              <w:jc w:val="center"/>
              <w:rPr/>
            </w:pPr>
            <w:r>
              <w:rPr/>
              <w:t> </w:t>
            </w:r>
          </w:p>
        </w:tc>
        <w:tc>
          <w:tcPr>
            <w:tcW w:w="93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(Michael J.</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(Michael</w:t>
            </w:r>
          </w:p>
        </w:tc>
        <w:tc>
          <w:tcPr>
            <w:tcW w:w="890"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mond R.</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mond R.</w:t>
            </w:r>
          </w:p>
        </w:tc>
        <w:tc>
          <w:tcPr>
            <w:tcW w:w="875"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Non-PEO</w:t>
            </w:r>
          </w:p>
        </w:tc>
        <w:tc>
          <w:tcPr>
            <w:tcW w:w="965" w:type="dxa"/>
            <w:gridSpan w:val="2"/>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Non-PEO</w:t>
            </w:r>
          </w:p>
        </w:tc>
        <w:tc>
          <w:tcPr>
            <w:tcW w:w="827"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holder</w:t>
            </w:r>
          </w:p>
        </w:tc>
        <w:tc>
          <w:tcPr>
            <w:tcW w:w="827"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holder</w:t>
            </w:r>
          </w:p>
        </w:tc>
        <w:tc>
          <w:tcPr>
            <w:tcW w:w="890" w:type="dxa"/>
            <w:tcBorders>
              <w:left w:val="single" w:sz="8" w:space="0" w:color="FFFFFF"/>
            </w:tcBorders>
            <w:shd w:fill="254F79" w:val="clear"/>
            <w:tcMar>
              <w:top w:w="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Income</w:t>
            </w:r>
          </w:p>
        </w:tc>
        <w:tc>
          <w:tcPr>
            <w:tcW w:w="830" w:type="dxa"/>
            <w:tcBorders>
              <w:left w:val="single" w:sz="8" w:space="0" w:color="FFFFFF"/>
              <w:right w:val="single" w:sz="8" w:space="0" w:color="58595B"/>
            </w:tcBorders>
            <w:shd w:fill="254F79" w:val="clear"/>
            <w:tcMar>
              <w:top w:w="0" w:type="dxa"/>
              <w:right w:w="28"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Title Mar-</w:t>
            </w:r>
          </w:p>
        </w:tc>
      </w:tr>
      <w:tr>
        <w:trPr/>
        <w:tc>
          <w:tcPr>
            <w:tcW w:w="425" w:type="dxa"/>
            <w:tcBorders>
              <w:left w:val="single" w:sz="8" w:space="0" w:color="58595B"/>
              <w:bottom w:val="single" w:sz="8" w:space="0" w:color="58595B"/>
            </w:tcBorders>
            <w:shd w:fill="254F79" w:val="clear"/>
            <w:tcMar>
              <w:top w:w="0" w:type="dxa"/>
              <w:bottom w:w="60" w:type="dxa"/>
            </w:tcMar>
            <w:vAlign w:val="center"/>
          </w:tcPr>
          <w:p>
            <w:pPr>
              <w:pStyle w:val="TableContents"/>
              <w:bidi w:val="0"/>
              <w:spacing w:before="0" w:after="283"/>
              <w:jc w:val="center"/>
              <w:rPr>
                <w:rFonts w:ascii="Arial;Helvetica;Sans-Serif" w:hAnsi="Arial;Helvetica;Sans-Serif"/>
                <w:b/>
                <w:color w:val="FFFFFF"/>
                <w:sz w:val="17"/>
              </w:rPr>
            </w:pPr>
            <w:r>
              <w:rPr>
                <w:rFonts w:ascii="Arial;Helvetica;Sans-Serif" w:hAnsi="Arial;Helvetica;Sans-Serif"/>
                <w:b/>
                <w:color w:val="FFFFFF"/>
                <w:sz w:val="17"/>
              </w:rPr>
              <w:t>Year</w:t>
            </w:r>
          </w:p>
        </w:tc>
        <w:tc>
          <w:tcPr>
            <w:tcW w:w="935" w:type="dxa"/>
            <w:tcBorders>
              <w:left w:val="single" w:sz="8" w:space="0" w:color="FFFFFF"/>
              <w:bottom w:val="single" w:sz="8" w:space="0" w:color="58595B"/>
            </w:tcBorders>
            <w:shd w:fill="254F79" w:val="clear"/>
            <w:tcMar>
              <w:top w:w="0" w:type="dxa"/>
              <w:bottom w:w="60" w:type="dxa"/>
            </w:tcMar>
            <w:vAlign w:val="center"/>
          </w:tcPr>
          <w:p>
            <w:pPr>
              <w:pStyle w:val="TableContents"/>
              <w:bidi w:val="0"/>
              <w:spacing w:before="0" w:after="283"/>
              <w:jc w:val="center"/>
              <w:rPr/>
            </w:pPr>
            <w:r>
              <w:rPr>
                <w:rFonts w:ascii="Arial;Helvetica;Sans-Serif" w:hAnsi="Arial;Helvetica;Sans-Serif"/>
                <w:b/>
                <w:color w:val="FFFFFF"/>
                <w:sz w:val="17"/>
              </w:rPr>
              <w:t>Nolan)</w:t>
            </w:r>
            <w:r>
              <w:rPr>
                <w:rFonts w:ascii="Arial;Helvetica;Sans-Serif" w:hAnsi="Arial;Helvetica;Sans-Serif"/>
                <w:b/>
                <w:color w:val="FFFFFF"/>
                <w:position w:val="6"/>
                <w:sz w:val="15"/>
                <w:sz w:val="19"/>
              </w:rPr>
              <w:t>1</w:t>
            </w:r>
          </w:p>
        </w:tc>
        <w:tc>
          <w:tcPr>
            <w:tcW w:w="875" w:type="dxa"/>
            <w:tcBorders>
              <w:left w:val="single" w:sz="8" w:space="0" w:color="FFFFFF"/>
              <w:bottom w:val="single" w:sz="8" w:space="0" w:color="58595B"/>
            </w:tcBorders>
            <w:shd w:fill="254F79" w:val="clear"/>
            <w:tcMar>
              <w:top w:w="0" w:type="dxa"/>
              <w:bottom w:w="60" w:type="dxa"/>
            </w:tcMar>
            <w:vAlign w:val="center"/>
          </w:tcPr>
          <w:p>
            <w:pPr>
              <w:pStyle w:val="TableContents"/>
              <w:bidi w:val="0"/>
              <w:spacing w:before="0" w:after="283"/>
              <w:jc w:val="center"/>
              <w:rPr/>
            </w:pPr>
            <w:r>
              <w:rPr>
                <w:rFonts w:ascii="Arial;Helvetica;Sans-Serif" w:hAnsi="Arial;Helvetica;Sans-Serif"/>
                <w:b/>
                <w:color w:val="FFFFFF"/>
                <w:sz w:val="17"/>
              </w:rPr>
              <w:t>J. Nolan)</w:t>
            </w:r>
            <w:r>
              <w:rPr>
                <w:rFonts w:ascii="Arial;Helvetica;Sans-Serif" w:hAnsi="Arial;Helvetica;Sans-Serif"/>
                <w:b/>
                <w:color w:val="FFFFFF"/>
                <w:position w:val="6"/>
                <w:sz w:val="15"/>
                <w:sz w:val="19"/>
              </w:rPr>
              <w:t>2</w:t>
            </w:r>
          </w:p>
        </w:tc>
        <w:tc>
          <w:tcPr>
            <w:tcW w:w="890" w:type="dxa"/>
            <w:tcBorders>
              <w:left w:val="single" w:sz="8" w:space="0" w:color="FFFFFF"/>
              <w:bottom w:val="single" w:sz="8" w:space="0" w:color="58595B"/>
            </w:tcBorders>
            <w:shd w:fill="254F79" w:val="clear"/>
            <w:tcMar>
              <w:top w:w="0" w:type="dxa"/>
              <w:bottom w:w="60" w:type="dxa"/>
            </w:tcMar>
            <w:vAlign w:val="center"/>
          </w:tcPr>
          <w:p>
            <w:pPr>
              <w:pStyle w:val="TableContents"/>
              <w:bidi w:val="0"/>
              <w:spacing w:before="0" w:after="283"/>
              <w:jc w:val="center"/>
              <w:rPr/>
            </w:pPr>
            <w:r>
              <w:rPr>
                <w:rFonts w:ascii="Arial;Helvetica;Sans-Serif" w:hAnsi="Arial;Helvetica;Sans-Serif"/>
                <w:b/>
                <w:color w:val="FFFFFF"/>
                <w:sz w:val="17"/>
              </w:rPr>
              <w:t>Quirk)</w:t>
            </w:r>
            <w:r>
              <w:rPr>
                <w:rFonts w:ascii="Arial;Helvetica;Sans-Serif" w:hAnsi="Arial;Helvetica;Sans-Serif"/>
                <w:b/>
                <w:color w:val="FFFFFF"/>
                <w:position w:val="6"/>
                <w:sz w:val="15"/>
                <w:sz w:val="19"/>
              </w:rPr>
              <w:t>3</w:t>
            </w:r>
          </w:p>
        </w:tc>
        <w:tc>
          <w:tcPr>
            <w:tcW w:w="875" w:type="dxa"/>
            <w:tcBorders>
              <w:left w:val="single" w:sz="8" w:space="0" w:color="FFFFFF"/>
              <w:bottom w:val="single" w:sz="8" w:space="0" w:color="58595B"/>
            </w:tcBorders>
            <w:shd w:fill="254F79" w:val="clear"/>
            <w:tcMar>
              <w:top w:w="0" w:type="dxa"/>
              <w:bottom w:w="60" w:type="dxa"/>
            </w:tcMar>
            <w:vAlign w:val="center"/>
          </w:tcPr>
          <w:p>
            <w:pPr>
              <w:pStyle w:val="TableContents"/>
              <w:bidi w:val="0"/>
              <w:spacing w:before="0" w:after="283"/>
              <w:jc w:val="center"/>
              <w:rPr/>
            </w:pPr>
            <w:r>
              <w:rPr>
                <w:rFonts w:ascii="Arial;Helvetica;Sans-Serif" w:hAnsi="Arial;Helvetica;Sans-Serif"/>
                <w:b/>
                <w:color w:val="FFFFFF"/>
                <w:sz w:val="17"/>
              </w:rPr>
              <w:t>Quirk)</w:t>
            </w:r>
            <w:r>
              <w:rPr>
                <w:rFonts w:ascii="Arial;Helvetica;Sans-Serif" w:hAnsi="Arial;Helvetica;Sans-Serif"/>
                <w:b/>
                <w:color w:val="FFFFFF"/>
                <w:position w:val="6"/>
                <w:sz w:val="15"/>
                <w:sz w:val="19"/>
              </w:rPr>
              <w:t>4</w:t>
            </w:r>
          </w:p>
        </w:tc>
        <w:tc>
          <w:tcPr>
            <w:tcW w:w="875" w:type="dxa"/>
            <w:tcBorders>
              <w:left w:val="single" w:sz="8" w:space="0" w:color="FFFFFF"/>
              <w:bottom w:val="single" w:sz="8" w:space="0" w:color="58595B"/>
            </w:tcBorders>
            <w:shd w:fill="254F79" w:val="clear"/>
            <w:tcMar>
              <w:top w:w="0" w:type="dxa"/>
              <w:bottom w:w="60" w:type="dxa"/>
            </w:tcMar>
            <w:vAlign w:val="center"/>
          </w:tcPr>
          <w:p>
            <w:pPr>
              <w:pStyle w:val="TableContents"/>
              <w:bidi w:val="0"/>
              <w:spacing w:before="0" w:after="283"/>
              <w:jc w:val="center"/>
              <w:rPr/>
            </w:pPr>
            <w:r>
              <w:rPr>
                <w:rFonts w:ascii="Arial;Helvetica;Sans-Serif" w:hAnsi="Arial;Helvetica;Sans-Serif"/>
                <w:b/>
                <w:color w:val="FFFFFF"/>
                <w:sz w:val="17"/>
              </w:rPr>
              <w:t>NEOs</w:t>
            </w:r>
            <w:r>
              <w:rPr>
                <w:rFonts w:ascii="Arial;Helvetica;Sans-Serif" w:hAnsi="Arial;Helvetica;Sans-Serif"/>
                <w:b/>
                <w:color w:val="FFFFFF"/>
                <w:position w:val="6"/>
                <w:sz w:val="15"/>
                <w:sz w:val="19"/>
              </w:rPr>
              <w:t>5</w:t>
            </w:r>
          </w:p>
        </w:tc>
        <w:tc>
          <w:tcPr>
            <w:tcW w:w="965" w:type="dxa"/>
            <w:gridSpan w:val="2"/>
            <w:tcBorders>
              <w:left w:val="single" w:sz="8" w:space="0" w:color="FFFFFF"/>
              <w:bottom w:val="single" w:sz="8" w:space="0" w:color="58595B"/>
            </w:tcBorders>
            <w:shd w:fill="254F79" w:val="clear"/>
            <w:tcMar>
              <w:top w:w="0" w:type="dxa"/>
              <w:bottom w:w="60" w:type="dxa"/>
            </w:tcMar>
            <w:vAlign w:val="center"/>
          </w:tcPr>
          <w:p>
            <w:pPr>
              <w:pStyle w:val="TableContents"/>
              <w:bidi w:val="0"/>
              <w:spacing w:before="0" w:after="283"/>
              <w:jc w:val="center"/>
              <w:rPr/>
            </w:pPr>
            <w:r>
              <w:rPr>
                <w:rFonts w:ascii="Arial;Helvetica;Sans-Serif" w:hAnsi="Arial;Helvetica;Sans-Serif"/>
                <w:b/>
                <w:color w:val="FFFFFF"/>
                <w:sz w:val="17"/>
              </w:rPr>
              <w:t>NEOs</w:t>
            </w:r>
            <w:r>
              <w:rPr>
                <w:rFonts w:ascii="Arial;Helvetica;Sans-Serif" w:hAnsi="Arial;Helvetica;Sans-Serif"/>
                <w:b/>
                <w:color w:val="FFFFFF"/>
                <w:position w:val="6"/>
                <w:sz w:val="15"/>
                <w:sz w:val="19"/>
              </w:rPr>
              <w:t>6</w:t>
            </w:r>
          </w:p>
        </w:tc>
        <w:tc>
          <w:tcPr>
            <w:tcW w:w="827" w:type="dxa"/>
            <w:tcBorders>
              <w:left w:val="single" w:sz="8" w:space="0" w:color="FFFFFF"/>
              <w:bottom w:val="single" w:sz="8" w:space="0" w:color="58595B"/>
            </w:tcBorders>
            <w:shd w:fill="254F79" w:val="clear"/>
            <w:tcMar>
              <w:top w:w="0" w:type="dxa"/>
              <w:bottom w:w="60" w:type="dxa"/>
            </w:tcMar>
            <w:vAlign w:val="center"/>
          </w:tcPr>
          <w:p>
            <w:pPr>
              <w:pStyle w:val="TableContents"/>
              <w:bidi w:val="0"/>
              <w:spacing w:before="0" w:after="283"/>
              <w:jc w:val="center"/>
              <w:rPr/>
            </w:pPr>
            <w:r>
              <w:rPr>
                <w:rFonts w:ascii="Arial;Helvetica;Sans-Serif" w:hAnsi="Arial;Helvetica;Sans-Serif"/>
                <w:b/>
                <w:color w:val="FFFFFF"/>
                <w:sz w:val="17"/>
              </w:rPr>
              <w:t>Return</w:t>
            </w:r>
            <w:r>
              <w:rPr>
                <w:rFonts w:ascii="Arial;Helvetica;Sans-Serif" w:hAnsi="Arial;Helvetica;Sans-Serif"/>
                <w:b/>
                <w:color w:val="FFFFFF"/>
                <w:position w:val="6"/>
                <w:sz w:val="15"/>
                <w:sz w:val="19"/>
              </w:rPr>
              <w:t>7</w:t>
            </w:r>
          </w:p>
        </w:tc>
        <w:tc>
          <w:tcPr>
            <w:tcW w:w="827" w:type="dxa"/>
            <w:tcBorders>
              <w:left w:val="single" w:sz="8" w:space="0" w:color="FFFFFF"/>
              <w:bottom w:val="single" w:sz="8" w:space="0" w:color="58595B"/>
            </w:tcBorders>
            <w:shd w:fill="254F79" w:val="clear"/>
            <w:tcMar>
              <w:top w:w="0" w:type="dxa"/>
              <w:bottom w:w="60" w:type="dxa"/>
            </w:tcMar>
            <w:vAlign w:val="center"/>
          </w:tcPr>
          <w:p>
            <w:pPr>
              <w:pStyle w:val="TableContents"/>
              <w:bidi w:val="0"/>
              <w:spacing w:before="0" w:after="283"/>
              <w:jc w:val="center"/>
              <w:rPr/>
            </w:pPr>
            <w:r>
              <w:rPr>
                <w:rFonts w:ascii="Arial;Helvetica;Sans-Serif" w:hAnsi="Arial;Helvetica;Sans-Serif"/>
                <w:b/>
                <w:color w:val="FFFFFF"/>
                <w:sz w:val="17"/>
              </w:rPr>
              <w:t>Return</w:t>
            </w:r>
            <w:r>
              <w:rPr>
                <w:rFonts w:ascii="Arial;Helvetica;Sans-Serif" w:hAnsi="Arial;Helvetica;Sans-Serif"/>
                <w:b/>
                <w:color w:val="FFFFFF"/>
                <w:position w:val="6"/>
                <w:sz w:val="15"/>
                <w:sz w:val="19"/>
              </w:rPr>
              <w:t>8</w:t>
            </w:r>
          </w:p>
        </w:tc>
        <w:tc>
          <w:tcPr>
            <w:tcW w:w="890" w:type="dxa"/>
            <w:tcBorders>
              <w:left w:val="single" w:sz="8" w:space="0" w:color="FFFFFF"/>
              <w:bottom w:val="single" w:sz="8" w:space="0" w:color="58595B"/>
            </w:tcBorders>
            <w:shd w:fill="254F79" w:val="clear"/>
            <w:tcMar>
              <w:top w:w="0" w:type="dxa"/>
              <w:bottom w:w="60" w:type="dxa"/>
            </w:tcMar>
            <w:vAlign w:val="center"/>
          </w:tcPr>
          <w:p>
            <w:pPr>
              <w:pStyle w:val="TableContents"/>
              <w:bidi w:val="0"/>
              <w:spacing w:before="0" w:after="283"/>
              <w:jc w:val="center"/>
              <w:rPr/>
            </w:pPr>
            <w:r>
              <w:rPr>
                <w:rFonts w:ascii="Arial;Helvetica;Sans-Serif" w:hAnsi="Arial;Helvetica;Sans-Serif"/>
                <w:b/>
                <w:color w:val="FFFFFF"/>
                <w:sz w:val="17"/>
              </w:rPr>
              <w:t>(millions)</w:t>
            </w:r>
            <w:r>
              <w:rPr>
                <w:rFonts w:ascii="Arial;Helvetica;Sans-Serif" w:hAnsi="Arial;Helvetica;Sans-Serif"/>
                <w:b/>
                <w:color w:val="FFFFFF"/>
                <w:position w:val="6"/>
                <w:sz w:val="15"/>
                <w:sz w:val="19"/>
              </w:rPr>
              <w:t>9</w:t>
            </w:r>
          </w:p>
        </w:tc>
        <w:tc>
          <w:tcPr>
            <w:tcW w:w="830" w:type="dxa"/>
            <w:tcBorders>
              <w:left w:val="single" w:sz="8" w:space="0" w:color="FFFFFF"/>
              <w:bottom w:val="single" w:sz="8" w:space="0" w:color="58595B"/>
              <w:right w:val="single" w:sz="8" w:space="0" w:color="58595B"/>
            </w:tcBorders>
            <w:shd w:fill="254F79" w:val="clear"/>
            <w:tcMar>
              <w:top w:w="0" w:type="dxa"/>
              <w:bottom w:w="60" w:type="dxa"/>
              <w:right w:w="28" w:type="dxa"/>
            </w:tcMar>
            <w:vAlign w:val="center"/>
          </w:tcPr>
          <w:p>
            <w:pPr>
              <w:pStyle w:val="TableContents"/>
              <w:bidi w:val="0"/>
              <w:spacing w:before="0" w:after="283"/>
              <w:jc w:val="center"/>
              <w:rPr/>
            </w:pPr>
            <w:r>
              <w:rPr>
                <w:rFonts w:ascii="Arial;Helvetica;Sans-Serif" w:hAnsi="Arial;Helvetica;Sans-Serif"/>
                <w:b/>
                <w:color w:val="FFFFFF"/>
                <w:sz w:val="17"/>
              </w:rPr>
              <w:t>gin</w:t>
            </w:r>
            <w:r>
              <w:rPr>
                <w:rFonts w:ascii="Arial;Helvetica;Sans-Serif" w:hAnsi="Arial;Helvetica;Sans-Serif"/>
                <w:b/>
                <w:color w:val="FFFFFF"/>
                <w:position w:val="6"/>
                <w:sz w:val="15"/>
                <w:sz w:val="19"/>
              </w:rPr>
              <w:t>10</w:t>
            </w:r>
          </w:p>
        </w:tc>
      </w:tr>
      <w:tr>
        <w:trPr/>
        <w:tc>
          <w:tcPr>
            <w:tcW w:w="425" w:type="dxa"/>
            <w:tcBorders>
              <w:left w:val="single" w:sz="8" w:space="0" w:color="58595B"/>
              <w:bottom w:val="single" w:sz="8" w:space="0" w:color="58595B"/>
              <w:right w:val="single" w:sz="8" w:space="0" w:color="58595B"/>
            </w:tcBorders>
            <w:tcMar>
              <w:top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(a)</w:t>
            </w:r>
          </w:p>
        </w:tc>
        <w:tc>
          <w:tcPr>
            <w:tcW w:w="93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(b)</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(c)</w:t>
            </w:r>
          </w:p>
        </w:tc>
        <w:tc>
          <w:tcPr>
            <w:tcW w:w="89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(d)</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(e)</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(f)</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(g)</w:t>
            </w:r>
          </w:p>
        </w:tc>
        <w:tc>
          <w:tcPr>
            <w:tcW w:w="90" w:type="dxa"/>
            <w:tcBorders>
              <w:bottom w:val="single" w:sz="8" w:space="0" w:color="58595B"/>
            </w:tcBorders>
            <w:tcMar>
              <w:top w:w="0" w:type="dxa"/>
              <w:left w:w="0" w:type="dxa"/>
              <w:bottom w:w="60" w:type="dxa"/>
            </w:tcMar>
            <w:vAlign w:val="center"/>
          </w:tcPr>
          <w:p>
            <w:pPr>
              <w:pStyle w:val="TableContents"/>
              <w:bidi w:val="0"/>
              <w:spacing w:before="0" w:after="283"/>
              <w:jc w:val="left"/>
              <w:rPr/>
            </w:pPr>
            <w:r>
              <w:rPr/>
              <w:t> </w:t>
            </w:r>
          </w:p>
        </w:tc>
        <w:tc>
          <w:tcPr>
            <w:tcW w:w="827"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(h)</w:t>
            </w:r>
          </w:p>
        </w:tc>
        <w:tc>
          <w:tcPr>
            <w:tcW w:w="827"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5"/>
              </w:rPr>
            </w:pPr>
            <w:r>
              <w:rPr>
                <w:rFonts w:ascii="Arial;Helvetica;Sans-Serif" w:hAnsi="Arial;Helvetica;Sans-Serif"/>
                <w:color w:val="58595B"/>
                <w:sz w:val="15"/>
              </w:rPr>
              <w:t>(i)</w:t>
            </w:r>
          </w:p>
        </w:tc>
        <w:tc>
          <w:tcPr>
            <w:tcW w:w="89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(j)</w:t>
            </w:r>
          </w:p>
        </w:tc>
        <w:tc>
          <w:tcPr>
            <w:tcW w:w="83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(k)</w:t>
            </w:r>
          </w:p>
        </w:tc>
      </w:tr>
      <w:tr>
        <w:trPr/>
        <w:tc>
          <w:tcPr>
            <w:tcW w:w="425" w:type="dxa"/>
            <w:tcBorders>
              <w:left w:val="single" w:sz="8" w:space="0" w:color="58595B"/>
              <w:bottom w:val="single" w:sz="8" w:space="0" w:color="58595B"/>
              <w:right w:val="single" w:sz="8" w:space="0" w:color="58595B"/>
            </w:tcBorders>
            <w:tcMar>
              <w:top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2025</w:t>
            </w:r>
          </w:p>
        </w:tc>
        <w:tc>
          <w:tcPr>
            <w:tcW w:w="93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11,646,893</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11,352,063</w:t>
            </w:r>
          </w:p>
        </w:tc>
        <w:tc>
          <w:tcPr>
            <w:tcW w:w="89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color w:val="58595B"/>
              </w:rPr>
            </w:pPr>
            <w:r>
              <w:rPr>
                <w:color w:val="58595B"/>
              </w:rPr>
              <w:t>—</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color w:val="58595B"/>
              </w:rPr>
            </w:pPr>
            <w:r>
              <w:rPr>
                <w:color w:val="58595B"/>
              </w:rPr>
              <w:t>—</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4,595,694</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4,485,581</w:t>
            </w:r>
          </w:p>
        </w:tc>
        <w:tc>
          <w:tcPr>
            <w:tcW w:w="90" w:type="dxa"/>
            <w:tcBorders>
              <w:bottom w:val="single" w:sz="8" w:space="0" w:color="58595B"/>
            </w:tcBorders>
            <w:tcMar>
              <w:top w:w="0" w:type="dxa"/>
              <w:left w:w="0" w:type="dxa"/>
              <w:bottom w:w="60" w:type="dxa"/>
            </w:tcMar>
            <w:vAlign w:val="center"/>
          </w:tcPr>
          <w:p>
            <w:pPr>
              <w:pStyle w:val="TableContents"/>
              <w:bidi w:val="0"/>
              <w:spacing w:before="0" w:after="283"/>
              <w:jc w:val="left"/>
              <w:rPr/>
            </w:pPr>
            <w:r>
              <w:rPr/>
              <w:t> </w:t>
            </w:r>
          </w:p>
        </w:tc>
        <w:tc>
          <w:tcPr>
            <w:tcW w:w="827"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184.84</w:t>
            </w:r>
          </w:p>
        </w:tc>
        <w:tc>
          <w:tcPr>
            <w:tcW w:w="827"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147.32</w:t>
            </w:r>
          </w:p>
        </w:tc>
        <w:tc>
          <w:tcPr>
            <w:tcW w:w="89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602</w:t>
            </w:r>
          </w:p>
        </w:tc>
        <w:tc>
          <w:tcPr>
            <w:tcW w:w="83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15.9%</w:t>
            </w:r>
          </w:p>
        </w:tc>
      </w:tr>
      <w:tr>
        <w:trPr/>
        <w:tc>
          <w:tcPr>
            <w:tcW w:w="425" w:type="dxa"/>
            <w:tcBorders>
              <w:left w:val="single" w:sz="8" w:space="0" w:color="58595B"/>
              <w:bottom w:val="single" w:sz="8" w:space="0" w:color="58595B"/>
              <w:right w:val="single" w:sz="8" w:space="0" w:color="58595B"/>
            </w:tcBorders>
            <w:tcMar>
              <w:top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2024</w:t>
            </w:r>
          </w:p>
        </w:tc>
        <w:tc>
          <w:tcPr>
            <w:tcW w:w="93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10,567,753</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11,535,648</w:t>
            </w:r>
          </w:p>
        </w:tc>
        <w:tc>
          <w:tcPr>
            <w:tcW w:w="89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color w:val="58595B"/>
              </w:rPr>
            </w:pPr>
            <w:r>
              <w:rPr>
                <w:color w:val="58595B"/>
              </w:rPr>
              <w:t>—</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color w:val="58595B"/>
              </w:rPr>
            </w:pPr>
            <w:r>
              <w:rPr>
                <w:color w:val="58595B"/>
              </w:rPr>
              <w:t>—</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4,433,149</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4,983,964</w:t>
            </w:r>
          </w:p>
        </w:tc>
        <w:tc>
          <w:tcPr>
            <w:tcW w:w="90" w:type="dxa"/>
            <w:tcBorders>
              <w:bottom w:val="single" w:sz="8" w:space="0" w:color="58595B"/>
            </w:tcBorders>
            <w:tcMar>
              <w:top w:w="0" w:type="dxa"/>
              <w:left w:w="0" w:type="dxa"/>
              <w:bottom w:w="60" w:type="dxa"/>
            </w:tcMar>
            <w:vAlign w:val="center"/>
          </w:tcPr>
          <w:p>
            <w:pPr>
              <w:pStyle w:val="TableContents"/>
              <w:bidi w:val="0"/>
              <w:spacing w:before="0" w:after="283"/>
              <w:jc w:val="left"/>
              <w:rPr/>
            </w:pPr>
            <w:r>
              <w:rPr/>
              <w:t> </w:t>
            </w:r>
          </w:p>
        </w:tc>
        <w:tc>
          <w:tcPr>
            <w:tcW w:w="827"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158.17</w:t>
            </w:r>
          </w:p>
        </w:tc>
        <w:tc>
          <w:tcPr>
            <w:tcW w:w="827"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136.36</w:t>
            </w:r>
          </w:p>
        </w:tc>
        <w:tc>
          <w:tcPr>
            <w:tcW w:w="89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1,270</w:t>
            </w:r>
          </w:p>
        </w:tc>
        <w:tc>
          <w:tcPr>
            <w:tcW w:w="83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15.1%</w:t>
            </w:r>
          </w:p>
        </w:tc>
      </w:tr>
      <w:tr>
        <w:trPr/>
        <w:tc>
          <w:tcPr>
            <w:tcW w:w="425" w:type="dxa"/>
            <w:tcBorders>
              <w:left w:val="single" w:sz="8" w:space="0" w:color="58595B"/>
              <w:bottom w:val="single" w:sz="8" w:space="0" w:color="58595B"/>
              <w:right w:val="single" w:sz="8" w:space="0" w:color="58595B"/>
            </w:tcBorders>
            <w:tcMar>
              <w:top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2023</w:t>
            </w:r>
          </w:p>
        </w:tc>
        <w:tc>
          <w:tcPr>
            <w:tcW w:w="93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9,891,585</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12,671,960</w:t>
            </w:r>
          </w:p>
        </w:tc>
        <w:tc>
          <w:tcPr>
            <w:tcW w:w="89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color w:val="58595B"/>
              </w:rPr>
            </w:pPr>
            <w:r>
              <w:rPr>
                <w:color w:val="58595B"/>
              </w:rPr>
              <w:t>—</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color w:val="58595B"/>
              </w:rPr>
            </w:pPr>
            <w:r>
              <w:rPr>
                <w:color w:val="58595B"/>
              </w:rPr>
              <w:t>—</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4,237,374</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5,796,869</w:t>
            </w:r>
          </w:p>
        </w:tc>
        <w:tc>
          <w:tcPr>
            <w:tcW w:w="90" w:type="dxa"/>
            <w:tcBorders>
              <w:bottom w:val="single" w:sz="8" w:space="0" w:color="58595B"/>
            </w:tcBorders>
            <w:tcMar>
              <w:top w:w="0" w:type="dxa"/>
              <w:left w:w="0" w:type="dxa"/>
              <w:bottom w:w="60" w:type="dxa"/>
            </w:tcMar>
            <w:vAlign w:val="center"/>
          </w:tcPr>
          <w:p>
            <w:pPr>
              <w:pStyle w:val="TableContents"/>
              <w:bidi w:val="0"/>
              <w:spacing w:before="0" w:after="283"/>
              <w:jc w:val="left"/>
              <w:rPr/>
            </w:pPr>
            <w:r>
              <w:rPr/>
              <w:t> </w:t>
            </w:r>
          </w:p>
        </w:tc>
        <w:tc>
          <w:tcPr>
            <w:tcW w:w="827"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138.67</w:t>
            </w:r>
          </w:p>
        </w:tc>
        <w:tc>
          <w:tcPr>
            <w:tcW w:w="827"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131.27</w:t>
            </w:r>
          </w:p>
        </w:tc>
        <w:tc>
          <w:tcPr>
            <w:tcW w:w="89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517</w:t>
            </w:r>
          </w:p>
        </w:tc>
        <w:tc>
          <w:tcPr>
            <w:tcW w:w="83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13.7%</w:t>
            </w:r>
          </w:p>
        </w:tc>
      </w:tr>
      <w:tr>
        <w:trPr/>
        <w:tc>
          <w:tcPr>
            <w:tcW w:w="425" w:type="dxa"/>
            <w:tcBorders>
              <w:left w:val="single" w:sz="8" w:space="0" w:color="58595B"/>
              <w:bottom w:val="single" w:sz="8" w:space="0" w:color="58595B"/>
              <w:right w:val="single" w:sz="8" w:space="0" w:color="58595B"/>
            </w:tcBorders>
            <w:tcMar>
              <w:top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2022</w:t>
            </w:r>
          </w:p>
        </w:tc>
        <w:tc>
          <w:tcPr>
            <w:tcW w:w="93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7,721,602</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6,469,384</w:t>
            </w:r>
          </w:p>
        </w:tc>
        <w:tc>
          <w:tcPr>
            <w:tcW w:w="89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8,060,911</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5,039,215</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2,720,737</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1,895,590</w:t>
            </w:r>
          </w:p>
        </w:tc>
        <w:tc>
          <w:tcPr>
            <w:tcW w:w="90" w:type="dxa"/>
            <w:tcBorders>
              <w:bottom w:val="single" w:sz="8" w:space="0" w:color="58595B"/>
            </w:tcBorders>
            <w:tcMar>
              <w:top w:w="0" w:type="dxa"/>
              <w:left w:w="0" w:type="dxa"/>
              <w:bottom w:w="60" w:type="dxa"/>
            </w:tcMar>
            <w:vAlign w:val="center"/>
          </w:tcPr>
          <w:p>
            <w:pPr>
              <w:pStyle w:val="TableContents"/>
              <w:bidi w:val="0"/>
              <w:spacing w:before="0" w:after="283"/>
              <w:jc w:val="left"/>
              <w:rPr/>
            </w:pPr>
            <w:r>
              <w:rPr/>
              <w:t> </w:t>
            </w:r>
          </w:p>
        </w:tc>
        <w:tc>
          <w:tcPr>
            <w:tcW w:w="827"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97.57</w:t>
            </w:r>
          </w:p>
        </w:tc>
        <w:tc>
          <w:tcPr>
            <w:tcW w:w="827"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100.69</w:t>
            </w:r>
          </w:p>
        </w:tc>
        <w:tc>
          <w:tcPr>
            <w:tcW w:w="89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1,294</w:t>
            </w:r>
          </w:p>
        </w:tc>
        <w:tc>
          <w:tcPr>
            <w:tcW w:w="83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16.7%</w:t>
            </w:r>
          </w:p>
        </w:tc>
      </w:tr>
      <w:tr>
        <w:trPr/>
        <w:tc>
          <w:tcPr>
            <w:tcW w:w="425" w:type="dxa"/>
            <w:tcBorders>
              <w:left w:val="single" w:sz="8" w:space="0" w:color="58595B"/>
              <w:bottom w:val="single" w:sz="8" w:space="0" w:color="58595B"/>
              <w:right w:val="single" w:sz="8" w:space="0" w:color="58595B"/>
            </w:tcBorders>
            <w:tcMar>
              <w:top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2021</w:t>
            </w:r>
          </w:p>
        </w:tc>
        <w:tc>
          <w:tcPr>
            <w:tcW w:w="93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color w:val="58595B"/>
              </w:rPr>
            </w:pPr>
            <w:r>
              <w:rPr>
                <w:color w:val="58595B"/>
              </w:rPr>
              <w:t>—</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color w:val="58595B"/>
              </w:rPr>
            </w:pPr>
            <w:r>
              <w:rPr>
                <w:color w:val="58595B"/>
              </w:rPr>
              <w:t>—</w:t>
            </w:r>
          </w:p>
        </w:tc>
        <w:tc>
          <w:tcPr>
            <w:tcW w:w="89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10,457,921</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13,611,443</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4,113,156</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5,087,504</w:t>
            </w:r>
          </w:p>
        </w:tc>
        <w:tc>
          <w:tcPr>
            <w:tcW w:w="90" w:type="dxa"/>
            <w:tcBorders>
              <w:bottom w:val="single" w:sz="8" w:space="0" w:color="58595B"/>
            </w:tcBorders>
            <w:tcMar>
              <w:top w:w="0" w:type="dxa"/>
              <w:left w:w="0" w:type="dxa"/>
              <w:bottom w:w="60" w:type="dxa"/>
            </w:tcMar>
            <w:vAlign w:val="center"/>
          </w:tcPr>
          <w:p>
            <w:pPr>
              <w:pStyle w:val="TableContents"/>
              <w:bidi w:val="0"/>
              <w:spacing w:before="0" w:after="283"/>
              <w:jc w:val="left"/>
              <w:rPr/>
            </w:pPr>
            <w:r>
              <w:rPr/>
              <w:t> </w:t>
            </w:r>
          </w:p>
        </w:tc>
        <w:tc>
          <w:tcPr>
            <w:tcW w:w="827"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124.34</w:t>
            </w:r>
          </w:p>
        </w:tc>
        <w:tc>
          <w:tcPr>
            <w:tcW w:w="827"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151.24</w:t>
            </w:r>
          </w:p>
        </w:tc>
        <w:tc>
          <w:tcPr>
            <w:tcW w:w="89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2,797</w:t>
            </w:r>
          </w:p>
        </w:tc>
        <w:tc>
          <w:tcPr>
            <w:tcW w:w="83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7"/>
              </w:rPr>
            </w:pPr>
            <w:r>
              <w:rPr>
                <w:rFonts w:ascii="Arial;Helvetica;Sans-Serif" w:hAnsi="Arial;Helvetica;Sans-Serif"/>
                <w:color w:val="58595B"/>
                <w:sz w:val="17"/>
              </w:rPr>
              <w:t>21.7%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2"/>
        <w:gridCol w:w="9995"/>
      </w:tblGrid>
      <w:tr>
        <w:trPr/>
        <w:tc>
          <w:tcPr>
            <w:tcW w:w="6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15"/>
              </w:rPr>
            </w:pPr>
            <w:r>
              <w:rPr>
                <w:sz w:val="15"/>
              </w:rPr>
              <w:t>1.</w:t>
            </w:r>
          </w:p>
        </w:tc>
        <w:tc>
          <w:tcPr>
            <w:tcW w:w="9995" w:type="dxa"/>
            <w:tcBorders/>
            <w:vAlign w:val="center"/>
          </w:tcPr>
          <w:p>
            <w:pPr>
              <w:pStyle w:val="TableContents"/>
              <w:bidi w:val="0"/>
              <w:spacing w:before="0" w:after="283"/>
              <w:jc w:val="left"/>
              <w:rPr>
                <w:sz w:val="15"/>
              </w:rPr>
            </w:pPr>
            <w:r>
              <w:rPr>
                <w:sz w:val="15"/>
              </w:rPr>
              <w:t xml:space="preserve">Mr. Nolan was appointed to serve as our Chief Executive Officer on February 1, 2022. The dollar amounts reported in columns (b) are the amounts of total compensation reported for Mr. Nolan for his role as our Chief Executive Officer for each corresponding year in the "Total" column of the Summary Compensation Table. Refer to "Executive Compensation – Summary Compensation Table."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51"/>
        <w:gridCol w:w="9986"/>
      </w:tblGrid>
      <w:tr>
        <w:trPr/>
        <w:tc>
          <w:tcPr>
            <w:tcW w:w="6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16"/>
              </w:rPr>
            </w:pPr>
            <w:r>
              <w:rPr>
                <w:sz w:val="16"/>
              </w:rPr>
              <w:t>2.</w:t>
            </w:r>
          </w:p>
        </w:tc>
        <w:tc>
          <w:tcPr>
            <w:tcW w:w="9986" w:type="dxa"/>
            <w:tcBorders/>
            <w:vAlign w:val="center"/>
          </w:tcPr>
          <w:p>
            <w:pPr>
              <w:pStyle w:val="TableContents"/>
              <w:bidi w:val="0"/>
              <w:spacing w:before="0" w:after="283"/>
              <w:jc w:val="left"/>
              <w:rPr>
                <w:sz w:val="16"/>
              </w:rPr>
            </w:pPr>
            <w:r>
              <w:rPr>
                <w:sz w:val="16"/>
              </w:rPr>
              <w:t xml:space="preserve">The dollar amounts reported in column (c) represent the amount of "compensation actually paid" to Mr. Nolan, as computed in accordance with Item 402(v) of Regulation S-K. The dollar amounts do not reflect the actual amount of compensation earned by or paid to Mr. Nolan during the applicable year. In accordance with the requirements of Item 402(v) of Regulation S-K, the following adjustments were made to Mr. Nolan's total compensation for 2025 to determine the compensation actually paid: </w:t>
            </w:r>
          </w:p>
        </w:tc>
      </w:tr>
    </w:tbl>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10" w:type="dxa"/>
        <w:tblLayout w:type="fixed"/>
        <w:tblCellMar>
          <w:top w:w="28" w:type="dxa"/>
          <w:left w:w="100" w:type="dxa"/>
          <w:bottom w:w="60" w:type="dxa"/>
          <w:right w:w="100" w:type="dxa"/>
        </w:tblCellMar>
      </w:tblPr>
      <w:tblGrid>
        <w:gridCol w:w="425"/>
        <w:gridCol w:w="2300"/>
        <w:gridCol w:w="2060"/>
        <w:gridCol w:w="1235"/>
        <w:gridCol w:w="1730"/>
      </w:tblGrid>
      <w:tr>
        <w:trPr/>
        <w:tc>
          <w:tcPr>
            <w:tcW w:w="425" w:type="dxa"/>
            <w:tcBorders>
              <w:top w:val="single" w:sz="8" w:space="0" w:color="58595B"/>
              <w:left w:val="single" w:sz="8" w:space="0" w:color="58595B"/>
              <w:bottom w:val="single" w:sz="8" w:space="0" w:color="58595B"/>
              <w:right w:val="single" w:sz="8" w:space="0" w:color="FFFFFF"/>
            </w:tcBorders>
            <w:shd w:fill="274F78"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2300"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Reported </w:t>
              <w:br/>
              <w:t>Summary Compensation</w:t>
              <w:br/>
              <w:t>Table Total for PEO (Michael</w:t>
              <w:br/>
              <w:t>J. Nolan)</w:t>
            </w:r>
          </w:p>
        </w:tc>
        <w:tc>
          <w:tcPr>
            <w:tcW w:w="2060"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Reported </w:t>
              <w:br/>
              <w:t>Value of Equity Awards</w:t>
            </w:r>
            <w:r>
              <w:rPr>
                <w:rFonts w:ascii="Arial;Helvetica;Sans-Serif" w:hAnsi="Arial;Helvetica;Sans-Serif"/>
                <w:b/>
                <w:color w:val="FFFFFF"/>
                <w:position w:val="5"/>
                <w:sz w:val="13"/>
                <w:sz w:val="16"/>
              </w:rPr>
              <w:t>(a)</w:t>
            </w:r>
          </w:p>
        </w:tc>
        <w:tc>
          <w:tcPr>
            <w:tcW w:w="123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w:t>
              <w:br/>
              <w:t xml:space="preserve">Award </w:t>
              <w:br/>
              <w:t>Adjustments</w:t>
            </w:r>
            <w:r>
              <w:rPr>
                <w:rFonts w:ascii="Arial;Helvetica;Sans-Serif" w:hAnsi="Arial;Helvetica;Sans-Serif"/>
                <w:b/>
                <w:color w:val="FFFFFF"/>
                <w:position w:val="5"/>
                <w:sz w:val="13"/>
                <w:sz w:val="16"/>
              </w:rPr>
              <w:t>(b)</w:t>
            </w:r>
          </w:p>
        </w:tc>
        <w:tc>
          <w:tcPr>
            <w:tcW w:w="1730" w:type="dxa"/>
            <w:tcBorders>
              <w:top w:val="single" w:sz="8" w:space="0" w:color="58595B"/>
              <w:bottom w:val="single" w:sz="8" w:space="0" w:color="58595B"/>
              <w:right w:val="single" w:sz="8" w:space="0" w:color="58595B"/>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br/>
              <w:t>Actually Paid to PEO</w:t>
              <w:br/>
              <w:t>(Michael J. Nolan)</w:t>
            </w:r>
          </w:p>
        </w:tc>
      </w:tr>
      <w:tr>
        <w:trPr/>
        <w:tc>
          <w:tcPr>
            <w:tcW w:w="425" w:type="dxa"/>
            <w:tcBorders>
              <w:left w:val="single" w:sz="8" w:space="0" w:color="58595B"/>
              <w:bottom w:val="single" w:sz="8" w:space="0" w:color="58595B"/>
              <w:right w:val="single" w:sz="8" w:space="0" w:color="58595B"/>
            </w:tcBorders>
            <w:tcMar>
              <w:top w:w="0" w:type="dxa"/>
              <w:left w:w="108" w:type="dxa"/>
              <w:bottom w:w="110" w:type="dxa"/>
              <w:right w:w="115"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2025</w:t>
            </w:r>
          </w:p>
        </w:tc>
        <w:tc>
          <w:tcPr>
            <w:tcW w:w="2300" w:type="dxa"/>
            <w:tcBorders>
              <w:bottom w:val="single" w:sz="8" w:space="0" w:color="58595B"/>
              <w:right w:val="single" w:sz="8" w:space="0" w:color="58595B"/>
            </w:tcBorders>
            <w:tcMar>
              <w:top w:w="0" w:type="dxa"/>
              <w:left w:w="0" w:type="dxa"/>
              <w:bottom w:w="110" w:type="dxa"/>
              <w:right w:w="115"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11,646,893</w:t>
            </w:r>
          </w:p>
        </w:tc>
        <w:tc>
          <w:tcPr>
            <w:tcW w:w="2060" w:type="dxa"/>
            <w:tcBorders>
              <w:bottom w:val="single" w:sz="8" w:space="0" w:color="58595B"/>
              <w:right w:val="single" w:sz="8" w:space="0" w:color="58595B"/>
            </w:tcBorders>
            <w:tcMar>
              <w:top w:w="0" w:type="dxa"/>
              <w:left w:w="0" w:type="dxa"/>
              <w:bottom w:w="110" w:type="dxa"/>
              <w:right w:w="115"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(5,960,007)</w:t>
            </w:r>
          </w:p>
        </w:tc>
        <w:tc>
          <w:tcPr>
            <w:tcW w:w="1235" w:type="dxa"/>
            <w:tcBorders>
              <w:bottom w:val="single" w:sz="8" w:space="0" w:color="58595B"/>
              <w:right w:val="single" w:sz="8" w:space="0" w:color="58595B"/>
            </w:tcBorders>
            <w:tcMar>
              <w:top w:w="0" w:type="dxa"/>
              <w:left w:w="0" w:type="dxa"/>
              <w:bottom w:w="110" w:type="dxa"/>
              <w:right w:w="115"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5,665,177</w:t>
            </w:r>
          </w:p>
        </w:tc>
        <w:tc>
          <w:tcPr>
            <w:tcW w:w="1730" w:type="dxa"/>
            <w:tcBorders>
              <w:bottom w:val="single" w:sz="8" w:space="0" w:color="58595B"/>
              <w:right w:val="single" w:sz="8" w:space="0" w:color="58595B"/>
            </w:tcBorders>
            <w:tcMar>
              <w:top w:w="0" w:type="dxa"/>
              <w:left w:w="0" w:type="dxa"/>
              <w:bottom w:w="110" w:type="dxa"/>
              <w:right w:w="115"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11,352,063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1"/>
        <w:gridCol w:w="9916"/>
      </w:tblGrid>
      <w:tr>
        <w:trPr/>
        <w:tc>
          <w:tcPr>
            <w:tcW w:w="6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16"/>
              </w:rPr>
            </w:pPr>
            <w:r>
              <w:rPr>
                <w:sz w:val="16"/>
              </w:rPr>
              <w:t>(a)</w:t>
            </w:r>
          </w:p>
        </w:tc>
        <w:tc>
          <w:tcPr>
            <w:tcW w:w="9916" w:type="dxa"/>
            <w:tcBorders/>
            <w:vAlign w:val="center"/>
          </w:tcPr>
          <w:p>
            <w:pPr>
              <w:pStyle w:val="TableContents"/>
              <w:bidi w:val="0"/>
              <w:spacing w:before="0" w:after="283"/>
              <w:jc w:val="both"/>
              <w:rPr>
                <w:sz w:val="16"/>
              </w:rPr>
            </w:pPr>
            <w:r>
              <w:rPr>
                <w:sz w:val="16"/>
              </w:rPr>
              <w:t xml:space="preserve">The grant date fair value of equity awards represents the total of the amounts reported in the “Stock Awards” column in the Summary Compensation Table. We did not award any options to our executives from 2021 to 2025.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74"/>
        <w:gridCol w:w="9963"/>
      </w:tblGrid>
      <w:tr>
        <w:trPr/>
        <w:tc>
          <w:tcPr>
            <w:tcW w:w="6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15"/>
              </w:rPr>
            </w:pPr>
            <w:r>
              <w:rPr>
                <w:sz w:val="15"/>
              </w:rPr>
              <w:t>(b)</w:t>
            </w:r>
          </w:p>
        </w:tc>
        <w:tc>
          <w:tcPr>
            <w:tcW w:w="9963" w:type="dxa"/>
            <w:tcBorders/>
            <w:vAlign w:val="center"/>
          </w:tcPr>
          <w:p>
            <w:pPr>
              <w:pStyle w:val="TableContents"/>
              <w:bidi w:val="0"/>
              <w:spacing w:before="0" w:after="283"/>
              <w:jc w:val="left"/>
              <w:rPr>
                <w:sz w:val="15"/>
              </w:rPr>
            </w:pPr>
            <w:r>
              <w:rPr>
                <w:sz w:val="15"/>
              </w:rPr>
              <w:t xml:space="preserve">The equity award adjustments include the addition (or subtraction, as applicable) of the following: (i) the year-end fair value of any equity awards granted during 2025 that are outstanding and unvested as of the end of the year; (ii) the amount of change as of the end of 2025 (from the end of the prior fiscal year) in fair value of any awards granted in prior years that are outstanding and unvested as of the end of 2025; (iii) for awards that are granted and vest in the same year, the fair value as of the vesting date; (iv) for awards granted in prior years that vested in 2025, the amount equal to the change as of the vesting date (from the end of the prior fiscal year) in fair value; (v) for awards granted in prior years that are determined to fail to meet the applicable vesting conditions during 2025,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 did not materially differ from those disclosed at the time of grant. The amounts deducted or added in calculating the equity award adjustments are as follows: </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290"/>
        <w:gridCol w:w="3050"/>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290"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69</w:t>
            </w:r>
          </w:p>
        </w:tc>
        <w:tc>
          <w:tcPr>
            <w:tcW w:w="3050"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r>
      <w:tr>
        <w:trPr/>
        <w:tc>
          <w:tcPr>
            <w:tcW w:w="105" w:type="dxa"/>
            <w:tcBorders/>
            <w:vAlign w:val="center"/>
          </w:tcPr>
          <w:p>
            <w:pPr>
              <w:pStyle w:val="TableContents"/>
              <w:bidi w:val="0"/>
              <w:spacing w:before="0" w:after="283"/>
              <w:jc w:val="left"/>
              <w:rPr>
                <w:color w:val="58595B"/>
              </w:rPr>
            </w:pPr>
            <w:r>
              <w:rPr>
                <w:color w:val="58595B"/>
              </w:rPr>
              <w:t> </w:t>
            </w:r>
          </w:p>
        </w:tc>
        <w:tc>
          <w:tcPr>
            <w:tcW w:w="290" w:type="dxa"/>
            <w:tcBorders/>
            <w:vAlign w:val="center"/>
          </w:tcPr>
          <w:p>
            <w:pPr>
              <w:pStyle w:val="TableContents"/>
              <w:bidi w:val="0"/>
              <w:spacing w:before="0" w:after="283"/>
              <w:jc w:val="left"/>
              <w:rPr>
                <w:color w:val="58595B"/>
              </w:rPr>
            </w:pPr>
            <w:r>
              <w:rPr>
                <w:color w:val="58595B"/>
              </w:rPr>
              <w:t> </w:t>
            </w:r>
          </w:p>
        </w:tc>
        <w:tc>
          <w:tcPr>
            <w:tcW w:w="3050" w:type="dxa"/>
            <w:tcBorders/>
            <w:vAlign w:val="center"/>
          </w:tcPr>
          <w:p>
            <w:pPr>
              <w:pStyle w:val="TableContents"/>
              <w:bidi w:val="0"/>
              <w:spacing w:before="0" w:after="283"/>
              <w:jc w:val="left"/>
              <w:rPr>
                <w:color w:val="58595B"/>
              </w:rPr>
            </w:pPr>
            <w:r>
              <w:rPr>
                <w:color w:val="58595B"/>
              </w:rPr>
              <w:t> </w:t>
            </w:r>
          </w:p>
        </w:tc>
      </w:tr>
      <w:tr>
        <w:trPr/>
        <w:tc>
          <w:tcPr>
            <w:tcW w:w="105" w:type="dxa"/>
            <w:tcBorders/>
            <w:shd w:fill="254F79" w:val="clear"/>
            <w:vAlign w:val="center"/>
          </w:tcPr>
          <w:p>
            <w:pPr>
              <w:pStyle w:val="TableContents"/>
              <w:bidi w:val="0"/>
              <w:spacing w:before="0" w:after="283"/>
              <w:jc w:val="left"/>
              <w:rPr>
                <w:color w:val="58595B"/>
              </w:rPr>
            </w:pPr>
            <w:r>
              <w:rPr>
                <w:color w:val="58595B"/>
              </w:rPr>
              <w:t> </w:t>
            </w:r>
          </w:p>
        </w:tc>
        <w:tc>
          <w:tcPr>
            <w:tcW w:w="290" w:type="dxa"/>
            <w:tcBorders/>
            <w:shd w:fill="254F79" w:val="clear"/>
            <w:vAlign w:val="center"/>
          </w:tcPr>
          <w:p>
            <w:pPr>
              <w:pStyle w:val="TableContents"/>
              <w:bidi w:val="0"/>
              <w:spacing w:before="0" w:after="283"/>
              <w:jc w:val="left"/>
              <w:rPr>
                <w:color w:val="58595B"/>
              </w:rPr>
            </w:pPr>
            <w:r>
              <w:rPr>
                <w:color w:val="58595B"/>
              </w:rPr>
              <w:t> </w:t>
            </w:r>
          </w:p>
        </w:tc>
        <w:tc>
          <w:tcPr>
            <w:tcW w:w="3050" w:type="dxa"/>
            <w:tcBorders/>
            <w:shd w:fill="254F79" w:val="clear"/>
            <w:vAlign w:val="center"/>
          </w:tcPr>
          <w:p>
            <w:pPr>
              <w:pStyle w:val="TableContents"/>
              <w:bidi w:val="0"/>
              <w:spacing w:before="0" w:after="283"/>
              <w:jc w:val="left"/>
              <w:rPr>
                <w:color w:val="58595B"/>
              </w:rPr>
            </w:pPr>
            <w:r>
              <w:rPr>
                <w:color w:val="58595B"/>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10" w:type="dxa"/>
        <w:tblLayout w:type="fixed"/>
        <w:tblCellMar>
          <w:top w:w="60" w:type="dxa"/>
          <w:left w:w="108" w:type="dxa"/>
          <w:bottom w:w="60" w:type="dxa"/>
          <w:right w:w="108" w:type="dxa"/>
        </w:tblCellMar>
      </w:tblPr>
      <w:tblGrid>
        <w:gridCol w:w="425"/>
        <w:gridCol w:w="830"/>
        <w:gridCol w:w="1145"/>
        <w:gridCol w:w="935"/>
        <w:gridCol w:w="1100"/>
        <w:gridCol w:w="1175"/>
        <w:gridCol w:w="1355"/>
        <w:gridCol w:w="1115"/>
      </w:tblGrid>
      <w:tr>
        <w:trPr/>
        <w:tc>
          <w:tcPr>
            <w:tcW w:w="425" w:type="dxa"/>
            <w:tcBorders>
              <w:top w:val="single" w:sz="8" w:space="0" w:color="58595B"/>
              <w:left w:val="single" w:sz="8" w:space="0" w:color="58595B"/>
              <w:bottom w:val="single" w:sz="8" w:space="0" w:color="58595B"/>
              <w:right w:val="single" w:sz="8" w:space="0" w:color="FFFFFF"/>
            </w:tcBorders>
            <w:shd w:fill="274F78"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830"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 End</w:t>
              <w:br/>
              <w:t>Fair Value</w:t>
              <w:br/>
              <w:t>of Equity</w:t>
              <w:br/>
              <w:t>Awards</w:t>
            </w:r>
          </w:p>
        </w:tc>
        <w:tc>
          <w:tcPr>
            <w:tcW w:w="114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 over</w:t>
              <w:br/>
              <w:t xml:space="preserve">Year Change </w:t>
              <w:br/>
              <w:t>in Fair</w:t>
              <w:br/>
              <w:t>Value of</w:t>
              <w:br/>
              <w:t>Outstanding</w:t>
              <w:br/>
              <w:t>and Unvested</w:t>
              <w:br/>
              <w:t>Equity</w:t>
              <w:br/>
              <w:t>Awards</w:t>
            </w:r>
          </w:p>
        </w:tc>
        <w:tc>
          <w:tcPr>
            <w:tcW w:w="93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Fair Value</w:t>
              <w:br/>
              <w:t>as of</w:t>
              <w:br/>
              <w:t>Vesting</w:t>
              <w:br/>
              <w:t>Date of</w:t>
              <w:br/>
              <w:t>Equity</w:t>
              <w:br/>
              <w:t>Awards</w:t>
              <w:br/>
              <w:t>Granted</w:t>
              <w:br/>
              <w:t>and Vested</w:t>
              <w:br/>
              <w:t>in the Year</w:t>
            </w:r>
          </w:p>
        </w:tc>
        <w:tc>
          <w:tcPr>
            <w:tcW w:w="1100"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 over</w:t>
              <w:br/>
              <w:t xml:space="preserve">Year Change </w:t>
              <w:br/>
              <w:t xml:space="preserve">in Fair Value </w:t>
              <w:br/>
              <w:t>of Equity</w:t>
              <w:br/>
              <w:t>Awards</w:t>
              <w:br/>
              <w:t>Granted in</w:t>
              <w:br/>
              <w:t>Prior Years</w:t>
              <w:br/>
              <w:t>that Vested</w:t>
              <w:br/>
              <w:t>in the Year</w:t>
            </w:r>
          </w:p>
        </w:tc>
        <w:tc>
          <w:tcPr>
            <w:tcW w:w="117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at </w:t>
              <w:br/>
              <w:t>the End of</w:t>
              <w:br/>
              <w:t xml:space="preserve">the Prior Year </w:t>
              <w:br/>
              <w:t>of Equity</w:t>
              <w:br/>
              <w:t>Awards that</w:t>
              <w:br/>
              <w:t>Failed to</w:t>
              <w:br/>
              <w:t>Meet Vesting</w:t>
              <w:br/>
              <w:t xml:space="preserve">Conditions in </w:t>
              <w:br/>
              <w:t>the Year</w:t>
            </w:r>
          </w:p>
        </w:tc>
        <w:tc>
          <w:tcPr>
            <w:tcW w:w="135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 of</w:t>
              <w:br/>
              <w:t>Dividends or</w:t>
              <w:br/>
              <w:t>Other Earnings</w:t>
              <w:br/>
              <w:t>Paid on Stock or</w:t>
              <w:br/>
              <w:t>Option Awards</w:t>
              <w:br/>
              <w:t>not Otherwise</w:t>
              <w:br/>
              <w:t>Reflected in Fair</w:t>
              <w:br/>
              <w:t>Value or Total</w:t>
              <w:br/>
              <w:t>Compensation</w:t>
            </w:r>
          </w:p>
        </w:tc>
        <w:tc>
          <w:tcPr>
            <w:tcW w:w="1115" w:type="dxa"/>
            <w:tcBorders>
              <w:top w:val="single" w:sz="8" w:space="0" w:color="58595B"/>
              <w:bottom w:val="single" w:sz="8" w:space="0" w:color="58595B"/>
              <w:right w:val="single" w:sz="8" w:space="0" w:color="58595B"/>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 Equity</w:t>
              <w:br/>
              <w:t>Award</w:t>
              <w:br/>
              <w:t>Adjustments</w:t>
            </w:r>
          </w:p>
        </w:tc>
      </w:tr>
      <w:tr>
        <w:trPr/>
        <w:tc>
          <w:tcPr>
            <w:tcW w:w="425" w:type="dxa"/>
            <w:tcBorders>
              <w:left w:val="single" w:sz="8" w:space="0" w:color="58595B"/>
              <w:bottom w:val="single" w:sz="8" w:space="0" w:color="58595B"/>
              <w:right w:val="single" w:sz="8" w:space="0" w:color="58595B"/>
            </w:tcBorders>
            <w:tcMar>
              <w:top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2025</w:t>
            </w:r>
          </w:p>
        </w:tc>
        <w:tc>
          <w:tcPr>
            <w:tcW w:w="83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6,028,892</w:t>
            </w:r>
          </w:p>
        </w:tc>
        <w:tc>
          <w:tcPr>
            <w:tcW w:w="114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(220,240)</w:t>
            </w:r>
          </w:p>
        </w:tc>
        <w:tc>
          <w:tcPr>
            <w:tcW w:w="93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color w:val="58595B"/>
              </w:rPr>
            </w:pPr>
            <w:r>
              <w:rPr>
                <w:color w:val="58595B"/>
              </w:rPr>
              <w:t>—</w:t>
            </w:r>
          </w:p>
        </w:tc>
        <w:tc>
          <w:tcPr>
            <w:tcW w:w="110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(143,475)</w:t>
            </w:r>
          </w:p>
        </w:tc>
        <w:tc>
          <w:tcPr>
            <w:tcW w:w="117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color w:val="58595B"/>
              </w:rPr>
            </w:pPr>
            <w:r>
              <w:rPr>
                <w:color w:val="58595B"/>
              </w:rPr>
              <w:t>—</w:t>
            </w:r>
          </w:p>
        </w:tc>
        <w:tc>
          <w:tcPr>
            <w:tcW w:w="135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color w:val="58595B"/>
              </w:rPr>
            </w:pPr>
            <w:r>
              <w:rPr>
                <w:color w:val="58595B"/>
              </w:rPr>
              <w:t>—</w:t>
            </w:r>
          </w:p>
        </w:tc>
        <w:tc>
          <w:tcPr>
            <w:tcW w:w="111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5,665,177</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2"/>
        <w:gridCol w:w="9995"/>
      </w:tblGrid>
      <w:tr>
        <w:trPr/>
        <w:tc>
          <w:tcPr>
            <w:tcW w:w="6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15"/>
              </w:rPr>
            </w:pPr>
            <w:r>
              <w:rPr>
                <w:sz w:val="15"/>
              </w:rPr>
              <w:t>3.</w:t>
            </w:r>
          </w:p>
        </w:tc>
        <w:tc>
          <w:tcPr>
            <w:tcW w:w="9995" w:type="dxa"/>
            <w:tcBorders/>
            <w:vAlign w:val="center"/>
          </w:tcPr>
          <w:p>
            <w:pPr>
              <w:pStyle w:val="TableContents"/>
              <w:bidi w:val="0"/>
              <w:spacing w:before="0" w:after="283"/>
              <w:jc w:val="both"/>
              <w:rPr>
                <w:sz w:val="15"/>
              </w:rPr>
            </w:pPr>
            <w:r>
              <w:rPr>
                <w:sz w:val="15"/>
              </w:rPr>
              <w:t xml:space="preserve">Mr. Quirk ceased to be our Chief Executive Officer and transitioned to Executive Vice-Chairman of our Board as of February 1, 2022. The dollar amounts reported in column (d) are the amounts of total compensation reported for Mr. Quirk for each corresponding year in the "Total" column of the Summary Compensation Table. Refer to "Executive Compensation – Summary Compensation Table."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59"/>
        <w:gridCol w:w="9978"/>
      </w:tblGrid>
      <w:tr>
        <w:trPr/>
        <w:tc>
          <w:tcPr>
            <w:tcW w:w="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16"/>
              </w:rPr>
            </w:pPr>
            <w:r>
              <w:rPr>
                <w:sz w:val="16"/>
              </w:rPr>
              <w:t>4.</w:t>
            </w:r>
          </w:p>
        </w:tc>
        <w:tc>
          <w:tcPr>
            <w:tcW w:w="9978" w:type="dxa"/>
            <w:tcBorders/>
            <w:vAlign w:val="center"/>
          </w:tcPr>
          <w:p>
            <w:pPr>
              <w:pStyle w:val="TableContents"/>
              <w:bidi w:val="0"/>
              <w:spacing w:before="0" w:after="283"/>
              <w:jc w:val="left"/>
              <w:rPr>
                <w:sz w:val="16"/>
              </w:rPr>
            </w:pPr>
            <w:r>
              <w:rPr>
                <w:sz w:val="16"/>
              </w:rPr>
              <w:t xml:space="preserve">The dollar amounts reported in column (e) represent the amount of "compensation actually paid" to Mr. Quirk, as computed in accordance with Item 402(v) of Regulation S-K. The dollar amounts do not reflect the actual amount of compensation earned by or paid to Mr. Quirk during the applicable year.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32"/>
        <w:gridCol w:w="10005"/>
      </w:tblGrid>
      <w:tr>
        <w:trPr/>
        <w:tc>
          <w:tcPr>
            <w:tcW w:w="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15"/>
              </w:rPr>
            </w:pPr>
            <w:r>
              <w:rPr>
                <w:sz w:val="15"/>
              </w:rPr>
              <w:t>5.</w:t>
            </w:r>
          </w:p>
        </w:tc>
        <w:tc>
          <w:tcPr>
            <w:tcW w:w="10005" w:type="dxa"/>
            <w:tcBorders/>
            <w:vAlign w:val="center"/>
          </w:tcPr>
          <w:p>
            <w:pPr>
              <w:pStyle w:val="TableContents"/>
              <w:bidi w:val="0"/>
              <w:spacing w:before="0" w:after="283"/>
              <w:jc w:val="left"/>
              <w:rPr>
                <w:sz w:val="15"/>
              </w:rPr>
            </w:pPr>
            <w:r>
              <w:rPr>
                <w:sz w:val="15"/>
              </w:rPr>
              <w:t>The dollar amounts reported in column (f) represent the average of the amounts reported for our named executive officers (NEOs) as a group (excluding Mr. Nolan (who has served as our Chief Executive Officer since February 1, 2022) for 2022, 2023, 2024, and 2025 and Mr. Quirk (who served as our Chief Executive Officer through January 31, 2022) for 2022 and2021) in the "Total" column of the Summary Compensation Table in each applicable year. The names of each of the NEOs (excluding Messrs. Nolan and/or Quirk, as applicable) included for purposes of calculating the average amounts in each applicable year are as follows: (i) for 2025, 2024 and 2023, Raymond R. Quirk, Anthony J. Park, Peter T. Sadowski and Michael L. Gravelle, (ii) for 2022, Anthony J. Park, Peter T. Sadowski, Michael L. Gravelle and Roger S. Jewkes; and (iii) for 2021, Michael J. Nolan, Roger S. Jewkes, Anthony J. Park and Peter T. Sadowski.</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45"/>
        <w:gridCol w:w="9992"/>
      </w:tblGrid>
      <w:tr>
        <w:trPr/>
        <w:tc>
          <w:tcPr>
            <w:tcW w:w="6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16"/>
              </w:rPr>
            </w:pPr>
            <w:r>
              <w:rPr>
                <w:sz w:val="16"/>
              </w:rPr>
              <w:t>6.</w:t>
            </w:r>
          </w:p>
        </w:tc>
        <w:tc>
          <w:tcPr>
            <w:tcW w:w="9992" w:type="dxa"/>
            <w:tcBorders/>
            <w:vAlign w:val="center"/>
          </w:tcPr>
          <w:p>
            <w:pPr>
              <w:pStyle w:val="TableContents"/>
              <w:bidi w:val="0"/>
              <w:spacing w:before="0" w:after="283"/>
              <w:jc w:val="left"/>
              <w:rPr>
                <w:sz w:val="16"/>
              </w:rPr>
            </w:pPr>
            <w:r>
              <w:rPr>
                <w:sz w:val="16"/>
              </w:rPr>
              <w:t xml:space="preserve">The dollar amounts reported in column (e) represent the average amount of "compensation actually paid" to the NEOs as a group (excluding Mr. Nolan for 2025, 2024 and 2023, Messrs. Nolan and Quirk for 2022 and excluding Mr. Quirk for 2021), as computed in accordance with Item 402(v) of Regulation S-K. The dollar amounts do not reflect the actual average amount of compensation earned by or paid to the NEOs as a group (excluding Mr. Nolan for 2025, 2024 and 2023, Messrs. Nolan and Quirk for 2022 and excluding Mr. Quirk for 2021) during the applicable year. In accordance with the requirements of Item 402(v) of Regulation S-K, the following adjustments were made to average total compensation for the NEOs as a group (excluding Mr. Nolan for 2025, 2024 and 2023, Messrs. Nolan and Quirk for 2022 and excluding Mr. Quirk for 2021) for each year to determine the compensation actually paid, using the same methodology described above in Note 2: </w:t>
            </w:r>
          </w:p>
        </w:tc>
      </w:tr>
    </w:tbl>
    <w:p>
      <w:pPr>
        <w:pStyle w:val="TextBody"/>
        <w:bidi w:val="0"/>
        <w:spacing w:before="0" w:after="0"/>
        <w:ind w:left="0" w:right="0" w:hanging="0"/>
        <w:jc w:val="left"/>
        <w:rPr>
          <w:caps w:val="false"/>
          <w:smallCaps w:val="false"/>
        </w:rPr>
      </w:pPr>
      <w:r>
        <w:rPr>
          <w:caps w:val="false"/>
          <w:smallCaps w:val="false"/>
        </w:rPr>
        <w:t> </w:t>
      </w:r>
    </w:p>
    <w:tbl>
      <w:tblPr>
        <w:tblW w:w="8750" w:type="dxa"/>
        <w:jc w:val="left"/>
        <w:tblInd w:w="-10" w:type="dxa"/>
        <w:tblLayout w:type="fixed"/>
        <w:tblCellMar>
          <w:top w:w="60" w:type="dxa"/>
          <w:left w:w="108" w:type="dxa"/>
          <w:bottom w:w="60" w:type="dxa"/>
          <w:right w:w="108" w:type="dxa"/>
        </w:tblCellMar>
      </w:tblPr>
      <w:tblGrid>
        <w:gridCol w:w="425"/>
        <w:gridCol w:w="1700"/>
        <w:gridCol w:w="1250"/>
        <w:gridCol w:w="1235"/>
        <w:gridCol w:w="1445"/>
        <w:gridCol w:w="1310"/>
        <w:gridCol w:w="1385"/>
      </w:tblGrid>
      <w:tr>
        <w:trPr/>
        <w:tc>
          <w:tcPr>
            <w:tcW w:w="425" w:type="dxa"/>
            <w:tcBorders>
              <w:top w:val="single" w:sz="8" w:space="0" w:color="58595B"/>
              <w:left w:val="single" w:sz="8" w:space="0" w:color="58595B"/>
              <w:bottom w:val="single" w:sz="8" w:space="0" w:color="58595B"/>
              <w:right w:val="single" w:sz="8" w:space="0" w:color="FFFFFF"/>
            </w:tcBorders>
            <w:shd w:fill="274F78"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1700"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br/>
              <w:t>Reported Summary</w:t>
              <w:br/>
              <w:t>Compensation Table</w:t>
              <w:br/>
              <w:t>Total for Non-PEO</w:t>
              <w:br/>
              <w:t>NEOs</w:t>
            </w:r>
          </w:p>
        </w:tc>
        <w:tc>
          <w:tcPr>
            <w:tcW w:w="1250"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Average</w:t>
              <w:br/>
              <w:t>Reported</w:t>
              <w:br/>
              <w:t>Value of Equity</w:t>
              <w:br/>
              <w:t>Awards</w:t>
            </w:r>
          </w:p>
        </w:tc>
        <w:tc>
          <w:tcPr>
            <w:tcW w:w="123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br/>
              <w:t>Equity Award</w:t>
              <w:br/>
              <w:t>Adjustments</w:t>
            </w:r>
            <w:r>
              <w:rPr>
                <w:rFonts w:ascii="Arial;Helvetica;Sans-Serif" w:hAnsi="Arial;Helvetica;Sans-Serif"/>
                <w:b/>
                <w:color w:val="FFFFFF"/>
                <w:position w:val="5"/>
                <w:sz w:val="13"/>
                <w:sz w:val="16"/>
              </w:rPr>
              <w:t>(a)</w:t>
            </w:r>
          </w:p>
        </w:tc>
        <w:tc>
          <w:tcPr>
            <w:tcW w:w="144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Average</w:t>
              <w:br/>
              <w:t>Reported</w:t>
              <w:br/>
              <w:t>Change in the</w:t>
              <w:br/>
              <w:t xml:space="preserve">Actuarial Present </w:t>
              <w:br/>
              <w:t>Value of Pension</w:t>
              <w:br/>
              <w:t>Benefits</w:t>
            </w:r>
          </w:p>
        </w:tc>
        <w:tc>
          <w:tcPr>
            <w:tcW w:w="1310"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Average</w:t>
              <w:br/>
              <w:t>Pension Benefit</w:t>
              <w:br/>
              <w:t>Adjustments</w:t>
            </w:r>
          </w:p>
        </w:tc>
        <w:tc>
          <w:tcPr>
            <w:tcW w:w="1385" w:type="dxa"/>
            <w:tcBorders>
              <w:top w:val="single" w:sz="8" w:space="0" w:color="58595B"/>
              <w:bottom w:val="single" w:sz="8" w:space="0" w:color="58595B"/>
              <w:right w:val="single" w:sz="8" w:space="0" w:color="58595B"/>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Average</w:t>
              <w:br/>
              <w:t>Compensation</w:t>
              <w:br/>
              <w:t xml:space="preserve">Actually Paid to </w:t>
              <w:br/>
              <w:t>Non-PEO NEOs</w:t>
            </w:r>
          </w:p>
        </w:tc>
      </w:tr>
      <w:tr>
        <w:trPr/>
        <w:tc>
          <w:tcPr>
            <w:tcW w:w="425" w:type="dxa"/>
            <w:tcBorders>
              <w:left w:val="single" w:sz="8" w:space="0" w:color="58595B"/>
              <w:bottom w:val="single" w:sz="8" w:space="0" w:color="58595B"/>
              <w:right w:val="single" w:sz="8" w:space="0" w:color="58595B"/>
            </w:tcBorders>
            <w:tcMar>
              <w:top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2025</w:t>
            </w:r>
          </w:p>
        </w:tc>
        <w:tc>
          <w:tcPr>
            <w:tcW w:w="170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4,595,694</w:t>
            </w:r>
          </w:p>
        </w:tc>
        <w:tc>
          <w:tcPr>
            <w:tcW w:w="125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(2,268,797)</w:t>
            </w:r>
          </w:p>
        </w:tc>
        <w:tc>
          <w:tcPr>
            <w:tcW w:w="123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2,158,684</w:t>
            </w:r>
          </w:p>
        </w:tc>
        <w:tc>
          <w:tcPr>
            <w:tcW w:w="144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color w:val="58595B"/>
              </w:rPr>
            </w:pPr>
            <w:r>
              <w:rPr>
                <w:color w:val="58595B"/>
              </w:rPr>
              <w:t>—</w:t>
            </w:r>
          </w:p>
        </w:tc>
        <w:tc>
          <w:tcPr>
            <w:tcW w:w="131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color w:val="58595B"/>
              </w:rPr>
            </w:pPr>
            <w:r>
              <w:rPr>
                <w:color w:val="58595B"/>
              </w:rPr>
              <w:t>—</w:t>
            </w:r>
          </w:p>
        </w:tc>
        <w:tc>
          <w:tcPr>
            <w:tcW w:w="138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4,485,581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0" w:right="0" w:hanging="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 The amounts deducted or added in calculating the total average equity award adjustments are as follows:</w:t>
      </w:r>
    </w:p>
    <w:p>
      <w:pPr>
        <w:pStyle w:val="TextBody"/>
        <w:bidi w:val="0"/>
        <w:spacing w:before="0" w:after="0"/>
        <w:ind w:left="0" w:right="0" w:hanging="0"/>
        <w:jc w:val="left"/>
        <w:rPr>
          <w:caps w:val="false"/>
          <w:smallCaps w:val="false"/>
        </w:rPr>
      </w:pPr>
      <w:r>
        <w:rPr>
          <w:caps w:val="false"/>
          <w:smallCaps w:val="false"/>
        </w:rPr>
        <w:t> </w:t>
      </w:r>
    </w:p>
    <w:tbl>
      <w:tblPr>
        <w:tblW w:w="7555" w:type="dxa"/>
        <w:jc w:val="left"/>
        <w:tblInd w:w="-10" w:type="dxa"/>
        <w:tblLayout w:type="fixed"/>
        <w:tblCellMar>
          <w:top w:w="60" w:type="dxa"/>
          <w:left w:w="108" w:type="dxa"/>
          <w:bottom w:w="60" w:type="dxa"/>
          <w:right w:w="108" w:type="dxa"/>
        </w:tblCellMar>
      </w:tblPr>
      <w:tblGrid>
        <w:gridCol w:w="425"/>
        <w:gridCol w:w="770"/>
        <w:gridCol w:w="1085"/>
        <w:gridCol w:w="830"/>
        <w:gridCol w:w="1145"/>
        <w:gridCol w:w="1130"/>
        <w:gridCol w:w="1355"/>
        <w:gridCol w:w="815"/>
      </w:tblGrid>
      <w:tr>
        <w:trPr/>
        <w:tc>
          <w:tcPr>
            <w:tcW w:w="425" w:type="dxa"/>
            <w:tcBorders>
              <w:top w:val="single" w:sz="8" w:space="0" w:color="58595B"/>
              <w:left w:val="single" w:sz="8" w:space="0" w:color="58595B"/>
              <w:bottom w:val="single" w:sz="8" w:space="0" w:color="58595B"/>
              <w:right w:val="single" w:sz="8" w:space="0" w:color="FFFFFF"/>
            </w:tcBorders>
            <w:shd w:fill="274F78"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770"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Average</w:t>
              <w:br/>
              <w:t>Year End</w:t>
              <w:br/>
              <w:t>Fair</w:t>
              <w:br/>
              <w:t>Value of</w:t>
              <w:br/>
              <w:t>Equity</w:t>
              <w:br/>
              <w:t>Awards</w:t>
            </w:r>
          </w:p>
        </w:tc>
        <w:tc>
          <w:tcPr>
            <w:tcW w:w="108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 over</w:t>
              <w:br/>
              <w:t>Year Average</w:t>
              <w:br/>
              <w:t>Change in</w:t>
              <w:br/>
              <w:t>Fair Value</w:t>
              <w:br/>
              <w:t>of</w:t>
              <w:br/>
              <w:t>Outstanding</w:t>
              <w:br/>
              <w:t>and</w:t>
              <w:br/>
              <w:t>Unvested</w:t>
              <w:br/>
              <w:t>Equity</w:t>
              <w:br/>
              <w:t>Awards</w:t>
            </w:r>
          </w:p>
        </w:tc>
        <w:tc>
          <w:tcPr>
            <w:tcW w:w="830"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Average</w:t>
              <w:br/>
              <w:t>Fair Value</w:t>
              <w:br/>
              <w:t>as of</w:t>
              <w:br/>
              <w:t>Vesting</w:t>
              <w:br/>
              <w:t>Date of</w:t>
              <w:br/>
              <w:t>Equity</w:t>
              <w:br/>
              <w:t>Awards</w:t>
              <w:br/>
              <w:t xml:space="preserve">Granted </w:t>
              <w:br/>
              <w:t>and</w:t>
              <w:br/>
              <w:t>Vested in</w:t>
              <w:br/>
              <w:t>the Year</w:t>
            </w:r>
          </w:p>
        </w:tc>
        <w:tc>
          <w:tcPr>
            <w:tcW w:w="114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 over</w:t>
              <w:br/>
              <w:t>Year Average</w:t>
              <w:br/>
              <w:t>Change in</w:t>
              <w:br/>
              <w:t>Fair Value</w:t>
              <w:br/>
              <w:t>of Equity</w:t>
              <w:br/>
              <w:t>Awards</w:t>
              <w:br/>
              <w:t>Granted</w:t>
              <w:br/>
              <w:t xml:space="preserve">in Prior Years </w:t>
              <w:br/>
              <w:t xml:space="preserve">that </w:t>
              <w:br/>
              <w:t xml:space="preserve">Vested in the </w:t>
              <w:br/>
              <w:t>Year</w:t>
            </w:r>
          </w:p>
        </w:tc>
        <w:tc>
          <w:tcPr>
            <w:tcW w:w="1130"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Fair </w:t>
              <w:br/>
              <w:t>Value at the</w:t>
              <w:br/>
              <w:t>End of the</w:t>
              <w:br/>
              <w:t>Prior Year</w:t>
              <w:br/>
              <w:t>of Equity</w:t>
              <w:br/>
              <w:t>Awards that</w:t>
              <w:br/>
              <w:t>Failed to</w:t>
              <w:br/>
              <w:t>Meet Vesting</w:t>
              <w:br/>
              <w:t>Conditions in</w:t>
              <w:br/>
              <w:t>the Year</w:t>
            </w:r>
          </w:p>
        </w:tc>
        <w:tc>
          <w:tcPr>
            <w:tcW w:w="135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Value </w:t>
              <w:br/>
              <w:t>of Dividends or</w:t>
              <w:br/>
              <w:t>Other Earnings</w:t>
              <w:br/>
              <w:t>Paid on Stock or</w:t>
              <w:br/>
              <w:t>Option Awards</w:t>
              <w:br/>
              <w:t>not Otherwise</w:t>
              <w:br/>
              <w:t>Reflected in Fair</w:t>
              <w:br/>
              <w:t>Value or Total</w:t>
              <w:br/>
              <w:t>Compensation</w:t>
            </w:r>
          </w:p>
        </w:tc>
        <w:tc>
          <w:tcPr>
            <w:tcW w:w="815" w:type="dxa"/>
            <w:tcBorders>
              <w:top w:val="single" w:sz="8" w:space="0" w:color="58595B"/>
              <w:bottom w:val="single" w:sz="8" w:space="0" w:color="58595B"/>
              <w:right w:val="single" w:sz="8" w:space="0" w:color="58595B"/>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w:t>
              <w:br/>
              <w:t>Average</w:t>
              <w:br/>
              <w:t>Equity</w:t>
              <w:br/>
              <w:t>Award</w:t>
            </w:r>
          </w:p>
        </w:tc>
      </w:tr>
      <w:tr>
        <w:trPr/>
        <w:tc>
          <w:tcPr>
            <w:tcW w:w="425" w:type="dxa"/>
            <w:tcBorders>
              <w:left w:val="single" w:sz="8" w:space="0" w:color="58595B"/>
              <w:bottom w:val="single" w:sz="8" w:space="0" w:color="58595B"/>
              <w:right w:val="single" w:sz="8" w:space="0" w:color="58595B"/>
            </w:tcBorders>
            <w:tcMar>
              <w:top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2025</w:t>
            </w:r>
          </w:p>
        </w:tc>
        <w:tc>
          <w:tcPr>
            <w:tcW w:w="77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2,287,225</w:t>
            </w:r>
          </w:p>
        </w:tc>
        <w:tc>
          <w:tcPr>
            <w:tcW w:w="108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(55,307)</w:t>
            </w:r>
          </w:p>
        </w:tc>
        <w:tc>
          <w:tcPr>
            <w:tcW w:w="83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color w:val="58595B"/>
              </w:rPr>
            </w:pPr>
            <w:r>
              <w:rPr>
                <w:color w:val="58595B"/>
              </w:rPr>
              <w:t>—</w:t>
            </w:r>
          </w:p>
        </w:tc>
        <w:tc>
          <w:tcPr>
            <w:tcW w:w="114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(73,234)</w:t>
            </w:r>
          </w:p>
        </w:tc>
        <w:tc>
          <w:tcPr>
            <w:tcW w:w="1130"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color w:val="58595B"/>
              </w:rPr>
            </w:pPr>
            <w:r>
              <w:rPr>
                <w:color w:val="58595B"/>
              </w:rPr>
              <w:t>—</w:t>
            </w:r>
          </w:p>
        </w:tc>
        <w:tc>
          <w:tcPr>
            <w:tcW w:w="135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color w:val="58595B"/>
              </w:rPr>
            </w:pPr>
            <w:r>
              <w:rPr>
                <w:color w:val="58595B"/>
              </w:rPr>
              <w:t>—</w:t>
            </w:r>
          </w:p>
        </w:tc>
        <w:tc>
          <w:tcPr>
            <w:tcW w:w="815" w:type="dxa"/>
            <w:tcBorders>
              <w:bottom w:val="single" w:sz="8" w:space="0" w:color="58595B"/>
              <w:right w:val="single" w:sz="8" w:space="0" w:color="58595B"/>
            </w:tcBorders>
            <w:tcMar>
              <w:top w:w="0" w:type="dxa"/>
              <w:left w:w="0" w:type="dxa"/>
              <w:bottom w:w="100" w:type="dxa"/>
            </w:tcMar>
            <w:vAlign w:val="center"/>
          </w:tcPr>
          <w:p>
            <w:pPr>
              <w:pStyle w:val="TableContents"/>
              <w:bidi w:val="0"/>
              <w:spacing w:before="0" w:after="283"/>
              <w:jc w:val="center"/>
              <w:rPr>
                <w:rFonts w:ascii="Arial;Helvetica;Sans-Serif" w:hAnsi="Arial;Helvetica;Sans-Serif"/>
                <w:color w:val="58595B"/>
                <w:sz w:val="16"/>
              </w:rPr>
            </w:pPr>
            <w:r>
              <w:rPr>
                <w:rFonts w:ascii="Arial;Helvetica;Sans-Serif" w:hAnsi="Arial;Helvetica;Sans-Serif"/>
                <w:color w:val="58595B"/>
                <w:sz w:val="16"/>
              </w:rPr>
              <w:t>2,158,684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57"/>
        <w:gridCol w:w="9980"/>
      </w:tblGrid>
      <w:tr>
        <w:trPr/>
        <w:tc>
          <w:tcPr>
            <w:tcW w:w="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16"/>
              </w:rPr>
            </w:pPr>
            <w:r>
              <w:rPr>
                <w:sz w:val="16"/>
              </w:rPr>
              <w:t>7.</w:t>
            </w:r>
          </w:p>
        </w:tc>
        <w:tc>
          <w:tcPr>
            <w:tcW w:w="9980" w:type="dxa"/>
            <w:tcBorders/>
            <w:vAlign w:val="center"/>
          </w:tcPr>
          <w:p>
            <w:pPr>
              <w:pStyle w:val="TableContents"/>
              <w:bidi w:val="0"/>
              <w:spacing w:before="0" w:after="283"/>
              <w:jc w:val="left"/>
              <w:rPr>
                <w:sz w:val="16"/>
              </w:rPr>
            </w:pPr>
            <w:r>
              <w:rPr>
                <w:sz w:val="16"/>
              </w:rPr>
              <w:t xml:space="preserve">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70</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60"/>
        <w:gridCol w:w="9977"/>
      </w:tblGrid>
      <w:tr>
        <w:trPr/>
        <w:tc>
          <w:tcPr>
            <w:tcW w:w="6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16"/>
              </w:rPr>
            </w:pPr>
            <w:r>
              <w:rPr>
                <w:sz w:val="16"/>
              </w:rPr>
              <w:t>8.</w:t>
            </w:r>
          </w:p>
        </w:tc>
        <w:tc>
          <w:tcPr>
            <w:tcW w:w="9977" w:type="dxa"/>
            <w:tcBorders/>
            <w:vAlign w:val="center"/>
          </w:tcPr>
          <w:p>
            <w:pPr>
              <w:pStyle w:val="TableContents"/>
              <w:bidi w:val="0"/>
              <w:spacing w:before="0" w:after="283"/>
              <w:jc w:val="left"/>
              <w:rPr>
                <w:sz w:val="16"/>
              </w:rPr>
            </w:pPr>
            <w:r>
              <w:rPr>
                <w:sz w:val="16"/>
              </w:rPr>
              <w:t xml:space="preserve">Represents the weighted peer group TSR, weighted according to the respective companies' stock market capitalization at the beginning of each period for which a return is indicated. The peer group used for this purpose is First American Financial Corporation and Stewart Information Services Corp.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84"/>
        <w:gridCol w:w="9953"/>
      </w:tblGrid>
      <w:tr>
        <w:trPr/>
        <w:tc>
          <w:tcPr>
            <w:tcW w:w="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16"/>
              </w:rPr>
            </w:pPr>
            <w:r>
              <w:rPr>
                <w:sz w:val="16"/>
              </w:rPr>
              <w:t>9.</w:t>
            </w:r>
          </w:p>
        </w:tc>
        <w:tc>
          <w:tcPr>
            <w:tcW w:w="9953" w:type="dxa"/>
            <w:tcBorders/>
            <w:vAlign w:val="center"/>
          </w:tcPr>
          <w:p>
            <w:pPr>
              <w:pStyle w:val="TableContents"/>
              <w:bidi w:val="0"/>
              <w:spacing w:before="0" w:after="283"/>
              <w:jc w:val="both"/>
              <w:rPr>
                <w:sz w:val="16"/>
              </w:rPr>
            </w:pPr>
            <w:r>
              <w:rPr>
                <w:sz w:val="16"/>
              </w:rPr>
              <w:t xml:space="preserve">The dollar amounts reported represent the amount of net income reflected in the Company's audited financial statements for the applicable year.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248"/>
        <w:gridCol w:w="9889"/>
      </w:tblGrid>
      <w:tr>
        <w:trPr/>
        <w:tc>
          <w:tcPr>
            <w:tcW w:w="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16"/>
              </w:rPr>
            </w:pPr>
            <w:r>
              <w:rPr>
                <w:sz w:val="16"/>
              </w:rPr>
              <w:t>10.</w:t>
            </w:r>
          </w:p>
        </w:tc>
        <w:tc>
          <w:tcPr>
            <w:tcW w:w="9889" w:type="dxa"/>
            <w:tcBorders/>
            <w:vAlign w:val="center"/>
          </w:tcPr>
          <w:p>
            <w:pPr>
              <w:pStyle w:val="TableContents"/>
              <w:bidi w:val="0"/>
              <w:spacing w:before="0" w:after="283"/>
              <w:jc w:val="both"/>
              <w:rPr>
                <w:sz w:val="16"/>
              </w:rPr>
            </w:pPr>
            <w:r>
              <w:rPr>
                <w:sz w:val="16"/>
              </w:rPr>
              <w:t xml:space="preserve">Adjusted Pre-tax Title Margin is calculated by dividing the earnings before income taxes and non-controlling interests from our title segment, excluding recognized gains and losses, purchase accounting amortization and other unusual items, by total revenues of the title segment excluding recognized gains and losses.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4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062A5D"/>
          <w:sz w:val="22"/>
        </w:rPr>
        <w:t xml:space="preserve">Tabular List of Financial Performance Measures. </w:t>
      </w:r>
      <w:r>
        <w:rPr>
          <w:rFonts w:ascii="Arial;Helvetica;Sans-Serif" w:hAnsi="Arial;Helvetica;Sans-Serif"/>
          <w:b w:val="false"/>
          <w:i w:val="false"/>
          <w:caps w:val="false"/>
          <w:smallCaps w:val="false"/>
          <w:color w:val="58595B"/>
          <w:sz w:val="22"/>
        </w:rPr>
        <w:t>As described in greater detail in "Executive Compensation –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shareholders. The most important financial performance measures used by the Company to link executive compensation actually paid to the Company's NEOs, for the most recently completed fiscal year, to the Company's performance are as follows:</w:t>
      </w:r>
    </w:p>
    <w:p>
      <w:pPr>
        <w:pStyle w:val="TextBody"/>
        <w:bidi w:val="0"/>
        <w:spacing w:before="0" w:after="0"/>
        <w:ind w:left="0" w:right="0" w:hanging="0"/>
        <w:jc w:val="left"/>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68"/>
        <w:gridCol w:w="140"/>
        <w:gridCol w:w="300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3005" w:type="dxa"/>
            <w:tcBorders/>
            <w:vAlign w:val="center"/>
          </w:tcPr>
          <w:p>
            <w:pPr>
              <w:pStyle w:val="TableContents"/>
              <w:bidi w:val="0"/>
              <w:spacing w:before="0" w:after="283"/>
              <w:jc w:val="both"/>
              <w:rPr>
                <w:sz w:val="22"/>
              </w:rPr>
            </w:pPr>
            <w:r>
              <w:rPr>
                <w:sz w:val="22"/>
              </w:rPr>
              <w:t xml:space="preserve">Adjusted Pre-Tax Title Margin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2568" w:type="dxa"/>
        <w:jc w:val="left"/>
        <w:tblInd w:w="0" w:type="dxa"/>
        <w:tblLayout w:type="fixed"/>
        <w:tblCellMar>
          <w:top w:w="0" w:type="dxa"/>
          <w:left w:w="0" w:type="dxa"/>
          <w:bottom w:w="0" w:type="dxa"/>
          <w:right w:w="0" w:type="dxa"/>
        </w:tblCellMar>
      </w:tblPr>
      <w:tblGrid>
        <w:gridCol w:w="68"/>
        <w:gridCol w:w="140"/>
        <w:gridCol w:w="236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2360" w:type="dxa"/>
            <w:tcBorders/>
            <w:vAlign w:val="center"/>
          </w:tcPr>
          <w:p>
            <w:pPr>
              <w:pStyle w:val="TableContents"/>
              <w:bidi w:val="0"/>
              <w:spacing w:before="0" w:after="283"/>
              <w:jc w:val="both"/>
              <w:rPr>
                <w:sz w:val="22"/>
              </w:rPr>
            </w:pPr>
            <w:r>
              <w:rPr>
                <w:sz w:val="22"/>
              </w:rPr>
              <w:t xml:space="preserve">Adjusted Title Revenue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40" w:hanging="0"/>
        <w:jc w:val="left"/>
        <w:rPr>
          <w:rFonts w:ascii="Arial;Helvetica;Sans-Serif" w:hAnsi="Arial;Helvetica;Sans-Serif"/>
          <w:b w:val="false"/>
          <w:i w:val="false"/>
          <w:caps w:val="false"/>
          <w:smallCaps w:val="false"/>
          <w:sz w:val="21"/>
        </w:rPr>
      </w:pPr>
      <w:r>
        <w:rPr>
          <w:rFonts w:ascii="Arial;Helvetica;Sans-Serif" w:hAnsi="Arial;Helvetica;Sans-Serif"/>
          <w:b/>
          <w:i w:val="false"/>
          <w:caps w:val="false"/>
          <w:smallCaps w:val="false"/>
          <w:color w:val="062A5D"/>
          <w:sz w:val="21"/>
        </w:rPr>
        <w:t xml:space="preserve">Analysis of the Information Presented in the Pay versus Performance Table. </w:t>
      </w:r>
      <w:r>
        <w:rPr>
          <w:rFonts w:ascii="Arial;Helvetica;Sans-Serif" w:hAnsi="Arial;Helvetica;Sans-Serif"/>
          <w:b w:val="false"/>
          <w:i w:val="false"/>
          <w:caps w:val="false"/>
          <w:smallCaps w:val="false"/>
          <w:color w:val="58595B"/>
          <w:sz w:val="21"/>
        </w:rPr>
        <w:t>As described in more detail in the section "Executive Compensation – Compensation Discussion and Analysis," the Company's executive compensation program reflects a variable pay-for-performance philosophy. The Company utilizes two performance measures to align executive compensation with Company performance, both of which are presented in the "Pay Versus Performance"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"Pay Versus Performance" table.</w:t>
      </w:r>
    </w:p>
    <w:p>
      <w:pPr>
        <w:pStyle w:val="TextBody"/>
        <w:bidi w:val="0"/>
        <w:spacing w:before="0" w:after="0"/>
        <w:ind w:left="1440" w:right="40" w:hanging="0"/>
        <w:jc w:val="left"/>
        <w:rPr>
          <w:caps w:val="false"/>
          <w:smallCaps w:val="false"/>
        </w:rPr>
      </w:pPr>
      <w:r>
        <w:rPr>
          <w:caps w:val="false"/>
          <w:smallCaps w:val="false"/>
        </w:rPr>
        <w:t> </w:t>
      </w:r>
    </w:p>
    <w:p>
      <w:pPr>
        <w:pStyle w:val="TextBody"/>
        <w:bidi w:val="0"/>
        <w:spacing w:before="0" w:after="0"/>
        <w:ind w:left="1440" w:right="40" w:hanging="0"/>
        <w:jc w:val="left"/>
        <w:rPr>
          <w:rFonts w:ascii="Arial;Helvetica;Sans-Serif" w:hAnsi="Arial;Helvetica;Sans-Serif"/>
          <w:b w:val="false"/>
          <w:i w:val="false"/>
          <w:caps w:val="false"/>
          <w:smallCaps w:val="false"/>
          <w:sz w:val="21"/>
        </w:rPr>
      </w:pPr>
      <w:r>
        <w:rPr>
          <w:rFonts w:ascii="Arial;Helvetica;Sans-Serif" w:hAnsi="Arial;Helvetica;Sans-Serif"/>
          <w:b/>
          <w:i w:val="false"/>
          <w:caps w:val="false"/>
          <w:smallCaps w:val="false"/>
          <w:color w:val="062A5D"/>
          <w:sz w:val="21"/>
        </w:rPr>
        <w:t xml:space="preserve">Compensation Actually Paid and Cumulative TSR. </w:t>
      </w:r>
      <w:r>
        <w:rPr>
          <w:rFonts w:ascii="Arial;Helvetica;Sans-Serif" w:hAnsi="Arial;Helvetica;Sans-Serif"/>
          <w:b w:val="false"/>
          <w:i w:val="false"/>
          <w:caps w:val="false"/>
          <w:smallCaps w:val="false"/>
          <w:color w:val="58595B"/>
          <w:sz w:val="21"/>
        </w:rPr>
        <w:t>As demonstrated by the following graph, the amount of compensation actually paid to Mr. Quirk in 2021, the average compensation paid to Messrs. Quirk and Nolan in 2022, the amount of compensation actually paid to Mr. Nolan in 2025, 2024 and 2023, and the average amount of compensation actually paid to the Company's NEOs as a group (excluding Mr. Nolan for 2025, 2024 and 2023, Messrs. Nolan and Quirk for 2022 and excluding Mr. Quirk for 2021) is generally aligned with the Company's cumulative TSR over the five years presented in the table. The alignment of compensation actually paid with the Company's cumulative TSR over the period presented is because a significant portion of the compensation actually paid to Messrs. Nolan and Quirk and to the other NEOs is comprised of equity awards.</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290"/>
        <w:gridCol w:w="3050"/>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290"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71</w:t>
            </w:r>
          </w:p>
        </w:tc>
        <w:tc>
          <w:tcPr>
            <w:tcW w:w="3050"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r>
      <w:tr>
        <w:trPr/>
        <w:tc>
          <w:tcPr>
            <w:tcW w:w="105" w:type="dxa"/>
            <w:tcBorders/>
            <w:vAlign w:val="center"/>
          </w:tcPr>
          <w:p>
            <w:pPr>
              <w:pStyle w:val="TableContents"/>
              <w:bidi w:val="0"/>
              <w:spacing w:before="0" w:after="283"/>
              <w:jc w:val="left"/>
              <w:rPr>
                <w:color w:val="58595B"/>
              </w:rPr>
            </w:pPr>
            <w:r>
              <w:rPr>
                <w:color w:val="58595B"/>
              </w:rPr>
              <w:t> </w:t>
            </w:r>
          </w:p>
        </w:tc>
        <w:tc>
          <w:tcPr>
            <w:tcW w:w="290" w:type="dxa"/>
            <w:tcBorders/>
            <w:vAlign w:val="center"/>
          </w:tcPr>
          <w:p>
            <w:pPr>
              <w:pStyle w:val="TableContents"/>
              <w:bidi w:val="0"/>
              <w:spacing w:before="0" w:after="283"/>
              <w:jc w:val="left"/>
              <w:rPr>
                <w:color w:val="58595B"/>
              </w:rPr>
            </w:pPr>
            <w:r>
              <w:rPr>
                <w:color w:val="58595B"/>
              </w:rPr>
              <w:t> </w:t>
            </w:r>
          </w:p>
        </w:tc>
        <w:tc>
          <w:tcPr>
            <w:tcW w:w="3050" w:type="dxa"/>
            <w:tcBorders/>
            <w:vAlign w:val="center"/>
          </w:tcPr>
          <w:p>
            <w:pPr>
              <w:pStyle w:val="TableContents"/>
              <w:bidi w:val="0"/>
              <w:spacing w:before="0" w:after="283"/>
              <w:jc w:val="left"/>
              <w:rPr>
                <w:color w:val="58595B"/>
              </w:rPr>
            </w:pPr>
            <w:r>
              <w:rPr>
                <w:color w:val="58595B"/>
              </w:rPr>
              <w:t> </w:t>
            </w:r>
          </w:p>
        </w:tc>
      </w:tr>
      <w:tr>
        <w:trPr/>
        <w:tc>
          <w:tcPr>
            <w:tcW w:w="105" w:type="dxa"/>
            <w:tcBorders/>
            <w:shd w:fill="254F79" w:val="clear"/>
            <w:vAlign w:val="center"/>
          </w:tcPr>
          <w:p>
            <w:pPr>
              <w:pStyle w:val="TableContents"/>
              <w:bidi w:val="0"/>
              <w:spacing w:before="0" w:after="283"/>
              <w:jc w:val="left"/>
              <w:rPr>
                <w:color w:val="58595B"/>
              </w:rPr>
            </w:pPr>
            <w:r>
              <w:rPr>
                <w:color w:val="58595B"/>
              </w:rPr>
              <w:t> </w:t>
            </w:r>
          </w:p>
        </w:tc>
        <w:tc>
          <w:tcPr>
            <w:tcW w:w="290" w:type="dxa"/>
            <w:tcBorders/>
            <w:shd w:fill="254F79" w:val="clear"/>
            <w:vAlign w:val="center"/>
          </w:tcPr>
          <w:p>
            <w:pPr>
              <w:pStyle w:val="TableContents"/>
              <w:bidi w:val="0"/>
              <w:spacing w:before="0" w:after="283"/>
              <w:jc w:val="left"/>
              <w:rPr>
                <w:color w:val="58595B"/>
              </w:rPr>
            </w:pPr>
            <w:r>
              <w:rPr>
                <w:color w:val="58595B"/>
              </w:rPr>
              <w:t> </w:t>
            </w:r>
          </w:p>
        </w:tc>
        <w:tc>
          <w:tcPr>
            <w:tcW w:w="3050" w:type="dxa"/>
            <w:tcBorders/>
            <w:shd w:fill="254F79" w:val="clear"/>
            <w:vAlign w:val="center"/>
          </w:tcPr>
          <w:p>
            <w:pPr>
              <w:pStyle w:val="TableContents"/>
              <w:bidi w:val="0"/>
              <w:spacing w:before="0" w:after="283"/>
              <w:jc w:val="left"/>
              <w:rPr>
                <w:color w:val="58595B"/>
              </w:rPr>
            </w:pPr>
            <w:r>
              <w:rPr>
                <w:color w:val="58595B"/>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color w:val="000E44"/>
          <w:sz w:val="24"/>
        </w:rPr>
      </w:pPr>
      <w:r>
        <w:rPr>
          <w:rFonts w:ascii="Arial;Helvetica;Sans-Serif" w:hAnsi="Arial;Helvetica;Sans-Serif"/>
          <w:b/>
          <w:i w:val="false"/>
          <w:caps w:val="false"/>
          <w:smallCaps w:val="false"/>
          <w:color w:val="254F79"/>
          <w:sz w:val="20"/>
        </w:rPr>
        <w:t xml:space="preserve">CAP </w:t>
      </w:r>
      <w:r>
        <w:rPr>
          <w:rFonts w:ascii="Arial;Helvetica;Sans-Serif" w:hAnsi="Arial;Helvetica;Sans-Serif"/>
          <w:b/>
          <w:i w:val="false"/>
          <w:caps w:val="false"/>
          <w:smallCaps w:val="false"/>
          <w:color w:val="254F79"/>
          <w:sz w:val="15"/>
        </w:rPr>
        <w:t>VS</w:t>
      </w:r>
      <w:r>
        <w:rPr>
          <w:rFonts w:ascii="Arial;Helvetica;Sans-Serif" w:hAnsi="Arial;Helvetica;Sans-Serif"/>
          <w:b/>
          <w:i w:val="false"/>
          <w:caps w:val="false"/>
          <w:smallCaps w:val="false"/>
          <w:color w:val="000E44"/>
          <w:sz w:val="24"/>
        </w:rPr>
        <w:t xml:space="preserve"> </w:t>
      </w:r>
      <w:r>
        <w:rPr>
          <w:rFonts w:ascii="Arial;Helvetica;Sans-Serif" w:hAnsi="Arial;Helvetica;Sans-Serif"/>
          <w:b/>
          <w:i w:val="false"/>
          <w:caps w:val="false"/>
          <w:smallCaps w:val="false"/>
          <w:color w:val="254F79"/>
          <w:sz w:val="20"/>
        </w:rPr>
        <w:t>TOTAL SHAREHOLDER RETURN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657850" cy="3133725"/>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1"/>
                    <a:stretch>
                      <a:fillRect/>
                    </a:stretch>
                  </pic:blipFill>
                  <pic:spPr bwMode="auto">
                    <a:xfrm>
                      <a:off x="0" y="0"/>
                      <a:ext cx="5657850" cy="3133725"/>
                    </a:xfrm>
                    <a:prstGeom prst="rect">
                      <a:avLst/>
                    </a:prstGeom>
                  </pic:spPr>
                </pic:pic>
              </a:graphicData>
            </a:graphic>
          </wp:inline>
        </w:drawing>
      </w: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440" w:hanging="0"/>
        <w:jc w:val="left"/>
        <w:rPr>
          <w:rFonts w:ascii="Arial;Helvetica;Sans-Serif" w:hAnsi="Arial;Helvetica;Sans-Serif"/>
          <w:b w:val="false"/>
          <w:i w:val="false"/>
          <w:caps w:val="false"/>
          <w:smallCaps w:val="false"/>
          <w:sz w:val="21"/>
        </w:rPr>
      </w:pPr>
      <w:r>
        <w:rPr>
          <w:rFonts w:ascii="Arial;Helvetica;Sans-Serif" w:hAnsi="Arial;Helvetica;Sans-Serif"/>
          <w:b/>
          <w:i w:val="false"/>
          <w:caps w:val="false"/>
          <w:smallCaps w:val="false"/>
          <w:color w:val="062A5D"/>
          <w:sz w:val="21"/>
        </w:rPr>
        <w:t xml:space="preserve">Compensation Actually Paid and Net Income. </w:t>
      </w:r>
      <w:r>
        <w:rPr>
          <w:rFonts w:ascii="Arial;Helvetica;Sans-Serif" w:hAnsi="Arial;Helvetica;Sans-Serif"/>
          <w:b w:val="false"/>
          <w:i w:val="false"/>
          <w:caps w:val="false"/>
          <w:smallCaps w:val="false"/>
          <w:color w:val="58595B"/>
          <w:sz w:val="21"/>
        </w:rPr>
        <w:t>As demonstrated by the following table, the amount of compensation actually paid to our principal executive officer and the average amount of compensation actually paid to the Company's NEOs as a group (excluding Mr. Nolan for 2025, 2024 and 2023, Messrs. Nolan and Quirk for 2022 and excluding Mr. Quirk for 2021) is generally aligned with the Company's net income over the five years presented in the table. While the Company does not use net income as a performance measure in the overall executive compensation program, the measure of net income is correlated with the measure Adjusted Pre-tax Margin, which the company does use for when setting goals in the Company's annual incentive plan and the performance-based restricted stock awards that are granted to the NEOs.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color w:val="000E44"/>
          <w:sz w:val="24"/>
        </w:rPr>
      </w:pPr>
      <w:r>
        <w:rPr>
          <w:rFonts w:ascii="Arial;Helvetica;Sans-Serif" w:hAnsi="Arial;Helvetica;Sans-Serif"/>
          <w:b/>
          <w:i w:val="false"/>
          <w:caps w:val="false"/>
          <w:smallCaps w:val="false"/>
          <w:color w:val="254F79"/>
          <w:sz w:val="20"/>
        </w:rPr>
        <w:t xml:space="preserve">CAP </w:t>
      </w:r>
      <w:r>
        <w:rPr>
          <w:rFonts w:ascii="Arial;Helvetica;Sans-Serif" w:hAnsi="Arial;Helvetica;Sans-Serif"/>
          <w:b/>
          <w:i w:val="false"/>
          <w:caps w:val="false"/>
          <w:smallCaps w:val="false"/>
          <w:color w:val="254F79"/>
          <w:sz w:val="15"/>
        </w:rPr>
        <w:t>VS</w:t>
      </w:r>
      <w:r>
        <w:rPr>
          <w:rFonts w:ascii="Arial;Helvetica;Sans-Serif" w:hAnsi="Arial;Helvetica;Sans-Serif"/>
          <w:b/>
          <w:i w:val="false"/>
          <w:caps w:val="false"/>
          <w:smallCaps w:val="false"/>
          <w:color w:val="000E44"/>
          <w:sz w:val="24"/>
        </w:rPr>
        <w:t xml:space="preserve"> </w:t>
      </w:r>
      <w:r>
        <w:rPr>
          <w:rFonts w:ascii="Arial;Helvetica;Sans-Serif" w:hAnsi="Arial;Helvetica;Sans-Serif"/>
          <w:b/>
          <w:i w:val="false"/>
          <w:caps w:val="false"/>
          <w:smallCaps w:val="false"/>
          <w:color w:val="254F79"/>
          <w:sz w:val="20"/>
        </w:rPr>
        <w:t>NET INCOME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62625" cy="3095625"/>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2"/>
                    <a:stretch>
                      <a:fillRect/>
                    </a:stretch>
                  </pic:blipFill>
                  <pic:spPr bwMode="auto">
                    <a:xfrm>
                      <a:off x="0" y="0"/>
                      <a:ext cx="5762625" cy="3095625"/>
                    </a:xfrm>
                    <a:prstGeom prst="rect">
                      <a:avLst/>
                    </a:prstGeom>
                  </pic:spPr>
                </pic:pic>
              </a:graphicData>
            </a:graphic>
          </wp:inline>
        </w:drawing>
      </w: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72</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sz w:val="21"/>
        </w:rPr>
      </w:pPr>
      <w:r>
        <w:rPr>
          <w:rFonts w:ascii="Arial;Helvetica;Sans-Serif" w:hAnsi="Arial;Helvetica;Sans-Serif"/>
          <w:b/>
          <w:i w:val="false"/>
          <w:caps w:val="false"/>
          <w:smallCaps w:val="false"/>
          <w:color w:val="062A5D"/>
          <w:sz w:val="21"/>
        </w:rPr>
        <w:t xml:space="preserve">Compensation Actually Paid and Adjusted Pre-tax Title Margin. </w:t>
      </w:r>
      <w:r>
        <w:rPr>
          <w:rFonts w:ascii="Arial;Helvetica;Sans-Serif" w:hAnsi="Arial;Helvetica;Sans-Serif"/>
          <w:b w:val="false"/>
          <w:i w:val="false"/>
          <w:caps w:val="false"/>
          <w:smallCaps w:val="false"/>
          <w:color w:val="58595B"/>
          <w:sz w:val="21"/>
        </w:rPr>
        <w:t>As demonstrated by the following graph, the amount of compensation actually paid to our principal executive officer and the average amount of compensation actually paid to the Company's NEOs as a group (excluding Mr. Nolan for 2025, 2024 and 2023, Messrs. Nolan and Quirk for 2022 and excluding Mr. Quirk for 2021) is generally aligned with the Adjusted Pre-tax Title Margin of our title segment over the five years presented in the table. As described above, Adjusted Pre-tax Title Margin is determined by dividing the earnings before income taxes and non-controlling interests from our title segment, excluding recognized gains and losses, purchase accounting amortization and other unusual items, by total revenues of the title segment excluding recognized gains and losses. The Company has determined that Adjusted Pre-tax Title Margin is the financial performance measure that, in the Company's assessment, represents the most important performance measure (that is not otherwise required to be disclosed in the table) used by the Company to link compensation actually paid to the company's NEOs, for the most recently completed fiscal year, to Company performance. The Company utilizes Adjusted Pre-tax Title Margin when setting goals in the Company's annual incentive plan, as well as for setting goals for the performance-based restricted stock awards granted to the NEOs.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rFonts w:ascii="Arial;Helvetica;Sans-Serif" w:hAnsi="Arial;Helvetica;Sans-Serif"/>
          <w:b w:val="false"/>
          <w:i w:val="false"/>
          <w:caps w:val="false"/>
          <w:smallCaps w:val="false"/>
          <w:color w:val="000E44"/>
          <w:sz w:val="24"/>
        </w:rPr>
      </w:pPr>
      <w:r>
        <w:rPr>
          <w:rFonts w:ascii="Arial;Helvetica;Sans-Serif" w:hAnsi="Arial;Helvetica;Sans-Serif"/>
          <w:b/>
          <w:i w:val="false"/>
          <w:caps w:val="false"/>
          <w:smallCaps w:val="false"/>
          <w:color w:val="254F79"/>
          <w:sz w:val="20"/>
        </w:rPr>
        <w:t xml:space="preserve">CAP </w:t>
      </w:r>
      <w:r>
        <w:rPr>
          <w:rFonts w:ascii="Arial;Helvetica;Sans-Serif" w:hAnsi="Arial;Helvetica;Sans-Serif"/>
          <w:b/>
          <w:i w:val="false"/>
          <w:caps w:val="false"/>
          <w:smallCaps w:val="false"/>
          <w:color w:val="254F79"/>
          <w:sz w:val="15"/>
        </w:rPr>
        <w:t>VS</w:t>
      </w:r>
      <w:r>
        <w:rPr>
          <w:rFonts w:ascii="Arial;Helvetica;Sans-Serif" w:hAnsi="Arial;Helvetica;Sans-Serif"/>
          <w:b/>
          <w:i w:val="false"/>
          <w:caps w:val="false"/>
          <w:smallCaps w:val="false"/>
          <w:color w:val="000E44"/>
          <w:sz w:val="24"/>
        </w:rPr>
        <w:t xml:space="preserve"> </w:t>
      </w:r>
      <w:r>
        <w:rPr>
          <w:rFonts w:ascii="Arial;Helvetica;Sans-Serif" w:hAnsi="Arial;Helvetica;Sans-Serif"/>
          <w:b/>
          <w:i w:val="false"/>
          <w:caps w:val="false"/>
          <w:smallCaps w:val="false"/>
          <w:color w:val="254F79"/>
          <w:sz w:val="20"/>
        </w:rPr>
        <w:t>ADJUSTED PRE TAX TITLE MARGIN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center"/>
        <w:rPr>
          <w:caps w:val="false"/>
          <w:smallCaps w:val="false"/>
        </w:rPr>
      </w:pPr>
      <w:r>
        <w:rPr>
          <w:caps w:val="false"/>
          <w:smallCaps w:val="false"/>
        </w:rPr>
        <w:drawing>
          <wp:inline distT="0" distB="0" distL="0" distR="0">
            <wp:extent cx="5467350" cy="3057525"/>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3"/>
                    <a:stretch>
                      <a:fillRect/>
                    </a:stretch>
                  </pic:blipFill>
                  <pic:spPr bwMode="auto">
                    <a:xfrm>
                      <a:off x="0" y="0"/>
                      <a:ext cx="5467350" cy="3057525"/>
                    </a:xfrm>
                    <a:prstGeom prst="rect">
                      <a:avLst/>
                    </a:prstGeom>
                  </pic:spPr>
                </pic:pic>
              </a:graphicData>
            </a:graphic>
          </wp:inline>
        </w:drawing>
      </w: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sz w:val="21"/>
        </w:rPr>
      </w:pPr>
      <w:r>
        <w:rPr>
          <w:rFonts w:ascii="Arial;Helvetica;Sans-Serif" w:hAnsi="Arial;Helvetica;Sans-Serif"/>
          <w:b/>
          <w:i w:val="false"/>
          <w:caps w:val="false"/>
          <w:smallCaps w:val="false"/>
          <w:color w:val="062A5D"/>
          <w:sz w:val="21"/>
        </w:rPr>
        <w:t xml:space="preserve">Cumulative TSR of the Company and Cumulative TSR of the Peer Group. </w:t>
      </w:r>
      <w:r>
        <w:rPr>
          <w:rFonts w:ascii="Arial;Helvetica;Sans-Serif" w:hAnsi="Arial;Helvetica;Sans-Serif"/>
          <w:b w:val="false"/>
          <w:i w:val="false"/>
          <w:caps w:val="false"/>
          <w:smallCaps w:val="false"/>
          <w:color w:val="58595B"/>
          <w:sz w:val="21"/>
        </w:rPr>
        <w:t>As demonstrated by the following graph, the Company's cumulative TSR over the five-year period presented in the table was 85%, while the cumulative TSR of the peer group presented for this purpose, First American Financial Corporation and Stewart Information Services Corp., was 47% over the five years presented in the table. The Company's cumulative TSR generally outperformed the First American Financial Corporation and Stewart Information Services Corp. during the five years presented in the table, representing the Company's superior financial performance as compared to the companies comprising the First American Financial Corporation and Stewart Information Services Corp. peer group. For more information regarding the Company's performance and the companies that the Compensation Committee considers when determining compensation, refer to "Executive Compensation – Compensation Discussion and Analysis."</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290"/>
        <w:gridCol w:w="3050"/>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290"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73</w:t>
            </w:r>
          </w:p>
        </w:tc>
        <w:tc>
          <w:tcPr>
            <w:tcW w:w="3050"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r>
      <w:tr>
        <w:trPr/>
        <w:tc>
          <w:tcPr>
            <w:tcW w:w="105" w:type="dxa"/>
            <w:tcBorders/>
            <w:vAlign w:val="center"/>
          </w:tcPr>
          <w:p>
            <w:pPr>
              <w:pStyle w:val="TableContents"/>
              <w:bidi w:val="0"/>
              <w:spacing w:before="0" w:after="283"/>
              <w:jc w:val="left"/>
              <w:rPr>
                <w:color w:val="58595B"/>
              </w:rPr>
            </w:pPr>
            <w:r>
              <w:rPr>
                <w:color w:val="58595B"/>
              </w:rPr>
              <w:t> </w:t>
            </w:r>
          </w:p>
        </w:tc>
        <w:tc>
          <w:tcPr>
            <w:tcW w:w="290" w:type="dxa"/>
            <w:tcBorders/>
            <w:vAlign w:val="center"/>
          </w:tcPr>
          <w:p>
            <w:pPr>
              <w:pStyle w:val="TableContents"/>
              <w:bidi w:val="0"/>
              <w:spacing w:before="0" w:after="283"/>
              <w:jc w:val="left"/>
              <w:rPr>
                <w:color w:val="58595B"/>
              </w:rPr>
            </w:pPr>
            <w:r>
              <w:rPr>
                <w:color w:val="58595B"/>
              </w:rPr>
              <w:t> </w:t>
            </w:r>
          </w:p>
        </w:tc>
        <w:tc>
          <w:tcPr>
            <w:tcW w:w="3050" w:type="dxa"/>
            <w:tcBorders/>
            <w:vAlign w:val="center"/>
          </w:tcPr>
          <w:p>
            <w:pPr>
              <w:pStyle w:val="TableContents"/>
              <w:bidi w:val="0"/>
              <w:spacing w:before="0" w:after="283"/>
              <w:jc w:val="left"/>
              <w:rPr>
                <w:color w:val="58595B"/>
              </w:rPr>
            </w:pPr>
            <w:r>
              <w:rPr>
                <w:color w:val="58595B"/>
              </w:rPr>
              <w:t> </w:t>
            </w:r>
          </w:p>
        </w:tc>
      </w:tr>
      <w:tr>
        <w:trPr/>
        <w:tc>
          <w:tcPr>
            <w:tcW w:w="105" w:type="dxa"/>
            <w:tcBorders/>
            <w:shd w:fill="254F79" w:val="clear"/>
            <w:vAlign w:val="center"/>
          </w:tcPr>
          <w:p>
            <w:pPr>
              <w:pStyle w:val="TableContents"/>
              <w:bidi w:val="0"/>
              <w:spacing w:before="0" w:after="283"/>
              <w:jc w:val="left"/>
              <w:rPr>
                <w:color w:val="58595B"/>
              </w:rPr>
            </w:pPr>
            <w:r>
              <w:rPr>
                <w:color w:val="58595B"/>
              </w:rPr>
              <w:t> </w:t>
            </w:r>
          </w:p>
        </w:tc>
        <w:tc>
          <w:tcPr>
            <w:tcW w:w="290" w:type="dxa"/>
            <w:tcBorders/>
            <w:shd w:fill="254F79" w:val="clear"/>
            <w:vAlign w:val="center"/>
          </w:tcPr>
          <w:p>
            <w:pPr>
              <w:pStyle w:val="TableContents"/>
              <w:bidi w:val="0"/>
              <w:spacing w:before="0" w:after="283"/>
              <w:jc w:val="left"/>
              <w:rPr>
                <w:color w:val="58595B"/>
              </w:rPr>
            </w:pPr>
            <w:r>
              <w:rPr>
                <w:color w:val="58595B"/>
              </w:rPr>
              <w:t> </w:t>
            </w:r>
          </w:p>
        </w:tc>
        <w:tc>
          <w:tcPr>
            <w:tcW w:w="3050" w:type="dxa"/>
            <w:tcBorders/>
            <w:shd w:fill="254F79" w:val="clear"/>
            <w:vAlign w:val="center"/>
          </w:tcPr>
          <w:p>
            <w:pPr>
              <w:pStyle w:val="TableContents"/>
              <w:bidi w:val="0"/>
              <w:spacing w:before="0" w:after="283"/>
              <w:jc w:val="left"/>
              <w:rPr>
                <w:color w:val="58595B"/>
              </w:rPr>
            </w:pPr>
            <w:r>
              <w:rPr>
                <w:color w:val="58595B"/>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color w:val="254F79"/>
          <w:sz w:val="20"/>
        </w:rPr>
      </w:pPr>
      <w:r>
        <w:rPr>
          <w:rFonts w:ascii="Arial;Helvetica;Sans-Serif" w:hAnsi="Arial;Helvetica;Sans-Serif"/>
          <w:b/>
          <w:i w:val="false"/>
          <w:caps w:val="false"/>
          <w:smallCaps w:val="false"/>
          <w:color w:val="254F79"/>
          <w:sz w:val="20"/>
        </w:rPr>
        <w:t>TOTAL SHAREHOLDER RETURN VS PEER GROUP</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4533900" cy="293370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4"/>
                    <a:stretch>
                      <a:fillRect/>
                    </a:stretch>
                  </pic:blipFill>
                  <pic:spPr bwMode="auto">
                    <a:xfrm>
                      <a:off x="0" y="0"/>
                      <a:ext cx="4533900" cy="29337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DIRECTOR COMPENSATION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COMPENSATION OF OUR NON-EXECUTIVE CHAIRMAN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compensation consultant reviews the compensation paid to our directors on a regular basis, and then makes recommendations on any changes to our director compensation practices. Our compensation committee discusses the compensation consultant's recommendations and determines whether to make any changes to our director compensation in that year.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With respect to Mr. Foley's compensation in 2025, our directors discussed the critical role Mr. Foley plays in the formation and execution of our long-term strategic vision. Mr. Foley founded FNF in 1984 and transformed it into a leading provider of title insurance, escrow and other title-related services. Under Mr. Foley's leadership, we issue through our title insurance underwriters more title insurance policies than any other title company in the United States. In addition to the incredible value Mr. Foley has created at FNF, he led the teams that created additional value for FNF's shareholders through strategic transactions such as:</w:t>
      </w:r>
    </w:p>
    <w:p>
      <w:pPr>
        <w:pStyle w:val="TextBody"/>
        <w:bidi w:val="0"/>
        <w:spacing w:before="0" w:after="0"/>
        <w:ind w:left="144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Our acquisition of F&amp;G and subsequent distributions to our shareholders, on a pro rata basis, of approximately 15% of the common stock of F&amp;G on December 1, 2022 and an additional 12% of the common stock of F&amp;G on December 31, 2025. Since our acquisition of F&amp;G in June 2020 for approximately $2.7 billion, F&amp;G's assets under management have increased by 117% to $57.6 billion and, as of December 31, 2025, F&amp;G's market capitalization was $4.2 billion and F&amp;G had returned $364 million in cash dividends to shareholders. We continue to control F&amp;G through our 70% ownership interest of F&amp;G common stock.</w:t>
            </w:r>
          </w:p>
        </w:tc>
      </w:tr>
    </w:tbl>
    <w:p>
      <w:pPr>
        <w:pStyle w:val="TextBody"/>
        <w:bidi w:val="0"/>
        <w:spacing w:before="0" w:after="0"/>
        <w:ind w:left="144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The split-off of our non-core businesses which formerly comprised our FNF Ventures Group into Cannae Holdings, Inc. (</w:t>
            </w:r>
            <w:r>
              <w:rPr>
                <w:i/>
                <w:sz w:val="22"/>
              </w:rPr>
              <w:t>Cannae</w:t>
            </w:r>
            <w:r>
              <w:rPr>
                <w:sz w:val="22"/>
              </w:rPr>
              <w:t xml:space="preserve">). As of December 31, 2025, Cannae had a market capitalization of $0.7 billion. </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22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While Mr. Foley is no longer an executive of FNF or involved in our day-to-day operations, he continues to be the driving force behind the development and execution of our strategic direction.</w:t>
      </w:r>
    </w:p>
    <w:p>
      <w:pPr>
        <w:pStyle w:val="TextBody"/>
        <w:bidi w:val="0"/>
        <w:spacing w:before="0" w:after="0"/>
        <w:ind w:left="144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74</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recognition of Mr. Foley's superior service, strategic input and high value to FNF and its stakeholders and FNF's superior financial performance, Mr. Foley receives an annual cash retainer of $530,000. Beginning in September 2023, Mr. Foley also receives an annual base salary of $36,000 as a non-executive employee of FNF and is eligible to participate in our health and welfare benefits. In light of the special award granted to Mr. Foley in 2024, he did not receive an annual equity award in 2025.</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3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Under the terms of Mr. Foley's director services agreement, if his service is terminated by us for any reason other than for cause, due to death or disability, by him for good reason or if he is not nominated to run for re-election as Chairman of the board, is nominated, but does not receive enough votes to be re-elected to the board, or is removed as Chairman of the board for reasons other than cause, then he is entitled to receive:</w:t>
      </w:r>
    </w:p>
    <w:p>
      <w:pPr>
        <w:pStyle w:val="TextBody"/>
        <w:bidi w:val="0"/>
        <w:spacing w:before="0" w:after="0"/>
        <w:ind w:left="0" w:right="0" w:hanging="0"/>
        <w:jc w:val="left"/>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68"/>
        <w:gridCol w:w="140"/>
        <w:gridCol w:w="291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both"/>
              <w:rPr>
                <w:sz w:val="22"/>
              </w:rPr>
            </w:pPr>
            <w:r>
              <w:rPr>
                <w:sz w:val="22"/>
              </w:rPr>
              <w:t xml:space="preserve">Any accrued obligations, and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6048" w:type="dxa"/>
        <w:jc w:val="left"/>
        <w:tblInd w:w="0" w:type="dxa"/>
        <w:tblLayout w:type="fixed"/>
        <w:tblCellMar>
          <w:top w:w="0" w:type="dxa"/>
          <w:left w:w="0" w:type="dxa"/>
          <w:bottom w:w="0" w:type="dxa"/>
          <w:right w:w="0" w:type="dxa"/>
        </w:tblCellMar>
      </w:tblPr>
      <w:tblGrid>
        <w:gridCol w:w="68"/>
        <w:gridCol w:w="140"/>
        <w:gridCol w:w="584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283"/>
              <w:jc w:val="both"/>
              <w:rPr>
                <w:sz w:val="22"/>
              </w:rPr>
            </w:pPr>
            <w:r>
              <w:rPr>
                <w:sz w:val="22"/>
              </w:rPr>
              <w:t xml:space="preserve">Immediate vesting and/or payment of all FNF equity awards.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14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If we terminate Mr. Foley's service for cause or he resigns without good reason, our only obligation is the payment of any accrued obligations.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For purposes of Mr. Foley's agreement, "cause" includes Mr. Foley's persistent failure to perform duties consistent with a commercially reasonable standard of care, willful neglect of duties, conviction of, or pleading nolo contendere to, criminal or other illegal activities involving dishonesty, material breach of his agreement, or impeding or failing to materially cooperate with an investigation authorized by our board. The term "good reason" is defined in the agreement to include a material diminution in his position or title or the assignment of duties to him that are materially inconsistent with his position or title; a material diminution of his annual retainer; within six months immediately preceding or within two years immediately following a change in control, (1) a material adverse change in this status, authority or responsibility, (2) a material adverse change in the position to whom he reports or to his service relationship as a result of such reporting structure change, or (3) a material diminution in the authority, duties or responsibilities of the position to whom he reports; our material breach of any of our obligations under the agreement; or election of a new director to the board of directors who Mr. Foley did not consent to or vote for.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COMPENSATION OF MR. FOLEY AS EXECUTIVE CHAIRMAN OF F&amp;G</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12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In connection with the F&amp;G spin-off, Mr. Foley has also served as Executive Chairman of F&amp;G since November 2022. Since our acquisition of F&amp;G in June 2020, Mr. Foley has led the development of F&amp;G's diversification growth strategy and his continued service and focus on F&amp;G is integral to F&amp;G's continued execution of that strategy and its financial performance. Mr. Foley does not receive a base salary at F&amp;G or participate in F&amp;G's short-term annual cash incentive plan. In November 2025, Mr. Foley received a long-term incentive award of 199,204 restricted shares of F&amp;G common stock that vests in three equal annual installments beginning on November 10, 2026, subject to achievement of performance criteria specified in the award agreement. The compensation paid by F&amp;G to Mr. Foley for his service as Executive Chairman of F&amp;G is included in these discussions and the tables that follow because FNF owns a majority of F&amp;G's outstanding common stock.</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22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table below reflects the compensation earned by Mr. Foley as (1) non-executive Chairman of FNF, and (2) as Executive Chairman of F&amp;G. Details relating to the compensation Mr. Foley earned as Executive Chairman of F&amp;G can be found in F&amp;G's Annual Report on Form 10-K filed with the Securities and Exchange Commission on February 28, 2025.</w:t>
      </w:r>
    </w:p>
    <w:p>
      <w:pPr>
        <w:pStyle w:val="TextBody"/>
        <w:bidi w:val="0"/>
        <w:spacing w:before="0" w:after="0"/>
        <w:ind w:left="144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290"/>
        <w:gridCol w:w="3050"/>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290"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75</w:t>
            </w:r>
          </w:p>
        </w:tc>
        <w:tc>
          <w:tcPr>
            <w:tcW w:w="3050"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r>
      <w:tr>
        <w:trPr/>
        <w:tc>
          <w:tcPr>
            <w:tcW w:w="105" w:type="dxa"/>
            <w:tcBorders/>
            <w:vAlign w:val="center"/>
          </w:tcPr>
          <w:p>
            <w:pPr>
              <w:pStyle w:val="TableContents"/>
              <w:bidi w:val="0"/>
              <w:spacing w:before="0" w:after="283"/>
              <w:jc w:val="left"/>
              <w:rPr>
                <w:color w:val="58595B"/>
              </w:rPr>
            </w:pPr>
            <w:r>
              <w:rPr>
                <w:color w:val="58595B"/>
              </w:rPr>
              <w:t> </w:t>
            </w:r>
          </w:p>
        </w:tc>
        <w:tc>
          <w:tcPr>
            <w:tcW w:w="290" w:type="dxa"/>
            <w:tcBorders/>
            <w:vAlign w:val="center"/>
          </w:tcPr>
          <w:p>
            <w:pPr>
              <w:pStyle w:val="TableContents"/>
              <w:bidi w:val="0"/>
              <w:spacing w:before="0" w:after="283"/>
              <w:jc w:val="left"/>
              <w:rPr>
                <w:color w:val="58595B"/>
              </w:rPr>
            </w:pPr>
            <w:r>
              <w:rPr>
                <w:color w:val="58595B"/>
              </w:rPr>
              <w:t> </w:t>
            </w:r>
          </w:p>
        </w:tc>
        <w:tc>
          <w:tcPr>
            <w:tcW w:w="3050" w:type="dxa"/>
            <w:tcBorders/>
            <w:vAlign w:val="center"/>
          </w:tcPr>
          <w:p>
            <w:pPr>
              <w:pStyle w:val="TableContents"/>
              <w:bidi w:val="0"/>
              <w:spacing w:before="0" w:after="283"/>
              <w:jc w:val="left"/>
              <w:rPr>
                <w:color w:val="58595B"/>
              </w:rPr>
            </w:pPr>
            <w:r>
              <w:rPr>
                <w:color w:val="58595B"/>
              </w:rPr>
              <w:t> </w:t>
            </w:r>
          </w:p>
        </w:tc>
      </w:tr>
      <w:tr>
        <w:trPr/>
        <w:tc>
          <w:tcPr>
            <w:tcW w:w="105" w:type="dxa"/>
            <w:tcBorders/>
            <w:shd w:fill="254F79" w:val="clear"/>
            <w:vAlign w:val="center"/>
          </w:tcPr>
          <w:p>
            <w:pPr>
              <w:pStyle w:val="TableContents"/>
              <w:bidi w:val="0"/>
              <w:spacing w:before="0" w:after="283"/>
              <w:jc w:val="left"/>
              <w:rPr>
                <w:color w:val="58595B"/>
              </w:rPr>
            </w:pPr>
            <w:r>
              <w:rPr>
                <w:color w:val="58595B"/>
              </w:rPr>
              <w:t> </w:t>
            </w:r>
          </w:p>
        </w:tc>
        <w:tc>
          <w:tcPr>
            <w:tcW w:w="290" w:type="dxa"/>
            <w:tcBorders/>
            <w:shd w:fill="254F79" w:val="clear"/>
            <w:vAlign w:val="center"/>
          </w:tcPr>
          <w:p>
            <w:pPr>
              <w:pStyle w:val="TableContents"/>
              <w:bidi w:val="0"/>
              <w:spacing w:before="0" w:after="283"/>
              <w:jc w:val="left"/>
              <w:rPr>
                <w:color w:val="58595B"/>
              </w:rPr>
            </w:pPr>
            <w:r>
              <w:rPr>
                <w:color w:val="58595B"/>
              </w:rPr>
              <w:t> </w:t>
            </w:r>
          </w:p>
        </w:tc>
        <w:tc>
          <w:tcPr>
            <w:tcW w:w="3050" w:type="dxa"/>
            <w:tcBorders/>
            <w:shd w:fill="254F79" w:val="clear"/>
            <w:vAlign w:val="center"/>
          </w:tcPr>
          <w:p>
            <w:pPr>
              <w:pStyle w:val="TableContents"/>
              <w:bidi w:val="0"/>
              <w:spacing w:before="0" w:after="283"/>
              <w:jc w:val="left"/>
              <w:rPr>
                <w:color w:val="58595B"/>
              </w:rPr>
            </w:pPr>
            <w:r>
              <w:rPr>
                <w:color w:val="58595B"/>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10" w:type="dxa"/>
        <w:tblLayout w:type="fixed"/>
        <w:tblCellMar>
          <w:top w:w="60" w:type="dxa"/>
          <w:left w:w="28" w:type="dxa"/>
          <w:bottom w:w="0" w:type="dxa"/>
          <w:right w:w="0" w:type="dxa"/>
        </w:tblCellMar>
      </w:tblPr>
      <w:tblGrid>
        <w:gridCol w:w="3260"/>
        <w:gridCol w:w="1355"/>
        <w:gridCol w:w="875"/>
        <w:gridCol w:w="1295"/>
        <w:gridCol w:w="920"/>
      </w:tblGrid>
      <w:tr>
        <w:trPr/>
        <w:tc>
          <w:tcPr>
            <w:tcW w:w="3260" w:type="dxa"/>
            <w:tcBorders>
              <w:top w:val="single" w:sz="8" w:space="0" w:color="58595B"/>
              <w:left w:val="single" w:sz="8" w:space="0" w:color="58595B"/>
            </w:tcBorders>
            <w:shd w:fill="254F79" w:val="clear"/>
            <w:vAlign w:val="center"/>
          </w:tcPr>
          <w:p>
            <w:pPr>
              <w:pStyle w:val="TableContents"/>
              <w:bidi w:val="0"/>
              <w:spacing w:before="0" w:after="283"/>
              <w:jc w:val="left"/>
              <w:rPr/>
            </w:pPr>
            <w:r>
              <w:rPr/>
              <w:t> </w:t>
            </w:r>
          </w:p>
        </w:tc>
        <w:tc>
          <w:tcPr>
            <w:tcW w:w="1355" w:type="dxa"/>
            <w:tcBorders>
              <w:top w:val="single" w:sz="8" w:space="0" w:color="58595B"/>
            </w:tcBorders>
            <w:shd w:fill="254F79"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Fees Earned or</w:t>
            </w:r>
          </w:p>
        </w:tc>
        <w:tc>
          <w:tcPr>
            <w:tcW w:w="875" w:type="dxa"/>
            <w:tcBorders>
              <w:top w:val="single" w:sz="8" w:space="0" w:color="58595B"/>
            </w:tcBorders>
            <w:shd w:fill="254F79"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Stock</w:t>
            </w:r>
          </w:p>
        </w:tc>
        <w:tc>
          <w:tcPr>
            <w:tcW w:w="1295" w:type="dxa"/>
            <w:tcBorders>
              <w:top w:val="single" w:sz="8" w:space="0" w:color="58595B"/>
            </w:tcBorders>
            <w:shd w:fill="254F79"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All Other</w:t>
            </w:r>
          </w:p>
        </w:tc>
        <w:tc>
          <w:tcPr>
            <w:tcW w:w="920" w:type="dxa"/>
            <w:tcBorders>
              <w:top w:val="single" w:sz="8" w:space="0" w:color="58595B"/>
              <w:right w:val="single" w:sz="8" w:space="0" w:color="58595B"/>
            </w:tcBorders>
            <w:shd w:fill="254F79" w:val="clear"/>
            <w:tcMar>
              <w:left w:w="0" w:type="dxa"/>
              <w:right w:w="28" w:type="dxa"/>
            </w:tcMar>
            <w:vAlign w:val="center"/>
          </w:tcPr>
          <w:p>
            <w:pPr>
              <w:pStyle w:val="TableContents"/>
              <w:bidi w:val="0"/>
              <w:spacing w:before="0" w:after="283"/>
              <w:jc w:val="left"/>
              <w:rPr/>
            </w:pPr>
            <w:r>
              <w:rPr/>
              <w:t> </w:t>
            </w:r>
          </w:p>
        </w:tc>
      </w:tr>
      <w:tr>
        <w:trPr/>
        <w:tc>
          <w:tcPr>
            <w:tcW w:w="3260" w:type="dxa"/>
            <w:tcBorders>
              <w:left w:val="single" w:sz="8" w:space="0" w:color="58595B"/>
            </w:tcBorders>
            <w:shd w:fill="254F79" w:val="clear"/>
            <w:tcMar>
              <w:top w:w="0" w:type="dxa"/>
            </w:tcMar>
            <w:vAlign w:val="center"/>
          </w:tcPr>
          <w:p>
            <w:pPr>
              <w:pStyle w:val="TableContents"/>
              <w:bidi w:val="0"/>
              <w:spacing w:before="0" w:after="283"/>
              <w:jc w:val="left"/>
              <w:rPr/>
            </w:pPr>
            <w:r>
              <w:rPr/>
              <w:t> </w:t>
            </w:r>
          </w:p>
        </w:tc>
        <w:tc>
          <w:tcPr>
            <w:tcW w:w="1355" w:type="dxa"/>
            <w:tcBorders/>
            <w:shd w:fill="254F7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Paid in Cash</w:t>
            </w:r>
          </w:p>
        </w:tc>
        <w:tc>
          <w:tcPr>
            <w:tcW w:w="875" w:type="dxa"/>
            <w:tcBorders/>
            <w:shd w:fill="254F7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Awards</w:t>
            </w:r>
          </w:p>
        </w:tc>
        <w:tc>
          <w:tcPr>
            <w:tcW w:w="1295" w:type="dxa"/>
            <w:tcBorders/>
            <w:shd w:fill="254F79" w:val="clear"/>
            <w:tcMar>
              <w:top w:w="0" w:type="dxa"/>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Compensation</w:t>
            </w:r>
          </w:p>
        </w:tc>
        <w:tc>
          <w:tcPr>
            <w:tcW w:w="920" w:type="dxa"/>
            <w:tcBorders>
              <w:right w:val="single" w:sz="8" w:space="0" w:color="58595B"/>
            </w:tcBorders>
            <w:shd w:fill="254F79" w:val="clear"/>
            <w:tcMar>
              <w:top w:w="0" w:type="dxa"/>
              <w:left w:w="0" w:type="dxa"/>
              <w:right w:w="28" w:type="dxa"/>
            </w:tcMar>
            <w:vAlign w:val="center"/>
          </w:tcPr>
          <w:p>
            <w:pPr>
              <w:pStyle w:val="TableContents"/>
              <w:bidi w:val="0"/>
              <w:spacing w:before="0" w:after="283"/>
              <w:jc w:val="left"/>
              <w:rPr/>
            </w:pPr>
            <w:r>
              <w:rPr/>
              <w:t> </w:t>
            </w:r>
          </w:p>
        </w:tc>
      </w:tr>
      <w:tr>
        <w:trPr/>
        <w:tc>
          <w:tcPr>
            <w:tcW w:w="3260" w:type="dxa"/>
            <w:tcBorders>
              <w:left w:val="single" w:sz="8" w:space="0" w:color="58595B"/>
              <w:bottom w:val="single" w:sz="8" w:space="0" w:color="58595B"/>
            </w:tcBorders>
            <w:shd w:fill="254F79" w:val="clear"/>
            <w:tcMar>
              <w:top w:w="0" w:type="dxa"/>
              <w:left w:w="180" w:type="dxa"/>
              <w:bottom w:w="60" w:type="dxa"/>
            </w:tcM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Name</w:t>
            </w:r>
          </w:p>
        </w:tc>
        <w:tc>
          <w:tcPr>
            <w:tcW w:w="1355" w:type="dxa"/>
            <w:tcBorders>
              <w:bottom w:val="single" w:sz="8" w:space="0" w:color="58595B"/>
            </w:tcBorders>
            <w:shd w:fill="254F79" w:val="clear"/>
            <w:tcMar>
              <w:top w:w="0" w:type="dxa"/>
              <w:left w:w="0" w:type="dxa"/>
              <w:bottom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875" w:type="dxa"/>
            <w:tcBorders>
              <w:bottom w:val="single" w:sz="8" w:space="0" w:color="58595B"/>
            </w:tcBorders>
            <w:shd w:fill="254F79" w:val="clear"/>
            <w:tcMar>
              <w:top w:w="0" w:type="dxa"/>
              <w:left w:w="0" w:type="dxa"/>
              <w:bottom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w:t>
            </w:r>
          </w:p>
        </w:tc>
        <w:tc>
          <w:tcPr>
            <w:tcW w:w="1295" w:type="dxa"/>
            <w:tcBorders>
              <w:bottom w:val="single" w:sz="8" w:space="0" w:color="58595B"/>
            </w:tcBorders>
            <w:shd w:fill="254F79" w:val="clear"/>
            <w:tcMar>
              <w:top w:w="0" w:type="dxa"/>
              <w:left w:w="0" w:type="dxa"/>
              <w:bottom w:w="60" w:type="dxa"/>
            </w:tcMar>
            <w:vAlign w:val="center"/>
          </w:tcPr>
          <w:p>
            <w:pPr>
              <w:pStyle w:val="TableContents"/>
              <w:bidi w:val="0"/>
              <w:spacing w:before="0" w:after="283"/>
              <w:jc w:val="right"/>
              <w:rPr>
                <w:rFonts w:ascii="Arial;Helvetica;Sans-Serif" w:hAnsi="Arial;Helvetica;Sans-Serif"/>
                <w:b/>
                <w:color w:val="FFFFFF"/>
                <w:sz w:val="18"/>
              </w:rPr>
            </w:pPr>
            <w:r>
              <w:rPr>
                <w:rFonts w:ascii="Arial;Helvetica;Sans-Serif" w:hAnsi="Arial;Helvetica;Sans-Serif"/>
                <w:b/>
                <w:color w:val="FFFFFF"/>
                <w:sz w:val="18"/>
              </w:rPr>
              <w:t>($)</w:t>
            </w:r>
          </w:p>
        </w:tc>
        <w:tc>
          <w:tcPr>
            <w:tcW w:w="920" w:type="dxa"/>
            <w:tcBorders>
              <w:bottom w:val="single" w:sz="8" w:space="0" w:color="58595B"/>
              <w:right w:val="single" w:sz="8" w:space="0" w:color="58595B"/>
            </w:tcBorders>
            <w:shd w:fill="254F79" w:val="clear"/>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Total ($)</w:t>
            </w:r>
          </w:p>
        </w:tc>
      </w:tr>
      <w:tr>
        <w:trPr/>
        <w:tc>
          <w:tcPr>
            <w:tcW w:w="3260" w:type="dxa"/>
            <w:tcBorders>
              <w:left w:val="single" w:sz="8" w:space="0" w:color="58595B"/>
              <w:bottom w:val="single" w:sz="8" w:space="0" w:color="58595B"/>
              <w:right w:val="single" w:sz="8" w:space="0" w:color="58595B"/>
            </w:tcBorders>
            <w:tcMar>
              <w:top w:w="0" w:type="dxa"/>
              <w:left w:w="180" w:type="dxa"/>
              <w:bottom w:w="60" w:type="dxa"/>
              <w:right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Mr. Foley's Compensation as Non-</w:t>
            </w:r>
          </w:p>
          <w:p>
            <w:pPr>
              <w:pStyle w:val="TableContents"/>
              <w:bidi w:val="0"/>
              <w:spacing w:before="0" w:after="0"/>
              <w:ind w:left="0" w:right="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Executive Chairman of FNF</w:t>
            </w:r>
          </w:p>
        </w:tc>
        <w:tc>
          <w:tcPr>
            <w:tcW w:w="135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530,000</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0"/>
              <w:ind w:left="0" w:right="0" w:hanging="0"/>
              <w:jc w:val="center"/>
              <w:rPr>
                <w:caps w:val="false"/>
                <w:smallCaps w:val="false"/>
                <w:color w:val="58595B"/>
              </w:rPr>
            </w:pPr>
            <w:r>
              <w:rPr>
                <w:caps w:val="false"/>
                <w:smallCaps w:val="false"/>
                <w:color w:val="58595B"/>
              </w:rPr>
              <w:t>—</w:t>
            </w:r>
          </w:p>
        </w:tc>
        <w:tc>
          <w:tcPr>
            <w:tcW w:w="1295" w:type="dxa"/>
            <w:tcBorders>
              <w:bottom w:val="single" w:sz="8" w:space="0" w:color="58595B"/>
              <w:right w:val="single" w:sz="8" w:space="0" w:color="58595B"/>
            </w:tcBorders>
            <w:tcMar>
              <w:top w:w="0" w:type="dxa"/>
              <w:left w:w="0" w:type="dxa"/>
              <w:bottom w:w="60" w:type="dxa"/>
              <w:right w:w="41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811,858</w:t>
            </w:r>
          </w:p>
        </w:tc>
        <w:tc>
          <w:tcPr>
            <w:tcW w:w="92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1,341,858</w:t>
            </w:r>
          </w:p>
        </w:tc>
      </w:tr>
      <w:tr>
        <w:trPr/>
        <w:tc>
          <w:tcPr>
            <w:tcW w:w="3260" w:type="dxa"/>
            <w:tcBorders>
              <w:left w:val="single" w:sz="8" w:space="0" w:color="58595B"/>
              <w:bottom w:val="single" w:sz="8" w:space="0" w:color="58595B"/>
              <w:right w:val="single" w:sz="8" w:space="0" w:color="58595B"/>
            </w:tcBorders>
            <w:tcMar>
              <w:top w:w="0" w:type="dxa"/>
              <w:left w:w="180" w:type="dxa"/>
              <w:bottom w:w="60" w:type="dxa"/>
              <w:right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Mr. Foley's Compensation as Executive</w:t>
            </w:r>
          </w:p>
          <w:p>
            <w:pPr>
              <w:pStyle w:val="TableContents"/>
              <w:bidi w:val="0"/>
              <w:spacing w:before="0" w:after="0"/>
              <w:ind w:left="0" w:right="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Chairman of F&amp;G</w:t>
            </w:r>
          </w:p>
        </w:tc>
        <w:tc>
          <w:tcPr>
            <w:tcW w:w="135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0"/>
              <w:ind w:left="0" w:right="0" w:hanging="0"/>
              <w:jc w:val="center"/>
              <w:rPr>
                <w:caps w:val="false"/>
                <w:smallCaps w:val="false"/>
                <w:color w:val="58595B"/>
              </w:rPr>
            </w:pPr>
            <w:r>
              <w:rPr>
                <w:caps w:val="false"/>
                <w:smallCaps w:val="false"/>
                <w:color w:val="58595B"/>
              </w:rPr>
              <w:t>—</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6,500,027</w:t>
            </w:r>
          </w:p>
        </w:tc>
        <w:tc>
          <w:tcPr>
            <w:tcW w:w="1295" w:type="dxa"/>
            <w:tcBorders>
              <w:bottom w:val="single" w:sz="8" w:space="0" w:color="58595B"/>
              <w:right w:val="single" w:sz="8" w:space="0" w:color="58595B"/>
            </w:tcBorders>
            <w:tcMar>
              <w:top w:w="0" w:type="dxa"/>
              <w:left w:w="0" w:type="dxa"/>
              <w:bottom w:w="60" w:type="dxa"/>
              <w:right w:w="37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467,588</w:t>
            </w:r>
          </w:p>
        </w:tc>
        <w:tc>
          <w:tcPr>
            <w:tcW w:w="92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6,967,615</w:t>
            </w:r>
          </w:p>
        </w:tc>
      </w:tr>
      <w:tr>
        <w:trPr/>
        <w:tc>
          <w:tcPr>
            <w:tcW w:w="3260" w:type="dxa"/>
            <w:tcBorders>
              <w:left w:val="single" w:sz="8" w:space="0" w:color="58595B"/>
              <w:bottom w:val="single" w:sz="8" w:space="0" w:color="58595B"/>
              <w:right w:val="single" w:sz="8" w:space="0" w:color="58595B"/>
            </w:tcBorders>
            <w:tcMar>
              <w:top w:w="0" w:type="dxa"/>
              <w:left w:w="180" w:type="dxa"/>
              <w:bottom w:w="6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Total</w:t>
            </w:r>
          </w:p>
        </w:tc>
        <w:tc>
          <w:tcPr>
            <w:tcW w:w="135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color w:val="58595B"/>
              </w:rPr>
            </w:pPr>
            <w:r>
              <w:rPr>
                <w:color w:val="58595B"/>
              </w:rPr>
              <w:t>—</w:t>
            </w:r>
          </w:p>
        </w:tc>
        <w:tc>
          <w:tcPr>
            <w:tcW w:w="875"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6,500,027</w:t>
            </w:r>
          </w:p>
        </w:tc>
        <w:tc>
          <w:tcPr>
            <w:tcW w:w="1295" w:type="dxa"/>
            <w:tcBorders>
              <w:bottom w:val="single" w:sz="8" w:space="0" w:color="58595B"/>
              <w:right w:val="single" w:sz="8" w:space="0" w:color="58595B"/>
            </w:tcBorders>
            <w:tcMar>
              <w:top w:w="0" w:type="dxa"/>
              <w:left w:w="0" w:type="dxa"/>
              <w:bottom w:w="60" w:type="dxa"/>
              <w:right w:w="27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1,279,446</w:t>
            </w:r>
          </w:p>
        </w:tc>
        <w:tc>
          <w:tcPr>
            <w:tcW w:w="920" w:type="dxa"/>
            <w:tcBorders>
              <w:bottom w:val="single" w:sz="8" w:space="0" w:color="58595B"/>
              <w:right w:val="single" w:sz="8" w:space="0" w:color="58595B"/>
            </w:tcBorders>
            <w:tcMar>
              <w:top w:w="0" w:type="dxa"/>
              <w:left w:w="0" w:type="dxa"/>
              <w:bottom w:w="6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8,309,473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COMPENSATION OF OUR OTHER DIRECTORS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38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Mr. Quirk received no additional compensation for services as a member of our board in 2025. In 2025, each of our non-executive directors other than Mr. Foley received an annual retainer of $120,000, payable quarterly, for all non-executive directors other than Mr. Foley. The chairman and each member of the audit committee receives an additional annual fee (payable in quarterly installments) of $100,000 and $35,000, respectively, for their service on the audit committee. The chairman and each member of the compensation committee receives an additional annual fee (payable in quarterly installments) of $25,000 and $15,000, respectively, for their service on such committee. The chairman and each member of the corporate governance and nominating committee receives an additional annual fee (payable in quarterly installments) of $20,000 and $10,000, respectively, for their service on such committee. The chairman and each member of the related person transaction committee receives an additional annual fee (payable in quarterly installments) of $50,000 and $25,000, respectively, for their service on the related person committee. Mr. Ammerman, who serves as our Lead Independent Director, receives an annual Lead Director fee of $25,000 (payable quarterly in arrears).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addition, in 2025 each non-employee director other than Mr. Foley received a long-term incentive award of 4,870 shares of restricted stock. These restricted stock awards were granted under our omnibus plan and one-third of the awards vest on each of the first three anniversaries of the date of grant.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32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November 2025, in consideration of their service on the board of directors of F&amp;G, Mr. Ammerman and Mr. Rood also received a long-term incentive award of 6,436 restricted shares of F&amp;G common stock. One-third of the F&amp;G restricted stock awards vest on each of the first three anniversaries of the date of grant.</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also reimburse each non-employee director for all reasonable out-of-pocket expenses incurred in connection with attendance at board and committee meetings and director education programs. Each non-employee member of our board is eligible to participate in our deferred compensation plan to the extent he or she elects to defer any board or committee fees. Mr. Ammerman, Ms. Morgan and Mr. Shea each deferred some or all of the fees they earned in 2025 for their service on the board and the committees on which they serve.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6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following table sets forth information concerning the compensation of our non-employee directors for the fiscal year ending December 31, 2025.</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76</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10" w:type="dxa"/>
        <w:tblLayout w:type="fixed"/>
        <w:tblCellMar>
          <w:top w:w="100" w:type="dxa"/>
          <w:left w:w="100" w:type="dxa"/>
          <w:bottom w:w="100" w:type="dxa"/>
          <w:right w:w="28" w:type="dxa"/>
        </w:tblCellMar>
      </w:tblPr>
      <w:tblGrid>
        <w:gridCol w:w="1955"/>
        <w:gridCol w:w="1475"/>
        <w:gridCol w:w="2330"/>
        <w:gridCol w:w="1655"/>
        <w:gridCol w:w="1250"/>
      </w:tblGrid>
      <w:tr>
        <w:trPr/>
        <w:tc>
          <w:tcPr>
            <w:tcW w:w="1955" w:type="dxa"/>
            <w:tcBorders>
              <w:top w:val="single" w:sz="8" w:space="0" w:color="58595B"/>
              <w:left w:val="single" w:sz="8" w:space="0" w:color="58595B"/>
              <w:bottom w:val="single" w:sz="8" w:space="0" w:color="58595B"/>
              <w:right w:val="single" w:sz="8" w:space="0" w:color="FFFFFF"/>
            </w:tcBorders>
            <w:shd w:fill="274F78" w:val="clear"/>
            <w:vAlign w:val="center"/>
          </w:tcPr>
          <w:p>
            <w:pPr>
              <w:pStyle w:val="TableContents"/>
              <w:bidi w:val="0"/>
              <w:spacing w:before="0" w:after="283"/>
              <w:jc w:val="left"/>
              <w:rPr>
                <w:rFonts w:ascii="Arial;Helvetica;Sans-Serif" w:hAnsi="Arial;Helvetica;Sans-Serif"/>
                <w:b/>
                <w:color w:val="FFFFFF"/>
              </w:rPr>
            </w:pPr>
            <w:r>
              <w:rPr>
                <w:rFonts w:ascii="Arial;Helvetica;Sans-Serif" w:hAnsi="Arial;Helvetica;Sans-Serif"/>
                <w:b/>
                <w:color w:val="FFFFFF"/>
              </w:rPr>
              <w:t>Name</w:t>
            </w:r>
          </w:p>
        </w:tc>
        <w:tc>
          <w:tcPr>
            <w:tcW w:w="147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Fees Earned or </w:t>
              <w:br/>
              <w:t>Paid in Cash ($)</w:t>
            </w:r>
            <w:r>
              <w:rPr>
                <w:rFonts w:ascii="Arial;Helvetica;Sans-Serif" w:hAnsi="Arial;Helvetica;Sans-Serif"/>
                <w:b/>
                <w:color w:val="FFFFFF"/>
                <w:position w:val="6"/>
                <w:sz w:val="14"/>
                <w:sz w:val="18"/>
              </w:rPr>
              <w:t>1</w:t>
            </w:r>
          </w:p>
        </w:tc>
        <w:tc>
          <w:tcPr>
            <w:tcW w:w="2330" w:type="dxa"/>
            <w:tcBorders>
              <w:top w:val="single" w:sz="8" w:space="0" w:color="58595B"/>
              <w:left w:val="single" w:sz="8" w:space="0" w:color="58595B"/>
              <w:bottom w:val="single" w:sz="8" w:space="0" w:color="58595B"/>
              <w:right w:val="single" w:sz="8" w:space="0" w:color="FFFFFF"/>
            </w:tcBorders>
            <w:shd w:fill="274F78" w:val="clear"/>
            <w:tcMar>
              <w:left w:w="28" w:type="dxa"/>
            </w:tcMar>
            <w:vAlign w:val="center"/>
          </w:tcPr>
          <w:p>
            <w:pPr>
              <w:pStyle w:val="TableContents"/>
              <w:bidi w:val="0"/>
              <w:spacing w:before="0" w:after="283"/>
              <w:jc w:val="center"/>
              <w:rPr>
                <w:color w:val="FFFFFF"/>
              </w:rPr>
            </w:pPr>
            <w:r>
              <w:rPr>
                <w:color w:val="FFFFFF"/>
              </w:rPr>
              <w:t xml:space="preserve">    </w:t>
            </w:r>
            <w:r>
              <w:rPr>
                <w:rFonts w:ascii="Arial;Helvetica;Sans-Serif" w:hAnsi="Arial;Helvetica;Sans-Serif"/>
                <w:b/>
                <w:color w:val="FFFFFF"/>
              </w:rPr>
              <w:t>Stock Awards ($)</w:t>
            </w:r>
            <w:r>
              <w:rPr>
                <w:rFonts w:ascii="Arial;Helvetica;Sans-Serif" w:hAnsi="Arial;Helvetica;Sans-Serif"/>
                <w:b/>
                <w:color w:val="FFFFFF"/>
                <w:position w:val="8"/>
                <w:sz w:val="19"/>
              </w:rPr>
              <w:t>2</w:t>
            </w:r>
          </w:p>
        </w:tc>
        <w:tc>
          <w:tcPr>
            <w:tcW w:w="1655" w:type="dxa"/>
            <w:tcBorders>
              <w:top w:val="single" w:sz="8" w:space="0" w:color="58595B"/>
              <w:left w:val="single" w:sz="8" w:space="0" w:color="58595B"/>
              <w:bottom w:val="single" w:sz="8" w:space="0" w:color="58595B"/>
              <w:right w:val="single" w:sz="8" w:space="0" w:color="FFFFFF"/>
            </w:tcBorders>
            <w:shd w:fill="274F78" w:val="clear"/>
            <w:tcMar>
              <w:left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All Other </w:t>
              <w:br/>
              <w:t>Compensation ($)</w:t>
            </w:r>
            <w:r>
              <w:rPr>
                <w:rFonts w:ascii="Arial;Helvetica;Sans-Serif" w:hAnsi="Arial;Helvetica;Sans-Serif"/>
                <w:b/>
                <w:color w:val="FFFFFF"/>
                <w:position w:val="6"/>
                <w:sz w:val="14"/>
                <w:sz w:val="18"/>
              </w:rPr>
              <w:t>3</w:t>
            </w:r>
          </w:p>
        </w:tc>
        <w:tc>
          <w:tcPr>
            <w:tcW w:w="1250" w:type="dxa"/>
            <w:tcBorders>
              <w:top w:val="single" w:sz="8" w:space="0" w:color="58595B"/>
              <w:left w:val="single" w:sz="8" w:space="0" w:color="58595B"/>
              <w:bottom w:val="single" w:sz="8" w:space="0" w:color="58595B"/>
              <w:right w:val="single" w:sz="8" w:space="0" w:color="58595B"/>
            </w:tcBorders>
            <w:shd w:fill="274F78" w:val="clear"/>
            <w:tcMar>
              <w:left w:w="28" w:type="dxa"/>
            </w:tcMar>
            <w:vAlign w:val="center"/>
          </w:tcPr>
          <w:p>
            <w:pPr>
              <w:pStyle w:val="TableContents"/>
              <w:bidi w:val="0"/>
              <w:spacing w:before="0" w:after="283"/>
              <w:jc w:val="center"/>
              <w:rPr>
                <w:color w:val="FFFFFF"/>
              </w:rPr>
            </w:pPr>
            <w:r>
              <w:rPr>
                <w:color w:val="FFFFFF"/>
              </w:rPr>
              <w:t xml:space="preserve">    </w:t>
            </w:r>
            <w:r>
              <w:rPr>
                <w:rFonts w:ascii="Arial;Helvetica;Sans-Serif" w:hAnsi="Arial;Helvetica;Sans-Serif"/>
                <w:b/>
                <w:color w:val="FFFFFF"/>
              </w:rPr>
              <w:t>Total ($)</w:t>
            </w:r>
          </w:p>
        </w:tc>
      </w:tr>
      <w:tr>
        <w:trPr/>
        <w:tc>
          <w:tcPr>
            <w:tcW w:w="1955" w:type="dxa"/>
            <w:tcBorders>
              <w:left w:val="single" w:sz="8" w:space="0" w:color="58595B"/>
              <w:bottom w:val="single" w:sz="8" w:space="0" w:color="58595B"/>
              <w:right w:val="single" w:sz="8" w:space="0" w:color="58595B"/>
            </w:tcBorders>
            <w:tcMar>
              <w:top w:w="0" w:type="dxa"/>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William P. Foley, II</w:t>
            </w:r>
          </w:p>
        </w:tc>
        <w:tc>
          <w:tcPr>
            <w:tcW w:w="1475" w:type="dxa"/>
            <w:tcBorders>
              <w:bottom w:val="single" w:sz="8" w:space="0" w:color="58595B"/>
            </w:tcBorders>
            <w:tcMar>
              <w:top w:w="0" w:type="dxa"/>
              <w:left w:w="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530,000</w:t>
            </w:r>
          </w:p>
        </w:tc>
        <w:tc>
          <w:tcPr>
            <w:tcW w:w="2330" w:type="dxa"/>
            <w:tcBorders>
              <w:left w:val="single" w:sz="8" w:space="0" w:color="58595B"/>
              <w:bottom w:val="single" w:sz="8" w:space="0" w:color="58595B"/>
            </w:tcBorders>
            <w:tcMar>
              <w:top w:w="0" w:type="dxa"/>
              <w:left w:w="11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6,500,027</w:t>
            </w:r>
          </w:p>
        </w:tc>
        <w:tc>
          <w:tcPr>
            <w:tcW w:w="1655" w:type="dxa"/>
            <w:tcBorders>
              <w:left w:val="single" w:sz="8" w:space="0" w:color="58595B"/>
              <w:bottom w:val="single" w:sz="8" w:space="0" w:color="58595B"/>
            </w:tcBorders>
            <w:tcMar>
              <w:top w:w="0" w:type="dxa"/>
              <w:left w:w="19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1,279,446</w:t>
            </w:r>
          </w:p>
        </w:tc>
        <w:tc>
          <w:tcPr>
            <w:tcW w:w="1250" w:type="dxa"/>
            <w:tcBorders>
              <w:left w:val="single" w:sz="8" w:space="0" w:color="58595B"/>
              <w:bottom w:val="single" w:sz="8" w:space="0" w:color="58595B"/>
              <w:right w:val="single" w:sz="8" w:space="0" w:color="58595B"/>
            </w:tcBorders>
            <w:tcMar>
              <w:top w:w="0" w:type="dxa"/>
              <w:lef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8,309,473</w:t>
            </w:r>
          </w:p>
        </w:tc>
      </w:tr>
      <w:tr>
        <w:trPr/>
        <w:tc>
          <w:tcPr>
            <w:tcW w:w="1955" w:type="dxa"/>
            <w:tcBorders>
              <w:left w:val="single" w:sz="8" w:space="0" w:color="58595B"/>
              <w:bottom w:val="single" w:sz="8" w:space="0" w:color="58595B"/>
              <w:right w:val="single" w:sz="8" w:space="0" w:color="58595B"/>
            </w:tcBorders>
            <w:tcMar>
              <w:top w:w="0" w:type="dxa"/>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Douglas K. Ammerman</w:t>
            </w:r>
          </w:p>
        </w:tc>
        <w:tc>
          <w:tcPr>
            <w:tcW w:w="1475" w:type="dxa"/>
            <w:tcBorders>
              <w:bottom w:val="single" w:sz="8" w:space="0" w:color="58595B"/>
            </w:tcBorders>
            <w:tcMar>
              <w:top w:w="0" w:type="dxa"/>
              <w:left w:w="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244,293</w:t>
            </w:r>
          </w:p>
        </w:tc>
        <w:tc>
          <w:tcPr>
            <w:tcW w:w="2330" w:type="dxa"/>
            <w:tcBorders>
              <w:left w:val="single" w:sz="8" w:space="0" w:color="58595B"/>
              <w:bottom w:val="single" w:sz="8" w:space="0" w:color="58595B"/>
            </w:tcBorders>
            <w:tcMar>
              <w:top w:w="0" w:type="dxa"/>
              <w:left w:w="9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480,049</w:t>
            </w:r>
          </w:p>
        </w:tc>
        <w:tc>
          <w:tcPr>
            <w:tcW w:w="1655" w:type="dxa"/>
            <w:tcBorders>
              <w:left w:val="single" w:sz="8" w:space="0" w:color="58595B"/>
              <w:bottom w:val="single" w:sz="8" w:space="0" w:color="58595B"/>
            </w:tcBorders>
            <w:tcMar>
              <w:top w:w="0" w:type="dxa"/>
              <w:left w:w="19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217,029</w:t>
            </w:r>
          </w:p>
        </w:tc>
        <w:tc>
          <w:tcPr>
            <w:tcW w:w="1250" w:type="dxa"/>
            <w:tcBorders>
              <w:left w:val="single" w:sz="8" w:space="0" w:color="58595B"/>
              <w:bottom w:val="single" w:sz="8" w:space="0" w:color="58595B"/>
              <w:right w:val="single" w:sz="8" w:space="0" w:color="58595B"/>
            </w:tcBorders>
            <w:tcMar>
              <w:top w:w="0" w:type="dxa"/>
              <w:lef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941,371</w:t>
            </w:r>
          </w:p>
        </w:tc>
      </w:tr>
      <w:tr>
        <w:trPr/>
        <w:tc>
          <w:tcPr>
            <w:tcW w:w="1955" w:type="dxa"/>
            <w:tcBorders>
              <w:left w:val="single" w:sz="8" w:space="0" w:color="58595B"/>
              <w:bottom w:val="single" w:sz="8" w:space="0" w:color="58595B"/>
              <w:right w:val="single" w:sz="8" w:space="0" w:color="58595B"/>
            </w:tcBorders>
            <w:tcMar>
              <w:top w:w="0" w:type="dxa"/>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Halim Dhanidina</w:t>
            </w:r>
          </w:p>
        </w:tc>
        <w:tc>
          <w:tcPr>
            <w:tcW w:w="1475" w:type="dxa"/>
            <w:tcBorders>
              <w:bottom w:val="single" w:sz="8" w:space="0" w:color="58595B"/>
            </w:tcBorders>
            <w:tcMar>
              <w:top w:w="0" w:type="dxa"/>
              <w:left w:w="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169,293</w:t>
            </w:r>
          </w:p>
        </w:tc>
        <w:tc>
          <w:tcPr>
            <w:tcW w:w="2330" w:type="dxa"/>
            <w:tcBorders>
              <w:left w:val="single" w:sz="8" w:space="0" w:color="58595B"/>
              <w:bottom w:val="single" w:sz="8" w:space="0" w:color="58595B"/>
            </w:tcBorders>
            <w:tcMar>
              <w:top w:w="0" w:type="dxa"/>
              <w:left w:w="9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270,042</w:t>
            </w:r>
          </w:p>
        </w:tc>
        <w:tc>
          <w:tcPr>
            <w:tcW w:w="1655" w:type="dxa"/>
            <w:tcBorders>
              <w:left w:val="single" w:sz="8" w:space="0" w:color="58595B"/>
              <w:bottom w:val="single" w:sz="8" w:space="0" w:color="58595B"/>
            </w:tcBorders>
            <w:tcMar>
              <w:top w:w="0" w:type="dxa"/>
              <w:left w:w="21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25,157</w:t>
            </w:r>
          </w:p>
        </w:tc>
        <w:tc>
          <w:tcPr>
            <w:tcW w:w="1250" w:type="dxa"/>
            <w:tcBorders>
              <w:left w:val="single" w:sz="8" w:space="0" w:color="58595B"/>
              <w:bottom w:val="single" w:sz="8" w:space="0" w:color="58595B"/>
              <w:right w:val="single" w:sz="8" w:space="0" w:color="58595B"/>
            </w:tcBorders>
            <w:tcMar>
              <w:top w:w="0" w:type="dxa"/>
              <w:lef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464,492</w:t>
            </w:r>
          </w:p>
        </w:tc>
      </w:tr>
      <w:tr>
        <w:trPr/>
        <w:tc>
          <w:tcPr>
            <w:tcW w:w="1955" w:type="dxa"/>
            <w:tcBorders>
              <w:left w:val="single" w:sz="8" w:space="0" w:color="58595B"/>
              <w:bottom w:val="single" w:sz="8" w:space="0" w:color="58595B"/>
              <w:right w:val="single" w:sz="8" w:space="0" w:color="58595B"/>
            </w:tcBorders>
            <w:tcMar>
              <w:top w:w="0" w:type="dxa"/>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Thomas M. Hagerty</w:t>
            </w:r>
          </w:p>
        </w:tc>
        <w:tc>
          <w:tcPr>
            <w:tcW w:w="1475" w:type="dxa"/>
            <w:tcBorders>
              <w:bottom w:val="single" w:sz="8" w:space="0" w:color="58595B"/>
            </w:tcBorders>
            <w:tcMar>
              <w:top w:w="0" w:type="dxa"/>
              <w:left w:w="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144,293</w:t>
            </w:r>
          </w:p>
        </w:tc>
        <w:tc>
          <w:tcPr>
            <w:tcW w:w="2330" w:type="dxa"/>
            <w:tcBorders>
              <w:left w:val="single" w:sz="8" w:space="0" w:color="58595B"/>
              <w:bottom w:val="single" w:sz="8" w:space="0" w:color="58595B"/>
            </w:tcBorders>
            <w:tcMar>
              <w:top w:w="0" w:type="dxa"/>
              <w:left w:w="9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270,042</w:t>
            </w:r>
          </w:p>
        </w:tc>
        <w:tc>
          <w:tcPr>
            <w:tcW w:w="1655" w:type="dxa"/>
            <w:tcBorders>
              <w:left w:val="single" w:sz="8" w:space="0" w:color="58595B"/>
              <w:bottom w:val="single" w:sz="8" w:space="0" w:color="58595B"/>
            </w:tcBorders>
            <w:tcMar>
              <w:top w:w="0" w:type="dxa"/>
              <w:left w:w="21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25,157</w:t>
            </w:r>
          </w:p>
        </w:tc>
        <w:tc>
          <w:tcPr>
            <w:tcW w:w="1250" w:type="dxa"/>
            <w:tcBorders>
              <w:left w:val="single" w:sz="8" w:space="0" w:color="58595B"/>
              <w:bottom w:val="single" w:sz="8" w:space="0" w:color="58595B"/>
              <w:right w:val="single" w:sz="8" w:space="0" w:color="58595B"/>
            </w:tcBorders>
            <w:tcMar>
              <w:top w:w="0" w:type="dxa"/>
              <w:lef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439,492</w:t>
            </w:r>
          </w:p>
        </w:tc>
      </w:tr>
      <w:tr>
        <w:trPr/>
        <w:tc>
          <w:tcPr>
            <w:tcW w:w="1955" w:type="dxa"/>
            <w:tcBorders>
              <w:left w:val="single" w:sz="8" w:space="0" w:color="58595B"/>
              <w:bottom w:val="single" w:sz="8" w:space="0" w:color="58595B"/>
              <w:right w:val="single" w:sz="8" w:space="0" w:color="58595B"/>
            </w:tcBorders>
            <w:tcMar>
              <w:top w:w="0" w:type="dxa"/>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Daniel D. (Ron) Lane</w:t>
            </w:r>
          </w:p>
        </w:tc>
        <w:tc>
          <w:tcPr>
            <w:tcW w:w="1475" w:type="dxa"/>
            <w:tcBorders>
              <w:bottom w:val="single" w:sz="8" w:space="0" w:color="58595B"/>
            </w:tcBorders>
            <w:tcMar>
              <w:top w:w="0" w:type="dxa"/>
              <w:left w:w="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134,293</w:t>
            </w:r>
          </w:p>
        </w:tc>
        <w:tc>
          <w:tcPr>
            <w:tcW w:w="2330" w:type="dxa"/>
            <w:tcBorders>
              <w:left w:val="single" w:sz="8" w:space="0" w:color="58595B"/>
              <w:bottom w:val="single" w:sz="8" w:space="0" w:color="58595B"/>
            </w:tcBorders>
            <w:tcMar>
              <w:top w:w="0" w:type="dxa"/>
              <w:left w:w="9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270,042</w:t>
            </w:r>
          </w:p>
        </w:tc>
        <w:tc>
          <w:tcPr>
            <w:tcW w:w="1655" w:type="dxa"/>
            <w:tcBorders>
              <w:left w:val="single" w:sz="8" w:space="0" w:color="58595B"/>
              <w:bottom w:val="single" w:sz="8" w:space="0" w:color="58595B"/>
            </w:tcBorders>
            <w:tcMar>
              <w:top w:w="0" w:type="dxa"/>
              <w:left w:w="21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25,157</w:t>
            </w:r>
          </w:p>
        </w:tc>
        <w:tc>
          <w:tcPr>
            <w:tcW w:w="1250" w:type="dxa"/>
            <w:tcBorders>
              <w:left w:val="single" w:sz="8" w:space="0" w:color="58595B"/>
              <w:bottom w:val="single" w:sz="8" w:space="0" w:color="58595B"/>
              <w:right w:val="single" w:sz="8" w:space="0" w:color="58595B"/>
            </w:tcBorders>
            <w:tcMar>
              <w:top w:w="0" w:type="dxa"/>
              <w:lef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429,492</w:t>
            </w:r>
          </w:p>
        </w:tc>
      </w:tr>
      <w:tr>
        <w:trPr/>
        <w:tc>
          <w:tcPr>
            <w:tcW w:w="1955" w:type="dxa"/>
            <w:tcBorders>
              <w:left w:val="single" w:sz="8" w:space="0" w:color="58595B"/>
              <w:bottom w:val="single" w:sz="8" w:space="0" w:color="58595B"/>
              <w:right w:val="single" w:sz="8" w:space="0" w:color="58595B"/>
            </w:tcBorders>
            <w:tcMar>
              <w:top w:w="0" w:type="dxa"/>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Sandra D. Morgan</w:t>
            </w:r>
          </w:p>
        </w:tc>
        <w:tc>
          <w:tcPr>
            <w:tcW w:w="1475" w:type="dxa"/>
            <w:tcBorders>
              <w:bottom w:val="single" w:sz="8" w:space="0" w:color="58595B"/>
            </w:tcBorders>
            <w:tcMar>
              <w:top w:w="0" w:type="dxa"/>
              <w:left w:w="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154,293</w:t>
            </w:r>
          </w:p>
        </w:tc>
        <w:tc>
          <w:tcPr>
            <w:tcW w:w="2330" w:type="dxa"/>
            <w:tcBorders>
              <w:left w:val="single" w:sz="8" w:space="0" w:color="58595B"/>
              <w:bottom w:val="single" w:sz="8" w:space="0" w:color="58595B"/>
            </w:tcBorders>
            <w:tcMar>
              <w:top w:w="0" w:type="dxa"/>
              <w:left w:w="9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270,042</w:t>
            </w:r>
          </w:p>
        </w:tc>
        <w:tc>
          <w:tcPr>
            <w:tcW w:w="1655" w:type="dxa"/>
            <w:tcBorders>
              <w:left w:val="single" w:sz="8" w:space="0" w:color="58595B"/>
              <w:bottom w:val="single" w:sz="8" w:space="0" w:color="58595B"/>
            </w:tcBorders>
            <w:tcMar>
              <w:top w:w="0" w:type="dxa"/>
              <w:left w:w="21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25,157</w:t>
            </w:r>
          </w:p>
        </w:tc>
        <w:tc>
          <w:tcPr>
            <w:tcW w:w="1250" w:type="dxa"/>
            <w:tcBorders>
              <w:left w:val="single" w:sz="8" w:space="0" w:color="58595B"/>
              <w:bottom w:val="single" w:sz="8" w:space="0" w:color="58595B"/>
              <w:right w:val="single" w:sz="8" w:space="0" w:color="58595B"/>
            </w:tcBorders>
            <w:tcMar>
              <w:top w:w="0" w:type="dxa"/>
              <w:lef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449,492</w:t>
            </w:r>
          </w:p>
        </w:tc>
      </w:tr>
      <w:tr>
        <w:trPr/>
        <w:tc>
          <w:tcPr>
            <w:tcW w:w="1955" w:type="dxa"/>
            <w:tcBorders>
              <w:left w:val="single" w:sz="8" w:space="0" w:color="58595B"/>
              <w:bottom w:val="single" w:sz="8" w:space="0" w:color="58595B"/>
              <w:right w:val="single" w:sz="8" w:space="0" w:color="58595B"/>
            </w:tcBorders>
            <w:tcMar>
              <w:top w:w="0" w:type="dxa"/>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Heather H. Miller</w:t>
            </w:r>
          </w:p>
        </w:tc>
        <w:tc>
          <w:tcPr>
            <w:tcW w:w="1475" w:type="dxa"/>
            <w:tcBorders>
              <w:bottom w:val="single" w:sz="8" w:space="0" w:color="58595B"/>
            </w:tcBorders>
            <w:tcMar>
              <w:top w:w="0" w:type="dxa"/>
              <w:left w:w="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119,293</w:t>
            </w:r>
          </w:p>
        </w:tc>
        <w:tc>
          <w:tcPr>
            <w:tcW w:w="2330" w:type="dxa"/>
            <w:tcBorders>
              <w:left w:val="single" w:sz="8" w:space="0" w:color="58595B"/>
              <w:bottom w:val="single" w:sz="8" w:space="0" w:color="58595B"/>
            </w:tcBorders>
            <w:tcMar>
              <w:top w:w="0" w:type="dxa"/>
              <w:left w:w="9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270,042</w:t>
            </w:r>
          </w:p>
        </w:tc>
        <w:tc>
          <w:tcPr>
            <w:tcW w:w="1655" w:type="dxa"/>
            <w:tcBorders>
              <w:left w:val="single" w:sz="8" w:space="0" w:color="58595B"/>
              <w:bottom w:val="single" w:sz="8" w:space="0" w:color="58595B"/>
            </w:tcBorders>
            <w:tcMar>
              <w:top w:w="0" w:type="dxa"/>
              <w:left w:w="21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25,157</w:t>
            </w:r>
          </w:p>
        </w:tc>
        <w:tc>
          <w:tcPr>
            <w:tcW w:w="1250" w:type="dxa"/>
            <w:tcBorders>
              <w:left w:val="single" w:sz="8" w:space="0" w:color="58595B"/>
              <w:bottom w:val="single" w:sz="8" w:space="0" w:color="58595B"/>
              <w:right w:val="single" w:sz="8" w:space="0" w:color="58595B"/>
            </w:tcBorders>
            <w:tcMar>
              <w:top w:w="0" w:type="dxa"/>
              <w:lef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414,492</w:t>
            </w:r>
          </w:p>
        </w:tc>
      </w:tr>
      <w:tr>
        <w:trPr/>
        <w:tc>
          <w:tcPr>
            <w:tcW w:w="1955" w:type="dxa"/>
            <w:tcBorders>
              <w:left w:val="single" w:sz="8" w:space="0" w:color="58595B"/>
              <w:bottom w:val="single" w:sz="8" w:space="0" w:color="58595B"/>
              <w:right w:val="single" w:sz="8" w:space="0" w:color="58595B"/>
            </w:tcBorders>
            <w:tcMar>
              <w:top w:w="0" w:type="dxa"/>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John D. Rood</w:t>
            </w:r>
          </w:p>
        </w:tc>
        <w:tc>
          <w:tcPr>
            <w:tcW w:w="1475" w:type="dxa"/>
            <w:tcBorders>
              <w:bottom w:val="single" w:sz="8" w:space="0" w:color="58595B"/>
            </w:tcBorders>
            <w:tcMar>
              <w:top w:w="0" w:type="dxa"/>
              <w:left w:w="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164,273</w:t>
            </w:r>
          </w:p>
        </w:tc>
        <w:tc>
          <w:tcPr>
            <w:tcW w:w="2330" w:type="dxa"/>
            <w:tcBorders>
              <w:left w:val="single" w:sz="8" w:space="0" w:color="58595B"/>
              <w:bottom w:val="single" w:sz="8" w:space="0" w:color="58595B"/>
            </w:tcBorders>
            <w:tcMar>
              <w:top w:w="0" w:type="dxa"/>
              <w:left w:w="9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480,049</w:t>
            </w:r>
          </w:p>
        </w:tc>
        <w:tc>
          <w:tcPr>
            <w:tcW w:w="1655" w:type="dxa"/>
            <w:tcBorders>
              <w:left w:val="single" w:sz="8" w:space="0" w:color="58595B"/>
              <w:bottom w:val="single" w:sz="8" w:space="0" w:color="58595B"/>
            </w:tcBorders>
            <w:tcMar>
              <w:top w:w="0" w:type="dxa"/>
              <w:left w:w="21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218,957</w:t>
            </w:r>
          </w:p>
        </w:tc>
        <w:tc>
          <w:tcPr>
            <w:tcW w:w="1250" w:type="dxa"/>
            <w:tcBorders>
              <w:left w:val="single" w:sz="8" w:space="0" w:color="58595B"/>
              <w:bottom w:val="single" w:sz="8" w:space="0" w:color="58595B"/>
              <w:right w:val="single" w:sz="8" w:space="0" w:color="58595B"/>
            </w:tcBorders>
            <w:tcMar>
              <w:top w:w="0" w:type="dxa"/>
              <w:lef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863,279</w:t>
            </w:r>
          </w:p>
        </w:tc>
      </w:tr>
      <w:tr>
        <w:trPr/>
        <w:tc>
          <w:tcPr>
            <w:tcW w:w="1955" w:type="dxa"/>
            <w:tcBorders>
              <w:left w:val="single" w:sz="8" w:space="0" w:color="58595B"/>
              <w:bottom w:val="single" w:sz="8" w:space="0" w:color="58595B"/>
              <w:right w:val="single" w:sz="8" w:space="0" w:color="58595B"/>
            </w:tcBorders>
            <w:tcMar>
              <w:top w:w="0" w:type="dxa"/>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Peter O. Shea, Jr.</w:t>
            </w:r>
          </w:p>
        </w:tc>
        <w:tc>
          <w:tcPr>
            <w:tcW w:w="1475" w:type="dxa"/>
            <w:tcBorders>
              <w:bottom w:val="single" w:sz="8" w:space="0" w:color="58595B"/>
            </w:tcBorders>
            <w:tcMar>
              <w:top w:w="0" w:type="dxa"/>
              <w:left w:w="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174,293</w:t>
            </w:r>
          </w:p>
        </w:tc>
        <w:tc>
          <w:tcPr>
            <w:tcW w:w="2330" w:type="dxa"/>
            <w:tcBorders>
              <w:left w:val="single" w:sz="8" w:space="0" w:color="58595B"/>
              <w:bottom w:val="single" w:sz="8" w:space="0" w:color="58595B"/>
            </w:tcBorders>
            <w:tcMar>
              <w:top w:w="0" w:type="dxa"/>
              <w:left w:w="9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270,042</w:t>
            </w:r>
          </w:p>
        </w:tc>
        <w:tc>
          <w:tcPr>
            <w:tcW w:w="1655" w:type="dxa"/>
            <w:tcBorders>
              <w:left w:val="single" w:sz="8" w:space="0" w:color="58595B"/>
              <w:bottom w:val="single" w:sz="8" w:space="0" w:color="58595B"/>
            </w:tcBorders>
            <w:tcMar>
              <w:top w:w="0" w:type="dxa"/>
              <w:left w:w="21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25,157</w:t>
            </w:r>
          </w:p>
        </w:tc>
        <w:tc>
          <w:tcPr>
            <w:tcW w:w="1250" w:type="dxa"/>
            <w:tcBorders>
              <w:left w:val="single" w:sz="8" w:space="0" w:color="58595B"/>
              <w:bottom w:val="single" w:sz="8" w:space="0" w:color="58595B"/>
              <w:right w:val="single" w:sz="8" w:space="0" w:color="58595B"/>
            </w:tcBorders>
            <w:tcMar>
              <w:top w:w="0" w:type="dxa"/>
              <w:lef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469,492</w:t>
            </w:r>
          </w:p>
        </w:tc>
      </w:tr>
      <w:tr>
        <w:trPr/>
        <w:tc>
          <w:tcPr>
            <w:tcW w:w="1955" w:type="dxa"/>
            <w:tcBorders>
              <w:left w:val="single" w:sz="8" w:space="0" w:color="58595B"/>
              <w:bottom w:val="single" w:sz="8" w:space="0" w:color="58595B"/>
              <w:right w:val="single" w:sz="8" w:space="0" w:color="58595B"/>
            </w:tcBorders>
            <w:tcMar>
              <w:top w:w="0" w:type="dxa"/>
              <w:left w:w="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Cary H. Thompson</w:t>
            </w:r>
          </w:p>
        </w:tc>
        <w:tc>
          <w:tcPr>
            <w:tcW w:w="1475" w:type="dxa"/>
            <w:tcBorders>
              <w:bottom w:val="single" w:sz="8" w:space="0" w:color="58595B"/>
            </w:tcBorders>
            <w:tcMar>
              <w:top w:w="0" w:type="dxa"/>
              <w:left w:w="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134,293</w:t>
            </w:r>
          </w:p>
        </w:tc>
        <w:tc>
          <w:tcPr>
            <w:tcW w:w="2330" w:type="dxa"/>
            <w:tcBorders>
              <w:left w:val="single" w:sz="8" w:space="0" w:color="58595B"/>
              <w:bottom w:val="single" w:sz="8" w:space="0" w:color="58595B"/>
            </w:tcBorders>
            <w:tcMar>
              <w:top w:w="0" w:type="dxa"/>
              <w:left w:w="9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270,042</w:t>
            </w:r>
          </w:p>
        </w:tc>
        <w:tc>
          <w:tcPr>
            <w:tcW w:w="1655" w:type="dxa"/>
            <w:tcBorders>
              <w:left w:val="single" w:sz="8" w:space="0" w:color="58595B"/>
              <w:bottom w:val="single" w:sz="8" w:space="0" w:color="58595B"/>
            </w:tcBorders>
            <w:tcMar>
              <w:top w:w="0" w:type="dxa"/>
              <w:left w:w="210" w:type="dxa"/>
              <w:righ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25,157</w:t>
            </w:r>
          </w:p>
        </w:tc>
        <w:tc>
          <w:tcPr>
            <w:tcW w:w="1250" w:type="dxa"/>
            <w:tcBorders>
              <w:left w:val="single" w:sz="8" w:space="0" w:color="58595B"/>
              <w:bottom w:val="single" w:sz="8" w:space="0" w:color="58595B"/>
              <w:right w:val="single" w:sz="8" w:space="0" w:color="58595B"/>
            </w:tcBorders>
            <w:tcMar>
              <w:top w:w="0" w:type="dxa"/>
              <w:lef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429,492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61"/>
        <w:gridCol w:w="9976"/>
      </w:tblGrid>
      <w:tr>
        <w:trPr/>
        <w:tc>
          <w:tcPr>
            <w:tcW w:w="6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16"/>
              </w:rPr>
            </w:pPr>
            <w:r>
              <w:rPr>
                <w:sz w:val="16"/>
              </w:rPr>
              <w:t>1.</w:t>
            </w:r>
          </w:p>
        </w:tc>
        <w:tc>
          <w:tcPr>
            <w:tcW w:w="9976" w:type="dxa"/>
            <w:tcBorders/>
            <w:vAlign w:val="center"/>
          </w:tcPr>
          <w:p>
            <w:pPr>
              <w:pStyle w:val="TableContents"/>
              <w:bidi w:val="0"/>
              <w:spacing w:before="0" w:after="283"/>
              <w:jc w:val="both"/>
              <w:rPr>
                <w:sz w:val="16"/>
              </w:rPr>
            </w:pPr>
            <w:r>
              <w:rPr>
                <w:sz w:val="16"/>
              </w:rPr>
              <w:t xml:space="preserve">Represents the cash portion of annual board and committee retainers and meeting fees earned for services as a FNF director in 2025 for all directors. Amounts shown are not reduced to reflect directors' elections, if any, to defer receipt of retainers into our deferred compensation plan.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105"/>
        <w:gridCol w:w="144"/>
        <w:gridCol w:w="9956"/>
      </w:tblGrid>
      <w:tr>
        <w:trPr/>
        <w:tc>
          <w:tcPr>
            <w:tcW w:w="10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sz w:val="16"/>
              </w:rPr>
            </w:pPr>
            <w:r>
              <w:rPr>
                <w:sz w:val="16"/>
              </w:rPr>
              <w:t xml:space="preserve">2. </w:t>
            </w:r>
          </w:p>
        </w:tc>
        <w:tc>
          <w:tcPr>
            <w:tcW w:w="9956" w:type="dxa"/>
            <w:tcBorders/>
            <w:vAlign w:val="center"/>
          </w:tcPr>
          <w:p>
            <w:pPr>
              <w:pStyle w:val="TableContents"/>
              <w:bidi w:val="0"/>
              <w:spacing w:before="0" w:after="283"/>
              <w:jc w:val="left"/>
              <w:rPr>
                <w:sz w:val="16"/>
              </w:rPr>
            </w:pPr>
            <w:r>
              <w:rPr>
                <w:sz w:val="16"/>
              </w:rPr>
              <w:t>Amounts shown for all directors represent the grant date fair value of a restricted stock award granted in 2025, computed in accordance with FASB ASC Topic 718. Except for Mr. Foley, the awards vest over a period of three years from the grant date. Mr. Foley did not receive an FNF restricted stock award in 2025 as a result of the special one-time award he received in 2024. Assumptions used in the calculation of the amounts of the FNF awards are included in Note T to our audited financial statements for the fiscal year ended December 31, 2025, included in our Annual Report on Form 10-K filed with the SEC on February 26, 2026. Restricted stock awards granted for the fiscal year ended December 31, 2025 for each director were as follows: Mr. Foley 0; Mr. Ammerman 4,870; Mr. Dhanidina 4,870; Mr. Hagerty 4,870; Mr. Lane 4,870; Ms. Morgan 4,870; Ms. Miller 4,870; Mr. Rood 4,870; Mr. Shea 4,870; and Mr. Thompson 4,870. The fair value of the FNF restricted stock awards as shown above is based on a per share grant date fair value of $55.45 for each director. As of December 31, 2025, FNF restricted stock awards outstanding for each director were as follows: Mr. Foley 419,052; Mr. Ammerman 11,178; Mr. Dhanidina 11,178; Mr. Hagerty 11,178; Mr. Lane 11,178; Ms. Morgan 11,178; Ms. Miller 11,178; Mr. Rood 11,178; Mr. Shea 11,178; and Mr. Thompson 11,178. For Mr. Foley, Mr. Ammerman and Mr. Rood, the amount also includes the grant date fair value of their respective F&amp;G restricted stock awards granted in November 2025, computed in accordance with FASB ASC Topic 718. The F&amp;G restricted stock awards vest over a period of three years from the grant date and, in Mr. Foley's case, subject to achievement of the performance condition described in the award agreement. Assumptions used in the calculation of the amounts of the F&amp;G restricted stock awards are included in Note R of F&amp;G's Annual Report on Form 10-K filed with the SEC on February 26, 2026. F&amp;G restricted stock awards granted for the fiscal year ended December 31, 2025 for each director were as follows: Mr. Foley 199,204; Mr. Ammerman 6,436; and Mr. Rood 6,436. The fair value of the F&amp;G restricted stock awards as shown above is based on a per share grant date fair value of $32.63. As of December 31, 2025, F&amp;G restricted stock awards outstanding for Messrs. Foley, Ammerman and Rood were 346,659, 12,504 and 12,504, respectively.</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32"/>
        <w:gridCol w:w="10005"/>
      </w:tblGrid>
      <w:tr>
        <w:trPr/>
        <w:tc>
          <w:tcPr>
            <w:tcW w:w="6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15"/>
              </w:rPr>
            </w:pPr>
            <w:r>
              <w:rPr>
                <w:sz w:val="15"/>
              </w:rPr>
              <w:t>3.</w:t>
            </w:r>
          </w:p>
        </w:tc>
        <w:tc>
          <w:tcPr>
            <w:tcW w:w="10005" w:type="dxa"/>
            <w:tcBorders/>
            <w:vAlign w:val="center"/>
          </w:tcPr>
          <w:p>
            <w:pPr>
              <w:pStyle w:val="TableContents"/>
              <w:bidi w:val="0"/>
              <w:spacing w:before="0" w:after="283"/>
              <w:jc w:val="left"/>
              <w:rPr>
                <w:sz w:val="15"/>
              </w:rPr>
            </w:pPr>
            <w:r>
              <w:rPr>
                <w:sz w:val="15"/>
              </w:rPr>
              <w:t xml:space="preserve">Amounts shown for all directors reflect dividends paid with respect to restricted stock that vested in 2025, which were withheld during the period of restriction and paid upon vesting. Amounts for Mr. Foley include his base salary as a non-executive employee ($43,888); health insurance fees paid under our executive medical plan ($59,878); dividends paid with respect to restricted stock that vested in 2025 ($922,244); and personal use of corporate aircraft ($253,437). In addition to dividends paid with respect to restricted stock that vested during 2025, amounts for Mr. Ammerman include $89,072 of F&amp;G common stock related to annual board and committee retainers paid for services as a F&amp;G director in 2025, and amounts for Messrs. Ammerman and Rood include $89,000 and $180,000, respectively, of annual board and committee retainers paid in cash for services as a F&amp;G director in 2025. </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290"/>
        <w:gridCol w:w="3050"/>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290"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77</w:t>
            </w:r>
          </w:p>
        </w:tc>
        <w:tc>
          <w:tcPr>
            <w:tcW w:w="3050"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r>
      <w:tr>
        <w:trPr/>
        <w:tc>
          <w:tcPr>
            <w:tcW w:w="105" w:type="dxa"/>
            <w:tcBorders/>
            <w:vAlign w:val="center"/>
          </w:tcPr>
          <w:p>
            <w:pPr>
              <w:pStyle w:val="TableContents"/>
              <w:bidi w:val="0"/>
              <w:spacing w:before="0" w:after="283"/>
              <w:jc w:val="left"/>
              <w:rPr>
                <w:color w:val="58595B"/>
              </w:rPr>
            </w:pPr>
            <w:r>
              <w:rPr>
                <w:color w:val="58595B"/>
              </w:rPr>
              <w:t> </w:t>
            </w:r>
          </w:p>
        </w:tc>
        <w:tc>
          <w:tcPr>
            <w:tcW w:w="290" w:type="dxa"/>
            <w:tcBorders/>
            <w:vAlign w:val="center"/>
          </w:tcPr>
          <w:p>
            <w:pPr>
              <w:pStyle w:val="TableContents"/>
              <w:bidi w:val="0"/>
              <w:spacing w:before="0" w:after="283"/>
              <w:jc w:val="left"/>
              <w:rPr>
                <w:color w:val="58595B"/>
              </w:rPr>
            </w:pPr>
            <w:r>
              <w:rPr>
                <w:color w:val="58595B"/>
              </w:rPr>
              <w:t> </w:t>
            </w:r>
          </w:p>
        </w:tc>
        <w:tc>
          <w:tcPr>
            <w:tcW w:w="3050" w:type="dxa"/>
            <w:tcBorders/>
            <w:vAlign w:val="center"/>
          </w:tcPr>
          <w:p>
            <w:pPr>
              <w:pStyle w:val="TableContents"/>
              <w:bidi w:val="0"/>
              <w:spacing w:before="0" w:after="283"/>
              <w:jc w:val="left"/>
              <w:rPr>
                <w:color w:val="58595B"/>
              </w:rPr>
            </w:pPr>
            <w:r>
              <w:rPr>
                <w:color w:val="58595B"/>
              </w:rPr>
              <w:t> </w:t>
            </w:r>
          </w:p>
        </w:tc>
      </w:tr>
      <w:tr>
        <w:trPr/>
        <w:tc>
          <w:tcPr>
            <w:tcW w:w="105" w:type="dxa"/>
            <w:tcBorders/>
            <w:shd w:fill="254F79" w:val="clear"/>
            <w:vAlign w:val="center"/>
          </w:tcPr>
          <w:p>
            <w:pPr>
              <w:pStyle w:val="TableContents"/>
              <w:bidi w:val="0"/>
              <w:spacing w:before="0" w:after="283"/>
              <w:jc w:val="left"/>
              <w:rPr>
                <w:color w:val="58595B"/>
              </w:rPr>
            </w:pPr>
            <w:r>
              <w:rPr>
                <w:color w:val="58595B"/>
              </w:rPr>
              <w:t> </w:t>
            </w:r>
          </w:p>
        </w:tc>
        <w:tc>
          <w:tcPr>
            <w:tcW w:w="290" w:type="dxa"/>
            <w:tcBorders/>
            <w:shd w:fill="254F79" w:val="clear"/>
            <w:vAlign w:val="center"/>
          </w:tcPr>
          <w:p>
            <w:pPr>
              <w:pStyle w:val="TableContents"/>
              <w:bidi w:val="0"/>
              <w:spacing w:before="0" w:after="283"/>
              <w:jc w:val="left"/>
              <w:rPr>
                <w:color w:val="58595B"/>
              </w:rPr>
            </w:pPr>
            <w:r>
              <w:rPr>
                <w:color w:val="58595B"/>
              </w:rPr>
              <w:t> </w:t>
            </w:r>
          </w:p>
        </w:tc>
        <w:tc>
          <w:tcPr>
            <w:tcW w:w="3050" w:type="dxa"/>
            <w:tcBorders/>
            <w:shd w:fill="254F79" w:val="clear"/>
            <w:vAlign w:val="center"/>
          </w:tcPr>
          <w:p>
            <w:pPr>
              <w:pStyle w:val="TableContents"/>
              <w:bidi w:val="0"/>
              <w:spacing w:before="0" w:after="283"/>
              <w:jc w:val="left"/>
              <w:rPr>
                <w:color w:val="58595B"/>
              </w:rPr>
            </w:pPr>
            <w:r>
              <w:rPr>
                <w:color w:val="58595B"/>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 w:name="V3"/>
      <w:bookmarkStart w:id="11" w:name="V3"/>
      <w:bookmarkEnd w:id="11"/>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color w:val="FFFFFF"/>
                <w:sz w:val="33"/>
              </w:rPr>
            </w:pPr>
            <w:r>
              <w:rPr>
                <w:rFonts w:ascii="Arial;Helvetica;Sans-Serif" w:hAnsi="Arial;Helvetica;Sans-Serif"/>
                <w:b/>
                <w:color w:val="FFFFFF"/>
                <w:sz w:val="33"/>
              </w:rPr>
              <w:t>PROPOSAL NO. 3: ADVISORY VOTE ON EXECUTIVE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60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believe that our compensation programs are structured to appropriately balance guaranteed base salary and performance-based at-risk annual and long-term incentives so as to incent our executives to drive strong short and long-term performance while providing enough assured annual compensation in the form of base salary to discourage excessive risk-taking. We believe that the success of this approach is evidenced by our long history of delivering consistent, industry-leading operating results and investment returns to our shareholders. FNF continued to outperform the industry in 2025 as we generated $14.3 billion of total revenue (excluding $160 million of noncash, valuation losses on investment securities) and $679 billion of net earnings from continuing operations. For 2025, the annual return to our shareholders was 7.4%, exceeding that of our peer group.</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5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urge our shareholders to read the "Compensation Discussion and Analysis" section of this proxy statement, which describes in detail our compensation philosophy and how our compensation programs operate and are designed to achieve our business and compensation objectives, as well as the Summary Compensation Table and other related compensation tables and disclosures, which provide detailed information on the compensation of our named executive officers.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ask our shareholders to vote on the following resolution at the annual meeting:</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600" w:hanging="0"/>
        <w:jc w:val="center"/>
        <w:rPr>
          <w:caps w:val="false"/>
          <w:smallCaps w:val="false"/>
          <w:color w:val="58595B"/>
        </w:rPr>
      </w:pPr>
      <w:r>
        <w:rPr>
          <w:caps w:val="false"/>
          <w:smallCaps w:val="false"/>
          <w:color w:val="58595B"/>
        </w:rPr>
        <w:drawing>
          <wp:inline distT="0" distB="0" distL="0" distR="0">
            <wp:extent cx="276225" cy="228600"/>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5"/>
                    <a:stretch>
                      <a:fillRect/>
                    </a:stretch>
                  </pic:blipFill>
                  <pic:spPr bwMode="auto">
                    <a:xfrm>
                      <a:off x="0" y="0"/>
                      <a:ext cx="276225" cy="228600"/>
                    </a:xfrm>
                    <a:prstGeom prst="rect">
                      <a:avLst/>
                    </a:prstGeom>
                  </pic:spPr>
                </pic:pic>
              </a:graphicData>
            </a:graphic>
          </wp:inline>
        </w:drawing>
      </w:r>
      <w:r>
        <w:rPr>
          <w:caps w:val="false"/>
          <w:smallCaps w:val="false"/>
          <w:color w:val="58595B"/>
        </w:rPr>
        <w:t xml:space="preserve"> </w:t>
      </w:r>
      <w:r>
        <w:rPr>
          <w:rFonts w:ascii="Arial;Helvetica;Sans-Serif" w:hAnsi="Arial;Helvetica;Sans-Serif"/>
          <w:b w:val="false"/>
          <w:i w:val="false"/>
          <w:caps w:val="false"/>
          <w:smallCaps w:val="false"/>
          <w:color w:val="58595B"/>
          <w:sz w:val="22"/>
        </w:rPr>
        <w:t xml:space="preserve">RESOLVED, that the Company's shareholders approve, on an advisory basis, the compensation of the named executive officers, as disclosed in the Company's Proxy Statement for the 2026 Annual Meeting of Shareholders pursuant to the compensation disclosure rules of the Securities and Exchange Commission, including the Compensation Discussion and Analysis and executive and Director Compensation section, the compensation tables and related narrative. </w:t>
      </w:r>
      <w:r>
        <w:rPr>
          <w:rFonts w:ascii="Arial;Helvetica;Sans-Serif" w:hAnsi="Arial;Helvetica;Sans-Serif"/>
          <w:b w:val="false"/>
          <w:i w:val="false"/>
          <w:caps w:val="false"/>
          <w:smallCaps w:val="false"/>
          <w:color w:val="58595B"/>
          <w:sz w:val="22"/>
        </w:rPr>
        <w:drawing>
          <wp:inline distT="0" distB="0" distL="0" distR="0">
            <wp:extent cx="276225" cy="22860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6"/>
                    <a:stretch>
                      <a:fillRect/>
                    </a:stretch>
                  </pic:blipFill>
                  <pic:spPr bwMode="auto">
                    <a:xfrm>
                      <a:off x="0" y="0"/>
                      <a:ext cx="276225" cy="228600"/>
                    </a:xfrm>
                    <a:prstGeom prst="rect">
                      <a:avLst/>
                    </a:prstGeom>
                  </pic:spPr>
                </pic:pic>
              </a:graphicData>
            </a:graphic>
          </wp:inline>
        </w:drawing>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64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vote on this resolution is not intended to address any specific element of compensation; rather, the vote relates to the compensation of our named executive officers, as described in this proxy statement in accordance with the compensation disclosure rules of the Securities and Exchange Commission. Approval of this resolution requires the affirmative vote of a majority of the shares of our common stock represented and entitled to vote at the meeting.</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74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However, as this is an advisory vote, the results will not be binding on the Company, the board or the compensation committee, and will not require us to take any action. The final decision on the compensation of our named executive officers remains with our compensation committee and the board, although the compensation committee and the board will consider the outcome of this vote when making compensation decisions.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860" w:hanging="0"/>
        <w:jc w:val="left"/>
        <w:rPr>
          <w:rFonts w:ascii="Arial;Helvetica;Sans-Serif" w:hAnsi="Arial;Helvetica;Sans-Serif"/>
          <w:b/>
          <w:i w:val="false"/>
          <w:caps w:val="false"/>
          <w:smallCaps w:val="false"/>
          <w:color w:val="58595B"/>
          <w:sz w:val="22"/>
        </w:rPr>
      </w:pPr>
      <w:r>
        <w:rPr>
          <w:rFonts w:ascii="Arial;Helvetica;Sans-Serif" w:hAnsi="Arial;Helvetica;Sans-Serif"/>
          <w:b/>
          <w:i w:val="false"/>
          <w:caps w:val="false"/>
          <w:smallCaps w:val="false"/>
          <w:color w:val="58595B"/>
          <w:sz w:val="22"/>
        </w:rPr>
        <w:t>THE BOARD RECOMMENDS THAT THE SHAREHOLDERS VOTE “FOR” THE APPROVAL, ON AN ADVISORY BASIS, OF THE COMPENSATION OF OUR NAMED EXECUTIVE OFFICERS, AS DISCLOSED IN THIS PROXY STATEMENT.</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78</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 w:name="V4"/>
      <w:bookmarkStart w:id="13" w:name="V4"/>
      <w:bookmarkEnd w:id="13"/>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color w:val="FFFFFF"/>
                <w:sz w:val="33"/>
              </w:rPr>
            </w:pPr>
            <w:r>
              <w:rPr>
                <w:rFonts w:ascii="Arial;Helvetica;Sans-Serif" w:hAnsi="Arial;Helvetica;Sans-Serif"/>
                <w:b/>
                <w:color w:val="FFFFFF"/>
                <w:sz w:val="33"/>
              </w:rPr>
              <w:t>PROPOSAL NO. 4: RATIFICATION OF INDEPENDENT REGISTERED PUBLIC ACCOUNTING FIRM</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p>
      <w:pPr>
        <w:pStyle w:val="TextBody"/>
        <w:bidi w:val="0"/>
        <w:spacing w:before="0" w:after="0"/>
        <w:ind w:left="1440" w:right="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GENERAL INFORMATION ABOUT ERNST &amp; YOUNG LLP</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6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Although shareholder ratification of the appointment of our independent registered public accounting firm is not required by our bylaws or otherwise, we are submitting the selection of Ernst &amp; Young LLP (EY) to our shareholders for ratification as a matter of good corporate governance practice. Even if the selection is ratified, our audit committee in its discretion may select a different independent registered public accounting firm at any time if it determines that such a change would be in the best interests of the Company and our shareholders. If our shareholders do not ratify the audit committee's selection, the audit committee will take that fact into consideration, together with such other factors it deems relevant, in determining its next selection of our independent registered public accounting firm.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52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choosing our independent registered public accounting firm, our audit committee conducts a comprehensive review of the qualifications of those individuals who will lead and serve on the engagement team, the quality control procedures the firm has established, and any issue raised by the most recent quality control review of the firm. The review also includes matters required to be considered under the Securities and Exchange Commission rules on "Auditor Independence," including the nature and extent of non-audit services to ensure that they will not impair the independence of the accountants.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600" w:hanging="0"/>
        <w:jc w:val="both"/>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Representatives of EY are expected to be present at the annual meeting. These representatives will have an opportunity to make a statement if they so desire and will be available to respond to appropriate questions.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PRINCIPAL ACCOUNTANT FEES AND SERVICES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16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The audit committee has appointed EY to audit the consolidated financial statements of the Company for the 2026 fiscal year. EY has continuously acted as our independent registered public accounting firm since August 2, 2017. For services rendered to us during or in connection with our years ended December 31, 2025 and December 31, 2024, we were billed the following fees by EY:</w:t>
      </w:r>
    </w:p>
    <w:p>
      <w:pPr>
        <w:pStyle w:val="TextBody"/>
        <w:bidi w:val="0"/>
        <w:spacing w:before="0" w:after="0"/>
        <w:ind w:left="1440" w:right="160" w:hanging="0"/>
        <w:jc w:val="left"/>
        <w:rPr>
          <w:caps w:val="false"/>
          <w:smallCaps w:val="false"/>
          <w:color w:val="58595B"/>
        </w:rPr>
      </w:pPr>
      <w:r>
        <w:rPr>
          <w:caps w:val="false"/>
          <w:smallCaps w:val="false"/>
          <w:color w:val="58595B"/>
        </w:rPr>
        <w:t> </w:t>
      </w:r>
    </w:p>
    <w:tbl>
      <w:tblPr>
        <w:tblW w:w="4695" w:type="dxa"/>
        <w:jc w:val="left"/>
        <w:tblInd w:w="0" w:type="dxa"/>
        <w:tblLayout w:type="fixed"/>
        <w:tblCellMar>
          <w:top w:w="0" w:type="dxa"/>
          <w:left w:w="0" w:type="dxa"/>
          <w:bottom w:w="80" w:type="dxa"/>
          <w:right w:w="28" w:type="dxa"/>
        </w:tblCellMar>
      </w:tblPr>
      <w:tblGrid>
        <w:gridCol w:w="1730"/>
        <w:gridCol w:w="1460"/>
        <w:gridCol w:w="1505"/>
      </w:tblGrid>
      <w:tr>
        <w:trPr/>
        <w:tc>
          <w:tcPr>
            <w:tcW w:w="1730" w:type="dxa"/>
            <w:tcBorders>
              <w:bottom w:val="single" w:sz="8" w:space="0" w:color="58595B"/>
              <w:right w:val="single" w:sz="8" w:space="0" w:color="58595B"/>
            </w:tcBorders>
            <w:vAlign w:val="center"/>
          </w:tcPr>
          <w:p>
            <w:pPr>
              <w:pStyle w:val="TableContents"/>
              <w:bidi w:val="0"/>
              <w:spacing w:before="0" w:after="283"/>
              <w:jc w:val="left"/>
              <w:rPr>
                <w:color w:val="FFFFFF"/>
              </w:rPr>
            </w:pPr>
            <w:r>
              <w:rPr>
                <w:color w:val="FFFFFF"/>
              </w:rPr>
              <w:t> </w:t>
            </w:r>
          </w:p>
        </w:tc>
        <w:tc>
          <w:tcPr>
            <w:tcW w:w="1460" w:type="dxa"/>
            <w:tcBorders>
              <w:top w:val="single" w:sz="8" w:space="0" w:color="58595B"/>
              <w:bottom w:val="single" w:sz="8" w:space="0" w:color="58595B"/>
            </w:tcBorders>
            <w:shd w:fill="274F78" w:val="clear"/>
            <w:tcMar>
              <w:top w:w="80" w:type="dxa"/>
              <w:right w:w="0"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2025</w:t>
            </w:r>
          </w:p>
          <w:p>
            <w:pPr>
              <w:pStyle w:val="TableContents"/>
              <w:bidi w:val="0"/>
              <w:spacing w:before="0" w:after="0"/>
              <w:ind w:left="0" w:right="0" w:hanging="0"/>
              <w:jc w:val="center"/>
              <w:rPr>
                <w:rFonts w:ascii="Arial;Helvetica;Sans-Serif" w:hAnsi="Arial;Helvetica;Sans-Serif"/>
                <w:b w:val="false"/>
                <w:i/>
                <w:caps w:val="false"/>
                <w:smallCaps w:val="false"/>
                <w:color w:val="FFFFFF"/>
                <w:sz w:val="22"/>
              </w:rPr>
            </w:pPr>
            <w:r>
              <w:rPr>
                <w:rFonts w:ascii="Arial;Helvetica;Sans-Serif" w:hAnsi="Arial;Helvetica;Sans-Serif"/>
                <w:b w:val="false"/>
                <w:i/>
                <w:caps w:val="false"/>
                <w:smallCaps w:val="false"/>
                <w:color w:val="FFFFFF"/>
                <w:sz w:val="22"/>
              </w:rPr>
              <w:t>(In thousands)</w:t>
            </w:r>
          </w:p>
        </w:tc>
        <w:tc>
          <w:tcPr>
            <w:tcW w:w="1505" w:type="dxa"/>
            <w:tcBorders>
              <w:top w:val="single" w:sz="8" w:space="0" w:color="58595B"/>
              <w:bottom w:val="single" w:sz="8" w:space="0" w:color="58595B"/>
              <w:right w:val="single" w:sz="8" w:space="0" w:color="58595B"/>
            </w:tcBorders>
            <w:shd w:fill="274F78" w:val="clear"/>
            <w:tcMar>
              <w:top w:w="80"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2024</w:t>
            </w:r>
          </w:p>
          <w:p>
            <w:pPr>
              <w:pStyle w:val="TableContents"/>
              <w:bidi w:val="0"/>
              <w:spacing w:before="0" w:after="0"/>
              <w:ind w:left="0" w:right="0" w:hanging="0"/>
              <w:jc w:val="center"/>
              <w:rPr>
                <w:rFonts w:ascii="Arial;Helvetica;Sans-Serif" w:hAnsi="Arial;Helvetica;Sans-Serif"/>
                <w:b w:val="false"/>
                <w:i/>
                <w:caps w:val="false"/>
                <w:smallCaps w:val="false"/>
                <w:color w:val="FFFFFF"/>
                <w:sz w:val="22"/>
              </w:rPr>
            </w:pPr>
            <w:r>
              <w:rPr>
                <w:rFonts w:ascii="Arial;Helvetica;Sans-Serif" w:hAnsi="Arial;Helvetica;Sans-Serif"/>
                <w:b w:val="false"/>
                <w:i/>
                <w:caps w:val="false"/>
                <w:smallCaps w:val="false"/>
                <w:color w:val="FFFFFF"/>
                <w:sz w:val="22"/>
              </w:rPr>
              <w:t>(In thousands)</w:t>
            </w:r>
          </w:p>
        </w:tc>
      </w:tr>
      <w:tr>
        <w:trPr/>
        <w:tc>
          <w:tcPr>
            <w:tcW w:w="1730" w:type="dxa"/>
            <w:tcBorders>
              <w:left w:val="single" w:sz="8" w:space="0" w:color="58595B"/>
              <w:bottom w:val="single" w:sz="8" w:space="0" w:color="58595B"/>
              <w:right w:val="single" w:sz="8" w:space="0" w:color="58595B"/>
            </w:tcBorders>
            <w:tcMar>
              <w:left w:w="180" w:type="dxa"/>
            </w:tcMar>
            <w:vAlign w:val="center"/>
          </w:tcPr>
          <w:p>
            <w:pPr>
              <w:pStyle w:val="TableContents"/>
              <w:bidi w:val="0"/>
              <w:spacing w:before="0" w:after="283"/>
              <w:jc w:val="left"/>
              <w:rPr>
                <w:rFonts w:ascii="Arial;Helvetica;Sans-Serif" w:hAnsi="Arial;Helvetica;Sans-Serif"/>
                <w:color w:val="58595B"/>
                <w:sz w:val="19"/>
              </w:rPr>
            </w:pPr>
            <w:r>
              <w:rPr>
                <w:rFonts w:ascii="Arial;Helvetica;Sans-Serif" w:hAnsi="Arial;Helvetica;Sans-Serif"/>
                <w:color w:val="58595B"/>
                <w:sz w:val="19"/>
              </w:rPr>
              <w:t>Audit Fees</w:t>
            </w:r>
          </w:p>
        </w:tc>
        <w:tc>
          <w:tcPr>
            <w:tcW w:w="1460"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$9,167</w:t>
            </w:r>
          </w:p>
        </w:tc>
        <w:tc>
          <w:tcPr>
            <w:tcW w:w="150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$8,790</w:t>
            </w:r>
          </w:p>
        </w:tc>
      </w:tr>
      <w:tr>
        <w:trPr/>
        <w:tc>
          <w:tcPr>
            <w:tcW w:w="1730" w:type="dxa"/>
            <w:tcBorders>
              <w:left w:val="single" w:sz="8" w:space="0" w:color="58595B"/>
              <w:bottom w:val="single" w:sz="8" w:space="0" w:color="58595B"/>
              <w:right w:val="single" w:sz="8" w:space="0" w:color="58595B"/>
            </w:tcBorders>
            <w:tcMar>
              <w:left w:w="180" w:type="dxa"/>
            </w:tcMar>
            <w:vAlign w:val="center"/>
          </w:tcPr>
          <w:p>
            <w:pPr>
              <w:pStyle w:val="TableContents"/>
              <w:bidi w:val="0"/>
              <w:spacing w:before="0" w:after="283"/>
              <w:jc w:val="left"/>
              <w:rPr>
                <w:rFonts w:ascii="Arial;Helvetica;Sans-Serif" w:hAnsi="Arial;Helvetica;Sans-Serif"/>
                <w:color w:val="58595B"/>
                <w:sz w:val="19"/>
              </w:rPr>
            </w:pPr>
            <w:r>
              <w:rPr>
                <w:rFonts w:ascii="Arial;Helvetica;Sans-Serif" w:hAnsi="Arial;Helvetica;Sans-Serif"/>
                <w:color w:val="58595B"/>
                <w:sz w:val="19"/>
              </w:rPr>
              <w:t>Audit-Related Fees</w:t>
            </w:r>
          </w:p>
        </w:tc>
        <w:tc>
          <w:tcPr>
            <w:tcW w:w="1460"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$510</w:t>
            </w:r>
          </w:p>
        </w:tc>
        <w:tc>
          <w:tcPr>
            <w:tcW w:w="150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$467</w:t>
            </w:r>
          </w:p>
        </w:tc>
      </w:tr>
      <w:tr>
        <w:trPr/>
        <w:tc>
          <w:tcPr>
            <w:tcW w:w="1730" w:type="dxa"/>
            <w:tcBorders>
              <w:left w:val="single" w:sz="8" w:space="0" w:color="58595B"/>
              <w:bottom w:val="single" w:sz="8" w:space="0" w:color="58595B"/>
              <w:right w:val="single" w:sz="8" w:space="0" w:color="58595B"/>
            </w:tcBorders>
            <w:tcMar>
              <w:left w:w="180" w:type="dxa"/>
            </w:tcMar>
            <w:vAlign w:val="center"/>
          </w:tcPr>
          <w:p>
            <w:pPr>
              <w:pStyle w:val="TableContents"/>
              <w:bidi w:val="0"/>
              <w:spacing w:before="0" w:after="283"/>
              <w:jc w:val="left"/>
              <w:rPr>
                <w:rFonts w:ascii="Arial;Helvetica;Sans-Serif" w:hAnsi="Arial;Helvetica;Sans-Serif"/>
                <w:color w:val="58595B"/>
                <w:sz w:val="19"/>
              </w:rPr>
            </w:pPr>
            <w:r>
              <w:rPr>
                <w:rFonts w:ascii="Arial;Helvetica;Sans-Serif" w:hAnsi="Arial;Helvetica;Sans-Serif"/>
                <w:color w:val="58595B"/>
                <w:sz w:val="19"/>
              </w:rPr>
              <w:t>Tax Fees</w:t>
            </w:r>
          </w:p>
        </w:tc>
        <w:tc>
          <w:tcPr>
            <w:tcW w:w="1460"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$248</w:t>
            </w:r>
          </w:p>
        </w:tc>
        <w:tc>
          <w:tcPr>
            <w:tcW w:w="150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$99</w:t>
            </w:r>
          </w:p>
        </w:tc>
      </w:tr>
      <w:tr>
        <w:trPr/>
        <w:tc>
          <w:tcPr>
            <w:tcW w:w="1730" w:type="dxa"/>
            <w:tcBorders>
              <w:left w:val="single" w:sz="8" w:space="0" w:color="58595B"/>
              <w:bottom w:val="single" w:sz="8" w:space="0" w:color="58595B"/>
              <w:right w:val="single" w:sz="8" w:space="0" w:color="58595B"/>
            </w:tcBorders>
            <w:tcMar>
              <w:left w:w="180" w:type="dxa"/>
            </w:tcMar>
            <w:vAlign w:val="center"/>
          </w:tcPr>
          <w:p>
            <w:pPr>
              <w:pStyle w:val="TableContents"/>
              <w:bidi w:val="0"/>
              <w:spacing w:before="0" w:after="283"/>
              <w:jc w:val="left"/>
              <w:rPr>
                <w:rFonts w:ascii="Arial;Helvetica;Sans-Serif" w:hAnsi="Arial;Helvetica;Sans-Serif"/>
                <w:color w:val="58595B"/>
                <w:sz w:val="19"/>
              </w:rPr>
            </w:pPr>
            <w:r>
              <w:rPr>
                <w:rFonts w:ascii="Arial;Helvetica;Sans-Serif" w:hAnsi="Arial;Helvetica;Sans-Serif"/>
                <w:color w:val="58595B"/>
                <w:sz w:val="19"/>
              </w:rPr>
              <w:t>All Other Fees</w:t>
            </w:r>
          </w:p>
        </w:tc>
        <w:tc>
          <w:tcPr>
            <w:tcW w:w="1460" w:type="dxa"/>
            <w:tcBorders>
              <w:bottom w:val="single" w:sz="8" w:space="0" w:color="58595B"/>
              <w:right w:val="single" w:sz="8" w:space="0" w:color="58595B"/>
            </w:tcBorders>
            <w:vAlign w:val="center"/>
          </w:tcPr>
          <w:p>
            <w:pPr>
              <w:pStyle w:val="TableContents"/>
              <w:bidi w:val="0"/>
              <w:spacing w:before="0" w:after="283"/>
              <w:jc w:val="center"/>
              <w:rPr/>
            </w:pPr>
            <w:r>
              <w:rPr/>
              <w:t>—</w:t>
            </w:r>
          </w:p>
        </w:tc>
        <w:tc>
          <w:tcPr>
            <w:tcW w:w="1505" w:type="dxa"/>
            <w:tcBorders>
              <w:bottom w:val="single" w:sz="8" w:space="0" w:color="58595B"/>
              <w:right w:val="single" w:sz="8" w:space="0" w:color="58595B"/>
            </w:tcBorders>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$14</w:t>
            </w:r>
          </w:p>
        </w:tc>
      </w:tr>
    </w:tbl>
    <w:p>
      <w:pPr>
        <w:pStyle w:val="TextBody"/>
        <w:bidi w:val="0"/>
        <w:spacing w:before="0" w:after="0"/>
        <w:ind w:left="1440" w:right="160" w:hanging="0"/>
        <w:jc w:val="left"/>
        <w:rPr>
          <w:caps w:val="false"/>
          <w:smallCaps w:val="false"/>
          <w:color w:val="58595B"/>
        </w:rPr>
      </w:pPr>
      <w:r>
        <w:rPr>
          <w:caps w:val="false"/>
          <w:smallCaps w:val="false"/>
          <w:color w:val="58595B"/>
        </w:rPr>
        <w:t> </w:t>
      </w:r>
    </w:p>
    <w:p>
      <w:pPr>
        <w:pStyle w:val="TextBody"/>
        <w:bidi w:val="0"/>
        <w:spacing w:before="0" w:after="0"/>
        <w:ind w:left="1440" w:right="160" w:hanging="0"/>
        <w:jc w:val="left"/>
        <w:rPr>
          <w:caps w:val="false"/>
          <w:smallCaps w:val="false"/>
          <w:color w:val="58595B"/>
        </w:rPr>
      </w:pPr>
      <w:r>
        <w:rPr>
          <w:caps w:val="false"/>
          <w:smallCaps w:val="false"/>
          <w:color w:val="58595B"/>
        </w:rPr>
        <w:t> </w:t>
      </w:r>
    </w:p>
    <w:p>
      <w:pPr>
        <w:pStyle w:val="TextBody"/>
        <w:bidi w:val="0"/>
        <w:spacing w:before="0" w:after="0"/>
        <w:ind w:left="1440" w:right="12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062A5D"/>
          <w:sz w:val="22"/>
        </w:rPr>
        <w:t xml:space="preserve">Audit Fees. </w:t>
      </w:r>
      <w:r>
        <w:rPr>
          <w:rFonts w:ascii="Arial;Helvetica;Sans-Serif" w:hAnsi="Arial;Helvetica;Sans-Serif"/>
          <w:b w:val="false"/>
          <w:i w:val="false"/>
          <w:caps w:val="false"/>
          <w:smallCaps w:val="false"/>
          <w:color w:val="58595B"/>
          <w:sz w:val="22"/>
        </w:rPr>
        <w:t>Audit fees consisted principally of fees for the audits, registration statements and other filings related to the Company's 2025 and 2024 financial statements, and audits of the Company's subsidiaries required for regulatory reporting purposes, including billings for out-of-pocket expenses incurred.</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290"/>
        <w:gridCol w:w="3050"/>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290"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79</w:t>
            </w:r>
          </w:p>
        </w:tc>
        <w:tc>
          <w:tcPr>
            <w:tcW w:w="3050"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r>
      <w:tr>
        <w:trPr/>
        <w:tc>
          <w:tcPr>
            <w:tcW w:w="105" w:type="dxa"/>
            <w:tcBorders/>
            <w:vAlign w:val="center"/>
          </w:tcPr>
          <w:p>
            <w:pPr>
              <w:pStyle w:val="TableContents"/>
              <w:bidi w:val="0"/>
              <w:spacing w:before="0" w:after="283"/>
              <w:jc w:val="left"/>
              <w:rPr>
                <w:color w:val="58595B"/>
              </w:rPr>
            </w:pPr>
            <w:r>
              <w:rPr>
                <w:color w:val="58595B"/>
              </w:rPr>
              <w:t> </w:t>
            </w:r>
          </w:p>
        </w:tc>
        <w:tc>
          <w:tcPr>
            <w:tcW w:w="290" w:type="dxa"/>
            <w:tcBorders/>
            <w:vAlign w:val="center"/>
          </w:tcPr>
          <w:p>
            <w:pPr>
              <w:pStyle w:val="TableContents"/>
              <w:bidi w:val="0"/>
              <w:spacing w:before="0" w:after="283"/>
              <w:jc w:val="left"/>
              <w:rPr>
                <w:color w:val="58595B"/>
              </w:rPr>
            </w:pPr>
            <w:r>
              <w:rPr>
                <w:color w:val="58595B"/>
              </w:rPr>
              <w:t> </w:t>
            </w:r>
          </w:p>
        </w:tc>
        <w:tc>
          <w:tcPr>
            <w:tcW w:w="3050" w:type="dxa"/>
            <w:tcBorders/>
            <w:vAlign w:val="center"/>
          </w:tcPr>
          <w:p>
            <w:pPr>
              <w:pStyle w:val="TableContents"/>
              <w:bidi w:val="0"/>
              <w:spacing w:before="0" w:after="283"/>
              <w:jc w:val="left"/>
              <w:rPr>
                <w:color w:val="58595B"/>
              </w:rPr>
            </w:pPr>
            <w:r>
              <w:rPr>
                <w:color w:val="58595B"/>
              </w:rPr>
              <w:t> </w:t>
            </w:r>
          </w:p>
        </w:tc>
      </w:tr>
      <w:tr>
        <w:trPr/>
        <w:tc>
          <w:tcPr>
            <w:tcW w:w="105" w:type="dxa"/>
            <w:tcBorders/>
            <w:shd w:fill="254F79" w:val="clear"/>
            <w:vAlign w:val="center"/>
          </w:tcPr>
          <w:p>
            <w:pPr>
              <w:pStyle w:val="TableContents"/>
              <w:bidi w:val="0"/>
              <w:spacing w:before="0" w:after="283"/>
              <w:jc w:val="left"/>
              <w:rPr>
                <w:color w:val="58595B"/>
              </w:rPr>
            </w:pPr>
            <w:r>
              <w:rPr>
                <w:color w:val="58595B"/>
              </w:rPr>
              <w:t> </w:t>
            </w:r>
          </w:p>
        </w:tc>
        <w:tc>
          <w:tcPr>
            <w:tcW w:w="290" w:type="dxa"/>
            <w:tcBorders/>
            <w:shd w:fill="254F79" w:val="clear"/>
            <w:vAlign w:val="center"/>
          </w:tcPr>
          <w:p>
            <w:pPr>
              <w:pStyle w:val="TableContents"/>
              <w:bidi w:val="0"/>
              <w:spacing w:before="0" w:after="283"/>
              <w:jc w:val="left"/>
              <w:rPr>
                <w:color w:val="58595B"/>
              </w:rPr>
            </w:pPr>
            <w:r>
              <w:rPr>
                <w:color w:val="58595B"/>
              </w:rPr>
              <w:t> </w:t>
            </w:r>
          </w:p>
        </w:tc>
        <w:tc>
          <w:tcPr>
            <w:tcW w:w="3050" w:type="dxa"/>
            <w:tcBorders/>
            <w:shd w:fill="254F79" w:val="clear"/>
            <w:vAlign w:val="center"/>
          </w:tcPr>
          <w:p>
            <w:pPr>
              <w:pStyle w:val="TableContents"/>
              <w:bidi w:val="0"/>
              <w:spacing w:before="0" w:after="283"/>
              <w:jc w:val="left"/>
              <w:rPr>
                <w:color w:val="58595B"/>
              </w:rPr>
            </w:pPr>
            <w:r>
              <w:rPr>
                <w:color w:val="58595B"/>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062A5D"/>
          <w:sz w:val="22"/>
        </w:rPr>
        <w:t xml:space="preserve">Audit-Related Fees. </w:t>
      </w:r>
      <w:r>
        <w:rPr>
          <w:rFonts w:ascii="Arial;Helvetica;Sans-Serif" w:hAnsi="Arial;Helvetica;Sans-Serif"/>
          <w:b w:val="false"/>
          <w:i w:val="false"/>
          <w:caps w:val="false"/>
          <w:smallCaps w:val="false"/>
          <w:color w:val="58595B"/>
          <w:sz w:val="22"/>
        </w:rPr>
        <w:t>Audit-related fees in 2025 and 2024 consisted principally of fees for Service Organization Control Reports.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14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062A5D"/>
          <w:sz w:val="22"/>
        </w:rPr>
        <w:t xml:space="preserve">Tax Fees. </w:t>
      </w:r>
      <w:r>
        <w:rPr>
          <w:rFonts w:ascii="Arial;Helvetica;Sans-Serif" w:hAnsi="Arial;Helvetica;Sans-Serif"/>
          <w:b w:val="false"/>
          <w:i w:val="false"/>
          <w:caps w:val="false"/>
          <w:smallCaps w:val="false"/>
          <w:color w:val="58595B"/>
          <w:sz w:val="22"/>
        </w:rPr>
        <w:t>Tax fees for 2025 and 2024 consisted principally of fees for tax compliance, tax planning and tax advice.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14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color w:val="062A5D"/>
          <w:sz w:val="22"/>
        </w:rPr>
        <w:t xml:space="preserve">All Other Fees. </w:t>
      </w:r>
      <w:r>
        <w:rPr>
          <w:rFonts w:ascii="Arial;Helvetica;Sans-Serif" w:hAnsi="Arial;Helvetica;Sans-Serif"/>
          <w:b w:val="false"/>
          <w:i w:val="false"/>
          <w:caps w:val="false"/>
          <w:smallCaps w:val="false"/>
          <w:color w:val="58595B"/>
          <w:sz w:val="22"/>
        </w:rPr>
        <w:t>All other fees for 2024 consisted principally of fees associated with the use of EY's accounting research product. No such fees were paid in 2025.</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APPROVAL OF ACCOUNTANTS’ SERVICES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8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accordance with the requirements of the Sarbanes-Oxley Act of 2002, all audit and audit-related work and all non-audit work performed by EY is approved in advance by the audit committee, including the proposed fees for such work. Our pre-approval policy provides that, unless a type of service to be provided by EY has been generally pre-approved by the audit committee, it will require specific pre-approval by the audit committee. In addition, any proposed services exceeding pre-approved maximum fee amounts also require pre-approval by the audit committee. Our pre-approval policy provides that specific pre-approval authority is delegated to our audit committee chairman, provided that the estimated fee for the proposed service does not exceed a pre-approved maximum amount set by the committee. Our audit committee chairman must report any pre-approval decisions to the audit committee at its next scheduled meeting.</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280" w:hanging="0"/>
        <w:jc w:val="left"/>
        <w:rPr>
          <w:rFonts w:ascii="Arial;Helvetica;Sans-Serif" w:hAnsi="Arial;Helvetica;Sans-Serif"/>
          <w:b/>
          <w:i w:val="false"/>
          <w:caps w:val="false"/>
          <w:smallCaps w:val="false"/>
          <w:color w:val="58595B"/>
          <w:sz w:val="22"/>
        </w:rPr>
      </w:pPr>
      <w:r>
        <w:rPr>
          <w:rFonts w:ascii="Arial;Helvetica;Sans-Serif" w:hAnsi="Arial;Helvetica;Sans-Serif"/>
          <w:b/>
          <w:i w:val="false"/>
          <w:caps w:val="false"/>
          <w:smallCaps w:val="false"/>
          <w:color w:val="58595B"/>
          <w:sz w:val="22"/>
        </w:rPr>
        <w:t>THE BOARD RECOMMENDS THAT THE SHAREHOLDERS VOTE "FOR" THE RATIFICATION OF ERNST &amp; YOUNG LLP AS THE COMPANY'S INDEPENDENT REGISTERED PUBLIC ACCOUNTING FIRM FOR THE 2026 FISCAL YEAR.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80" w:hanging="0"/>
        <w:jc w:val="left"/>
        <w:rPr>
          <w:rFonts w:ascii="Arial;Helvetica;Sans-Serif" w:hAnsi="Arial;Helvetica;Sans-Serif"/>
          <w:b/>
          <w:i w:val="false"/>
          <w:caps w:val="false"/>
          <w:smallCaps w:val="false"/>
          <w:color w:val="254F79"/>
          <w:sz w:val="38"/>
        </w:rPr>
      </w:pPr>
      <w:r>
        <w:rPr>
          <w:rFonts w:ascii="Arial;Helvetica;Sans-Serif" w:hAnsi="Arial;Helvetica;Sans-Serif"/>
          <w:b/>
          <w:i w:val="false"/>
          <w:caps w:val="false"/>
          <w:smallCaps w:val="false"/>
          <w:color w:val="254F79"/>
          <w:sz w:val="38"/>
        </w:rPr>
        <w:t>SECURITY OWNERSHIP OF CERTAIN BENEFICIAL OWNERS, DIRECTORS AND EXECUTIVE OFFICERS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100" w:hanging="0"/>
        <w:jc w:val="left"/>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The number of our common shares beneficially owned by each individual or group is based upon information in documents filed by such person with the Securities and Exchange Commission, other publicly available information or information available to us. Percentage ownership in the following tables is based on 269,157,540 shares of our common stock outstanding as of April 13, 2026. Unless otherwise indicated, each of the shareholders has sole voting and investment power with respect to the shares of our common stock beneficially owned by that shareholder. The number of shares beneficially owned by each shareholder is determined under rules issued by the Securities and Exchange Commission.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SECURITY OWNERSHIP OF CERTAIN BENEFICIAL OWNERS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The following table sets forth information regarding beneficial ownership of our common stock by each shareholder who is known by the Company to beneficially own 5% or more of such class:</w:t>
      </w:r>
    </w:p>
    <w:p>
      <w:pPr>
        <w:pStyle w:val="TextBody"/>
        <w:bidi w:val="0"/>
        <w:spacing w:before="0" w:after="0"/>
        <w:ind w:left="1440" w:right="260" w:hanging="0"/>
        <w:jc w:val="left"/>
        <w:rPr>
          <w:caps w:val="false"/>
          <w:smallCaps w:val="false"/>
          <w:color w:val="58595B"/>
        </w:rPr>
      </w:pPr>
      <w:r>
        <w:rPr>
          <w:caps w:val="false"/>
          <w:smallCaps w:val="false"/>
          <w:color w:val="58595B"/>
        </w:rPr>
        <w:t> </w:t>
      </w:r>
    </w:p>
    <w:tbl>
      <w:tblPr>
        <w:tblW w:w="9720" w:type="dxa"/>
        <w:jc w:val="left"/>
        <w:tblInd w:w="-10" w:type="dxa"/>
        <w:tblLayout w:type="fixed"/>
        <w:tblCellMar>
          <w:top w:w="60" w:type="dxa"/>
          <w:left w:w="100" w:type="dxa"/>
          <w:bottom w:w="60" w:type="dxa"/>
          <w:right w:w="28" w:type="dxa"/>
        </w:tblCellMar>
      </w:tblPr>
      <w:tblGrid>
        <w:gridCol w:w="5705"/>
        <w:gridCol w:w="2435"/>
        <w:gridCol w:w="1580"/>
      </w:tblGrid>
      <w:tr>
        <w:trPr/>
        <w:tc>
          <w:tcPr>
            <w:tcW w:w="5705" w:type="dxa"/>
            <w:tcBorders>
              <w:top w:val="single" w:sz="8" w:space="0" w:color="58595B"/>
              <w:left w:val="single" w:sz="8" w:space="0" w:color="58595B"/>
              <w:bottom w:val="single" w:sz="8" w:space="0" w:color="58595B"/>
              <w:right w:val="single" w:sz="8" w:space="0" w:color="FFFFFF"/>
            </w:tcBorders>
            <w:shd w:fill="274F78"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Name</w:t>
            </w:r>
          </w:p>
        </w:tc>
        <w:tc>
          <w:tcPr>
            <w:tcW w:w="2435" w:type="dxa"/>
            <w:tcBorders>
              <w:top w:val="single" w:sz="8" w:space="0" w:color="58595B"/>
              <w:bottom w:val="single" w:sz="8" w:space="0" w:color="58595B"/>
              <w:right w:val="single" w:sz="8" w:space="0" w:color="FFFFFF"/>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Shares Beneficially Owned</w:t>
            </w:r>
            <w:r>
              <w:rPr>
                <w:rFonts w:ascii="Arial;Helvetica;Sans-Serif" w:hAnsi="Arial;Helvetica;Sans-Serif"/>
                <w:b/>
                <w:color w:val="FFFFFF"/>
                <w:position w:val="6"/>
                <w:sz w:val="14"/>
                <w:sz w:val="18"/>
              </w:rPr>
              <w:t>1</w:t>
            </w:r>
          </w:p>
        </w:tc>
        <w:tc>
          <w:tcPr>
            <w:tcW w:w="1580" w:type="dxa"/>
            <w:tcBorders>
              <w:top w:val="single" w:sz="8" w:space="0" w:color="58595B"/>
              <w:bottom w:val="single" w:sz="8" w:space="0" w:color="58595B"/>
              <w:right w:val="single" w:sz="8" w:space="0" w:color="58595B"/>
            </w:tcBorders>
            <w:shd w:fill="274F78" w:val="clear"/>
            <w:tcMar>
              <w:left w:w="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Percent of Series</w:t>
            </w:r>
          </w:p>
        </w:tc>
      </w:tr>
      <w:tr>
        <w:trPr/>
        <w:tc>
          <w:tcPr>
            <w:tcW w:w="5705"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rPr>
            </w:pPr>
            <w:r>
              <w:rPr>
                <w:rFonts w:ascii="Arial;Helvetica;Sans-Serif" w:hAnsi="Arial;Helvetica;Sans-Serif"/>
                <w:color w:val="58595B"/>
              </w:rPr>
              <w:t>BlackRock, Inc.</w:t>
              <w:br/>
              <w:t>50 Hudson Yards, New York, NY 10001</w:t>
            </w:r>
          </w:p>
        </w:tc>
        <w:tc>
          <w:tcPr>
            <w:tcW w:w="243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29,146,020</w:t>
            </w:r>
          </w:p>
        </w:tc>
        <w:tc>
          <w:tcPr>
            <w:tcW w:w="158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10.8%</w:t>
            </w:r>
          </w:p>
        </w:tc>
      </w:tr>
      <w:tr>
        <w:trPr/>
        <w:tc>
          <w:tcPr>
            <w:tcW w:w="5705" w:type="dxa"/>
            <w:tcBorders>
              <w:left w:val="single" w:sz="8" w:space="0" w:color="58595B"/>
              <w:bottom w:val="single" w:sz="8" w:space="0" w:color="58595B"/>
              <w:right w:val="single" w:sz="8" w:space="0" w:color="58595B"/>
            </w:tcBorders>
            <w:tcMar>
              <w:top w:w="0" w:type="dxa"/>
            </w:tcMar>
            <w:vAlign w:val="center"/>
          </w:tcPr>
          <w:p>
            <w:pPr>
              <w:pStyle w:val="TableContents"/>
              <w:bidi w:val="0"/>
              <w:spacing w:before="0" w:after="283"/>
              <w:jc w:val="left"/>
              <w:rPr>
                <w:rFonts w:ascii="Arial;Helvetica;Sans-Serif" w:hAnsi="Arial;Helvetica;Sans-Serif"/>
                <w:color w:val="58595B"/>
              </w:rPr>
            </w:pPr>
            <w:r>
              <w:rPr>
                <w:rFonts w:ascii="Arial;Helvetica;Sans-Serif" w:hAnsi="Arial;Helvetica;Sans-Serif"/>
                <w:color w:val="58595B"/>
              </w:rPr>
              <w:t xml:space="preserve">The Windacre Partnership, LLC </w:t>
              <w:br/>
              <w:t>2200 Post Oak Blvd., Suite 1580, Houston, TX 77056</w:t>
            </w:r>
          </w:p>
        </w:tc>
        <w:tc>
          <w:tcPr>
            <w:tcW w:w="2435"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18,905,100</w:t>
            </w:r>
          </w:p>
        </w:tc>
        <w:tc>
          <w:tcPr>
            <w:tcW w:w="1580" w:type="dxa"/>
            <w:tcBorders>
              <w:bottom w:val="single" w:sz="8" w:space="0" w:color="58595B"/>
              <w:right w:val="single" w:sz="8" w:space="0" w:color="58595B"/>
            </w:tcBorders>
            <w:tcMar>
              <w:top w:w="0" w:type="dxa"/>
              <w:left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7.0%</w:t>
            </w:r>
          </w:p>
        </w:tc>
      </w:tr>
    </w:tbl>
    <w:p>
      <w:pPr>
        <w:pStyle w:val="TextBody"/>
        <w:bidi w:val="0"/>
        <w:spacing w:before="0" w:after="0"/>
        <w:ind w:left="1440" w:right="260" w:hanging="0"/>
        <w:jc w:val="left"/>
        <w:rPr>
          <w:caps w:val="false"/>
          <w:smallCaps w:val="false"/>
          <w:color w:val="58595B"/>
        </w:rPr>
      </w:pPr>
      <w:r>
        <w:rPr>
          <w:caps w:val="false"/>
          <w:smallCaps w:val="false"/>
          <w:color w:val="58595B"/>
        </w:rPr>
        <w:t> </w:t>
      </w:r>
    </w:p>
    <w:p>
      <w:pPr>
        <w:pStyle w:val="TextBody"/>
        <w:bidi w:val="0"/>
        <w:spacing w:before="0" w:after="0"/>
        <w:ind w:left="1440" w:right="0" w:hanging="0"/>
        <w:jc w:val="left"/>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color w:val="58595B"/>
          <w:sz w:val="16"/>
        </w:rPr>
        <w:t>1.</w:t>
      </w:r>
      <w:r>
        <w:rPr>
          <w:rFonts w:ascii="Arial;Helvetica;Sans-Serif" w:hAnsi="Arial;Helvetica;Sans-Serif"/>
          <w:b w:val="false"/>
          <w:i w:val="false"/>
          <w:caps w:val="false"/>
          <w:smallCaps w:val="false"/>
          <w:sz w:val="24"/>
        </w:rPr>
        <w:t>     </w:t>
      </w:r>
      <w:r>
        <w:rPr>
          <w:rFonts w:ascii="Arial;Helvetica;Sans-Serif" w:hAnsi="Arial;Helvetica;Sans-Serif"/>
          <w:b w:val="false"/>
          <w:i w:val="false"/>
          <w:caps w:val="false"/>
          <w:smallCaps w:val="false"/>
          <w:color w:val="58595B"/>
          <w:sz w:val="16"/>
        </w:rPr>
        <w:t>Based on most recent Schedule 13G filings with the SEC.</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80</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SECURITY OWNERSHIP OF MANAGEMENT AND DIRECTORS</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following table sets forth information regarding beneficial ownership as of April 13, 2026 of our common stock by:</w:t>
      </w:r>
    </w:p>
    <w:p>
      <w:pPr>
        <w:pStyle w:val="TextBody"/>
        <w:bidi w:val="0"/>
        <w:spacing w:before="0" w:after="0"/>
        <w:ind w:left="0" w:right="0" w:hanging="0"/>
        <w:jc w:val="left"/>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68"/>
        <w:gridCol w:w="140"/>
        <w:gridCol w:w="465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sz w:val="22"/>
              </w:rPr>
            </w:pPr>
            <w:r>
              <w:rPr>
                <w:sz w:val="22"/>
              </w:rPr>
              <w:t xml:space="preserve">Each of our directors and nominees for director;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2"/>
              </w:rPr>
            </w:pPr>
            <w:r>
              <w:rPr>
                <w:sz w:val="22"/>
              </w:rPr>
              <w:t xml:space="preserve">Each of the named executive officers as defined in Item 402(a)(3) of Regulation S-K promulgated by the Securities and Exchange Commission; and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5373" w:type="dxa"/>
        <w:jc w:val="left"/>
        <w:tblInd w:w="0" w:type="dxa"/>
        <w:tblLayout w:type="fixed"/>
        <w:tblCellMar>
          <w:top w:w="0" w:type="dxa"/>
          <w:left w:w="0" w:type="dxa"/>
          <w:bottom w:w="0" w:type="dxa"/>
          <w:right w:w="0" w:type="dxa"/>
        </w:tblCellMar>
      </w:tblPr>
      <w:tblGrid>
        <w:gridCol w:w="68"/>
        <w:gridCol w:w="140"/>
        <w:gridCol w:w="516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5165" w:type="dxa"/>
            <w:tcBorders/>
            <w:vAlign w:val="center"/>
          </w:tcPr>
          <w:p>
            <w:pPr>
              <w:pStyle w:val="TableContents"/>
              <w:bidi w:val="0"/>
              <w:spacing w:before="0" w:after="283"/>
              <w:jc w:val="both"/>
              <w:rPr>
                <w:sz w:val="22"/>
              </w:rPr>
            </w:pPr>
            <w:r>
              <w:rPr>
                <w:sz w:val="22"/>
              </w:rPr>
              <w:t xml:space="preserve">All of our executive officers and directors as a group. </w:t>
            </w:r>
          </w:p>
        </w:tc>
      </w:tr>
    </w:tbl>
    <w:p>
      <w:pPr>
        <w:pStyle w:val="TextBody"/>
        <w:bidi w:val="0"/>
        <w:spacing w:before="0" w:after="0"/>
        <w:ind w:left="0" w:right="0" w:hanging="0"/>
        <w:jc w:val="left"/>
        <w:rPr>
          <w:caps w:val="false"/>
          <w:smallCaps w:val="false"/>
        </w:rPr>
      </w:pPr>
      <w:r>
        <w:rPr>
          <w:caps w:val="false"/>
          <w:smallCaps w:val="false"/>
        </w:rPr>
        <w:t> </w:t>
      </w:r>
    </w:p>
    <w:tbl>
      <w:tblPr>
        <w:tblW w:w="5055" w:type="dxa"/>
        <w:jc w:val="left"/>
        <w:tblInd w:w="-10" w:type="dxa"/>
        <w:tblLayout w:type="fixed"/>
        <w:tblCellMar>
          <w:top w:w="80" w:type="dxa"/>
          <w:left w:w="160" w:type="dxa"/>
          <w:bottom w:w="0" w:type="dxa"/>
          <w:right w:w="0" w:type="dxa"/>
        </w:tblCellMar>
      </w:tblPr>
      <w:tblGrid>
        <w:gridCol w:w="3095"/>
        <w:gridCol w:w="980"/>
        <w:gridCol w:w="980"/>
      </w:tblGrid>
      <w:tr>
        <w:trPr/>
        <w:tc>
          <w:tcPr>
            <w:tcW w:w="3095" w:type="dxa"/>
            <w:tcBorders>
              <w:top w:val="single" w:sz="8" w:space="0" w:color="58595B"/>
              <w:left w:val="single" w:sz="8" w:space="0" w:color="58595B"/>
            </w:tcBorders>
            <w:shd w:fill="254F79" w:val="clear"/>
            <w:vAlign w:val="center"/>
          </w:tcPr>
          <w:p>
            <w:pPr>
              <w:pStyle w:val="TableContents"/>
              <w:bidi w:val="0"/>
              <w:spacing w:before="0" w:after="283"/>
              <w:jc w:val="center"/>
              <w:rPr/>
            </w:pPr>
            <w:r>
              <w:rPr/>
              <w:t> </w:t>
            </w:r>
          </w:p>
        </w:tc>
        <w:tc>
          <w:tcPr>
            <w:tcW w:w="980" w:type="dxa"/>
            <w:tcBorders>
              <w:top w:val="single" w:sz="8" w:space="0" w:color="58595B"/>
              <w:left w:val="single" w:sz="8" w:space="0" w:color="FFFFFF"/>
            </w:tcBorders>
            <w:shd w:fill="254F79" w:val="clear"/>
            <w:tcMar>
              <w:left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Number</w:t>
            </w:r>
          </w:p>
        </w:tc>
        <w:tc>
          <w:tcPr>
            <w:tcW w:w="980" w:type="dxa"/>
            <w:tcBorders>
              <w:top w:val="single" w:sz="8" w:space="0" w:color="58595B"/>
              <w:left w:val="single" w:sz="8" w:space="0" w:color="FFFFFF"/>
              <w:right w:val="single" w:sz="8" w:space="0" w:color="58595B"/>
            </w:tcBorders>
            <w:shd w:fill="254F79" w:val="clear"/>
            <w:tcMar>
              <w:left w:w="28" w:type="dxa"/>
              <w:right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Percent of</w:t>
            </w:r>
          </w:p>
        </w:tc>
      </w:tr>
      <w:tr>
        <w:trPr/>
        <w:tc>
          <w:tcPr>
            <w:tcW w:w="3095" w:type="dxa"/>
            <w:tcBorders>
              <w:left w:val="single" w:sz="8" w:space="0" w:color="58595B"/>
              <w:bottom w:val="single" w:sz="8" w:space="0" w:color="58595B"/>
            </w:tcBorders>
            <w:shd w:fill="254F79" w:val="clear"/>
            <w:tcMar>
              <w:top w:w="0" w:type="dxa"/>
              <w:bottom w:w="80" w:type="dxa"/>
            </w:tcMar>
            <w:vAlign w:val="center"/>
          </w:tcPr>
          <w:p>
            <w:pPr>
              <w:pStyle w:val="TableContents"/>
              <w:bidi w:val="0"/>
              <w:spacing w:before="0" w:after="283"/>
              <w:jc w:val="left"/>
              <w:rPr/>
            </w:pPr>
            <w:r>
              <w:rPr>
                <w:rFonts w:ascii="Arial;Helvetica;Sans-Serif" w:hAnsi="Arial;Helvetica;Sans-Serif"/>
                <w:b/>
                <w:color w:val="FFFFFF"/>
                <w:sz w:val="20"/>
              </w:rPr>
              <w:t>Name</w:t>
            </w:r>
            <w:r>
              <w:rPr>
                <w:rFonts w:ascii="Arial;Helvetica;Sans-Serif" w:hAnsi="Arial;Helvetica;Sans-Serif"/>
                <w:b/>
                <w:color w:val="FFFFFF"/>
                <w:position w:val="8"/>
                <w:sz w:val="18"/>
                <w:sz w:val="23"/>
              </w:rPr>
              <w:t>1</w:t>
            </w:r>
          </w:p>
        </w:tc>
        <w:tc>
          <w:tcPr>
            <w:tcW w:w="980" w:type="dxa"/>
            <w:tcBorders>
              <w:left w:val="single" w:sz="8" w:space="0" w:color="FFFFFF"/>
              <w:bottom w:val="single" w:sz="8" w:space="0" w:color="58595B"/>
            </w:tcBorders>
            <w:shd w:fill="254F79" w:val="clear"/>
            <w:tcMar>
              <w:top w:w="0" w:type="dxa"/>
              <w:left w:w="28" w:type="dxa"/>
              <w:bottom w:w="8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of Shares</w:t>
            </w:r>
          </w:p>
        </w:tc>
        <w:tc>
          <w:tcPr>
            <w:tcW w:w="980" w:type="dxa"/>
            <w:tcBorders>
              <w:left w:val="single" w:sz="8" w:space="0" w:color="FFFFFF"/>
              <w:bottom w:val="single" w:sz="8" w:space="0" w:color="58595B"/>
              <w:right w:val="single" w:sz="8" w:space="0" w:color="58595B"/>
            </w:tcBorders>
            <w:shd w:fill="254F79" w:val="clear"/>
            <w:tcMar>
              <w:top w:w="0" w:type="dxa"/>
              <w:left w:w="28" w:type="dxa"/>
              <w:bottom w:w="80" w:type="dxa"/>
              <w:right w:w="28"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Total</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Douglas K. Ammerman</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149,341</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20"/>
              </w:rPr>
            </w:pPr>
            <w:r>
              <w:rPr>
                <w:rFonts w:ascii="Arial;Helvetica;Sans-Serif" w:hAnsi="Arial;Helvetica;Sans-Serif"/>
                <w:color w:val="58595B"/>
                <w:sz w:val="20"/>
              </w:rPr>
              <w:t>*</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Halim Dhanidina</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13,186</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pPr>
            <w:r>
              <w:rPr>
                <w:rFonts w:ascii="Arial;Helvetica;Sans-Serif" w:hAnsi="Arial;Helvetica;Sans-Serif"/>
                <w:color w:val="58595B"/>
                <w:sz w:val="18"/>
              </w:rPr>
              <w:t>William P. Foley, II</w:t>
            </w:r>
            <w:r>
              <w:rPr>
                <w:rFonts w:ascii="Arial;Helvetica;Sans-Serif" w:hAnsi="Arial;Helvetica;Sans-Serif"/>
                <w:color w:val="58595B"/>
                <w:position w:val="7"/>
                <w:sz w:val="16"/>
                <w:sz w:val="20"/>
              </w:rPr>
              <w:t>2</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10,023,025</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3.7%</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Michael L. Gravelle</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306,110</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Thomas M. Hagerty</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349,512</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20"/>
              </w:rPr>
            </w:pPr>
            <w:r>
              <w:rPr>
                <w:rFonts w:ascii="Arial;Helvetica;Sans-Serif" w:hAnsi="Arial;Helvetica;Sans-Serif"/>
                <w:color w:val="58595B"/>
                <w:sz w:val="20"/>
              </w:rPr>
              <w:t>*</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Daniel D. (Ron) Lane</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276,308</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20"/>
              </w:rPr>
            </w:pPr>
            <w:r>
              <w:rPr>
                <w:rFonts w:ascii="Arial;Helvetica;Sans-Serif" w:hAnsi="Arial;Helvetica;Sans-Serif"/>
                <w:color w:val="58595B"/>
                <w:sz w:val="20"/>
              </w:rPr>
              <w:t>*</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Heather H. Miller</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43,117</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20"/>
              </w:rPr>
            </w:pPr>
            <w:r>
              <w:rPr>
                <w:rFonts w:ascii="Arial;Helvetica;Sans-Serif" w:hAnsi="Arial;Helvetica;Sans-Serif"/>
                <w:color w:val="58595B"/>
                <w:sz w:val="20"/>
              </w:rPr>
              <w:t>*</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Sandra D. Morgan</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37,256</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20"/>
              </w:rPr>
            </w:pPr>
            <w:r>
              <w:rPr>
                <w:rFonts w:ascii="Arial;Helvetica;Sans-Serif" w:hAnsi="Arial;Helvetica;Sans-Serif"/>
                <w:color w:val="58595B"/>
                <w:sz w:val="20"/>
              </w:rPr>
              <w:t>*</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pPr>
            <w:r>
              <w:rPr>
                <w:rFonts w:ascii="Arial;Helvetica;Sans-Serif" w:hAnsi="Arial;Helvetica;Sans-Serif"/>
                <w:color w:val="58595B"/>
                <w:sz w:val="18"/>
              </w:rPr>
              <w:t>Michael J. Nolan</w:t>
            </w:r>
            <w:r>
              <w:rPr>
                <w:rFonts w:ascii="Arial;Helvetica;Sans-Serif" w:hAnsi="Arial;Helvetica;Sans-Serif"/>
                <w:color w:val="58595B"/>
                <w:position w:val="7"/>
                <w:sz w:val="16"/>
                <w:sz w:val="20"/>
              </w:rPr>
              <w:t>3</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577,129</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20"/>
              </w:rPr>
            </w:pPr>
            <w:r>
              <w:rPr>
                <w:rFonts w:ascii="Arial;Helvetica;Sans-Serif" w:hAnsi="Arial;Helvetica;Sans-Serif"/>
                <w:color w:val="58595B"/>
                <w:sz w:val="20"/>
              </w:rPr>
              <w:t>*</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pPr>
            <w:r>
              <w:rPr>
                <w:rFonts w:ascii="Arial;Helvetica;Sans-Serif" w:hAnsi="Arial;Helvetica;Sans-Serif"/>
                <w:color w:val="58595B"/>
                <w:sz w:val="18"/>
              </w:rPr>
              <w:t>Anthony J. Park</w:t>
            </w:r>
            <w:r>
              <w:rPr>
                <w:rFonts w:ascii="Arial;Helvetica;Sans-Serif" w:hAnsi="Arial;Helvetica;Sans-Serif"/>
                <w:color w:val="58595B"/>
                <w:position w:val="7"/>
                <w:sz w:val="16"/>
                <w:sz w:val="20"/>
              </w:rPr>
              <w:t>4</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409,720</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pPr>
            <w:r>
              <w:rPr>
                <w:rFonts w:ascii="Arial;Helvetica;Sans-Serif" w:hAnsi="Arial;Helvetica;Sans-Serif"/>
                <w:color w:val="58595B"/>
                <w:sz w:val="18"/>
              </w:rPr>
              <w:t>Raymond R. Quirk</w:t>
            </w:r>
            <w:r>
              <w:rPr>
                <w:rFonts w:ascii="Arial;Helvetica;Sans-Serif" w:hAnsi="Arial;Helvetica;Sans-Serif"/>
                <w:color w:val="58595B"/>
                <w:position w:val="7"/>
                <w:sz w:val="16"/>
                <w:sz w:val="20"/>
              </w:rPr>
              <w:t>5</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2,340,811</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John D. Rood</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235,439</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20"/>
              </w:rPr>
            </w:pPr>
            <w:r>
              <w:rPr>
                <w:rFonts w:ascii="Arial;Helvetica;Sans-Serif" w:hAnsi="Arial;Helvetica;Sans-Serif"/>
                <w:color w:val="58595B"/>
                <w:sz w:val="20"/>
              </w:rPr>
              <w:t>*</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pPr>
            <w:r>
              <w:rPr>
                <w:rFonts w:ascii="Arial;Helvetica;Sans-Serif" w:hAnsi="Arial;Helvetica;Sans-Serif"/>
                <w:color w:val="58595B"/>
                <w:sz w:val="18"/>
              </w:rPr>
              <w:t>Peter T. Sadowski</w:t>
            </w:r>
            <w:r>
              <w:rPr>
                <w:rFonts w:ascii="Arial;Helvetica;Sans-Serif" w:hAnsi="Arial;Helvetica;Sans-Serif"/>
                <w:color w:val="58595B"/>
                <w:position w:val="7"/>
                <w:sz w:val="16"/>
                <w:sz w:val="20"/>
              </w:rPr>
              <w:t>6</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269,704</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20"/>
              </w:rPr>
            </w:pPr>
            <w:r>
              <w:rPr>
                <w:rFonts w:ascii="Arial;Helvetica;Sans-Serif" w:hAnsi="Arial;Helvetica;Sans-Serif"/>
                <w:color w:val="58595B"/>
                <w:sz w:val="20"/>
              </w:rPr>
              <w:t>*</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pPr>
            <w:r>
              <w:rPr>
                <w:rFonts w:ascii="Arial;Helvetica;Sans-Serif" w:hAnsi="Arial;Helvetica;Sans-Serif"/>
                <w:color w:val="58595B"/>
                <w:sz w:val="18"/>
              </w:rPr>
              <w:t>Peter O. Shea, Jr.</w:t>
            </w:r>
            <w:r>
              <w:rPr>
                <w:rFonts w:ascii="Arial;Helvetica;Sans-Serif" w:hAnsi="Arial;Helvetica;Sans-Serif"/>
                <w:color w:val="58595B"/>
                <w:position w:val="7"/>
                <w:sz w:val="16"/>
                <w:sz w:val="20"/>
              </w:rPr>
              <w:t>7</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269,908</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20"/>
              </w:rPr>
            </w:pPr>
            <w:r>
              <w:rPr>
                <w:rFonts w:ascii="Arial;Helvetica;Sans-Serif" w:hAnsi="Arial;Helvetica;Sans-Serif"/>
                <w:color w:val="58595B"/>
                <w:sz w:val="20"/>
              </w:rPr>
              <w:t>*</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Cary H. Thompson</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51,497</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w:t>
            </w:r>
          </w:p>
        </w:tc>
      </w:tr>
      <w:tr>
        <w:trPr/>
        <w:tc>
          <w:tcPr>
            <w:tcW w:w="3095" w:type="dxa"/>
            <w:tcBorders>
              <w:left w:val="single" w:sz="8" w:space="0" w:color="58595B"/>
              <w:bottom w:val="single" w:sz="8" w:space="0" w:color="58595B"/>
              <w:right w:val="single" w:sz="8" w:space="0" w:color="58595B"/>
            </w:tcBorders>
            <w:tcMar>
              <w:top w:w="0" w:type="dxa"/>
              <w:bottom w:w="80" w:type="dxa"/>
              <w:right w:w="28"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All directors and officers (15 persons)</w:t>
            </w:r>
          </w:p>
        </w:tc>
        <w:tc>
          <w:tcPr>
            <w:tcW w:w="980" w:type="dxa"/>
            <w:tcBorders>
              <w:bottom w:val="single" w:sz="8" w:space="0" w:color="58595B"/>
              <w:right w:val="single" w:sz="8" w:space="0" w:color="58595B"/>
            </w:tcBorders>
            <w:tcMar>
              <w:top w:w="0" w:type="dxa"/>
              <w:left w:w="0" w:type="dxa"/>
              <w:bottom w:w="80" w:type="dxa"/>
              <w:right w:w="270" w:type="dxa"/>
            </w:tcMar>
            <w:vAlign w:val="center"/>
          </w:tcPr>
          <w:p>
            <w:pPr>
              <w:pStyle w:val="TableContents"/>
              <w:bidi w:val="0"/>
              <w:spacing w:before="0" w:after="283"/>
              <w:jc w:val="right"/>
              <w:rPr>
                <w:rFonts w:ascii="Arial;Helvetica;Sans-Serif" w:hAnsi="Arial;Helvetica;Sans-Serif"/>
                <w:color w:val="58595B"/>
                <w:sz w:val="18"/>
              </w:rPr>
            </w:pPr>
            <w:r>
              <w:rPr>
                <w:rFonts w:ascii="Arial;Helvetica;Sans-Serif" w:hAnsi="Arial;Helvetica;Sans-Serif"/>
                <w:color w:val="58595B"/>
                <w:sz w:val="18"/>
              </w:rPr>
              <w:t>15,352,063</w:t>
            </w:r>
          </w:p>
        </w:tc>
        <w:tc>
          <w:tcPr>
            <w:tcW w:w="980" w:type="dxa"/>
            <w:tcBorders>
              <w:bottom w:val="single" w:sz="8" w:space="0" w:color="58595B"/>
              <w:right w:val="single" w:sz="8" w:space="0" w:color="58595B"/>
            </w:tcBorders>
            <w:tcMar>
              <w:top w:w="0" w:type="dxa"/>
              <w:left w:w="0" w:type="dxa"/>
              <w:bottom w:w="80" w:type="dxa"/>
              <w:right w:w="28"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5.7%</w:t>
            </w:r>
          </w:p>
        </w:tc>
      </w:tr>
    </w:tbl>
    <w:p>
      <w:pPr>
        <w:pStyle w:val="TextBody"/>
        <w:bidi w:val="0"/>
        <w:spacing w:before="0" w:after="0"/>
        <w:ind w:left="0" w:right="0" w:hanging="0"/>
        <w:jc w:val="left"/>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68"/>
        <w:gridCol w:w="170"/>
        <w:gridCol w:w="4505"/>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pPr>
            <w:r>
              <w:rPr/>
              <w:t>Represents less than 1% of our common stock.</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9918" w:type="dxa"/>
        <w:jc w:val="left"/>
        <w:tblInd w:w="0" w:type="dxa"/>
        <w:tblLayout w:type="fixed"/>
        <w:tblCellMar>
          <w:top w:w="0" w:type="dxa"/>
          <w:left w:w="0" w:type="dxa"/>
          <w:bottom w:w="0" w:type="dxa"/>
          <w:right w:w="0" w:type="dxa"/>
        </w:tblCellMar>
      </w:tblPr>
      <w:tblGrid>
        <w:gridCol w:w="68"/>
        <w:gridCol w:w="185"/>
        <w:gridCol w:w="9665"/>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6"/>
              </w:rPr>
            </w:pPr>
            <w:r>
              <w:rPr>
                <w:sz w:val="16"/>
              </w:rPr>
              <w:t>1.</w:t>
            </w:r>
          </w:p>
        </w:tc>
        <w:tc>
          <w:tcPr>
            <w:tcW w:w="9665" w:type="dxa"/>
            <w:tcBorders/>
            <w:vAlign w:val="center"/>
          </w:tcPr>
          <w:p>
            <w:pPr>
              <w:pStyle w:val="TableContents"/>
              <w:bidi w:val="0"/>
              <w:spacing w:before="0" w:after="283"/>
              <w:jc w:val="both"/>
              <w:rPr>
                <w:sz w:val="16"/>
              </w:rPr>
            </w:pPr>
            <w:r>
              <w:rPr>
                <w:sz w:val="16"/>
              </w:rPr>
              <w:t xml:space="preserve">The business address of each beneficial owner is c/o Fidelity National Financial, Inc., 601 Riverside Avenue, Jacksonville, Florida 32204.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38"/>
        <w:gridCol w:w="9999"/>
      </w:tblGrid>
      <w:tr>
        <w:trPr/>
        <w:tc>
          <w:tcPr>
            <w:tcW w:w="6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15"/>
              </w:rPr>
            </w:pPr>
            <w:r>
              <w:rPr>
                <w:sz w:val="15"/>
              </w:rPr>
              <w:t>2.</w:t>
            </w:r>
          </w:p>
        </w:tc>
        <w:tc>
          <w:tcPr>
            <w:tcW w:w="9999" w:type="dxa"/>
            <w:tcBorders/>
            <w:vAlign w:val="center"/>
          </w:tcPr>
          <w:p>
            <w:pPr>
              <w:pStyle w:val="TableContents"/>
              <w:bidi w:val="0"/>
              <w:spacing w:before="0" w:after="283"/>
              <w:jc w:val="left"/>
              <w:rPr>
                <w:sz w:val="15"/>
              </w:rPr>
            </w:pPr>
            <w:r>
              <w:rPr>
                <w:sz w:val="15"/>
              </w:rPr>
              <w:t xml:space="preserve">Includes 2,245,122 shares of our common stock held by Folco Development Corporation, of which Mr. Foley and his spouse are the sole shareholders; 708,106 shares of our common stock owned by the Foley Family Charitable Foundation, and 1,265,826 shares held by Bilcar LLC. Includes 2,500,000 directly owned shares and 1,700,000 shares owned by Folco Development Corporation that are pledged as security in accordance with a previously granted waiver to our hedging and pledging policy.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4473" w:type="dxa"/>
        <w:jc w:val="left"/>
        <w:tblInd w:w="0" w:type="dxa"/>
        <w:tblLayout w:type="fixed"/>
        <w:tblCellMar>
          <w:top w:w="0" w:type="dxa"/>
          <w:left w:w="0" w:type="dxa"/>
          <w:bottom w:w="0" w:type="dxa"/>
          <w:right w:w="0" w:type="dxa"/>
        </w:tblCellMar>
      </w:tblPr>
      <w:tblGrid>
        <w:gridCol w:w="68"/>
        <w:gridCol w:w="185"/>
        <w:gridCol w:w="422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6"/>
              </w:rPr>
            </w:pPr>
            <w:r>
              <w:rPr>
                <w:sz w:val="16"/>
              </w:rPr>
              <w:t>3.</w:t>
            </w:r>
          </w:p>
        </w:tc>
        <w:tc>
          <w:tcPr>
            <w:tcW w:w="4220" w:type="dxa"/>
            <w:tcBorders/>
            <w:vAlign w:val="center"/>
          </w:tcPr>
          <w:p>
            <w:pPr>
              <w:pStyle w:val="TableContents"/>
              <w:bidi w:val="0"/>
              <w:spacing w:before="0" w:after="283"/>
              <w:jc w:val="both"/>
              <w:rPr>
                <w:sz w:val="16"/>
              </w:rPr>
            </w:pPr>
            <w:r>
              <w:rPr>
                <w:sz w:val="16"/>
              </w:rPr>
              <w:t xml:space="preserve">Includes 14,585 shares held by the Michael J. Nolan Trust.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6693" w:type="dxa"/>
        <w:jc w:val="left"/>
        <w:tblInd w:w="0" w:type="dxa"/>
        <w:tblLayout w:type="fixed"/>
        <w:tblCellMar>
          <w:top w:w="0" w:type="dxa"/>
          <w:left w:w="0" w:type="dxa"/>
          <w:bottom w:w="0" w:type="dxa"/>
          <w:right w:w="0" w:type="dxa"/>
        </w:tblCellMar>
      </w:tblPr>
      <w:tblGrid>
        <w:gridCol w:w="68"/>
        <w:gridCol w:w="185"/>
        <w:gridCol w:w="6440"/>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6"/>
              </w:rPr>
            </w:pPr>
            <w:r>
              <w:rPr>
                <w:sz w:val="16"/>
              </w:rPr>
              <w:t>4.</w:t>
            </w:r>
          </w:p>
        </w:tc>
        <w:tc>
          <w:tcPr>
            <w:tcW w:w="6440" w:type="dxa"/>
            <w:tcBorders/>
            <w:vAlign w:val="center"/>
          </w:tcPr>
          <w:p>
            <w:pPr>
              <w:pStyle w:val="TableContents"/>
              <w:bidi w:val="0"/>
              <w:spacing w:before="0" w:after="283"/>
              <w:jc w:val="both"/>
              <w:rPr>
                <w:sz w:val="16"/>
              </w:rPr>
            </w:pPr>
            <w:r>
              <w:rPr>
                <w:sz w:val="16"/>
              </w:rPr>
              <w:t xml:space="preserve">Includes 272,759 shares owned by the Anthony J. Park and Deborah L. Park Living Trust.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4338" w:type="dxa"/>
        <w:jc w:val="left"/>
        <w:tblInd w:w="0" w:type="dxa"/>
        <w:tblLayout w:type="fixed"/>
        <w:tblCellMar>
          <w:top w:w="0" w:type="dxa"/>
          <w:left w:w="0" w:type="dxa"/>
          <w:bottom w:w="0" w:type="dxa"/>
          <w:right w:w="0" w:type="dxa"/>
        </w:tblCellMar>
      </w:tblPr>
      <w:tblGrid>
        <w:gridCol w:w="68"/>
        <w:gridCol w:w="185"/>
        <w:gridCol w:w="4085"/>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16"/>
              </w:rPr>
            </w:pPr>
            <w:r>
              <w:rPr>
                <w:sz w:val="16"/>
              </w:rPr>
              <w:t>5.</w:t>
            </w:r>
          </w:p>
        </w:tc>
        <w:tc>
          <w:tcPr>
            <w:tcW w:w="4085" w:type="dxa"/>
            <w:tcBorders/>
            <w:vAlign w:val="center"/>
          </w:tcPr>
          <w:p>
            <w:pPr>
              <w:pStyle w:val="TableContents"/>
              <w:bidi w:val="0"/>
              <w:spacing w:before="0" w:after="283"/>
              <w:jc w:val="both"/>
              <w:rPr>
                <w:sz w:val="16"/>
              </w:rPr>
            </w:pPr>
            <w:r>
              <w:rPr>
                <w:sz w:val="16"/>
              </w:rPr>
              <w:t xml:space="preserve">Includes 2,150,955 shares held by the Quirk 2002 Trust.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8088" w:type="dxa"/>
        <w:jc w:val="left"/>
        <w:tblInd w:w="0" w:type="dxa"/>
        <w:tblLayout w:type="fixed"/>
        <w:tblCellMar>
          <w:top w:w="0" w:type="dxa"/>
          <w:left w:w="0" w:type="dxa"/>
          <w:bottom w:w="0" w:type="dxa"/>
          <w:right w:w="0" w:type="dxa"/>
        </w:tblCellMar>
      </w:tblPr>
      <w:tblGrid>
        <w:gridCol w:w="68"/>
        <w:gridCol w:w="170"/>
        <w:gridCol w:w="785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15"/>
              </w:rPr>
            </w:pPr>
            <w:r>
              <w:rPr>
                <w:sz w:val="15"/>
              </w:rPr>
              <w:t>6.</w:t>
            </w:r>
          </w:p>
        </w:tc>
        <w:tc>
          <w:tcPr>
            <w:tcW w:w="7850" w:type="dxa"/>
            <w:tcBorders/>
            <w:vAlign w:val="center"/>
          </w:tcPr>
          <w:p>
            <w:pPr>
              <w:pStyle w:val="TableContents"/>
              <w:bidi w:val="0"/>
              <w:spacing w:before="0" w:after="283"/>
              <w:jc w:val="both"/>
              <w:rPr>
                <w:sz w:val="15"/>
              </w:rPr>
            </w:pPr>
            <w:r>
              <w:rPr>
                <w:sz w:val="15"/>
              </w:rPr>
              <w:t xml:space="preserve">Includes 74,898 shares held by the Sadowski Living Trust and 473 shares held in an individual retirement arrangement account.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65"/>
        <w:gridCol w:w="9972"/>
      </w:tblGrid>
      <w:tr>
        <w:trPr/>
        <w:tc>
          <w:tcPr>
            <w:tcW w:w="6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16"/>
              </w:rPr>
            </w:pPr>
            <w:r>
              <w:rPr>
                <w:sz w:val="16"/>
              </w:rPr>
              <w:t>7.</w:t>
            </w:r>
          </w:p>
        </w:tc>
        <w:tc>
          <w:tcPr>
            <w:tcW w:w="9972" w:type="dxa"/>
            <w:tcBorders/>
            <w:vAlign w:val="center"/>
          </w:tcPr>
          <w:p>
            <w:pPr>
              <w:pStyle w:val="TableContents"/>
              <w:bidi w:val="0"/>
              <w:spacing w:before="0" w:after="283"/>
              <w:jc w:val="both"/>
              <w:rPr>
                <w:sz w:val="16"/>
              </w:rPr>
            </w:pPr>
            <w:r>
              <w:rPr>
                <w:sz w:val="16"/>
              </w:rPr>
              <w:t xml:space="preserve">Includes 15,101 shares held by the Peter O. Shea, Jr. Family Trust, 3,773 shares held by the Sarah H. Shea Trust, 3,773 shares held by the Selva Family Trust, 18,874 shares held by Siam II Partners and 3,773 shares held by Toyopa Partners, LP. </w:t>
            </w:r>
          </w:p>
        </w:tc>
      </w:tr>
    </w:tbl>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290"/>
        <w:gridCol w:w="3050"/>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290"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81</w:t>
            </w:r>
          </w:p>
        </w:tc>
        <w:tc>
          <w:tcPr>
            <w:tcW w:w="3050"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r>
      <w:tr>
        <w:trPr/>
        <w:tc>
          <w:tcPr>
            <w:tcW w:w="105" w:type="dxa"/>
            <w:tcBorders/>
            <w:vAlign w:val="center"/>
          </w:tcPr>
          <w:p>
            <w:pPr>
              <w:pStyle w:val="TableContents"/>
              <w:bidi w:val="0"/>
              <w:spacing w:before="0" w:after="283"/>
              <w:jc w:val="left"/>
              <w:rPr>
                <w:color w:val="58595B"/>
              </w:rPr>
            </w:pPr>
            <w:r>
              <w:rPr>
                <w:color w:val="58595B"/>
              </w:rPr>
              <w:t> </w:t>
            </w:r>
          </w:p>
        </w:tc>
        <w:tc>
          <w:tcPr>
            <w:tcW w:w="290" w:type="dxa"/>
            <w:tcBorders/>
            <w:vAlign w:val="center"/>
          </w:tcPr>
          <w:p>
            <w:pPr>
              <w:pStyle w:val="TableContents"/>
              <w:bidi w:val="0"/>
              <w:spacing w:before="0" w:after="283"/>
              <w:jc w:val="left"/>
              <w:rPr>
                <w:color w:val="58595B"/>
              </w:rPr>
            </w:pPr>
            <w:r>
              <w:rPr>
                <w:color w:val="58595B"/>
              </w:rPr>
              <w:t> </w:t>
            </w:r>
          </w:p>
        </w:tc>
        <w:tc>
          <w:tcPr>
            <w:tcW w:w="3050" w:type="dxa"/>
            <w:tcBorders/>
            <w:vAlign w:val="center"/>
          </w:tcPr>
          <w:p>
            <w:pPr>
              <w:pStyle w:val="TableContents"/>
              <w:bidi w:val="0"/>
              <w:spacing w:before="0" w:after="283"/>
              <w:jc w:val="left"/>
              <w:rPr>
                <w:color w:val="58595B"/>
              </w:rPr>
            </w:pPr>
            <w:r>
              <w:rPr>
                <w:color w:val="58595B"/>
              </w:rPr>
              <w:t> </w:t>
            </w:r>
          </w:p>
        </w:tc>
      </w:tr>
      <w:tr>
        <w:trPr/>
        <w:tc>
          <w:tcPr>
            <w:tcW w:w="105" w:type="dxa"/>
            <w:tcBorders/>
            <w:shd w:fill="254F79" w:val="clear"/>
            <w:vAlign w:val="center"/>
          </w:tcPr>
          <w:p>
            <w:pPr>
              <w:pStyle w:val="TableContents"/>
              <w:bidi w:val="0"/>
              <w:spacing w:before="0" w:after="283"/>
              <w:jc w:val="left"/>
              <w:rPr>
                <w:color w:val="58595B"/>
              </w:rPr>
            </w:pPr>
            <w:r>
              <w:rPr>
                <w:color w:val="58595B"/>
              </w:rPr>
              <w:t> </w:t>
            </w:r>
          </w:p>
        </w:tc>
        <w:tc>
          <w:tcPr>
            <w:tcW w:w="290" w:type="dxa"/>
            <w:tcBorders/>
            <w:shd w:fill="254F79" w:val="clear"/>
            <w:vAlign w:val="center"/>
          </w:tcPr>
          <w:p>
            <w:pPr>
              <w:pStyle w:val="TableContents"/>
              <w:bidi w:val="0"/>
              <w:spacing w:before="0" w:after="283"/>
              <w:jc w:val="left"/>
              <w:rPr>
                <w:color w:val="58595B"/>
              </w:rPr>
            </w:pPr>
            <w:r>
              <w:rPr>
                <w:color w:val="58595B"/>
              </w:rPr>
              <w:t> </w:t>
            </w:r>
          </w:p>
        </w:tc>
        <w:tc>
          <w:tcPr>
            <w:tcW w:w="3050" w:type="dxa"/>
            <w:tcBorders/>
            <w:shd w:fill="254F79" w:val="clear"/>
            <w:vAlign w:val="center"/>
          </w:tcPr>
          <w:p>
            <w:pPr>
              <w:pStyle w:val="TableContents"/>
              <w:bidi w:val="0"/>
              <w:spacing w:before="0" w:after="283"/>
              <w:jc w:val="left"/>
              <w:rPr>
                <w:color w:val="58595B"/>
              </w:rPr>
            </w:pPr>
            <w:r>
              <w:rPr>
                <w:color w:val="58595B"/>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following table provides information as of December 31, 2025 about our common stock which may be issued under our equity compensation plans: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80" w:type="dxa"/>
          <w:left w:w="0" w:type="dxa"/>
          <w:bottom w:w="80" w:type="dxa"/>
          <w:right w:w="28" w:type="dxa"/>
        </w:tblCellMar>
      </w:tblPr>
      <w:tblGrid>
        <w:gridCol w:w="3611"/>
        <w:gridCol w:w="2206"/>
        <w:gridCol w:w="1976"/>
        <w:gridCol w:w="2412"/>
      </w:tblGrid>
      <w:tr>
        <w:trPr/>
        <w:tc>
          <w:tcPr>
            <w:tcW w:w="3611" w:type="dxa"/>
            <w:tcBorders>
              <w:top w:val="single" w:sz="8" w:space="0" w:color="58595B"/>
              <w:bottom w:val="single" w:sz="8" w:space="0" w:color="58595B"/>
              <w:right w:val="single" w:sz="8" w:space="0" w:color="FFFFFF"/>
            </w:tcBorders>
            <w:shd w:fill="274F78" w:val="clear"/>
            <w:vAlign w:val="center"/>
          </w:tcPr>
          <w:p>
            <w:pPr>
              <w:pStyle w:val="TableContents"/>
              <w:bidi w:val="0"/>
              <w:spacing w:before="0" w:after="283"/>
              <w:jc w:val="left"/>
              <w:rPr>
                <w:rFonts w:ascii="Arial;Helvetica;Sans-Serif" w:hAnsi="Arial;Helvetica;Sans-Serif"/>
                <w:b/>
                <w:color w:val="FFFFFF"/>
              </w:rPr>
            </w:pPr>
            <w:r>
              <w:rPr>
                <w:rFonts w:ascii="Arial;Helvetica;Sans-Serif" w:hAnsi="Arial;Helvetica;Sans-Serif"/>
                <w:b/>
                <w:color w:val="FFFFFF"/>
              </w:rPr>
              <w:t>Plan Category</w:t>
            </w:r>
          </w:p>
        </w:tc>
        <w:tc>
          <w:tcPr>
            <w:tcW w:w="2206" w:type="dxa"/>
            <w:tcBorders>
              <w:top w:val="single" w:sz="8" w:space="0" w:color="58595B"/>
              <w:bottom w:val="single" w:sz="8" w:space="0" w:color="58595B"/>
              <w:right w:val="single" w:sz="8" w:space="0" w:color="FFFFFF"/>
            </w:tcBorders>
            <w:shd w:fill="274F78" w:val="clear"/>
            <w:vAlign w:val="center"/>
          </w:tcPr>
          <w:p>
            <w:pPr>
              <w:pStyle w:val="TableContents"/>
              <w:bidi w:val="0"/>
              <w:spacing w:before="0" w:after="283"/>
              <w:jc w:val="center"/>
              <w:rPr>
                <w:color w:val="FFFFFF"/>
              </w:rPr>
            </w:pPr>
            <w:r>
              <w:rPr>
                <w:color w:val="FFFFFF"/>
              </w:rPr>
              <w:t xml:space="preserve">  </w:t>
            </w:r>
            <w:r>
              <w:rPr>
                <w:rFonts w:ascii="Arial;Helvetica;Sans-Serif" w:hAnsi="Arial;Helvetica;Sans-Serif"/>
                <w:b/>
                <w:color w:val="FFFFFF"/>
              </w:rPr>
              <w:t xml:space="preserve">Number of Securities </w:t>
              <w:br/>
              <w:t xml:space="preserve">to be Issued </w:t>
              <w:br/>
              <w:t>Upon Exercise of</w:t>
              <w:br/>
              <w:t>Outstanding Options,</w:t>
              <w:br/>
              <w:t>Warrants and Rights</w:t>
            </w:r>
          </w:p>
        </w:tc>
        <w:tc>
          <w:tcPr>
            <w:tcW w:w="1976" w:type="dxa"/>
            <w:tcBorders>
              <w:top w:val="single" w:sz="8" w:space="0" w:color="58595B"/>
              <w:bottom w:val="single" w:sz="8" w:space="0" w:color="58595B"/>
              <w:right w:val="single" w:sz="8" w:space="0" w:color="FFFFFF"/>
            </w:tcBorders>
            <w:shd w:fill="274F78" w:val="clear"/>
            <w:vAlign w:val="center"/>
          </w:tcPr>
          <w:p>
            <w:pPr>
              <w:pStyle w:val="TableContents"/>
              <w:bidi w:val="0"/>
              <w:spacing w:before="0" w:after="283"/>
              <w:jc w:val="center"/>
              <w:rPr>
                <w:color w:val="FFFFFF"/>
              </w:rPr>
            </w:pPr>
            <w:r>
              <w:rPr>
                <w:color w:val="FFFFFF"/>
              </w:rPr>
              <w:t xml:space="preserve">  </w:t>
            </w:r>
            <w:r>
              <w:rPr>
                <w:rFonts w:ascii="Arial;Helvetica;Sans-Serif" w:hAnsi="Arial;Helvetica;Sans-Serif"/>
                <w:b/>
                <w:color w:val="FFFFFF"/>
              </w:rPr>
              <w:t>Weighted Average</w:t>
              <w:br/>
              <w:t>Exercise Price</w:t>
              <w:br/>
              <w:t>of Outstanding</w:t>
              <w:br/>
              <w:t>Options, Warrants</w:t>
              <w:br/>
              <w:t>and Rights</w:t>
            </w:r>
          </w:p>
        </w:tc>
        <w:tc>
          <w:tcPr>
            <w:tcW w:w="2412" w:type="dxa"/>
            <w:tcBorders>
              <w:top w:val="single" w:sz="8" w:space="0" w:color="58595B"/>
              <w:bottom w:val="single" w:sz="8" w:space="0" w:color="58595B"/>
              <w:right w:val="single" w:sz="8" w:space="0" w:color="58595B"/>
            </w:tcBorders>
            <w:shd w:fill="274F78"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Number of Securities Remaining </w:t>
              <w:br/>
              <w:t>Available for Future Issuance</w:t>
              <w:br/>
              <w:t>Under Equity Compensation Plans</w:t>
              <w:br/>
              <w:t>(Excluding Securities to be Issued</w:t>
              <w:br/>
              <w:t>Upon Exercise of Outstanding</w:t>
              <w:br/>
              <w:t>Options, Warrants and Rights)</w:t>
            </w:r>
          </w:p>
        </w:tc>
      </w:tr>
      <w:tr>
        <w:trPr/>
        <w:tc>
          <w:tcPr>
            <w:tcW w:w="3611" w:type="dxa"/>
            <w:tcBorders>
              <w:left w:val="single" w:sz="8" w:space="0" w:color="58595B"/>
              <w:bottom w:val="single" w:sz="8" w:space="0" w:color="58595B"/>
              <w:right w:val="single" w:sz="8" w:space="0" w:color="58595B"/>
            </w:tcBorders>
            <w:tcMar>
              <w:top w:w="0" w:type="dxa"/>
              <w:left w:w="1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Equity compensation plans approved by security holders</w:t>
            </w:r>
          </w:p>
        </w:tc>
        <w:tc>
          <w:tcPr>
            <w:tcW w:w="2206" w:type="dxa"/>
            <w:tcBorders>
              <w:bottom w:val="single" w:sz="8" w:space="0" w:color="58595B"/>
              <w:right w:val="single" w:sz="8" w:space="0" w:color="58595B"/>
            </w:tcBorders>
            <w:tcMar>
              <w:top w:w="0" w:type="dxa"/>
            </w:tcMar>
            <w:vAlign w:val="center"/>
          </w:tcPr>
          <w:p>
            <w:pPr>
              <w:pStyle w:val="TableContents"/>
              <w:bidi w:val="0"/>
              <w:spacing w:before="0" w:after="283"/>
              <w:jc w:val="center"/>
              <w:rPr/>
            </w:pPr>
            <w:r>
              <w:rPr/>
              <w:t>—</w:t>
            </w:r>
          </w:p>
        </w:tc>
        <w:tc>
          <w:tcPr>
            <w:tcW w:w="1976" w:type="dxa"/>
            <w:tcBorders>
              <w:bottom w:val="single" w:sz="8" w:space="0" w:color="58595B"/>
              <w:right w:val="single" w:sz="8" w:space="0" w:color="58595B"/>
            </w:tcBorders>
            <w:tcMar>
              <w:top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$0.00</w:t>
            </w:r>
          </w:p>
        </w:tc>
        <w:tc>
          <w:tcPr>
            <w:tcW w:w="2412" w:type="dxa"/>
            <w:tcBorders>
              <w:bottom w:val="single" w:sz="8" w:space="0" w:color="58595B"/>
              <w:right w:val="single" w:sz="8" w:space="0" w:color="58595B"/>
            </w:tcBorders>
            <w:tcMar>
              <w:top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7,852,968</w:t>
            </w:r>
            <w:r>
              <w:rPr>
                <w:rFonts w:ascii="Arial;Helvetica;Sans-Serif" w:hAnsi="Arial;Helvetica;Sans-Serif"/>
                <w:position w:val="8"/>
                <w:sz w:val="19"/>
              </w:rPr>
              <w:t>1</w:t>
            </w:r>
          </w:p>
        </w:tc>
      </w:tr>
      <w:tr>
        <w:trPr/>
        <w:tc>
          <w:tcPr>
            <w:tcW w:w="3611" w:type="dxa"/>
            <w:tcBorders>
              <w:left w:val="single" w:sz="8" w:space="0" w:color="58595B"/>
              <w:bottom w:val="single" w:sz="8" w:space="0" w:color="58595B"/>
              <w:right w:val="single" w:sz="8" w:space="0" w:color="58595B"/>
            </w:tcBorders>
            <w:tcMar>
              <w:top w:w="0" w:type="dxa"/>
              <w:left w:w="180" w:type="dxa"/>
            </w:tcMar>
            <w:vAlign w:val="center"/>
          </w:tcPr>
          <w:p>
            <w:pPr>
              <w:pStyle w:val="TableContents"/>
              <w:bidi w:val="0"/>
              <w:spacing w:before="0" w:after="283"/>
              <w:jc w:val="left"/>
              <w:rPr>
                <w:rFonts w:ascii="Arial;Helvetica;Sans-Serif" w:hAnsi="Arial;Helvetica;Sans-Serif"/>
                <w:color w:val="58595B"/>
                <w:sz w:val="18"/>
              </w:rPr>
            </w:pPr>
            <w:r>
              <w:rPr>
                <w:rFonts w:ascii="Arial;Helvetica;Sans-Serif" w:hAnsi="Arial;Helvetica;Sans-Serif"/>
                <w:color w:val="58595B"/>
                <w:sz w:val="18"/>
              </w:rPr>
              <w:t>Equity compensation plans not approved by security holders</w:t>
            </w:r>
          </w:p>
        </w:tc>
        <w:tc>
          <w:tcPr>
            <w:tcW w:w="2206" w:type="dxa"/>
            <w:tcBorders>
              <w:bottom w:val="single" w:sz="8" w:space="0" w:color="58595B"/>
              <w:right w:val="single" w:sz="8" w:space="0" w:color="58595B"/>
            </w:tcBorders>
            <w:tcMar>
              <w:top w:w="0" w:type="dxa"/>
            </w:tcMar>
            <w:vAlign w:val="center"/>
          </w:tcPr>
          <w:p>
            <w:pPr>
              <w:pStyle w:val="TableContents"/>
              <w:bidi w:val="0"/>
              <w:spacing w:before="0" w:after="283"/>
              <w:jc w:val="center"/>
              <w:rPr/>
            </w:pPr>
            <w:r>
              <w:rPr/>
              <w:t>—</w:t>
            </w:r>
          </w:p>
        </w:tc>
        <w:tc>
          <w:tcPr>
            <w:tcW w:w="1976" w:type="dxa"/>
            <w:tcBorders>
              <w:bottom w:val="single" w:sz="8" w:space="0" w:color="58595B"/>
              <w:right w:val="single" w:sz="8" w:space="0" w:color="58595B"/>
            </w:tcBorders>
            <w:tcMar>
              <w:top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$0.00</w:t>
            </w:r>
          </w:p>
        </w:tc>
        <w:tc>
          <w:tcPr>
            <w:tcW w:w="2412" w:type="dxa"/>
            <w:tcBorders>
              <w:bottom w:val="single" w:sz="8" w:space="0" w:color="58595B"/>
              <w:right w:val="single" w:sz="8" w:space="0" w:color="58595B"/>
            </w:tcBorders>
            <w:tcMar>
              <w:top w:w="0" w:type="dxa"/>
            </w:tcMar>
            <w:vAlign w:val="center"/>
          </w:tcPr>
          <w:p>
            <w:pPr>
              <w:pStyle w:val="TableContents"/>
              <w:bidi w:val="0"/>
              <w:spacing w:before="0" w:after="283"/>
              <w:jc w:val="center"/>
              <w:rPr>
                <w:rFonts w:ascii="Arial;Helvetica;Sans-Serif" w:hAnsi="Arial;Helvetica;Sans-Serif"/>
              </w:rPr>
            </w:pPr>
            <w:r>
              <w:rPr>
                <w:rFonts w:ascii="Arial;Helvetica;Sans-Serif" w:hAnsi="Arial;Helvetica;Sans-Serif"/>
              </w:rPr>
              <w:t>1,673,587</w:t>
            </w:r>
            <w:r>
              <w:rPr>
                <w:rFonts w:ascii="Arial;Helvetica;Sans-Serif" w:hAnsi="Arial;Helvetica;Sans-Serif"/>
                <w:position w:val="8"/>
                <w:sz w:val="19"/>
              </w:rPr>
              <w:t>2</w:t>
            </w:r>
          </w:p>
        </w:tc>
      </w:tr>
      <w:tr>
        <w:trPr/>
        <w:tc>
          <w:tcPr>
            <w:tcW w:w="3611" w:type="dxa"/>
            <w:tcBorders>
              <w:left w:val="single" w:sz="8" w:space="0" w:color="58595B"/>
              <w:bottom w:val="single" w:sz="8" w:space="0" w:color="58595B"/>
              <w:right w:val="single" w:sz="8" w:space="0" w:color="58595B"/>
            </w:tcBorders>
            <w:tcMar>
              <w:top w:w="0" w:type="dxa"/>
              <w:left w:w="180" w:type="dxa"/>
            </w:tcMar>
            <w:vAlign w:val="center"/>
          </w:tcPr>
          <w:p>
            <w:pPr>
              <w:pStyle w:val="TableContents"/>
              <w:bidi w:val="0"/>
              <w:spacing w:before="0" w:after="283"/>
              <w:jc w:val="left"/>
              <w:rPr>
                <w:rFonts w:ascii="Arial;Helvetica;Sans-Serif" w:hAnsi="Arial;Helvetica;Sans-Serif"/>
                <w:b/>
                <w:color w:val="58595B"/>
                <w:sz w:val="18"/>
              </w:rPr>
            </w:pPr>
            <w:r>
              <w:rPr>
                <w:rFonts w:ascii="Arial;Helvetica;Sans-Serif" w:hAnsi="Arial;Helvetica;Sans-Serif"/>
                <w:b/>
                <w:color w:val="58595B"/>
                <w:sz w:val="18"/>
              </w:rPr>
              <w:t>Total</w:t>
            </w:r>
          </w:p>
        </w:tc>
        <w:tc>
          <w:tcPr>
            <w:tcW w:w="2206" w:type="dxa"/>
            <w:tcBorders>
              <w:bottom w:val="single" w:sz="8" w:space="0" w:color="58595B"/>
              <w:right w:val="single" w:sz="8" w:space="0" w:color="58595B"/>
            </w:tcBorders>
            <w:tcMar>
              <w:top w:w="0" w:type="dxa"/>
            </w:tcMar>
            <w:vAlign w:val="center"/>
          </w:tcPr>
          <w:p>
            <w:pPr>
              <w:pStyle w:val="TableContents"/>
              <w:bidi w:val="0"/>
              <w:spacing w:before="0" w:after="283"/>
              <w:jc w:val="center"/>
              <w:rPr>
                <w:color w:val="58595B"/>
              </w:rPr>
            </w:pPr>
            <w:r>
              <w:rPr>
                <w:color w:val="58595B"/>
              </w:rPr>
              <w:t>—</w:t>
            </w:r>
          </w:p>
        </w:tc>
        <w:tc>
          <w:tcPr>
            <w:tcW w:w="1976" w:type="dxa"/>
            <w:tcBorders>
              <w:bottom w:val="single" w:sz="8" w:space="0" w:color="58595B"/>
              <w:right w:val="single" w:sz="8" w:space="0" w:color="58595B"/>
            </w:tcBorders>
            <w:tcMar>
              <w:top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$0.00</w:t>
            </w:r>
          </w:p>
        </w:tc>
        <w:tc>
          <w:tcPr>
            <w:tcW w:w="2412" w:type="dxa"/>
            <w:tcBorders>
              <w:bottom w:val="single" w:sz="8" w:space="0" w:color="58595B"/>
              <w:right w:val="single" w:sz="8" w:space="0" w:color="58595B"/>
            </w:tcBorders>
            <w:tcMar>
              <w:top w:w="0" w:type="dxa"/>
            </w:tcMar>
            <w:vAlign w:val="center"/>
          </w:tcPr>
          <w:p>
            <w:pPr>
              <w:pStyle w:val="TableContents"/>
              <w:bidi w:val="0"/>
              <w:spacing w:before="0" w:after="283"/>
              <w:jc w:val="center"/>
              <w:rPr>
                <w:rFonts w:ascii="Arial;Helvetica;Sans-Serif" w:hAnsi="Arial;Helvetica;Sans-Serif"/>
                <w:color w:val="58595B"/>
                <w:sz w:val="18"/>
              </w:rPr>
            </w:pPr>
            <w:r>
              <w:rPr>
                <w:rFonts w:ascii="Arial;Helvetica;Sans-Serif" w:hAnsi="Arial;Helvetica;Sans-Serif"/>
                <w:color w:val="58595B"/>
                <w:sz w:val="18"/>
              </w:rPr>
              <w:t>9,526,555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68"/>
        <w:gridCol w:w="9969"/>
      </w:tblGrid>
      <w:tr>
        <w:trPr/>
        <w:tc>
          <w:tcPr>
            <w:tcW w:w="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16"/>
              </w:rPr>
            </w:pPr>
            <w:r>
              <w:rPr>
                <w:sz w:val="16"/>
              </w:rPr>
              <w:t>1.</w:t>
            </w:r>
          </w:p>
        </w:tc>
        <w:tc>
          <w:tcPr>
            <w:tcW w:w="9969" w:type="dxa"/>
            <w:tcBorders/>
            <w:vAlign w:val="center"/>
          </w:tcPr>
          <w:p>
            <w:pPr>
              <w:pStyle w:val="TableContents"/>
              <w:bidi w:val="0"/>
              <w:spacing w:before="0" w:after="283"/>
              <w:jc w:val="both"/>
              <w:rPr>
                <w:sz w:val="16"/>
              </w:rPr>
            </w:pPr>
            <w:r>
              <w:rPr>
                <w:sz w:val="16"/>
              </w:rPr>
              <w:t xml:space="preserve">Shares of common stock may be issued in connection with new awards of restricted stock, restricted stock units, performance shares, performance units, options or other stock-based awards under the FNF omnibus plan. </w:t>
            </w:r>
          </w:p>
        </w:tc>
      </w:tr>
    </w:tbl>
    <w:p>
      <w:pPr>
        <w:pStyle w:val="TextBody"/>
        <w:bidi w:val="0"/>
        <w:spacing w:before="0" w:after="0"/>
        <w:ind w:left="0" w:right="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48"/>
        <w:gridCol w:w="9989"/>
      </w:tblGrid>
      <w:tr>
        <w:trPr/>
        <w:tc>
          <w:tcPr>
            <w:tcW w:w="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16"/>
              </w:rPr>
            </w:pPr>
            <w:r>
              <w:rPr>
                <w:sz w:val="16"/>
              </w:rPr>
              <w:t>2.</w:t>
            </w:r>
          </w:p>
        </w:tc>
        <w:tc>
          <w:tcPr>
            <w:tcW w:w="9989" w:type="dxa"/>
            <w:tcBorders/>
            <w:vAlign w:val="center"/>
          </w:tcPr>
          <w:p>
            <w:pPr>
              <w:pStyle w:val="TableContents"/>
              <w:bidi w:val="0"/>
              <w:spacing w:before="0" w:after="283"/>
              <w:jc w:val="left"/>
              <w:rPr>
                <w:sz w:val="16"/>
              </w:rPr>
            </w:pPr>
            <w:r>
              <w:rPr>
                <w:sz w:val="16"/>
              </w:rPr>
              <w:t xml:space="preserve">1,673,587 shares may be issued under the FNF FGL Holdings 2017 Omnibus Incentive Plan, which was assumed and amended by FNF in connection with the acquisition of F&amp;G. In accordance with New York Stock Exchange Rules, no stockholder approval was required for the listing of the shares under the plan or for the assumption and amendment of the plan by FNF. Awards under the plan may be made to employees, directors and consultants of FNF and its subsidiaries, other than individuals who were employed or providing services to FNF or any of its subsidiaries immediately prior to date of the merger, June 1, 2020. No awards may be made under the plan after July 24, 2027.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254F79"/>
          <w:sz w:val="40"/>
        </w:rPr>
      </w:pPr>
      <w:r>
        <w:rPr>
          <w:rFonts w:ascii="Arial;Helvetica;Sans-Serif" w:hAnsi="Arial;Helvetica;Sans-Serif"/>
          <w:b/>
          <w:i w:val="false"/>
          <w:caps w:val="false"/>
          <w:smallCaps w:val="false"/>
          <w:color w:val="254F79"/>
          <w:sz w:val="40"/>
        </w:rPr>
        <w:t>CERTAIN RELATIONSHIPS AND RELATED PERSON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AGREEMENTS WITH F&amp;G</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On December 1, 2022, FNF distributed, on a pro rata basis, approximately 15% of the common stock of F&amp;G (the First F&amp;G Distribution). The purpose of the First F&amp;G Distribution was to enhance and more fully recognize the overall market value of each company. Subsequently, on December 31, 2025, we distributed an additional 12% of the outstanding shares of F&amp;G, to our shareholders of record on December 17, 2025 (the Second F&amp;G Distribution). We continue to control F&amp;G through our 70% ownership interest of F&amp;G common stock.</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We and F&amp;G have overlapping executive officers and directors. William P. Foley, II, our non-executive Chairman, also serves as Executive Chairman and is a director of F&amp;G. In addition, our Executive Vice-Chairman Raymond R. Quirk and our Chief Executive Officer Michael J. Nolan each serve as directors of F&amp;G; Douglas K. Ammerman and John D. Rood, each of whom serve as directors of FNF, also serve as directors of F&amp;G; and Michael L. Gravelle, our Executive Vice President, General Counsel and Corporate Secretary, also serves as Executive Vice President, General Counsel and Corporate Secretary of F&amp;G since May 2024. In order to govern certain of the ongoing relationships between us, we have entered into certain agreements with F&amp;G, the terms of which are summarized below.</w:t>
      </w:r>
    </w:p>
    <w:p>
      <w:pPr>
        <w:pStyle w:val="TextBody"/>
        <w:bidi w:val="0"/>
        <w:spacing w:before="0" w:after="0"/>
        <w:ind w:left="1440" w:right="260" w:hanging="0"/>
        <w:jc w:val="left"/>
        <w:rPr>
          <w:caps w:val="false"/>
          <w:smallCaps w:val="false"/>
          <w:color w:val="58595B"/>
        </w:rPr>
      </w:pPr>
      <w:r>
        <w:rPr>
          <w:caps w:val="false"/>
          <w:smallCaps w:val="false"/>
          <w:color w:val="58595B"/>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82</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CORPORATE SERVICES AGREEMENT</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On November 30, 2022, FNF entered into a Corporate Services Agreement with F&amp;G. Pursuant to such agreement, FNF provides F&amp;G with certain corporate services, including internal audit services, litigation and dispute management services, compliance services, corporate and transactional support services, Securities and Exchange Commission &amp; reporting services, insurance and risk management services, human resources support services and real estate services. FNF will also provide knowledge transfer services and take such steps as are reasonably required to facilitate a smooth and efficient transition of records and responsibilities to F&amp;G prior to the termination of the agreement. The Corporate Services Agreement terminates after the date upon which all corporate services or transition assistance have been terminated or upon the mutual agreement of the parties. F&amp;G may terminate corporate services by providing 90 days written notice to FNF.</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REVERSE CORPORATE SERVICES AGREEMENT</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On November 30, 2022, F&amp;G entered into a Reverse Corporate Services Agreement with FNF. Pursuant to such agreement, F&amp;G provides FNF with certain services, including the services of certain F&amp;G employees and investor relations services. F&amp;G will also provide knowledge transfer services and take such steps as are reasonably required in order to facilitate a smooth and efficient transition of records and responsibilities to FNF prior to the termination of the agreement. The Reverse Corporate Services Agreement terminates after the date upon which all corporate services or transition assistance has been terminated or upon the mutual agreement of the parties. FNF may terminate corporate services by providing 90 days written notice to F&amp;G.</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TAX SHARING AGREEMENT</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On November 30, 2022, FNF entered into a Tax Sharing Agreement with F&amp;G and its domestic subsidiaries. Pursuant to such agreement, FNF will file, and F&amp;G and its domestic subsidiaries that are treated as corporations for U.S. federal income tax purposes, will join in the filing of, a consolidated U.S. federal income tax return on behalf of FNF and its domestic subsidiaries. F&amp;G and its subsidiaries will periodically make payments to FNF equal to the U.S. federal income taxes that F&amp;G and its subsidiaries would otherwise be required to pay if each were to file a separate U.S. federal income tax return for the applicable tax period. FNF will pay to F&amp;G and its subsidiaries any actual U.S. federal income tax savings attributable to any losses or tax credits generated by F&amp;G and its subsidiaries and used by FNF and its subsidiaries. FNF will generally control the conduct of any tax examination, audit or challenge involving such consolidated tax returns. To the extent appropriate, the provisions of the Tax Sharing Agreement apply with the same force and effect to any state or local income tax liabilities that are computed on a combined, consolidated or unitary method. The Tax Sharing Agreement will generally remain in effect with respect to any taxable periods for which F&amp;G and FNF are affiliated for U.S. federal income tax purposes until the expiration of the applicable statute of limitations.</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F&amp;G COMMON STOCK OFFERING</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 xml:space="preserve">On March 24, 2025, F&amp;G completed the public offering of 8 million shares of its common stock. In connection with the offering, F&amp;G entered into an underwriting agreement (the </w:t>
      </w:r>
      <w:r>
        <w:rPr>
          <w:rFonts w:ascii="Arial;Helvetica;Sans-Serif" w:hAnsi="Arial;Helvetica;Sans-Serif"/>
          <w:b w:val="false"/>
          <w:i/>
          <w:caps w:val="false"/>
          <w:smallCaps w:val="false"/>
          <w:color w:val="58595B"/>
          <w:sz w:val="21"/>
        </w:rPr>
        <w:t>Underwriting Agreement</w:t>
      </w:r>
      <w:r>
        <w:rPr>
          <w:rFonts w:ascii="Arial;Helvetica;Sans-Serif" w:hAnsi="Arial;Helvetica;Sans-Serif"/>
          <w:b w:val="false"/>
          <w:i w:val="false"/>
          <w:caps w:val="false"/>
          <w:smallCaps w:val="false"/>
          <w:color w:val="58595B"/>
          <w:sz w:val="21"/>
        </w:rPr>
        <w:t>), pursuant to which F&amp;G granted the underwriters of the offering a 30-day option to purchase up to an additional 1.2 million shares of its common stock. Pursuant to the Underwriting Agreement, the underwriters of the offering agreed to resell to FNF 4.5 million of FG Common Stock in the offering, at the same price paid by the underwriters, which was $33.60 per share.</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290"/>
        <w:gridCol w:w="3050"/>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290"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83</w:t>
            </w:r>
          </w:p>
        </w:tc>
        <w:tc>
          <w:tcPr>
            <w:tcW w:w="3050"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r>
      <w:tr>
        <w:trPr/>
        <w:tc>
          <w:tcPr>
            <w:tcW w:w="105" w:type="dxa"/>
            <w:tcBorders/>
            <w:vAlign w:val="center"/>
          </w:tcPr>
          <w:p>
            <w:pPr>
              <w:pStyle w:val="TableContents"/>
              <w:bidi w:val="0"/>
              <w:spacing w:before="0" w:after="283"/>
              <w:jc w:val="left"/>
              <w:rPr>
                <w:color w:val="58595B"/>
              </w:rPr>
            </w:pPr>
            <w:r>
              <w:rPr>
                <w:color w:val="58595B"/>
              </w:rPr>
              <w:t> </w:t>
            </w:r>
          </w:p>
        </w:tc>
        <w:tc>
          <w:tcPr>
            <w:tcW w:w="290" w:type="dxa"/>
            <w:tcBorders/>
            <w:vAlign w:val="center"/>
          </w:tcPr>
          <w:p>
            <w:pPr>
              <w:pStyle w:val="TableContents"/>
              <w:bidi w:val="0"/>
              <w:spacing w:before="0" w:after="283"/>
              <w:jc w:val="left"/>
              <w:rPr>
                <w:color w:val="58595B"/>
              </w:rPr>
            </w:pPr>
            <w:r>
              <w:rPr>
                <w:color w:val="58595B"/>
              </w:rPr>
              <w:t> </w:t>
            </w:r>
          </w:p>
        </w:tc>
        <w:tc>
          <w:tcPr>
            <w:tcW w:w="3050" w:type="dxa"/>
            <w:tcBorders/>
            <w:vAlign w:val="center"/>
          </w:tcPr>
          <w:p>
            <w:pPr>
              <w:pStyle w:val="TableContents"/>
              <w:bidi w:val="0"/>
              <w:spacing w:before="0" w:after="283"/>
              <w:jc w:val="left"/>
              <w:rPr>
                <w:color w:val="58595B"/>
              </w:rPr>
            </w:pPr>
            <w:r>
              <w:rPr>
                <w:color w:val="58595B"/>
              </w:rPr>
              <w:t> </w:t>
            </w:r>
          </w:p>
        </w:tc>
      </w:tr>
      <w:tr>
        <w:trPr/>
        <w:tc>
          <w:tcPr>
            <w:tcW w:w="105" w:type="dxa"/>
            <w:tcBorders/>
            <w:shd w:fill="254F79" w:val="clear"/>
            <w:vAlign w:val="center"/>
          </w:tcPr>
          <w:p>
            <w:pPr>
              <w:pStyle w:val="TableContents"/>
              <w:bidi w:val="0"/>
              <w:spacing w:before="0" w:after="283"/>
              <w:jc w:val="left"/>
              <w:rPr>
                <w:color w:val="58595B"/>
              </w:rPr>
            </w:pPr>
            <w:r>
              <w:rPr>
                <w:color w:val="58595B"/>
              </w:rPr>
              <w:t> </w:t>
            </w:r>
          </w:p>
        </w:tc>
        <w:tc>
          <w:tcPr>
            <w:tcW w:w="290" w:type="dxa"/>
            <w:tcBorders/>
            <w:shd w:fill="254F79" w:val="clear"/>
            <w:vAlign w:val="center"/>
          </w:tcPr>
          <w:p>
            <w:pPr>
              <w:pStyle w:val="TableContents"/>
              <w:bidi w:val="0"/>
              <w:spacing w:before="0" w:after="283"/>
              <w:jc w:val="left"/>
              <w:rPr>
                <w:color w:val="58595B"/>
              </w:rPr>
            </w:pPr>
            <w:r>
              <w:rPr>
                <w:color w:val="58595B"/>
              </w:rPr>
              <w:t> </w:t>
            </w:r>
          </w:p>
        </w:tc>
        <w:tc>
          <w:tcPr>
            <w:tcW w:w="3050" w:type="dxa"/>
            <w:tcBorders/>
            <w:shd w:fill="254F79" w:val="clear"/>
            <w:vAlign w:val="center"/>
          </w:tcPr>
          <w:p>
            <w:pPr>
              <w:pStyle w:val="TableContents"/>
              <w:bidi w:val="0"/>
              <w:spacing w:before="0" w:after="283"/>
              <w:jc w:val="left"/>
              <w:rPr>
                <w:color w:val="58595B"/>
              </w:rPr>
            </w:pPr>
            <w:r>
              <w:rPr>
                <w:color w:val="58595B"/>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SECOND F&amp;G DISTRIBUTION</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On December 31, 2025, we completed a pro rata distribution of approximately 16 million shares of common stock of F&amp;G owned by FNF, representing approximately 12% of the outstanding shares of F&amp;G's common stock, to all of FNF's shareholders of record on December 17, 2025, which we refer to as the Second F&amp;G Distribution. FNF's shareholders received six shares of F&amp;G's common stock for every 100 shares of FNF's common stock.</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No fractional shares of F&amp;G's common stock were distributed. Instead, FNF's shareholders received cash in lieu of any fraction of a share of F&amp;G's common stock that they otherwise would have received. The Second F&amp;G Distribution is structured as a taxable dividend to FNF shareholders for U.S. federal income tax purposes. Immediately following the Second F&amp;G Distribution, FNF owned approximately 70% of the common stock of F&amp;G.</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AGREEMENTS WITH CANNAE</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On November 17, 2017, we completed the split-off, which we refer to as the Split-Off, of our former wholly-owned subsidiary Cannae Holdings, Inc., or Cannae, which consists of the businesses, assets and liabilities formerly attributed to our FNF Ventures Group. While we no longer hold an ownership interest in Cannae, our non-executive Chairman William P. Foley, II serves as Cannae's Vice-Chairman since May 2025, served as Cannae's Chief Executive Officer and Chief Investment Officer from February 2024 until May 2025, and served as Cannae's Chairman of the Board from July 2017 until May 2025. In addition, our director Douglas K. Ammerman has served as independent Chairman of the Board of Cannae since May 2025 and a director of Cannae since February 2024; Peter T. Sadowski, our Executive Vice President and Chief Legal Officer, also serves as Executive Vice President and Chief Legal Officer of Cannae; and Michael L. Gravelle, our Executive Vice President, General Counsel and Corporate Secretary, serves as Executive Vice President, General Counsel and Corporate Secretary of Cannae. In order to govern certain of the ongoing relationships between us and Cannae and to provide mechanisms for an orderly transition, we are party to certain agreements with Cannae, the terms of which are summarized below.</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CORPORATE SERVICES AGREEMENT</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We are party to a corporate services agreement with Cannae (the corporate services agreement) pursuant to which we provide Cannae with certain services, including insurance administration, legal, information technology support, treasury management and other services.</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We received $260,920 from Cannae in consideration of services provided by us under the corporate services agreement during 2025.</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727898"/>
          <w:sz w:val="24"/>
        </w:rPr>
      </w:pPr>
      <w:r>
        <w:rPr>
          <w:rFonts w:ascii="Arial;Helvetica;Sans-Serif" w:hAnsi="Arial;Helvetica;Sans-Serif"/>
          <w:b/>
          <w:i w:val="false"/>
          <w:caps w:val="false"/>
          <w:smallCaps w:val="false"/>
          <w:color w:val="727898"/>
          <w:sz w:val="24"/>
        </w:rPr>
        <w:t>REVOLVER NOTE</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We entered into a revolver note with Cannae, which allows Cannae to borrow revolving loans from us from time to time in an aggregate amount not to exceed $100 million. The revolving loans accrue interest at Term SOFR plus 450 basis points and mature on November 17, 2025. The maturity date is automatically extended for additional five-year terms unless notice of non-renewal is otherwise provided by either FNF or Cannae, in their sole discretion. On May 15, 2022, we entered into an amended and restated revolver note with Cannae (the Amended Cannae Revolver), which limited the use of proceeds from borrowings to the repurchase of Cannae common stock from us. Cannae completed the repurchase of common stock from us in the second quarter of 2022. On January 29, 2024, the Amended Cannae Revolver was amended to reduce the borrowing capacity to $60.0 million and change the interest rate to a fixed rate of 7.0% per annum.</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84</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On March 20, 2025, we acquired the property located at 1701 Village Center Circle, Las Vegas, Nevada from Cannae's for a purchase price of $12 million. As consideration for the property, we agreed to reduce the outstanding principal under the Amended Cannae Revolver by the purchase price. Additionally, the Amended Cannae Revolver was amended to reduce the borrowing capacity to $47.5 million with a current applicable interest rate of 5.0% per annum.</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As of December 31, 2025, there was an outstanding balance of $47.5 million under the Amended Cannae Revolver. In fiscal year 2025, Cannae paid $2.8 million of interest to us related to borrowings under the Amended Cannae Revolver.</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OTHER RELATED PARTY TRANSACTIONS</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During 2025, we paid, in the ordinary course of business, amounts to certain companies owned in whole or part by Mr. Foley including: $670,623 to Rock Creek Cattle Company, Ltd. and affiliated companies related primarily to hosting Company events, $878,212 to Black Knight Sports and Entertainment, LLC related primarily to the purchase of season tickets and other tickets used for client entertainment and employee recognition, $315,512 to Foley Family Wines for wine purchases related to employee recognitions, and $77,689 to Mr. Foley's other affiliated companies primarily for travel to and hosting Company events. We believe the amounts charged to us in the foregoing transactions were fair and reasonable and represent market rates that would be charged to unaffiliated third-party customers for the same types of services. We believe that FNF receives intangible business benefits as a result of these activities as they foster increased loyalty to the Company.</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2025, we paid $756,380 to Trasimene Capital Management, LLC and received $735,445 from Cannae related to aircraft operational costs.</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Certain of the subsidiaries of F&amp;G are party to investment management agreements (IMAs) with Blackstone ISG-I Advisors LLC (BIS) pursuant to which BIS is appointed as investment manager of substantially all assets in the general and separate accounts of those entities (the F&amp;G Accounts).</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MVB Management, LLC (MVB Management), an entity that is 50% owned by BilCar, LLC (BilCar, which is an affiliate of our non-executive Chairman and F&amp;G's Executive Chairman William P. Foley, II) receives a participation fee from BIS in connection with assets of F&amp;G and its subsidiaries that are managed by BIS. BIS also receives services from MVB Management. Pursuant to the investment management agreements between F&amp;G and BIS, BIS paid MVB Management a participation fee of approximately 15% of certain fees paid to BIS and its affiliates for assets under management (AUM) relating to new business AUM (New AUM) generated prior to March 31, 2023 and pays MVB Management a fee of approximately 7.5% of certain fees paid to BIS and its affiliates relating to New AUM generated after March 31, 2023. In March 2023, BilCar waived its right to receive any portion of payments made by BIS to MVB Management in respect of such New AUM. Additionally, in March 2023, F&amp;G entered into an agreement with BilCar to pay BilCar the fees that it would have received through MVB Management from BIS over the 10-year period ending March 31, 2033. BilCar received payments totaling $7.9 million from MVB Management in 2025. BilCar received payments totaling $2.9 million from F&amp;G in 2025 based on the terms of the agreement. F&amp;G is not a party to the agreements between BIS and MVB Management and does not pay, and is not responsible for, any fees paid to MVB Management by BIS thereunder.</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related person transaction committee has reviewed and approved each of the transactions described above in accordance with the terms of our RPT Policy.</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290"/>
        <w:gridCol w:w="3050"/>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290"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85</w:t>
            </w:r>
          </w:p>
        </w:tc>
        <w:tc>
          <w:tcPr>
            <w:tcW w:w="3050"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r>
      <w:tr>
        <w:trPr/>
        <w:tc>
          <w:tcPr>
            <w:tcW w:w="105" w:type="dxa"/>
            <w:tcBorders/>
            <w:vAlign w:val="center"/>
          </w:tcPr>
          <w:p>
            <w:pPr>
              <w:pStyle w:val="TableContents"/>
              <w:bidi w:val="0"/>
              <w:spacing w:before="0" w:after="283"/>
              <w:jc w:val="left"/>
              <w:rPr>
                <w:color w:val="58595B"/>
              </w:rPr>
            </w:pPr>
            <w:r>
              <w:rPr>
                <w:color w:val="58595B"/>
              </w:rPr>
              <w:t> </w:t>
            </w:r>
          </w:p>
        </w:tc>
        <w:tc>
          <w:tcPr>
            <w:tcW w:w="290" w:type="dxa"/>
            <w:tcBorders/>
            <w:vAlign w:val="center"/>
          </w:tcPr>
          <w:p>
            <w:pPr>
              <w:pStyle w:val="TableContents"/>
              <w:bidi w:val="0"/>
              <w:spacing w:before="0" w:after="283"/>
              <w:jc w:val="left"/>
              <w:rPr>
                <w:color w:val="58595B"/>
              </w:rPr>
            </w:pPr>
            <w:r>
              <w:rPr>
                <w:color w:val="58595B"/>
              </w:rPr>
              <w:t> </w:t>
            </w:r>
          </w:p>
        </w:tc>
        <w:tc>
          <w:tcPr>
            <w:tcW w:w="3050" w:type="dxa"/>
            <w:tcBorders/>
            <w:vAlign w:val="center"/>
          </w:tcPr>
          <w:p>
            <w:pPr>
              <w:pStyle w:val="TableContents"/>
              <w:bidi w:val="0"/>
              <w:spacing w:before="0" w:after="283"/>
              <w:jc w:val="left"/>
              <w:rPr>
                <w:color w:val="58595B"/>
              </w:rPr>
            </w:pPr>
            <w:r>
              <w:rPr>
                <w:color w:val="58595B"/>
              </w:rPr>
              <w:t> </w:t>
            </w:r>
          </w:p>
        </w:tc>
      </w:tr>
      <w:tr>
        <w:trPr/>
        <w:tc>
          <w:tcPr>
            <w:tcW w:w="105" w:type="dxa"/>
            <w:tcBorders/>
            <w:shd w:fill="254F79" w:val="clear"/>
            <w:vAlign w:val="center"/>
          </w:tcPr>
          <w:p>
            <w:pPr>
              <w:pStyle w:val="TableContents"/>
              <w:bidi w:val="0"/>
              <w:spacing w:before="0" w:after="283"/>
              <w:jc w:val="left"/>
              <w:rPr>
                <w:color w:val="58595B"/>
              </w:rPr>
            </w:pPr>
            <w:r>
              <w:rPr>
                <w:color w:val="58595B"/>
              </w:rPr>
              <w:t> </w:t>
            </w:r>
          </w:p>
        </w:tc>
        <w:tc>
          <w:tcPr>
            <w:tcW w:w="290" w:type="dxa"/>
            <w:tcBorders/>
            <w:shd w:fill="254F79" w:val="clear"/>
            <w:vAlign w:val="center"/>
          </w:tcPr>
          <w:p>
            <w:pPr>
              <w:pStyle w:val="TableContents"/>
              <w:bidi w:val="0"/>
              <w:spacing w:before="0" w:after="283"/>
              <w:jc w:val="left"/>
              <w:rPr>
                <w:color w:val="58595B"/>
              </w:rPr>
            </w:pPr>
            <w:r>
              <w:rPr>
                <w:color w:val="58595B"/>
              </w:rPr>
              <w:t> </w:t>
            </w:r>
          </w:p>
        </w:tc>
        <w:tc>
          <w:tcPr>
            <w:tcW w:w="3050" w:type="dxa"/>
            <w:tcBorders/>
            <w:shd w:fill="254F79" w:val="clear"/>
            <w:vAlign w:val="center"/>
          </w:tcPr>
          <w:p>
            <w:pPr>
              <w:pStyle w:val="TableContents"/>
              <w:bidi w:val="0"/>
              <w:spacing w:before="0" w:after="283"/>
              <w:jc w:val="left"/>
              <w:rPr>
                <w:color w:val="58595B"/>
              </w:rPr>
            </w:pPr>
            <w:r>
              <w:rPr>
                <w:color w:val="58595B"/>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586D94"/>
          <w:sz w:val="28"/>
        </w:rPr>
      </w:pPr>
      <w:r>
        <w:rPr>
          <w:rFonts w:ascii="Arial;Helvetica;Sans-Serif" w:hAnsi="Arial;Helvetica;Sans-Serif"/>
          <w:b/>
          <w:i w:val="false"/>
          <w:caps w:val="false"/>
          <w:smallCaps w:val="false"/>
          <w:color w:val="586D94"/>
          <w:sz w:val="28"/>
        </w:rPr>
        <w:t>REVIEW, APPROVAL OR RATIFICATION OF TRANSACTIONS WITH RELATED PERSONS</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August 2022, our board adopted the RPT Policy setting forth the policies and procedures for the reporting, review and approval or ratification of transactions with Related Persons covered by the RPT Policy. The RPT policy covers any transaction, arrangement or series of transactions or arrangements in which the Company or any of its subsidiaries participates (whether or not we are a party) and a Related Person has or will have a direct or indirect material interest in such transaction and the amount involved exceeds $120,000 (a Related Person Transaction). Related Persons under the RPT Policy are (i) our directors, director nominees or executive officers, (ii) any beneficial owner of more than 5% of our common stock or any immediate family member of such holder, or (iii) any firm, corporation or entity in which any director or executive officer is a partner, principal, managing member, executive officer or who holds a 50% or greater beneficial ownership interest. The Policy is overseen by our related person transaction committee. The Chief Legal Officer or General Counsel (together with the Chair of the related person transaction committee) will review reported transactions to determine if they could be a Related Person Transaction. Any Related Person Transaction will be reported to the related person transaction committee with a summary of material facts for review and approval or ratification. Under the RPT Policy, in reviewing any Related Person Transaction, our related person transaction committee considers the relevant facts and circumstances, and whether the transaction is in, or not inconsistent with, the best interests of the Company.</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addition to the RPT Policy, the provisions of the Company's Code of Business Conduct and Ethics and the Code of Ethics for Senior Financial Officers may apply to potential conflict of interest situations.</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Pursuant to our codes of ethics, a "conflict of interest" occurs when an individual's private interest interferes or appears to interfere with our interests, and can arise when a director, officer or employee takes actions or has interests that may make it difficult to perform his or her work objectively and effectively. Anything that would present a conflict for a director, officer or employee would also likely present a conflict if it were related to a member of his or her family. Our code of ethics states that clear conflict of interest situations involving directors, executive officers and other employees who occupy supervisory positions or who have discretionary authority in dealing with any third party specified below may include the following:</w:t>
      </w:r>
    </w:p>
    <w:p>
      <w:pPr>
        <w:pStyle w:val="TextBody"/>
        <w:bidi w:val="0"/>
        <w:spacing w:before="0" w:after="0"/>
        <w:ind w:left="1440" w:right="260" w:hanging="0"/>
        <w:jc w:val="left"/>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68"/>
        <w:gridCol w:w="140"/>
        <w:gridCol w:w="6050"/>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6050" w:type="dxa"/>
            <w:tcBorders/>
            <w:vAlign w:val="center"/>
          </w:tcPr>
          <w:p>
            <w:pPr>
              <w:pStyle w:val="TableContents"/>
              <w:bidi w:val="0"/>
              <w:spacing w:before="0" w:after="283"/>
              <w:jc w:val="both"/>
              <w:rPr>
                <w:sz w:val="22"/>
              </w:rPr>
            </w:pPr>
            <w:r>
              <w:rPr>
                <w:sz w:val="22"/>
              </w:rPr>
              <w:t xml:space="preserve">Any significant ownership interest in any supplier or customer; </w:t>
            </w:r>
          </w:p>
        </w:tc>
      </w:tr>
    </w:tbl>
    <w:p>
      <w:pPr>
        <w:pStyle w:val="TextBody"/>
        <w:bidi w:val="0"/>
        <w:spacing w:before="0" w:after="0"/>
        <w:ind w:left="1440" w:right="260" w:hanging="0"/>
        <w:jc w:val="left"/>
        <w:rPr>
          <w:caps w:val="false"/>
          <w:smallCaps w:val="false"/>
          <w:color w:val="58595B"/>
        </w:rPr>
      </w:pPr>
      <w:r>
        <w:rPr>
          <w:caps w:val="false"/>
          <w:smallCaps w:val="false"/>
          <w:color w:val="58595B"/>
        </w:rPr>
        <w:t> </w:t>
      </w:r>
    </w:p>
    <w:tbl>
      <w:tblPr>
        <w:tblW w:w="8883" w:type="dxa"/>
        <w:jc w:val="left"/>
        <w:tblInd w:w="0" w:type="dxa"/>
        <w:tblLayout w:type="fixed"/>
        <w:tblCellMar>
          <w:top w:w="0" w:type="dxa"/>
          <w:left w:w="0" w:type="dxa"/>
          <w:bottom w:w="0" w:type="dxa"/>
          <w:right w:w="0" w:type="dxa"/>
        </w:tblCellMar>
      </w:tblPr>
      <w:tblGrid>
        <w:gridCol w:w="68"/>
        <w:gridCol w:w="140"/>
        <w:gridCol w:w="8675"/>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8675" w:type="dxa"/>
            <w:tcBorders/>
            <w:vAlign w:val="center"/>
          </w:tcPr>
          <w:p>
            <w:pPr>
              <w:pStyle w:val="TableContents"/>
              <w:bidi w:val="0"/>
              <w:spacing w:before="0" w:after="283"/>
              <w:jc w:val="both"/>
              <w:rPr>
                <w:sz w:val="22"/>
              </w:rPr>
            </w:pPr>
            <w:r>
              <w:rPr>
                <w:sz w:val="22"/>
              </w:rPr>
              <w:t xml:space="preserve">Any consulting or employment relationship with any customer, supplier or competitor; and </w:t>
            </w:r>
          </w:p>
        </w:tc>
      </w:tr>
    </w:tbl>
    <w:p>
      <w:pPr>
        <w:pStyle w:val="TextBody"/>
        <w:bidi w:val="0"/>
        <w:spacing w:before="0" w:after="0"/>
        <w:ind w:left="1440" w:right="26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2"/>
              </w:rPr>
            </w:pPr>
            <w:r>
              <w:rPr>
                <w:sz w:val="22"/>
              </w:rPr>
              <w:t xml:space="preserve">Selling anything to us or buying anything from us, except on the same terms and conditions as comparable directors, officers or employees are permitted to so purchase or sell. </w:t>
            </w:r>
          </w:p>
        </w:tc>
      </w:tr>
    </w:tbl>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Our policy has been to review all relationships and transactions in which we and our directors or executive officers (or their immediate family members) are participants to determine whether the director or officer in question has or may have a direct or indirect material interest. Our Chief Compliance Officer, together with our legal staff, is primarily responsible for developing and implementing procedures to obtain the necessary information from our directors and officers regarding potential conflicts of interest. Any relationship that could reasonably be expected to give rise to a conflict of interest must be discussed promptly with our Chief Compliance Officer. The Chief Compliance Officer, together with our legal staff, then reviews the relationship, and</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86</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considers the material terms of the relationship, including the importance of the relationship to us, the nature of the related person's interest in the relationship, whether the relationship would likely impair the judgment of a director or executive officer to act in our best interest, and any other factors such officer deems appropriate. After reviewing the facts and circumstances of each relationship, the Chief Compliance Officer, with assistance from the legal staff, determines whether the relationship is permissible under our Code of Conduct.</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With respect to our Chief Executive Officer, Chief Financial Officer and Chief Accounting Officer, except to the extent authority has been delegated to the related person transaction committee under the RPT Policy, our codes of ethics require that each such officer must:</w:t>
      </w:r>
    </w:p>
    <w:p>
      <w:pPr>
        <w:pStyle w:val="TextBody"/>
        <w:bidi w:val="0"/>
        <w:spacing w:before="0" w:after="0"/>
        <w:ind w:left="1440" w:right="26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2"/>
              </w:rPr>
            </w:pPr>
            <w:r>
              <w:rPr>
                <w:sz w:val="22"/>
              </w:rPr>
              <w:t xml:space="preserve">Discuss any material transaction or relationship that could reasonably be expected to give rise to a conflict of interest with our General Counsel; </w:t>
            </w:r>
          </w:p>
        </w:tc>
      </w:tr>
    </w:tbl>
    <w:p>
      <w:pPr>
        <w:pStyle w:val="TextBody"/>
        <w:bidi w:val="0"/>
        <w:spacing w:before="0" w:after="0"/>
        <w:ind w:left="1440" w:right="26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In the case of our Chief Financial Officer and Chief Accounting Officer, obtain the prior written approval of our General Counsel for all material transactions or relationships that could reasonably be expected to give rise to a conflict of interest; and </w:t>
            </w:r>
          </w:p>
        </w:tc>
      </w:tr>
    </w:tbl>
    <w:p>
      <w:pPr>
        <w:pStyle w:val="TextBody"/>
        <w:bidi w:val="0"/>
        <w:spacing w:before="0" w:after="0"/>
        <w:ind w:left="1440" w:right="260" w:hanging="0"/>
        <w:jc w:val="left"/>
        <w:rPr>
          <w:caps w:val="false"/>
          <w:smallCaps w:val="false"/>
          <w:color w:val="58595B"/>
        </w:rPr>
      </w:pPr>
      <w:r>
        <w:rPr>
          <w:caps w:val="false"/>
          <w:smallCaps w:val="false"/>
          <w:color w:val="58595B"/>
        </w:rPr>
        <w:t> </w:t>
      </w:r>
    </w:p>
    <w:tbl>
      <w:tblPr>
        <w:tblW w:w="10205" w:type="dxa"/>
        <w:jc w:val="left"/>
        <w:tblInd w:w="0" w:type="dxa"/>
        <w:tblLayout w:type="fixed"/>
        <w:tblCellMar>
          <w:top w:w="0" w:type="dxa"/>
          <w:left w:w="0" w:type="dxa"/>
          <w:bottom w:w="0" w:type="dxa"/>
          <w:right w:w="0" w:type="dxa"/>
        </w:tblCellMar>
      </w:tblPr>
      <w:tblGrid>
        <w:gridCol w:w="68"/>
        <w:gridCol w:w="140"/>
        <w:gridCol w:w="9997"/>
      </w:tblGrid>
      <w:tr>
        <w:trPr/>
        <w:tc>
          <w:tcPr>
            <w:tcW w:w="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2"/>
              </w:rPr>
            </w:pPr>
            <w:r>
              <w:rPr>
                <w:sz w:val="22"/>
              </w:rPr>
              <w:t xml:space="preserve">In the case of our Chief Executive Officer, obtain the prior written approval of the audit committee for all material transactions that could reasonably be expected to give rise to a conflict of interest. </w:t>
            </w:r>
          </w:p>
        </w:tc>
      </w:tr>
    </w:tbl>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the case of any material transactions or relationships involving our Chief Financial Officer or our Chief Accounting Officer, the General Counsel must submit a list of any approved material transactions semiannually to the audit committee for its review.</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Under Securities and Exchange Commission rules, certain transactions in which we are or will be a participant and in which our directors, executive officers, certain shareholders and certain other related persons had or will have a direct or indirect material interest are required to be disclosed in this related person transactions section of our proxy statement. In addition to the procedures above, our related person transaction committee has reviewed and approved or ratified any such transactions that are required to be disclosed. The committee makes these decisions based on its consideration of all relevant factors. The review may be before or after the commencement of the transaction. If a transaction is reviewed and not approved or ratified, the committee may recommend a course of action to be taken.</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290"/>
        <w:gridCol w:w="3050"/>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290"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87</w:t>
            </w:r>
          </w:p>
        </w:tc>
        <w:tc>
          <w:tcPr>
            <w:tcW w:w="3050"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r>
      <w:tr>
        <w:trPr/>
        <w:tc>
          <w:tcPr>
            <w:tcW w:w="105" w:type="dxa"/>
            <w:tcBorders/>
            <w:vAlign w:val="center"/>
          </w:tcPr>
          <w:p>
            <w:pPr>
              <w:pStyle w:val="TableContents"/>
              <w:bidi w:val="0"/>
              <w:spacing w:before="0" w:after="283"/>
              <w:jc w:val="left"/>
              <w:rPr>
                <w:color w:val="58595B"/>
              </w:rPr>
            </w:pPr>
            <w:r>
              <w:rPr>
                <w:color w:val="58595B"/>
              </w:rPr>
              <w:t> </w:t>
            </w:r>
          </w:p>
        </w:tc>
        <w:tc>
          <w:tcPr>
            <w:tcW w:w="290" w:type="dxa"/>
            <w:tcBorders/>
            <w:vAlign w:val="center"/>
          </w:tcPr>
          <w:p>
            <w:pPr>
              <w:pStyle w:val="TableContents"/>
              <w:bidi w:val="0"/>
              <w:spacing w:before="0" w:after="283"/>
              <w:jc w:val="left"/>
              <w:rPr>
                <w:color w:val="58595B"/>
              </w:rPr>
            </w:pPr>
            <w:r>
              <w:rPr>
                <w:color w:val="58595B"/>
              </w:rPr>
              <w:t> </w:t>
            </w:r>
          </w:p>
        </w:tc>
        <w:tc>
          <w:tcPr>
            <w:tcW w:w="3050" w:type="dxa"/>
            <w:tcBorders/>
            <w:vAlign w:val="center"/>
          </w:tcPr>
          <w:p>
            <w:pPr>
              <w:pStyle w:val="TableContents"/>
              <w:bidi w:val="0"/>
              <w:spacing w:before="0" w:after="283"/>
              <w:jc w:val="left"/>
              <w:rPr>
                <w:color w:val="58595B"/>
              </w:rPr>
            </w:pPr>
            <w:r>
              <w:rPr>
                <w:color w:val="58595B"/>
              </w:rPr>
              <w:t> </w:t>
            </w:r>
          </w:p>
        </w:tc>
      </w:tr>
      <w:tr>
        <w:trPr/>
        <w:tc>
          <w:tcPr>
            <w:tcW w:w="105" w:type="dxa"/>
            <w:tcBorders/>
            <w:shd w:fill="254F79" w:val="clear"/>
            <w:vAlign w:val="center"/>
          </w:tcPr>
          <w:p>
            <w:pPr>
              <w:pStyle w:val="TableContents"/>
              <w:bidi w:val="0"/>
              <w:spacing w:before="0" w:after="283"/>
              <w:jc w:val="left"/>
              <w:rPr>
                <w:color w:val="58595B"/>
              </w:rPr>
            </w:pPr>
            <w:r>
              <w:rPr>
                <w:color w:val="58595B"/>
              </w:rPr>
              <w:t> </w:t>
            </w:r>
          </w:p>
        </w:tc>
        <w:tc>
          <w:tcPr>
            <w:tcW w:w="290" w:type="dxa"/>
            <w:tcBorders/>
            <w:shd w:fill="254F79" w:val="clear"/>
            <w:vAlign w:val="center"/>
          </w:tcPr>
          <w:p>
            <w:pPr>
              <w:pStyle w:val="TableContents"/>
              <w:bidi w:val="0"/>
              <w:spacing w:before="0" w:after="283"/>
              <w:jc w:val="left"/>
              <w:rPr>
                <w:color w:val="58595B"/>
              </w:rPr>
            </w:pPr>
            <w:r>
              <w:rPr>
                <w:color w:val="58595B"/>
              </w:rPr>
              <w:t> </w:t>
            </w:r>
          </w:p>
        </w:tc>
        <w:tc>
          <w:tcPr>
            <w:tcW w:w="3050" w:type="dxa"/>
            <w:tcBorders/>
            <w:shd w:fill="254F79" w:val="clear"/>
            <w:vAlign w:val="center"/>
          </w:tcPr>
          <w:p>
            <w:pPr>
              <w:pStyle w:val="TableContents"/>
              <w:bidi w:val="0"/>
              <w:spacing w:before="0" w:after="283"/>
              <w:jc w:val="left"/>
              <w:rPr>
                <w:color w:val="58595B"/>
              </w:rPr>
            </w:pPr>
            <w:r>
              <w:rPr>
                <w:color w:val="58595B"/>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254F79"/>
          <w:sz w:val="40"/>
        </w:rPr>
      </w:pPr>
      <w:r>
        <w:rPr>
          <w:rFonts w:ascii="Arial;Helvetica;Sans-Serif" w:hAnsi="Arial;Helvetica;Sans-Serif"/>
          <w:b/>
          <w:i w:val="false"/>
          <w:caps w:val="false"/>
          <w:smallCaps w:val="false"/>
          <w:color w:val="254F79"/>
          <w:sz w:val="40"/>
        </w:rPr>
        <w:t>DELINQUENT SECTION 16(a) REPORTS</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Section 16 of the Securities Exchange Act of 1934 requires the Company's executive officers and directors to file reports of their ownership, and changes in ownership, of the Company's common stock with the Securities and Exchange Commission. Executive officers and directors are required by the Securities and Exchange Commission's regulations to furnish the Company with copies of all forms they file pursuant to Section 16 and the Company is required to report in this Annual Report on Form 10-K any failure of its directors and executive officers to file by the relevant due date any of these reports during fiscal year 2025. Based solely upon a review of these reports, we believe that Heather H. Miller and Anthony J. Park each filed a Form 5 to adjust the shares held by each of them to accurately reflect their ownership in the Company's common stock as of December 31, 2025. In addition, Daniel D. (Ron) Lane filed one late report relating to a transaction in 2025. We believe that no other directors or executives failed to file any report by the relevant due date and all directors and executive officers of the Company complied with the requirements of Section 16(a) in 2025.</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254F79"/>
          <w:sz w:val="39"/>
        </w:rPr>
      </w:pPr>
      <w:r>
        <w:rPr>
          <w:rFonts w:ascii="Arial;Helvetica;Sans-Serif" w:hAnsi="Arial;Helvetica;Sans-Serif"/>
          <w:b/>
          <w:i w:val="false"/>
          <w:caps w:val="false"/>
          <w:smallCaps w:val="false"/>
          <w:color w:val="254F79"/>
          <w:sz w:val="39"/>
        </w:rPr>
        <w:t>SHAREHOLDER PROPOSALS AND NOMINATIONS</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Any proposal that a shareholder wishes to be considered for inclusion in the proxy and proxy statement relating to the Annual Meeting of Shareholders to be held in 2027, including submissions of shareholder director nominations in accordance with the proxy access procedures set forth in our bylaws, must be received by the Company no later than December 30, 2026. Any other proposal or director nomination that a shareholder wishes to bring before the 2027 Annual Meeting of Shareholders without inclusion of such matter in the Company's proxy materials must also be received by the Company no later than December 30, 2026. All proposals and nominations must comply with the applicable requirements or conditions established by the Securities and Exchange Commission and the Company's bylaws, which require, among other things, certain information to be provided in connection with the submission of shareholder proposals. All proposals and nominations must be directed to the Secretary of the Company at 601 Riverside Avenue, Jacksonville, Florida 32204. The persons designated as proxies by the Company in connection with the 2027 Annual Meeting of Shareholders will have discretionary voting authority with respect to any shareholder proposal for which the Company does not receive timely notice.</w:t>
      </w:r>
    </w:p>
    <w:p>
      <w:pPr>
        <w:pStyle w:val="TextBody"/>
        <w:bidi w:val="0"/>
        <w:spacing w:before="0" w:after="0"/>
        <w:ind w:left="1440" w:right="260" w:hanging="0"/>
        <w:jc w:val="left"/>
        <w:rPr>
          <w:caps w:val="false"/>
          <w:smallCaps w:val="false"/>
          <w:color w:val="58595B"/>
        </w:rPr>
      </w:pPr>
      <w:r>
        <w:rPr>
          <w:caps w:val="false"/>
          <w:smallCaps w:val="false"/>
          <w:color w:val="58595B"/>
        </w:rPr>
        <w:t> </w:t>
      </w:r>
    </w:p>
    <w:p>
      <w:pPr>
        <w:pStyle w:val="TextBody"/>
        <w:bidi w:val="0"/>
        <w:spacing w:before="0" w:after="0"/>
        <w:ind w:left="1440" w:right="260" w:hanging="0"/>
        <w:jc w:val="left"/>
        <w:rPr>
          <w:caps w:val="false"/>
          <w:smallCaps w:val="false"/>
          <w:color w:val="58595B"/>
        </w:rPr>
      </w:pPr>
      <w:r>
        <w:rPr>
          <w:caps w:val="false"/>
          <w:smallCaps w:val="false"/>
          <w:color w:val="58595B"/>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In addition to satisfying the foregoing requirements, to comply with the Securities and Exchange Commission's Rule 14a-19, shareholders who intend to solicit proxies in support of director nominees submitted under our bylaws must also comply with the additional requirements of Rule 14a-19 under the Exchange Act of 1934, as amended.</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254F79"/>
          <w:sz w:val="40"/>
        </w:rPr>
      </w:pPr>
      <w:r>
        <w:rPr>
          <w:rFonts w:ascii="Arial;Helvetica;Sans-Serif" w:hAnsi="Arial;Helvetica;Sans-Serif"/>
          <w:b/>
          <w:i w:val="false"/>
          <w:caps w:val="false"/>
          <w:smallCaps w:val="false"/>
          <w:color w:val="254F79"/>
          <w:sz w:val="40"/>
        </w:rPr>
        <w:t>OTHER MATTERS</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The Company knows of no other matters to be submitted at the meeting. If any other matters properly come before the meeting, your proxy card confers discretionary authority on the persons named in your proxy card to vote as they deem appropriate on such matters. It is the intention of the persons named in your proxy card to vote the shares in accordance with their best judgment.</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88</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254F79"/>
          <w:sz w:val="40"/>
        </w:rPr>
      </w:pPr>
      <w:r>
        <w:rPr>
          <w:rFonts w:ascii="Arial;Helvetica;Sans-Serif" w:hAnsi="Arial;Helvetica;Sans-Serif"/>
          <w:b/>
          <w:i w:val="false"/>
          <w:caps w:val="false"/>
          <w:smallCaps w:val="false"/>
          <w:color w:val="254F79"/>
          <w:sz w:val="40"/>
        </w:rPr>
        <w:t>AVAILABLE INFORMATION</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1"/>
        </w:rPr>
      </w:pPr>
      <w:r>
        <w:rPr>
          <w:rFonts w:ascii="Arial;Helvetica;Sans-Serif" w:hAnsi="Arial;Helvetica;Sans-Serif"/>
          <w:b w:val="false"/>
          <w:i w:val="false"/>
          <w:caps w:val="false"/>
          <w:smallCaps w:val="false"/>
          <w:color w:val="58595B"/>
          <w:sz w:val="21"/>
        </w:rPr>
        <w:t>The Company files Annual Reports on Form 10-K with the Securities and Exchange Commission.</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A copy of the Annual Report on Form 10-K for the fiscal year ended December 31, 2025 (except for certain exhibits thereto), including our audited financial statements and financial statement schedules, may be obtained, free of charge, upon written request by any shareholder to Fidelity National Financial, Inc., 601 Riverside Avenue, Jacksonville, Florida 32204, Attention: Investor Relations. Copies of all exhibits to the Annual Report on Form 10-K are available upon a similar request, subject to reimbursing the Company for its expenses in supplying any exhibit.</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By Order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caps w:val="false"/>
          <w:smallCaps w:val="false"/>
        </w:rPr>
      </w:pPr>
      <w:r>
        <w:rPr>
          <w:caps w:val="false"/>
          <w:smallCaps w:val="false"/>
        </w:rPr>
        <w:drawing>
          <wp:inline distT="0" distB="0" distL="0" distR="0">
            <wp:extent cx="1276350" cy="600075"/>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7"/>
                    <a:stretch>
                      <a:fillRect/>
                    </a:stretch>
                  </pic:blipFill>
                  <pic:spPr bwMode="auto">
                    <a:xfrm>
                      <a:off x="0" y="0"/>
                      <a:ext cx="1276350" cy="6000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i w:val="false"/>
          <w:caps w:val="false"/>
          <w:smallCaps w:val="false"/>
          <w:color w:val="58595B"/>
          <w:sz w:val="22"/>
        </w:rPr>
      </w:pPr>
      <w:r>
        <w:rPr>
          <w:rFonts w:ascii="Arial;Helvetica;Sans-Serif" w:hAnsi="Arial;Helvetica;Sans-Serif"/>
          <w:b/>
          <w:i w:val="false"/>
          <w:caps w:val="false"/>
          <w:smallCaps w:val="false"/>
          <w:color w:val="58595B"/>
          <w:sz w:val="22"/>
        </w:rPr>
        <w:t>Michael J. Nolan</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caps w:val="false"/>
          <w:smallCaps w:val="false"/>
          <w:color w:val="58595B"/>
          <w:sz w:val="22"/>
        </w:rPr>
      </w:pPr>
      <w:r>
        <w:rPr>
          <w:rFonts w:ascii="Arial;Helvetica;Sans-Serif" w:hAnsi="Arial;Helvetica;Sans-Serif"/>
          <w:b w:val="false"/>
          <w:i/>
          <w:caps w:val="false"/>
          <w:smallCaps w:val="false"/>
          <w:color w:val="58595B"/>
          <w:sz w:val="22"/>
        </w:rPr>
        <w:t>Chief Executive Officer</w:t>
      </w:r>
    </w:p>
    <w:p>
      <w:pPr>
        <w:pStyle w:val="TextBody"/>
        <w:bidi w:val="0"/>
        <w:spacing w:before="0" w:after="0"/>
        <w:ind w:left="1440" w:right="260" w:hanging="0"/>
        <w:jc w:val="left"/>
        <w:rPr>
          <w:caps w:val="false"/>
          <w:smallCaps w:val="false"/>
        </w:rPr>
      </w:pPr>
      <w:r>
        <w:rPr>
          <w:caps w:val="false"/>
          <w:smallCaps w:val="false"/>
        </w:rPr>
        <w:t> </w:t>
      </w:r>
    </w:p>
    <w:p>
      <w:pPr>
        <w:pStyle w:val="TextBody"/>
        <w:bidi w:val="0"/>
        <w:spacing w:before="0" w:after="0"/>
        <w:ind w:left="1440" w:right="260" w:hanging="0"/>
        <w:jc w:val="left"/>
        <w:rPr>
          <w:rFonts w:ascii="Arial;Helvetica;Sans-Serif" w:hAnsi="Arial;Helvetica;Sans-Serif"/>
          <w:b w:val="false"/>
          <w:i w:val="false"/>
          <w:caps w:val="false"/>
          <w:smallCaps w:val="false"/>
          <w:color w:val="58595B"/>
          <w:sz w:val="22"/>
        </w:rPr>
      </w:pPr>
      <w:r>
        <w:rPr>
          <w:rFonts w:ascii="Arial;Helvetica;Sans-Serif" w:hAnsi="Arial;Helvetica;Sans-Serif"/>
          <w:b w:val="false"/>
          <w:i w:val="false"/>
          <w:caps w:val="false"/>
          <w:smallCaps w:val="false"/>
          <w:color w:val="58595B"/>
          <w:sz w:val="22"/>
        </w:rPr>
        <w:t>Dated: April 29, 2026</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290"/>
        <w:gridCol w:w="3050"/>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290"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89</w:t>
            </w:r>
          </w:p>
        </w:tc>
        <w:tc>
          <w:tcPr>
            <w:tcW w:w="3050" w:type="dxa"/>
            <w:tcBorders/>
            <w:shd w:fill="5B769B" w:val="clear"/>
            <w:vAlign w:val="center"/>
          </w:tcPr>
          <w:p>
            <w:pPr>
              <w:pStyle w:val="TableContents"/>
              <w:bidi w:val="0"/>
              <w:spacing w:before="0" w:after="283"/>
              <w:jc w:val="right"/>
              <w:rPr>
                <w:rFonts w:ascii="Arial;Helvetica;Sans-Serif" w:hAnsi="Arial;Helvetica;Sans-Serif"/>
                <w:color w:val="FFFFFF"/>
                <w:sz w:val="22"/>
              </w:rPr>
            </w:pPr>
            <w:r>
              <w:rPr>
                <w:rFonts w:ascii="Arial;Helvetica;Sans-Serif" w:hAnsi="Arial;Helvetica;Sans-Serif"/>
                <w:color w:val="FFFFFF"/>
                <w:sz w:val="22"/>
              </w:rPr>
              <w:t>Fidelity National Financial, Inc.</w:t>
            </w:r>
          </w:p>
        </w:tc>
      </w:tr>
      <w:tr>
        <w:trPr/>
        <w:tc>
          <w:tcPr>
            <w:tcW w:w="105" w:type="dxa"/>
            <w:tcBorders/>
            <w:vAlign w:val="center"/>
          </w:tcPr>
          <w:p>
            <w:pPr>
              <w:pStyle w:val="TableContents"/>
              <w:bidi w:val="0"/>
              <w:spacing w:before="0" w:after="283"/>
              <w:jc w:val="left"/>
              <w:rPr>
                <w:color w:val="58595B"/>
              </w:rPr>
            </w:pPr>
            <w:r>
              <w:rPr>
                <w:color w:val="58595B"/>
              </w:rPr>
              <w:t> </w:t>
            </w:r>
          </w:p>
        </w:tc>
        <w:tc>
          <w:tcPr>
            <w:tcW w:w="290" w:type="dxa"/>
            <w:tcBorders/>
            <w:vAlign w:val="center"/>
          </w:tcPr>
          <w:p>
            <w:pPr>
              <w:pStyle w:val="TableContents"/>
              <w:bidi w:val="0"/>
              <w:spacing w:before="0" w:after="283"/>
              <w:jc w:val="left"/>
              <w:rPr>
                <w:color w:val="58595B"/>
              </w:rPr>
            </w:pPr>
            <w:r>
              <w:rPr>
                <w:color w:val="58595B"/>
              </w:rPr>
              <w:t> </w:t>
            </w:r>
          </w:p>
        </w:tc>
        <w:tc>
          <w:tcPr>
            <w:tcW w:w="3050" w:type="dxa"/>
            <w:tcBorders/>
            <w:vAlign w:val="center"/>
          </w:tcPr>
          <w:p>
            <w:pPr>
              <w:pStyle w:val="TableContents"/>
              <w:bidi w:val="0"/>
              <w:spacing w:before="0" w:after="283"/>
              <w:jc w:val="left"/>
              <w:rPr>
                <w:color w:val="58595B"/>
              </w:rPr>
            </w:pPr>
            <w:r>
              <w:rPr>
                <w:color w:val="58595B"/>
              </w:rPr>
              <w:t> </w:t>
            </w:r>
          </w:p>
        </w:tc>
      </w:tr>
      <w:tr>
        <w:trPr/>
        <w:tc>
          <w:tcPr>
            <w:tcW w:w="105" w:type="dxa"/>
            <w:tcBorders/>
            <w:shd w:fill="254F79" w:val="clear"/>
            <w:vAlign w:val="center"/>
          </w:tcPr>
          <w:p>
            <w:pPr>
              <w:pStyle w:val="TableContents"/>
              <w:bidi w:val="0"/>
              <w:spacing w:before="0" w:after="283"/>
              <w:jc w:val="left"/>
              <w:rPr>
                <w:color w:val="58595B"/>
              </w:rPr>
            </w:pPr>
            <w:r>
              <w:rPr>
                <w:color w:val="58595B"/>
              </w:rPr>
              <w:t> </w:t>
            </w:r>
          </w:p>
        </w:tc>
        <w:tc>
          <w:tcPr>
            <w:tcW w:w="290" w:type="dxa"/>
            <w:tcBorders/>
            <w:shd w:fill="254F79" w:val="clear"/>
            <w:vAlign w:val="center"/>
          </w:tcPr>
          <w:p>
            <w:pPr>
              <w:pStyle w:val="TableContents"/>
              <w:bidi w:val="0"/>
              <w:spacing w:before="0" w:after="283"/>
              <w:jc w:val="left"/>
              <w:rPr>
                <w:color w:val="58595B"/>
              </w:rPr>
            </w:pPr>
            <w:r>
              <w:rPr>
                <w:color w:val="58595B"/>
              </w:rPr>
              <w:t> </w:t>
            </w:r>
          </w:p>
        </w:tc>
        <w:tc>
          <w:tcPr>
            <w:tcW w:w="3050" w:type="dxa"/>
            <w:tcBorders/>
            <w:shd w:fill="254F79" w:val="clear"/>
            <w:vAlign w:val="center"/>
          </w:tcPr>
          <w:p>
            <w:pPr>
              <w:pStyle w:val="TableContents"/>
              <w:bidi w:val="0"/>
              <w:spacing w:before="0" w:after="283"/>
              <w:jc w:val="left"/>
              <w:rPr>
                <w:color w:val="58595B"/>
              </w:rPr>
            </w:pPr>
            <w:r>
              <w:rPr>
                <w:color w:val="58595B"/>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color w:val="254F79"/>
          <w:sz w:val="40"/>
        </w:rPr>
      </w:pPr>
      <w:r>
        <w:rPr>
          <w:rFonts w:ascii="Arial;Helvetica;Sans-Serif" w:hAnsi="Arial;Helvetica;Sans-Serif"/>
          <w:b/>
          <w:i w:val="false"/>
          <w:caps w:val="false"/>
          <w:smallCaps w:val="false"/>
          <w:color w:val="254F79"/>
          <w:sz w:val="40"/>
        </w:rPr>
        <w:t>THIS PAGE LEFT</w:t>
      </w:r>
    </w:p>
    <w:p>
      <w:pPr>
        <w:pStyle w:val="TextBody"/>
        <w:bidi w:val="0"/>
        <w:spacing w:before="0" w:after="0"/>
        <w:jc w:val="center"/>
        <w:rPr>
          <w:rFonts w:ascii="Arial;Helvetica;Sans-Serif" w:hAnsi="Arial;Helvetica;Sans-Serif"/>
          <w:b/>
          <w:i w:val="false"/>
          <w:caps w:val="false"/>
          <w:smallCaps w:val="false"/>
          <w:color w:val="254F79"/>
          <w:sz w:val="38"/>
        </w:rPr>
      </w:pPr>
      <w:r>
        <w:rPr>
          <w:rFonts w:ascii="Arial;Helvetica;Sans-Serif" w:hAnsi="Arial;Helvetica;Sans-Serif"/>
          <w:b/>
          <w:i w:val="false"/>
          <w:caps w:val="false"/>
          <w:smallCaps w:val="false"/>
          <w:color w:val="254F79"/>
          <w:sz w:val="38"/>
        </w:rPr>
        <w:t>INTENTIONALLY BLANK</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105"/>
        <w:gridCol w:w="3005"/>
        <w:gridCol w:w="335"/>
      </w:tblGrid>
      <w:tr>
        <w:trPr/>
        <w:tc>
          <w:tcPr>
            <w:tcW w:w="105" w:type="dxa"/>
            <w:tcBorders/>
            <w:shd w:fill="5B769B" w:val="clear"/>
            <w:vAlign w:val="center"/>
          </w:tcPr>
          <w:p>
            <w:pPr>
              <w:pStyle w:val="TableContents"/>
              <w:bidi w:val="0"/>
              <w:spacing w:before="0" w:after="283"/>
              <w:jc w:val="left"/>
              <w:rPr>
                <w:sz w:val="4"/>
                <w:szCs w:val="4"/>
              </w:rPr>
            </w:pPr>
            <w:r>
              <w:rPr>
                <w:sz w:val="4"/>
                <w:szCs w:val="4"/>
              </w:rPr>
            </w:r>
          </w:p>
        </w:tc>
        <w:tc>
          <w:tcPr>
            <w:tcW w:w="300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Fidelity National Financial, Inc.</w:t>
            </w:r>
          </w:p>
        </w:tc>
        <w:tc>
          <w:tcPr>
            <w:tcW w:w="335" w:type="dxa"/>
            <w:tcBorders/>
            <w:shd w:fill="5B769B" w:val="clear"/>
            <w:vAlign w:val="center"/>
          </w:tcPr>
          <w:p>
            <w:pPr>
              <w:pStyle w:val="TableContents"/>
              <w:bidi w:val="0"/>
              <w:spacing w:before="0" w:after="283"/>
              <w:jc w:val="left"/>
              <w:rPr>
                <w:rFonts w:ascii="Arial;Helvetica;Sans-Serif" w:hAnsi="Arial;Helvetica;Sans-Serif"/>
                <w:color w:val="FFFFFF"/>
                <w:sz w:val="22"/>
              </w:rPr>
            </w:pPr>
            <w:r>
              <w:rPr>
                <w:rFonts w:ascii="Arial;Helvetica;Sans-Serif" w:hAnsi="Arial;Helvetica;Sans-Serif"/>
                <w:color w:val="FFFFFF"/>
                <w:sz w:val="22"/>
              </w:rPr>
              <w:t>90</w:t>
            </w:r>
          </w:p>
        </w:tc>
      </w:tr>
      <w:tr>
        <w:trPr/>
        <w:tc>
          <w:tcPr>
            <w:tcW w:w="1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r>
      <w:tr>
        <w:trPr/>
        <w:tc>
          <w:tcPr>
            <w:tcW w:w="105" w:type="dxa"/>
            <w:tcBorders/>
            <w:shd w:fill="274F78" w:val="clear"/>
            <w:vAlign w:val="center"/>
          </w:tcPr>
          <w:p>
            <w:pPr>
              <w:pStyle w:val="TableContents"/>
              <w:bidi w:val="0"/>
              <w:spacing w:before="0" w:after="283"/>
              <w:jc w:val="left"/>
              <w:rPr/>
            </w:pPr>
            <w:r>
              <w:rPr/>
              <w:t> </w:t>
            </w:r>
          </w:p>
        </w:tc>
        <w:tc>
          <w:tcPr>
            <w:tcW w:w="3005" w:type="dxa"/>
            <w:tcBorders/>
            <w:shd w:fill="274F78" w:val="clear"/>
            <w:vAlign w:val="center"/>
          </w:tcPr>
          <w:p>
            <w:pPr>
              <w:pStyle w:val="TableContents"/>
              <w:bidi w:val="0"/>
              <w:spacing w:before="0" w:after="283"/>
              <w:jc w:val="left"/>
              <w:rPr/>
            </w:pPr>
            <w:r>
              <w:rPr/>
              <w:t> </w:t>
            </w:r>
          </w:p>
        </w:tc>
        <w:tc>
          <w:tcPr>
            <w:tcW w:w="335" w:type="dxa"/>
            <w:tcBorders/>
            <w:shd w:fill="274F78"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color w:val="254F79"/>
          <w:sz w:val="40"/>
        </w:rPr>
      </w:pPr>
      <w:r>
        <w:rPr>
          <w:rFonts w:ascii="Arial;Helvetica;Sans-Serif" w:hAnsi="Arial;Helvetica;Sans-Serif"/>
          <w:b/>
          <w:i w:val="false"/>
          <w:caps w:val="false"/>
          <w:smallCaps w:val="false"/>
          <w:color w:val="254F79"/>
          <w:sz w:val="40"/>
        </w:rPr>
        <w:t>ANNEX A:</w:t>
      </w:r>
    </w:p>
    <w:p>
      <w:pPr>
        <w:pStyle w:val="TextBody"/>
        <w:bidi w:val="0"/>
        <w:spacing w:before="0" w:after="0"/>
        <w:jc w:val="center"/>
        <w:rPr>
          <w:rFonts w:ascii="Arial;Helvetica;Sans-Serif" w:hAnsi="Arial;Helvetica;Sans-Serif"/>
          <w:b/>
          <w:i w:val="false"/>
          <w:caps w:val="false"/>
          <w:smallCaps w:val="false"/>
          <w:color w:val="254F79"/>
          <w:sz w:val="38"/>
        </w:rPr>
      </w:pPr>
      <w:r>
        <w:rPr>
          <w:rFonts w:ascii="Arial;Helvetica;Sans-Serif" w:hAnsi="Arial;Helvetica;Sans-Serif"/>
          <w:b/>
          <w:i w:val="false"/>
          <w:caps w:val="false"/>
          <w:smallCaps w:val="false"/>
          <w:color w:val="254F79"/>
          <w:sz w:val="38"/>
        </w:rPr>
        <w:t>AMENDED AND RESTATED</w:t>
        <w:br/>
        <w:t>ARTICLES OF INCORPORATION</w:t>
      </w:r>
    </w:p>
    <w:p>
      <w:pPr>
        <w:pStyle w:val="TextBody"/>
        <w:bidi w:val="0"/>
        <w:spacing w:before="0" w:after="0"/>
        <w:ind w:left="308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AMENDED AND RESTATED</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ARTICLES OF INCORPORATION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OF</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FIDELITY NATIONAL FINANCIAL,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ARTICLE 1</w:t>
      </w:r>
    </w:p>
    <w:p>
      <w:pPr>
        <w:pStyle w:val="TextBody"/>
        <w:bidi w:val="0"/>
        <w:spacing w:before="0" w:after="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NAME OF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name of the corporation is Fidelity National Financial, Inc.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ARTICLE 2</w:t>
      </w:r>
    </w:p>
    <w:p>
      <w:pPr>
        <w:pStyle w:val="TextBody"/>
        <w:bidi w:val="0"/>
        <w:spacing w:before="0" w:after="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REGISTERED AGENT AND REGISTERED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registered office of the Corporation shall be the street address of its registered agent in the State of Nevada. The Corporation may, from time to time, in the manner provided by law, change the registered agent and registered office within the State of Nevada. The Corporation may also maintain an office or offices for the conduct of its business, either within or without the State of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ARTICLE 3</w:t>
      </w:r>
    </w:p>
    <w:p>
      <w:pPr>
        <w:pStyle w:val="TextBody"/>
        <w:bidi w:val="0"/>
        <w:spacing w:before="0" w:after="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w:t>
      </w:r>
      <w:r>
        <w:rPr>
          <w:rFonts w:ascii="Times New Roman;Times;Serif" w:hAnsi="Times New Roman;Times;Serif"/>
          <w:b w:val="false"/>
          <w:i w:val="false"/>
          <w:caps w:val="false"/>
          <w:smallCaps w:val="false"/>
          <w:sz w:val="24"/>
          <w:u w:val="single"/>
        </w:rPr>
        <w:t>Number and Election of Directors</w:t>
      </w:r>
      <w:r>
        <w:rPr>
          <w:rFonts w:ascii="Times New Roman;Times;Serif" w:hAnsi="Times New Roman;Times;Serif"/>
          <w:b w:val="false"/>
          <w:i w:val="false"/>
          <w:caps w:val="false"/>
          <w:smallCaps w:val="false"/>
          <w:sz w:val="24"/>
        </w:rPr>
        <w:t>. The business and affairs of the Corporation shall be managed by or under the direction of the board of directors of the Corporation (the “</w:t>
      </w:r>
      <w:r>
        <w:rPr>
          <w:rFonts w:ascii="Times New Roman;Times;Serif" w:hAnsi="Times New Roman;Times;Serif"/>
          <w:b w:val="false"/>
          <w:i w:val="false"/>
          <w:caps w:val="false"/>
          <w:smallCaps w:val="false"/>
          <w:sz w:val="24"/>
          <w:u w:val="single"/>
        </w:rPr>
        <w:t>Board of Directors</w:t>
      </w:r>
      <w:r>
        <w:rPr>
          <w:rFonts w:ascii="Times New Roman;Times;Serif" w:hAnsi="Times New Roman;Times;Serif"/>
          <w:b w:val="false"/>
          <w:i w:val="false"/>
          <w:caps w:val="false"/>
          <w:smallCaps w:val="false"/>
          <w:sz w:val="24"/>
        </w:rPr>
        <w:t>”). Except as otherwise provided for in these amended and restated articles of incorporation (as amended from time to time, these “</w:t>
      </w:r>
      <w:r>
        <w:rPr>
          <w:rFonts w:ascii="Times New Roman;Times;Serif" w:hAnsi="Times New Roman;Times;Serif"/>
          <w:b w:val="false"/>
          <w:i w:val="false"/>
          <w:caps w:val="false"/>
          <w:smallCaps w:val="false"/>
          <w:sz w:val="24"/>
          <w:u w:val="single"/>
        </w:rPr>
        <w:t>Articles</w:t>
      </w:r>
      <w:r>
        <w:rPr>
          <w:rFonts w:ascii="Times New Roman;Times;Serif" w:hAnsi="Times New Roman;Times;Serif"/>
          <w:b w:val="false"/>
          <w:i w:val="false"/>
          <w:caps w:val="false"/>
          <w:smallCaps w:val="false"/>
          <w:sz w:val="24"/>
        </w:rPr>
        <w:t>”), including any certificate of designation relating to any then-outstanding series of Preferred Stock, the total number of directors shall be determined from time to time within the fixed minimum and maximum established in the bylaws of the Corporation (as amended from time to time, the “</w:t>
      </w:r>
      <w:r>
        <w:rPr>
          <w:rFonts w:ascii="Times New Roman;Times;Serif" w:hAnsi="Times New Roman;Times;Serif"/>
          <w:b w:val="false"/>
          <w:i w:val="false"/>
          <w:caps w:val="false"/>
          <w:smallCaps w:val="false"/>
          <w:sz w:val="24"/>
          <w:u w:val="single"/>
        </w:rPr>
        <w:t>Bylaws</w:t>
      </w:r>
      <w:r>
        <w:rPr>
          <w:rFonts w:ascii="Times New Roman;Times;Serif" w:hAnsi="Times New Roman;Times;Serif"/>
          <w:b w:val="false"/>
          <w:i w:val="false"/>
          <w:caps w:val="false"/>
          <w:smallCaps w:val="false"/>
          <w:sz w:val="24"/>
        </w:rPr>
        <w:t>”) and the Board of Directors shall be elected in such manner as shall be provided in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3"/>
        </w:rPr>
        <w:t>(B)</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3"/>
          <w:u w:val="single"/>
        </w:rPr>
        <w:t>Election of Directors</w:t>
      </w:r>
      <w:r>
        <w:rPr>
          <w:rFonts w:ascii="Times New Roman;Times;Serif" w:hAnsi="Times New Roman;Times;Serif"/>
          <w:b w:val="false"/>
          <w:i w:val="false"/>
          <w:caps w:val="false"/>
          <w:smallCaps w:val="false"/>
          <w:sz w:val="23"/>
        </w:rPr>
        <w:t xml:space="preserve">. As of the time of filing these Articles, the directors of the Corporation are divided into three classes, respectively designated as Class I, Class II and Class III. Beginning with the 2027 annual meeting of stockholders, the Class I directors, whose terms expire at such meeting, will be elected to serve a one-year term; at the 2028 annual meeting of stockholders, the former Class I directors and the Class II directors, whose terms expire at such meeting, will be elected to serve a one-year term; and at the 2029 annual meeting of stockholders, and at each annual meeting of stockholders thereafter, all directors will be elected annually, to hold office for a one-year term expiring at the next annual meeting of stockholders and until such directors’ successors shall have been elected and qualified, or until their earlier death, resignation, retirement, disqualification or removal. From and after the time of filing these Articles, any director elected or appointed to fill a vacancy on the Board of Directors resulting from death, resignation, retirement, disqualification, removal, or other cause, or any newly created directorship resulting from an increase in the authorized number of directors, shall hold office for a term expiring at the next annual meeting of stockholders and when such director’s successor is elected or appointed or until his or her earlier death, resignation, retirement, disqualification or removal.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bdr w:val="single" w:sz="8" w:space="1" w:color="000000"/>
        </w:rPr>
      </w:pPr>
      <w:r>
        <w:rPr>
          <w:rFonts w:ascii="Times New Roman;Times;Serif" w:hAnsi="Times New Roman;Times;Serif"/>
          <w:b w:val="false"/>
          <w:i w:val="false"/>
          <w:caps w:val="false"/>
          <w:smallCaps w:val="false"/>
          <w:sz w:val="24"/>
          <w:bdr w:val="single" w:sz="8" w:space="1" w:color="000000"/>
        </w:rPr>
        <w:t>1 of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 no case shall a decrease in the number of directors cause the removal, or shorten the term, of any incumbent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(C)          </w:t>
      </w:r>
      <w:r>
        <w:rPr>
          <w:rFonts w:ascii="Times New Roman;Times;Serif" w:hAnsi="Times New Roman;Times;Serif"/>
          <w:b w:val="false"/>
          <w:i w:val="false"/>
          <w:caps w:val="false"/>
          <w:smallCaps w:val="false"/>
          <w:sz w:val="24"/>
          <w:u w:val="single"/>
        </w:rPr>
        <w:t>Voting Rights of Preferred Stock</w:t>
      </w:r>
      <w:r>
        <w:rPr>
          <w:rFonts w:ascii="Times New Roman;Times;Serif" w:hAnsi="Times New Roman;Times;Serif"/>
          <w:b w:val="false"/>
          <w:i w:val="false"/>
          <w:caps w:val="false"/>
          <w:smallCaps w:val="false"/>
          <w:sz w:val="24"/>
        </w:rPr>
        <w:t xml:space="preserve">. Notwithstanding any of the foregoing provisions, whenever the holders of any one or more series of Preferred Stock shall have the right, voting separately by series, to elect directors at an annual or special meeting of stockholders, the election, term of office, filling of vacancies and other features of such directorships shall be governed by the terms of these Articles, including any certificate of designation relating to any series of Preferred Stock, and such directors so elected shall not be divided into classes pursuant to this </w:t>
      </w:r>
      <w:r>
        <w:rPr>
          <w:rFonts w:ascii="Times New Roman;Times;Serif" w:hAnsi="Times New Roman;Times;Serif"/>
          <w:b w:val="false"/>
          <w:i w:val="false"/>
          <w:caps w:val="false"/>
          <w:smallCaps w:val="false"/>
          <w:sz w:val="24"/>
          <w:u w:val="single"/>
        </w:rPr>
        <w:t xml:space="preserve">Article 3 </w:t>
      </w:r>
      <w:r>
        <w:rPr>
          <w:rFonts w:ascii="Times New Roman;Times;Serif" w:hAnsi="Times New Roman;Times;Serif"/>
          <w:b w:val="false"/>
          <w:i w:val="false"/>
          <w:caps w:val="false"/>
          <w:smallCaps w:val="false"/>
          <w:sz w:val="24"/>
        </w:rPr>
        <w:t>unless expressly provided by such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ARTICLE 4</w:t>
      </w:r>
    </w:p>
    <w:p>
      <w:pPr>
        <w:pStyle w:val="TextBody"/>
        <w:bidi w:val="0"/>
        <w:spacing w:before="0" w:after="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purpose for which the Corporation is organized is to engage in any lawful, act, business or activity for which corporations may now or hereafter be organized under the laws of the State of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ARTICLE 5</w:t>
      </w:r>
    </w:p>
    <w:p>
      <w:pPr>
        <w:pStyle w:val="TextBody"/>
        <w:bidi w:val="0"/>
        <w:spacing w:before="0" w:after="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                </w:t>
      </w:r>
      <w:r>
        <w:rPr>
          <w:rFonts w:ascii="Times New Roman;Times;Serif" w:hAnsi="Times New Roman;Times;Serif"/>
          <w:b w:val="false"/>
          <w:i w:val="false"/>
          <w:caps w:val="false"/>
          <w:smallCaps w:val="false"/>
          <w:sz w:val="24"/>
          <w:u w:val="single"/>
        </w:rPr>
        <w:t>Capital Stock</w:t>
      </w:r>
      <w:r>
        <w:rPr>
          <w:rFonts w:ascii="Times New Roman;Times;Serif" w:hAnsi="Times New Roman;Times;Serif"/>
          <w:b w:val="false"/>
          <w:i w:val="false"/>
          <w:caps w:val="false"/>
          <w:smallCaps w:val="false"/>
          <w:sz w:val="24"/>
        </w:rPr>
        <w:t>. The Corporation is authorized to issue an aggregate of 650,000,000 shares of capital stock of the Corporation, consisting of (a) 600,000,000 shares of common stock, par value $0.0001 per share (“</w:t>
      </w:r>
      <w:r>
        <w:rPr>
          <w:rFonts w:ascii="Times New Roman;Times;Serif" w:hAnsi="Times New Roman;Times;Serif"/>
          <w:b w:val="false"/>
          <w:i w:val="false"/>
          <w:caps w:val="false"/>
          <w:smallCaps w:val="false"/>
          <w:sz w:val="24"/>
          <w:u w:val="single"/>
        </w:rPr>
        <w:t>Common Stock</w:t>
      </w:r>
      <w:r>
        <w:rPr>
          <w:rFonts w:ascii="Times New Roman;Times;Serif" w:hAnsi="Times New Roman;Times;Serif"/>
          <w:b w:val="false"/>
          <w:i w:val="false"/>
          <w:caps w:val="false"/>
          <w:smallCaps w:val="false"/>
          <w:sz w:val="24"/>
        </w:rPr>
        <w:t>”) and (b) 50,000,000 shares of preferred stock, par value $0.0001 per share (“</w:t>
      </w:r>
      <w:r>
        <w:rPr>
          <w:rFonts w:ascii="Times New Roman;Times;Serif" w:hAnsi="Times New Roman;Times;Serif"/>
          <w:b w:val="false"/>
          <w:i w:val="false"/>
          <w:caps w:val="false"/>
          <w:smallCaps w:val="false"/>
          <w:sz w:val="24"/>
          <w:u w:val="single"/>
        </w:rPr>
        <w:t>Preferred Stock</w:t>
      </w:r>
      <w:r>
        <w:rPr>
          <w:rFonts w:ascii="Times New Roman;Times;Serif" w:hAnsi="Times New Roman;Times;Serif"/>
          <w:b w:val="false"/>
          <w:i w:val="false"/>
          <w:caps w:val="false"/>
          <w:smallCaps w:val="false"/>
          <w:sz w:val="24"/>
        </w:rPr>
        <w:t>”). The capital stock of the Corporation may be issued from time to time for such consideration as shall be determined by the Board of Directors. When shares are issued upon payment of the consideration fixed by the Board of Directors, such shares shall be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                </w:t>
      </w:r>
      <w:r>
        <w:rPr>
          <w:rFonts w:ascii="Times New Roman;Times;Serif" w:hAnsi="Times New Roman;Times;Serif"/>
          <w:b w:val="false"/>
          <w:i w:val="false"/>
          <w:caps w:val="false"/>
          <w:smallCaps w:val="false"/>
          <w:sz w:val="24"/>
          <w:u w:val="single"/>
        </w:rPr>
        <w:t>Preferred Stock</w:t>
      </w:r>
      <w:r>
        <w:rPr>
          <w:rFonts w:ascii="Times New Roman;Times;Serif" w:hAnsi="Times New Roman;Times;Serif"/>
          <w:b w:val="false"/>
          <w:i w:val="false"/>
          <w:caps w:val="false"/>
          <w:smallCaps w:val="false"/>
          <w:sz w:val="24"/>
        </w:rPr>
        <w:t>. The Board of Directors is hereby vested, to the fullest extent permitted under the Nevada Revised Statutes (as amended from time to time, the “</w:t>
      </w:r>
      <w:r>
        <w:rPr>
          <w:rFonts w:ascii="Times New Roman;Times;Serif" w:hAnsi="Times New Roman;Times;Serif"/>
          <w:b w:val="false"/>
          <w:i w:val="false"/>
          <w:caps w:val="false"/>
          <w:smallCaps w:val="false"/>
          <w:sz w:val="24"/>
          <w:u w:val="single"/>
        </w:rPr>
        <w:t>NRS</w:t>
      </w:r>
      <w:r>
        <w:rPr>
          <w:rFonts w:ascii="Times New Roman;Times;Serif" w:hAnsi="Times New Roman;Times;Serif"/>
          <w:b w:val="false"/>
          <w:i w:val="false"/>
          <w:caps w:val="false"/>
          <w:smallCaps w:val="false"/>
          <w:sz w:val="24"/>
        </w:rPr>
        <w:t>”), with the authority to designate from time to time, by duly adopted resolution(s), one or more series of the Preferred Stock, to fix the number of shares constituting such series and to prescribe the voting powers, designations, preferences, qualifications, limitations, restrictions and relative, participating, optional and other rights of such series. Any such resolution prescribing a series of Preferred Stock must include a distinguishing designation for such series. If any series of Preferred Stock is established by resolution of the Board of Directors pursuant to this provision, a certificate of designation relating to such series and complying with the applicable provisions of the NRS must be filed with the Nevada Secretary of State and become effective before the issuance of any shares of such series. Except as otherwise required by law, the holders of any series of Preferred Stock shall be entitled to only such voting rights, if any, as shall expressly be granted thereto by these Articles, including the certificate of designation relating to such series of Preferred Stock. To the extent provided in these Articles, including any certificate of designation relating to a series of Preferred Stock, the Board of Directors may increase (but not above the total number of then authorized and undesignated shares of Preferred Stock) or decrease (but not below the number of shares of that series then outstanding) the number of shares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bdr w:val="single" w:sz="8" w:space="1" w:color="000000"/>
        </w:rPr>
      </w:pPr>
      <w:r>
        <w:rPr>
          <w:rFonts w:ascii="Times New Roman;Times;Serif" w:hAnsi="Times New Roman;Times;Serif"/>
          <w:b w:val="false"/>
          <w:i w:val="false"/>
          <w:caps w:val="false"/>
          <w:smallCaps w:val="false"/>
          <w:sz w:val="24"/>
          <w:bdr w:val="single" w:sz="8" w:space="1" w:color="000000"/>
        </w:rPr>
        <w:t>2 of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          </w:t>
      </w:r>
      <w:r>
        <w:rPr>
          <w:rFonts w:ascii="Times New Roman;Times;Serif" w:hAnsi="Times New Roman;Times;Serif"/>
          <w:b w:val="false"/>
          <w:i w:val="false"/>
          <w:caps w:val="false"/>
          <w:smallCaps w:val="false"/>
          <w:sz w:val="24"/>
          <w:u w:val="single"/>
        </w:rPr>
        <w:t>Dividends</w:t>
      </w:r>
      <w:r>
        <w:rPr>
          <w:rFonts w:ascii="Times New Roman;Times;Serif" w:hAnsi="Times New Roman;Times;Serif"/>
          <w:b w:val="false"/>
          <w:i w:val="false"/>
          <w:caps w:val="false"/>
          <w:smallCaps w:val="false"/>
          <w:sz w:val="24"/>
        </w:rPr>
        <w:t>. Subject to the rights of holders of any Preferred Stock having preference as to dividends and except as otherwise provided by these Articles or the NRS, the holders of Common Stock shall be entitled to receive dividends in the form of cash, property or shares of the Corporation when, as and if declared by the Board of Directors out of funds of the Corporation to the extent and in the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3"/>
        </w:rPr>
        <w:t>(D)</w:t>
      </w:r>
      <w:r>
        <w:rPr>
          <w:rFonts w:ascii="Times New Roman;Times;Serif" w:hAnsi="Times New Roman;Times;Serif"/>
          <w:b w:val="false"/>
          <w:i w:val="false"/>
          <w:caps w:val="false"/>
          <w:smallCaps w:val="false"/>
          <w:sz w:val="24"/>
        </w:rPr>
        <w:t>               </w:t>
      </w:r>
      <w:r>
        <w:rPr>
          <w:rFonts w:ascii="Times New Roman;Times;Serif" w:hAnsi="Times New Roman;Times;Serif"/>
          <w:b w:val="false"/>
          <w:i w:val="false"/>
          <w:caps w:val="false"/>
          <w:smallCaps w:val="false"/>
          <w:sz w:val="23"/>
          <w:u w:val="single"/>
        </w:rPr>
        <w:t>Assessment of Stock</w:t>
      </w:r>
      <w:r>
        <w:rPr>
          <w:rFonts w:ascii="Times New Roman;Times;Serif" w:hAnsi="Times New Roman;Times;Serif"/>
          <w:b w:val="false"/>
          <w:i w:val="false"/>
          <w:caps w:val="false"/>
          <w:smallCaps w:val="false"/>
          <w:sz w:val="23"/>
        </w:rPr>
        <w:t xml:space="preserve">. The capital stock of the Corporation, after the consideration therefor has been fully paid, shall not be assessable for any purpose, and no stock issued as fully paid shall ever be assessable or assessed, and these Articles shall not be amended in this particular.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                </w:t>
      </w:r>
      <w:r>
        <w:rPr>
          <w:rFonts w:ascii="Times New Roman;Times;Serif" w:hAnsi="Times New Roman;Times;Serif"/>
          <w:b w:val="false"/>
          <w:i w:val="false"/>
          <w:caps w:val="false"/>
          <w:smallCaps w:val="false"/>
          <w:sz w:val="24"/>
          <w:u w:val="single"/>
        </w:rPr>
        <w:t>No Preemptive Rights</w:t>
      </w:r>
      <w:r>
        <w:rPr>
          <w:rFonts w:ascii="Times New Roman;Times;Serif" w:hAnsi="Times New Roman;Times;Serif"/>
          <w:b w:val="false"/>
          <w:i w:val="false"/>
          <w:caps w:val="false"/>
          <w:smallCaps w:val="false"/>
          <w:sz w:val="24"/>
        </w:rPr>
        <w:t>. No preemptive rights shall exist with respect to shares of stock or securities convertible into shares of stock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                </w:t>
      </w:r>
      <w:r>
        <w:rPr>
          <w:rFonts w:ascii="Times New Roman;Times;Serif" w:hAnsi="Times New Roman;Times;Serif"/>
          <w:b w:val="false"/>
          <w:i w:val="false"/>
          <w:caps w:val="false"/>
          <w:smallCaps w:val="false"/>
          <w:sz w:val="24"/>
          <w:u w:val="single"/>
        </w:rPr>
        <w:t>No Cumulative Voting</w:t>
      </w:r>
      <w:r>
        <w:rPr>
          <w:rFonts w:ascii="Times New Roman;Times;Serif" w:hAnsi="Times New Roman;Times;Serif"/>
          <w:b w:val="false"/>
          <w:i w:val="false"/>
          <w:caps w:val="false"/>
          <w:smallCaps w:val="false"/>
          <w:sz w:val="24"/>
        </w:rPr>
        <w:t>. The stockholders of the Corporation shall not be entitled to cumulative voting in the election of any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(G)               </w:t>
      </w:r>
      <w:r>
        <w:rPr>
          <w:rFonts w:ascii="Times New Roman;Times;Serif" w:hAnsi="Times New Roman;Times;Serif"/>
          <w:b w:val="false"/>
          <w:i w:val="false"/>
          <w:caps w:val="false"/>
          <w:smallCaps w:val="false"/>
          <w:sz w:val="24"/>
          <w:u w:val="single"/>
        </w:rPr>
        <w:t>No Reverse Stock Splits without Stockholder Approval</w:t>
      </w:r>
      <w:r>
        <w:rPr>
          <w:rFonts w:ascii="Times New Roman;Times;Serif" w:hAnsi="Times New Roman;Times;Serif"/>
          <w:b w:val="false"/>
          <w:i w:val="false"/>
          <w:caps w:val="false"/>
          <w:smallCaps w:val="false"/>
          <w:sz w:val="24"/>
        </w:rPr>
        <w:t>. The Corporation is prohibited from effectuating any reverse split of any class or series of the Corporation’s capital stock pursuant to NRS 78.207 without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ARTICLE 6</w:t>
      </w:r>
    </w:p>
    <w:p>
      <w:pPr>
        <w:pStyle w:val="TextBody"/>
        <w:bidi w:val="0"/>
        <w:spacing w:before="0" w:after="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LIMITATION OF LIABILITY,</w:t>
      </w:r>
    </w:p>
    <w:p>
      <w:pPr>
        <w:pStyle w:val="TextBody"/>
        <w:bidi w:val="0"/>
        <w:spacing w:before="0" w:after="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INDEMNIFICATION AND PAYMENT OF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               </w:t>
      </w:r>
      <w:r>
        <w:rPr>
          <w:rFonts w:ascii="Times New Roman;Times;Serif" w:hAnsi="Times New Roman;Times;Serif"/>
          <w:b w:val="false"/>
          <w:i w:val="false"/>
          <w:caps w:val="false"/>
          <w:smallCaps w:val="false"/>
          <w:sz w:val="24"/>
          <w:u w:val="single"/>
        </w:rPr>
        <w:t>Limitation of Liability</w:t>
      </w:r>
      <w:r>
        <w:rPr>
          <w:rFonts w:ascii="Times New Roman;Times;Serif" w:hAnsi="Times New Roman;Times;Serif"/>
          <w:b w:val="false"/>
          <w:i w:val="false"/>
          <w:caps w:val="false"/>
          <w:smallCaps w:val="false"/>
          <w:sz w:val="24"/>
        </w:rPr>
        <w:t>. The liability of directors and officers of the Corporation is hereby eliminated or limited to the fullest extent permitted by the NRS, provided that no such elimination or limitation of liability under the NRS shall apply to any director’s or officer’s act or failure to act that is proven to constitute a breach of such director’s or officer’s fiduciary duties as a director or officer, which breach (i) constitutes a breach of the duty of loyalty, (ii) involves acts or omissions not in good faith or which involve intentional misconduct or a knowing violation of law, or (iii) results in a transaction from which such director or officer derived an improper personal benefit. Directors of the Corporation shall be liable for the payment of any unlawful distributions to the extent provided under NRS 78.300.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                </w:t>
      </w:r>
      <w:r>
        <w:rPr>
          <w:rFonts w:ascii="Times New Roman;Times;Serif" w:hAnsi="Times New Roman;Times;Serif"/>
          <w:b w:val="false"/>
          <w:i w:val="false"/>
          <w:caps w:val="false"/>
          <w:smallCaps w:val="false"/>
          <w:sz w:val="24"/>
          <w:u w:val="single"/>
        </w:rPr>
        <w:t>Indemnification</w:t>
      </w:r>
      <w:r>
        <w:rPr>
          <w:rFonts w:ascii="Times New Roman;Times;Serif" w:hAnsi="Times New Roman;Times;Serif"/>
          <w:b w:val="false"/>
          <w:i w:val="false"/>
          <w:caps w:val="false"/>
          <w:smallCaps w:val="false"/>
          <w:sz w:val="24"/>
        </w:rPr>
        <w:t>. To the fullest extent permitted under the NRS (including, without limitation, NRS 78.7502, NRS 78.751 and NRS 78.752) and other applicable law, the Corporation shall indemnify and defend any current and former directors and officers of the Corporation in their respective capacities as such and in any and all other capacities in which any of them serves at the request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3"/>
        </w:rPr>
        <w:t>(C)</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3"/>
          <w:u w:val="single"/>
        </w:rPr>
        <w:t>Payment of Expenses</w:t>
      </w:r>
      <w:r>
        <w:rPr>
          <w:rFonts w:ascii="Times New Roman;Times;Serif" w:hAnsi="Times New Roman;Times;Serif"/>
          <w:b w:val="false"/>
          <w:i w:val="false"/>
          <w:caps w:val="false"/>
          <w:smallCaps w:val="false"/>
          <w:sz w:val="23"/>
        </w:rPr>
        <w:t xml:space="preserve">. In addition to any other rights of indemnification permitted by the laws of the State of Nevada or as may be provided for by the Corporation in the Bylaws or by agreement or otherwise, the expenses of directors and officers incurred in defending a civil or criminal action, suit or proceeding, involving alleged acts or omissions of such directors or officers in their respective capacities as directors or officers of the Corporation must be paid by the Corporation or through insurance purchased and maintained by the Corporation or through other financial arrangements made by the Corporation, as they are incurred and in advance of the final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bdr w:val="single" w:sz="8" w:space="1" w:color="000000"/>
        </w:rPr>
      </w:pPr>
      <w:r>
        <w:rPr>
          <w:rFonts w:ascii="Times New Roman;Times;Serif" w:hAnsi="Times New Roman;Times;Serif"/>
          <w:b w:val="false"/>
          <w:i w:val="false"/>
          <w:caps w:val="false"/>
          <w:smallCaps w:val="false"/>
          <w:sz w:val="24"/>
          <w:bdr w:val="single" w:sz="8" w:space="1" w:color="000000"/>
        </w:rPr>
        <w:t>3 of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disposition of the action, suit or proceeding, upon receipt of an undertaking by or on behalf of the director or officer to repay the amount if it is ultimately determined by a court of competent jurisdiction that he or she is not entitled to be indemnified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(D)          </w:t>
      </w:r>
      <w:r>
        <w:rPr>
          <w:rFonts w:ascii="Times New Roman;Times;Serif" w:hAnsi="Times New Roman;Times;Serif"/>
          <w:b w:val="false"/>
          <w:i w:val="false"/>
          <w:caps w:val="false"/>
          <w:smallCaps w:val="false"/>
          <w:sz w:val="24"/>
          <w:u w:val="single"/>
        </w:rPr>
        <w:t>Repeal and Conflict</w:t>
      </w:r>
      <w:r>
        <w:rPr>
          <w:rFonts w:ascii="Times New Roman;Times;Serif" w:hAnsi="Times New Roman;Times;Serif"/>
          <w:b w:val="false"/>
          <w:i w:val="false"/>
          <w:caps w:val="false"/>
          <w:smallCaps w:val="false"/>
          <w:sz w:val="24"/>
        </w:rPr>
        <w:t xml:space="preserve">. Any repeal or modification of this </w:t>
      </w:r>
      <w:r>
        <w:rPr>
          <w:rFonts w:ascii="Times New Roman;Times;Serif" w:hAnsi="Times New Roman;Times;Serif"/>
          <w:b w:val="false"/>
          <w:i w:val="false"/>
          <w:caps w:val="false"/>
          <w:smallCaps w:val="false"/>
          <w:sz w:val="24"/>
          <w:u w:val="single"/>
        </w:rPr>
        <w:t>Article 6</w:t>
      </w:r>
      <w:r>
        <w:rPr>
          <w:rFonts w:ascii="Times New Roman;Times;Serif" w:hAnsi="Times New Roman;Times;Serif"/>
          <w:b w:val="false"/>
          <w:i w:val="false"/>
          <w:caps w:val="false"/>
          <w:smallCaps w:val="false"/>
          <w:sz w:val="24"/>
        </w:rPr>
        <w:t xml:space="preserve"> approved by the stockholders of the Corporation shall be prospective only and shall not adversely affect any limitation on the liability of a director or officer of the Corporation existing as of the time of such repeal or modification. In the event of any conflict between any section of this </w:t>
      </w:r>
      <w:r>
        <w:rPr>
          <w:rFonts w:ascii="Times New Roman;Times;Serif" w:hAnsi="Times New Roman;Times;Serif"/>
          <w:b w:val="false"/>
          <w:i w:val="false"/>
          <w:caps w:val="false"/>
          <w:smallCaps w:val="false"/>
          <w:sz w:val="24"/>
          <w:u w:val="single"/>
        </w:rPr>
        <w:t>Article 6</w:t>
      </w:r>
      <w:r>
        <w:rPr>
          <w:rFonts w:ascii="Times New Roman;Times;Serif" w:hAnsi="Times New Roman;Times;Serif"/>
          <w:b w:val="false"/>
          <w:i w:val="false"/>
          <w:caps w:val="false"/>
          <w:smallCaps w:val="false"/>
          <w:sz w:val="24"/>
        </w:rPr>
        <w:t xml:space="preserve"> and any other provision of these Articles, the terms and provisions of this Article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ARTICLE 7</w:t>
      </w:r>
    </w:p>
    <w:p>
      <w:pPr>
        <w:pStyle w:val="TextBody"/>
        <w:bidi w:val="0"/>
        <w:spacing w:before="0" w:after="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Board of Directors shall have the power to adopt, amend, or repeal the Bylaws of the Corporation, subject to the power of the stockholders to amend or repeal such Bylaws. The stockholders shall also have the power to adopt, amend or repeal the Bylaws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ARTICLE 8</w:t>
      </w:r>
    </w:p>
    <w:p>
      <w:pPr>
        <w:pStyle w:val="TextBody"/>
        <w:bidi w:val="0"/>
        <w:spacing w:before="0" w:after="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CORPORATE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          In anticipation of the possibility (i) that the officers and/or directors of the Corporation (as defined below) may also serve as officers and/or directors of F&amp;G (as defined below) and (ii) that the Corporation and F&amp;G may engage in the same or similar activities or lines of business and have an interest in the same corporate opportunities, and in recognition of the benefits to be derived by the Corporation through its continued contractual, corporate and business relations with F&amp;G, if any, the provisions of this </w:t>
      </w:r>
      <w:r>
        <w:rPr>
          <w:rFonts w:ascii="Times New Roman;Times;Serif" w:hAnsi="Times New Roman;Times;Serif"/>
          <w:b w:val="false"/>
          <w:i w:val="false"/>
          <w:caps w:val="false"/>
          <w:smallCaps w:val="false"/>
          <w:sz w:val="24"/>
          <w:u w:val="single"/>
        </w:rPr>
        <w:t>Article 8</w:t>
      </w:r>
      <w:r>
        <w:rPr>
          <w:rFonts w:ascii="Times New Roman;Times;Serif" w:hAnsi="Times New Roman;Times;Serif"/>
          <w:b w:val="false"/>
          <w:i w:val="false"/>
          <w:caps w:val="false"/>
          <w:smallCaps w:val="false"/>
          <w:sz w:val="24"/>
        </w:rPr>
        <w:t xml:space="preserve"> are set forth to regulate, to the fullest extent permitted by law, the conduct of certain affairs of the Corporation as they relate to F&amp;G and its officers and directors, and the powers, rights, duties and liabilities of the Corporation and its officers, directors and stockholders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(B)          (i)              Except as may be otherwise provided in a written agreement between the Corporation and F&amp;G, F&amp;G shall have no duty to refrain from engaging in the same or similar activities or lines of business as the Corporation, and, to the fullest extent permitted by law, neither F&amp;G or any officer or director thereof (except in the event of any violation of Section C of this </w:t>
      </w:r>
      <w:r>
        <w:rPr>
          <w:rFonts w:ascii="Times New Roman;Times;Serif" w:hAnsi="Times New Roman;Times;Serif"/>
          <w:b w:val="false"/>
          <w:i w:val="false"/>
          <w:caps w:val="false"/>
          <w:smallCaps w:val="false"/>
          <w:sz w:val="24"/>
          <w:u w:val="single"/>
        </w:rPr>
        <w:t>Article 8</w:t>
      </w:r>
      <w:r>
        <w:rPr>
          <w:rFonts w:ascii="Times New Roman;Times;Serif" w:hAnsi="Times New Roman;Times;Serif"/>
          <w:b w:val="false"/>
          <w:i w:val="false"/>
          <w:caps w:val="false"/>
          <w:smallCaps w:val="false"/>
          <w:sz w:val="24"/>
        </w:rPr>
        <w:t>, to the extent such violation would create liability under applicable law) shall be liable to the Corporation or its stockholders for breach of any fiduciary duty by reason of any such activities of F&amp;G.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3"/>
        </w:rPr>
      </w:pPr>
      <w:r>
        <w:rPr>
          <w:rFonts w:ascii="Times New Roman;Times;Serif" w:hAnsi="Times New Roman;Times;Serif"/>
          <w:b w:val="false"/>
          <w:i w:val="false"/>
          <w:caps w:val="false"/>
          <w:smallCaps w:val="false"/>
          <w:sz w:val="23"/>
        </w:rPr>
        <w:t xml:space="preserve">(ii)            The Corporation may from time to time be or become a party to and perform, and may cause or permit any subsidiary of the Corporation to be or become a party to and perform, one or more agreements (or modifications or supplements to pre-existing agreements) with F&amp;G. Subject to Section C of this </w:t>
      </w:r>
      <w:r>
        <w:rPr>
          <w:rFonts w:ascii="Times New Roman;Times;Serif" w:hAnsi="Times New Roman;Times;Serif"/>
          <w:b w:val="false"/>
          <w:i w:val="false"/>
          <w:caps w:val="false"/>
          <w:smallCaps w:val="false"/>
          <w:sz w:val="23"/>
          <w:u w:val="single"/>
        </w:rPr>
        <w:t>Article 8</w:t>
      </w:r>
      <w:r>
        <w:rPr>
          <w:rFonts w:ascii="Times New Roman;Times;Serif" w:hAnsi="Times New Roman;Times;Serif"/>
          <w:b w:val="false"/>
          <w:i w:val="false"/>
          <w:caps w:val="false"/>
          <w:smallCaps w:val="false"/>
          <w:sz w:val="23"/>
        </w:rPr>
        <w:t xml:space="preserve">, to the fullest extent permitted by law, no such agreement, nor the performance thereof in accordance with its terms by the Corporation or any of its subsidiaries or F&amp;G, shall be considered contrary to any fiduciary duty to the Corporation or to its stockholders of any director or officer of the Corporation who is also a director, officer or employee of F&amp;G. Subject to Section C of this </w:t>
      </w:r>
      <w:r>
        <w:rPr>
          <w:rFonts w:ascii="Times New Roman;Times;Serif" w:hAnsi="Times New Roman;Times;Serif"/>
          <w:b w:val="false"/>
          <w:i w:val="false"/>
          <w:caps w:val="false"/>
          <w:smallCaps w:val="false"/>
          <w:sz w:val="23"/>
          <w:u w:val="single"/>
        </w:rPr>
        <w:t>Article 8</w:t>
      </w:r>
      <w:r>
        <w:rPr>
          <w:rFonts w:ascii="Times New Roman;Times;Serif" w:hAnsi="Times New Roman;Times;Serif"/>
          <w:b w:val="false"/>
          <w:i w:val="false"/>
          <w:caps w:val="false"/>
          <w:smallCaps w:val="false"/>
          <w:sz w:val="23"/>
        </w:rPr>
        <w:t xml:space="preserve"> to the fullest extent permitted by law, no director or officer of the Corporation who is also a director, officer or employee of F&amp;G shall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bdr w:val="single" w:sz="8" w:space="1" w:color="000000"/>
        </w:rPr>
      </w:pPr>
      <w:r>
        <w:rPr>
          <w:rFonts w:ascii="Times New Roman;Times;Serif" w:hAnsi="Times New Roman;Times;Serif"/>
          <w:b w:val="false"/>
          <w:i w:val="false"/>
          <w:caps w:val="false"/>
          <w:smallCaps w:val="false"/>
          <w:sz w:val="24"/>
          <w:bdr w:val="single" w:sz="8" w:space="1" w:color="000000"/>
        </w:rPr>
        <w:t>4 of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or be under any fiduciary duty to the Corporation or its stockholders to refrain from acting on behalf of the Corporation or any of its subsidiaries or on behalf of F&amp;G in respect of any such agreement or performing any such agreement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          In the event that a director or officer of the Corporation who is also a director or officer of F&amp;G acquires knowledge of a potential transaction or matter which may be a corporate opportunity of both the Corporation and F&amp;G, such director or officer of the Corporation shall, to the fullest extent permitted by law, have fully satisfied and fulfilled the fiduciary duty of such director or officer to the Corporation and its stockholders with respect to such corporate opportunity, if such director or officer acts in a manner consistent with the following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3"/>
        </w:rPr>
        <w:t>(i)</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3"/>
        </w:rPr>
        <w:t xml:space="preserve">a corporate opportunity offered to any person who is an officer of the Corporation, and who is also a director but not an officer of F&amp;G, shall belong to the Corporation, unless such opportunity is expressly offered to such person in a capacity other than such person’s capacity as an officer of the Corporation, in which case it shall not belong to the Corporation;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(ii)                a corporate opportunity offered to any person who is a director but not an officer of the Corporation, and who is also a director or officer of F&amp;G, shall belong to the Corporation only if such opportunity is expressly offered to such person in such person’s capacity as a director of the Corporation;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(iii)          a corporate opportunity offered to any person who is an officer of both the Corporation and F&amp;G shall belong to the Corporation only if such opportunity is expressly offered to such person in such person’s capacity as an officer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Notwithstanding the foregoing, the Corporation shall not be prohibited from pursuing any corporate opportunity of which the Corporation becomes 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(D)          (i)            For purposes of this </w:t>
      </w:r>
      <w:r>
        <w:rPr>
          <w:rFonts w:ascii="Times New Roman;Times;Serif" w:hAnsi="Times New Roman;Times;Serif"/>
          <w:b w:val="false"/>
          <w:i w:val="false"/>
          <w:caps w:val="false"/>
          <w:smallCaps w:val="false"/>
          <w:sz w:val="24"/>
          <w:u w:val="single"/>
        </w:rPr>
        <w:t>Article 8</w:t>
      </w:r>
      <w:r>
        <w:rPr>
          <w:rFonts w:ascii="Times New Roman;Times;Serif" w:hAnsi="Times New Roman;Times;Serif"/>
          <w:b w:val="false"/>
          <w:i w:val="false"/>
          <w:caps w:val="false"/>
          <w:smallCaps w:val="false"/>
          <w:sz w:val="24"/>
        </w:rPr>
        <w:t xml:space="preserve"> only, a director of any company who is the chair of the board of directors of that company shall not be deemed to be an officer of the company solely by reason of holding such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(ii)            For purposes of this </w:t>
      </w:r>
      <w:r>
        <w:rPr>
          <w:rFonts w:ascii="Times New Roman;Times;Serif" w:hAnsi="Times New Roman;Times;Serif"/>
          <w:b w:val="false"/>
          <w:i w:val="false"/>
          <w:caps w:val="false"/>
          <w:smallCaps w:val="false"/>
          <w:sz w:val="24"/>
          <w:u w:val="single"/>
        </w:rPr>
        <w:t>Article 8</w:t>
      </w:r>
      <w:r>
        <w:rPr>
          <w:rFonts w:ascii="Times New Roman;Times;Serif" w:hAnsi="Times New Roman;Times;Serif"/>
          <w:b w:val="false"/>
          <w:i w:val="false"/>
          <w:caps w:val="false"/>
          <w:smallCaps w:val="false"/>
          <w:sz w:val="24"/>
        </w:rPr>
        <w:t xml:space="preserve"> only, the term “</w:t>
      </w:r>
      <w:r>
        <w:rPr>
          <w:rFonts w:ascii="Times New Roman;Times;Serif" w:hAnsi="Times New Roman;Times;Serif"/>
          <w:b w:val="false"/>
          <w:i w:val="false"/>
          <w:caps w:val="false"/>
          <w:smallCaps w:val="false"/>
          <w:sz w:val="24"/>
          <w:u w:val="single"/>
        </w:rPr>
        <w:t>Corporation</w:t>
      </w:r>
      <w:r>
        <w:rPr>
          <w:rFonts w:ascii="Times New Roman;Times;Serif" w:hAnsi="Times New Roman;Times;Serif"/>
          <w:b w:val="false"/>
          <w:i w:val="false"/>
          <w:caps w:val="false"/>
          <w:smallCaps w:val="false"/>
          <w:sz w:val="24"/>
        </w:rPr>
        <w:t xml:space="preserve">” shall mean the Corporation and all corporations, partnerships, joint ventures, associations and other entities in which the Corporation beneficially owns (directly or indirectly) fifty percent or more of the outstanding voting stock, voting power, partnership interests or similar voting interests. For purposes of this </w:t>
      </w:r>
      <w:r>
        <w:rPr>
          <w:rFonts w:ascii="Times New Roman;Times;Serif" w:hAnsi="Times New Roman;Times;Serif"/>
          <w:b w:val="false"/>
          <w:i w:val="false"/>
          <w:caps w:val="false"/>
          <w:smallCaps w:val="false"/>
          <w:sz w:val="24"/>
          <w:u w:val="single"/>
        </w:rPr>
        <w:t>Article 8</w:t>
      </w:r>
      <w:r>
        <w:rPr>
          <w:rFonts w:ascii="Times New Roman;Times;Serif" w:hAnsi="Times New Roman;Times;Serif"/>
          <w:b w:val="false"/>
          <w:i w:val="false"/>
          <w:caps w:val="false"/>
          <w:smallCaps w:val="false"/>
          <w:sz w:val="24"/>
        </w:rPr>
        <w:t xml:space="preserve"> only, the term “</w:t>
      </w:r>
      <w:r>
        <w:rPr>
          <w:rFonts w:ascii="Times New Roman;Times;Serif" w:hAnsi="Times New Roman;Times;Serif"/>
          <w:b w:val="false"/>
          <w:i w:val="false"/>
          <w:caps w:val="false"/>
          <w:smallCaps w:val="false"/>
          <w:sz w:val="24"/>
          <w:u w:val="single"/>
        </w:rPr>
        <w:t>F&amp;G</w:t>
      </w:r>
      <w:r>
        <w:rPr>
          <w:rFonts w:ascii="Times New Roman;Times;Serif" w:hAnsi="Times New Roman;Times;Serif"/>
          <w:b w:val="false"/>
          <w:i w:val="false"/>
          <w:caps w:val="false"/>
          <w:smallCaps w:val="false"/>
          <w:sz w:val="24"/>
        </w:rPr>
        <w:t>” shall mean F&amp;G Annuities &amp; Life, Inc., and any successor thereof, and all corporations, partnerships, joint ventures, associations and other entities in which it beneficially owns (directly or indirectly) fifty percent or more of the outstanding voting stock, voting power, partnership interests or similar voting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(E)          Anything in these Articles to the contrary notwithstanding, the foregoing provisions of this </w:t>
      </w:r>
      <w:r>
        <w:rPr>
          <w:rFonts w:ascii="Times New Roman;Times;Serif" w:hAnsi="Times New Roman;Times;Serif"/>
          <w:b w:val="false"/>
          <w:i w:val="false"/>
          <w:caps w:val="false"/>
          <w:smallCaps w:val="false"/>
          <w:sz w:val="24"/>
          <w:u w:val="single"/>
        </w:rPr>
        <w:t>Article 8</w:t>
      </w:r>
      <w:r>
        <w:rPr>
          <w:rFonts w:ascii="Times New Roman;Times;Serif" w:hAnsi="Times New Roman;Times;Serif"/>
          <w:b w:val="false"/>
          <w:i w:val="false"/>
          <w:caps w:val="false"/>
          <w:smallCaps w:val="false"/>
          <w:sz w:val="24"/>
        </w:rPr>
        <w:t xml:space="preserve"> shall terminate, expire and have no further force and effect on the date that no person who is a director or officer of the Corporation is also a director or officer of F&amp;G. Neither the alteration, amendment, termination, expiration or repeal of this </w:t>
      </w:r>
      <w:r>
        <w:rPr>
          <w:rFonts w:ascii="Times New Roman;Times;Serif" w:hAnsi="Times New Roman;Times;Serif"/>
          <w:b w:val="false"/>
          <w:i w:val="false"/>
          <w:caps w:val="false"/>
          <w:smallCaps w:val="false"/>
          <w:sz w:val="24"/>
          <w:u w:val="single"/>
        </w:rPr>
        <w:t>Article 8</w:t>
      </w:r>
      <w:r>
        <w:rPr>
          <w:rFonts w:ascii="Times New Roman;Times;Serif" w:hAnsi="Times New Roman;Times;Serif"/>
          <w:b w:val="false"/>
          <w:i w:val="false"/>
          <w:caps w:val="false"/>
          <w:smallCaps w:val="false"/>
          <w:sz w:val="24"/>
        </w:rPr>
        <w:t xml:space="preserve"> nor the adoption of any provision of these Articles inconsistent with this </w:t>
      </w:r>
      <w:r>
        <w:rPr>
          <w:rFonts w:ascii="Times New Roman;Times;Serif" w:hAnsi="Times New Roman;Times;Serif"/>
          <w:b w:val="false"/>
          <w:i w:val="false"/>
          <w:caps w:val="false"/>
          <w:smallCaps w:val="false"/>
          <w:sz w:val="24"/>
          <w:u w:val="single"/>
        </w:rPr>
        <w:t>Article 8</w:t>
      </w:r>
      <w:r>
        <w:rPr>
          <w:rFonts w:ascii="Times New Roman;Times;Serif" w:hAnsi="Times New Roman;Times;Serif"/>
          <w:b w:val="false"/>
          <w:i w:val="false"/>
          <w:caps w:val="false"/>
          <w:smallCaps w:val="false"/>
          <w:sz w:val="24"/>
        </w:rPr>
        <w:t xml:space="preserve"> shall eliminate or reduce the effect of this </w:t>
      </w:r>
      <w:r>
        <w:rPr>
          <w:rFonts w:ascii="Times New Roman;Times;Serif" w:hAnsi="Times New Roman;Times;Serif"/>
          <w:b w:val="false"/>
          <w:i w:val="false"/>
          <w:caps w:val="false"/>
          <w:smallCaps w:val="false"/>
          <w:sz w:val="24"/>
          <w:u w:val="single"/>
        </w:rPr>
        <w:t>Article 8</w:t>
      </w:r>
      <w:r>
        <w:rPr>
          <w:rFonts w:ascii="Times New Roman;Times;Serif" w:hAnsi="Times New Roman;Times;Serif"/>
          <w:b w:val="false"/>
          <w:i w:val="false"/>
          <w:caps w:val="false"/>
          <w:smallCaps w:val="false"/>
          <w:sz w:val="24"/>
        </w:rPr>
        <w:t xml:space="preserve"> in respect of any matter occurring, or any cause of action, suit or claim that, but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bdr w:val="single" w:sz="8" w:space="1" w:color="000000"/>
        </w:rPr>
      </w:pPr>
      <w:r>
        <w:rPr>
          <w:rFonts w:ascii="Times New Roman;Times;Serif" w:hAnsi="Times New Roman;Times;Serif"/>
          <w:b w:val="false"/>
          <w:i w:val="false"/>
          <w:caps w:val="false"/>
          <w:smallCaps w:val="false"/>
          <w:sz w:val="24"/>
          <w:bdr w:val="single" w:sz="8" w:space="1" w:color="000000"/>
        </w:rPr>
        <w:t>5 of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for this </w:t>
      </w:r>
      <w:r>
        <w:rPr>
          <w:rFonts w:ascii="Times New Roman;Times;Serif" w:hAnsi="Times New Roman;Times;Serif"/>
          <w:b w:val="false"/>
          <w:i w:val="false"/>
          <w:caps w:val="false"/>
          <w:smallCaps w:val="false"/>
          <w:sz w:val="24"/>
          <w:u w:val="single"/>
        </w:rPr>
        <w:t>Article 8</w:t>
      </w:r>
      <w:r>
        <w:rPr>
          <w:rFonts w:ascii="Times New Roman;Times;Serif" w:hAnsi="Times New Roman;Times;Serif"/>
          <w:b w:val="false"/>
          <w:i w:val="false"/>
          <w:caps w:val="false"/>
          <w:smallCaps w:val="false"/>
          <w:sz w:val="24"/>
        </w:rPr>
        <w:t>, would accrue or arise, prior to such alteration, amendment, termination, expiration, repeal or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ARTICLE 9</w:t>
      </w:r>
    </w:p>
    <w:p>
      <w:pPr>
        <w:pStyle w:val="TextBody"/>
        <w:bidi w:val="0"/>
        <w:spacing w:before="0" w:after="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STOCKHOLDER ACTION BY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(A)                Action required or permitted to be taken at a stockholders’ meeting may be taken without a meeting or a vote if the action is taken by stockholders holding of record or otherwise entitled to vote in the aggregate not less than the minimum number of votes that would be necessary to authorize or take such action at a meeting at which all shares entitled to vote on the action were present and voted and in accordance with this </w:t>
      </w:r>
      <w:r>
        <w:rPr>
          <w:rFonts w:ascii="Times New Roman;Times;Serif" w:hAnsi="Times New Roman;Times;Serif"/>
          <w:b w:val="false"/>
          <w:i w:val="false"/>
          <w:caps w:val="false"/>
          <w:smallCaps w:val="false"/>
          <w:sz w:val="24"/>
          <w:u w:val="single"/>
        </w:rPr>
        <w:t>Article 9</w:t>
      </w:r>
      <w:r>
        <w:rPr>
          <w:rFonts w:ascii="Times New Roman;Times;Serif" w:hAnsi="Times New Roman;Times;Serif"/>
          <w:b w:val="false"/>
          <w:i w:val="false"/>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               Actions required or permitted to be taken by the stockholders of the Corporation at an annual or special meeting of the stockholders may be effected without a meeting by the written consent (each, a “</w:t>
      </w:r>
      <w:r>
        <w:rPr>
          <w:rFonts w:ascii="Times New Roman;Times;Serif" w:hAnsi="Times New Roman;Times;Serif"/>
          <w:b w:val="false"/>
          <w:i w:val="false"/>
          <w:caps w:val="false"/>
          <w:smallCaps w:val="false"/>
          <w:sz w:val="24"/>
          <w:u w:val="single"/>
        </w:rPr>
        <w:t>Consent</w:t>
      </w:r>
      <w:r>
        <w:rPr>
          <w:rFonts w:ascii="Times New Roman;Times;Serif" w:hAnsi="Times New Roman;Times;Serif"/>
          <w:b w:val="false"/>
          <w:i w:val="false"/>
          <w:caps w:val="false"/>
          <w:smallCaps w:val="false"/>
          <w:sz w:val="24"/>
        </w:rPr>
        <w:t xml:space="preserve">”) of (i) the holders of Common Stock but only if such action is taken in accordance with the provisions of this </w:t>
      </w:r>
      <w:r>
        <w:rPr>
          <w:rFonts w:ascii="Times New Roman;Times;Serif" w:hAnsi="Times New Roman;Times;Serif"/>
          <w:b w:val="false"/>
          <w:i w:val="false"/>
          <w:caps w:val="false"/>
          <w:smallCaps w:val="false"/>
          <w:sz w:val="24"/>
          <w:u w:val="single"/>
        </w:rPr>
        <w:t>Article 9</w:t>
      </w:r>
      <w:r>
        <w:rPr>
          <w:rFonts w:ascii="Times New Roman;Times;Serif" w:hAnsi="Times New Roman;Times;Serif"/>
          <w:b w:val="false"/>
          <w:i w:val="false"/>
          <w:caps w:val="false"/>
          <w:smallCaps w:val="false"/>
          <w:sz w:val="24"/>
        </w:rPr>
        <w:t>, or (ii) the holders of any class or series of Preferred Stock issued pursuant to these Articles, including any certificate of designation relating to such series of Preferred Stock, but only if the terms of such series of Preferred Stock expressly provide for such action by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3"/>
        </w:rPr>
        <w:t>(C)</w:t>
      </w:r>
      <w:r>
        <w:rPr>
          <w:rFonts w:ascii="Times New Roman;Times;Serif" w:hAnsi="Times New Roman;Times;Serif"/>
          <w:b w:val="false"/>
          <w:i w:val="false"/>
          <w:caps w:val="false"/>
          <w:smallCaps w:val="false"/>
          <w:sz w:val="24"/>
        </w:rPr>
        <w:t>                </w:t>
      </w:r>
      <w:r>
        <w:rPr>
          <w:rFonts w:ascii="Times New Roman;Times;Serif" w:hAnsi="Times New Roman;Times;Serif"/>
          <w:b w:val="false"/>
          <w:i w:val="false"/>
          <w:caps w:val="false"/>
          <w:smallCaps w:val="false"/>
          <w:sz w:val="23"/>
        </w:rPr>
        <w:t xml:space="preserve">The record date for determining stockholders entitled to authorize or take corporate action by Consent shall be as fixed by the Board of Directors or as otherwise established under this </w:t>
      </w:r>
      <w:r>
        <w:rPr>
          <w:rFonts w:ascii="Times New Roman;Times;Serif" w:hAnsi="Times New Roman;Times;Serif"/>
          <w:b w:val="false"/>
          <w:i w:val="false"/>
          <w:caps w:val="false"/>
          <w:smallCaps w:val="false"/>
          <w:sz w:val="23"/>
          <w:u w:val="single"/>
        </w:rPr>
        <w:t>Article 9</w:t>
      </w:r>
      <w:r>
        <w:rPr>
          <w:rFonts w:ascii="Times New Roman;Times;Serif" w:hAnsi="Times New Roman;Times;Serif"/>
          <w:b w:val="false"/>
          <w:i w:val="false"/>
          <w:caps w:val="false"/>
          <w:smallCaps w:val="false"/>
          <w:sz w:val="23"/>
        </w:rPr>
        <w:t>. Any stockholder seeking to have the stockholders authorize or take corporate action by Consent shall, by written notice addressed to the Secretary of the Corporation and delivered to the principal executive offices of the Corporation and signed by holders of record owning not less than 15% of all issued and outstanding shares of Common Stock, as determined in accordance with any applicable requirements of the Bylaws, who shall continue to own not less than 15% of all issued and outstanding shares of Common Stock through the date of delivery of Consents signed by a sufficient number of stockholders to authorize or take such action and who shall not revoke such request, request that a record date be fixed for such purpose (each such notice, a “</w:t>
      </w:r>
      <w:r>
        <w:rPr>
          <w:rFonts w:ascii="Times New Roman;Times;Serif" w:hAnsi="Times New Roman;Times;Serif"/>
          <w:b w:val="false"/>
          <w:i w:val="false"/>
          <w:caps w:val="false"/>
          <w:smallCaps w:val="false"/>
          <w:sz w:val="23"/>
          <w:u w:val="single"/>
        </w:rPr>
        <w:t>Request</w:t>
      </w:r>
      <w:r>
        <w:rPr>
          <w:rFonts w:ascii="Times New Roman;Times;Serif" w:hAnsi="Times New Roman;Times;Serif"/>
          <w:b w:val="false"/>
          <w:i w:val="false"/>
          <w:caps w:val="false"/>
          <w:smallCaps w:val="false"/>
          <w:sz w:val="23"/>
        </w:rPr>
        <w:t xml:space="preserve">”). The Request must contain the information set forth in Section D of this </w:t>
      </w:r>
      <w:r>
        <w:rPr>
          <w:rFonts w:ascii="Times New Roman;Times;Serif" w:hAnsi="Times New Roman;Times;Serif"/>
          <w:b w:val="false"/>
          <w:i w:val="false"/>
          <w:caps w:val="false"/>
          <w:smallCaps w:val="false"/>
          <w:sz w:val="23"/>
          <w:u w:val="single"/>
        </w:rPr>
        <w:t>Article 9</w:t>
      </w:r>
      <w:r>
        <w:rPr>
          <w:rFonts w:ascii="Times New Roman;Times;Serif" w:hAnsi="Times New Roman;Times;Serif"/>
          <w:b w:val="false"/>
          <w:i w:val="false"/>
          <w:caps w:val="false"/>
          <w:smallCaps w:val="false"/>
          <w:sz w:val="23"/>
        </w:rPr>
        <w:t xml:space="preserve">. By the later of (i) twenty days after delivery of a valid Request and (ii) five days after delivery of any information requested by the Corporation pursuant to Section D of this </w:t>
      </w:r>
      <w:r>
        <w:rPr>
          <w:rFonts w:ascii="Times New Roman;Times;Serif" w:hAnsi="Times New Roman;Times;Serif"/>
          <w:b w:val="false"/>
          <w:i w:val="false"/>
          <w:caps w:val="false"/>
          <w:smallCaps w:val="false"/>
          <w:sz w:val="23"/>
          <w:u w:val="single"/>
        </w:rPr>
        <w:t>Article 9</w:t>
      </w:r>
      <w:r>
        <w:rPr>
          <w:rFonts w:ascii="Times New Roman;Times;Serif" w:hAnsi="Times New Roman;Times;Serif"/>
          <w:b w:val="false"/>
          <w:i w:val="false"/>
          <w:caps w:val="false"/>
          <w:smallCaps w:val="false"/>
          <w:sz w:val="23"/>
        </w:rPr>
        <w:t xml:space="preserve">, the Board of Directors shall determine the validity of the Request and whether the Request relates to an action that may be authorized or taken by Consent pursuant to this </w:t>
      </w:r>
      <w:r>
        <w:rPr>
          <w:rFonts w:ascii="Times New Roman;Times;Serif" w:hAnsi="Times New Roman;Times;Serif"/>
          <w:b w:val="false"/>
          <w:i w:val="false"/>
          <w:caps w:val="false"/>
          <w:smallCaps w:val="false"/>
          <w:sz w:val="23"/>
          <w:u w:val="single"/>
        </w:rPr>
        <w:t>Article 9</w:t>
      </w:r>
      <w:r>
        <w:rPr>
          <w:rFonts w:ascii="Times New Roman;Times;Serif" w:hAnsi="Times New Roman;Times;Serif"/>
          <w:b w:val="false"/>
          <w:i w:val="false"/>
          <w:caps w:val="false"/>
          <w:smallCaps w:val="false"/>
          <w:sz w:val="23"/>
        </w:rPr>
        <w:t xml:space="preserve"> and, if appropriate, adopt a resolution fixing the record date for such purpose. The record date for such purpose shall be no more than ten days after the date upon which the resolution fixing the record date is adopted by the Board of Directors and shall not precede the date such resolution is adopted. If the Request has been determined to be valid and to relate to an action that may be authorized or taken by Consent pursuant to this </w:t>
      </w:r>
      <w:r>
        <w:rPr>
          <w:rFonts w:ascii="Times New Roman;Times;Serif" w:hAnsi="Times New Roman;Times;Serif"/>
          <w:b w:val="false"/>
          <w:i w:val="false"/>
          <w:caps w:val="false"/>
          <w:smallCaps w:val="false"/>
          <w:sz w:val="23"/>
          <w:u w:val="single"/>
        </w:rPr>
        <w:t>Article 9</w:t>
      </w:r>
      <w:r>
        <w:rPr>
          <w:rFonts w:ascii="Times New Roman;Times;Serif" w:hAnsi="Times New Roman;Times;Serif"/>
          <w:b w:val="false"/>
          <w:i w:val="false"/>
          <w:caps w:val="false"/>
          <w:smallCaps w:val="false"/>
          <w:sz w:val="23"/>
        </w:rPr>
        <w:t xml:space="preserve"> or if such no determination shall have been made by the date required by this </w:t>
      </w:r>
      <w:r>
        <w:rPr>
          <w:rFonts w:ascii="Times New Roman;Times;Serif" w:hAnsi="Times New Roman;Times;Serif"/>
          <w:b w:val="false"/>
          <w:i w:val="false"/>
          <w:caps w:val="false"/>
          <w:smallCaps w:val="false"/>
          <w:sz w:val="23"/>
          <w:u w:val="single"/>
        </w:rPr>
        <w:t>Article 9</w:t>
      </w:r>
      <w:r>
        <w:rPr>
          <w:rFonts w:ascii="Times New Roman;Times;Serif" w:hAnsi="Times New Roman;Times;Serif"/>
          <w:b w:val="false"/>
          <w:i w:val="false"/>
          <w:caps w:val="false"/>
          <w:smallCaps w:val="false"/>
          <w:sz w:val="23"/>
        </w:rPr>
        <w:t xml:space="preserve">, and in either event no record date has been fixed by the Board of Directors, the record date shall be the day on which the first signed Consent is delivered to the Corporation in the manner described in Section H of this </w:t>
      </w:r>
      <w:r>
        <w:rPr>
          <w:rFonts w:ascii="Times New Roman;Times;Serif" w:hAnsi="Times New Roman;Times;Serif"/>
          <w:b w:val="false"/>
          <w:i w:val="false"/>
          <w:caps w:val="false"/>
          <w:smallCaps w:val="false"/>
          <w:sz w:val="23"/>
          <w:u w:val="single"/>
        </w:rPr>
        <w:t>Article 9</w:t>
      </w:r>
      <w:r>
        <w:rPr>
          <w:rFonts w:ascii="Times New Roman;Times;Serif" w:hAnsi="Times New Roman;Times;Serif"/>
          <w:b w:val="false"/>
          <w:i w:val="false"/>
          <w:caps w:val="false"/>
          <w:smallCaps w:val="false"/>
          <w:sz w:val="23"/>
        </w:rPr>
        <w:t xml:space="preserve">; except that, if prior action by the Board of Directors is required under the provisions of the NRS, the record date shall be at the close of business on the day on which the Board of Directors adopts the resolution taking such prior action.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bdr w:val="single" w:sz="8" w:space="1" w:color="000000"/>
        </w:rPr>
      </w:pPr>
      <w:r>
        <w:rPr>
          <w:rFonts w:ascii="Times New Roman;Times;Serif" w:hAnsi="Times New Roman;Times;Serif"/>
          <w:b w:val="false"/>
          <w:i w:val="false"/>
          <w:caps w:val="false"/>
          <w:smallCaps w:val="false"/>
          <w:sz w:val="24"/>
          <w:bdr w:val="single" w:sz="8" w:space="1" w:color="000000"/>
        </w:rPr>
        <w:t>6 of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        Any Request (i) must be delivered by the holders of record owning not less than 15% of all issued and outstanding shares of Common Stock, as determined in accordance with any applicable requirements of the Bylaws (with evidence of such ownership attached), who shall continue to own not less than 15% of all issued and outstanding shares of Common Stock through the date of delivery of Consents and who shall not revoke such request, signed by a sufficient number of stockholders to authorize or take such action; (ii) must describe the action proposed to be authorized or taken by Consent; and (iii) must contain (a) such other information and representations, to the extent applicable, then required by the Bylaws as though each stockholder submitting such Request was submitting a notice of a nomination for election to the Board of Directors at an annual meeting of stockholders or of other business to be brought before an annual meeting of stockholders, (b) the text of the proposal (including the text of any resolutions to be adopted by Consent and the language of any proposed amendment to the Bylaws), and (c) any agreement of the requesting stockholders required by the Bylaws. The Board of Directors may require the stockholders submitting a Request to furnish such other information as it may require to determine the validity of the Request. Stockholders seeking to authorize or take action by Consent shall update the information provided in the Request as required by the Bylaws with respect to information provided concerning nominations for elections to the Board of Directors or other business at annual stockholders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3"/>
        </w:rPr>
        <w:t>(E)</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3"/>
        </w:rPr>
        <w:t>Stockholders are not entitled to authorize or take action by Consent if (i) the action relates to an item of business that is not a proper subject for stockholder action under applicable law, (ii) an identical or substantially similar item of business, as determined by the Board of Directors in its reasonable determination, which determination shall be conclusive and binding on the Corporation and its stockholders (a “</w:t>
      </w:r>
      <w:r>
        <w:rPr>
          <w:rFonts w:ascii="Times New Roman;Times;Serif" w:hAnsi="Times New Roman;Times;Serif"/>
          <w:b w:val="false"/>
          <w:i w:val="false"/>
          <w:caps w:val="false"/>
          <w:smallCaps w:val="false"/>
          <w:sz w:val="23"/>
          <w:u w:val="single"/>
        </w:rPr>
        <w:t>Similar Item</w:t>
      </w:r>
      <w:r>
        <w:rPr>
          <w:rFonts w:ascii="Times New Roman;Times;Serif" w:hAnsi="Times New Roman;Times;Serif"/>
          <w:b w:val="false"/>
          <w:i w:val="false"/>
          <w:caps w:val="false"/>
          <w:smallCaps w:val="false"/>
          <w:sz w:val="23"/>
        </w:rPr>
        <w:t>”) is included in the Corporation’s notice of meeting as an item of business to be brought before an annual or special stockholders meeting that has been called but not yet held or that is called to be held on a date within 90 days after the receipt by the Corporation of the Request for such action, provided that the removal of directors without electing replacements shall not be a Similar Item to the election of directors, or (iii) such Request was made in a manner that involved a violation of Regulation 14A promulgated under the Securities Exchange Act of 1934 (the “</w:t>
      </w:r>
      <w:r>
        <w:rPr>
          <w:rFonts w:ascii="Times New Roman;Times;Serif" w:hAnsi="Times New Roman;Times;Serif"/>
          <w:b w:val="false"/>
          <w:i w:val="false"/>
          <w:caps w:val="false"/>
          <w:smallCaps w:val="false"/>
          <w:sz w:val="23"/>
          <w:u w:val="single"/>
        </w:rPr>
        <w:t>Exchange Act</w:t>
      </w:r>
      <w:r>
        <w:rPr>
          <w:rFonts w:ascii="Times New Roman;Times;Serif" w:hAnsi="Times New Roman;Times;Serif"/>
          <w:b w:val="false"/>
          <w:i w:val="false"/>
          <w:caps w:val="false"/>
          <w:smallCaps w:val="false"/>
          <w:sz w:val="23"/>
        </w:rPr>
        <w:t xml:space="preserve">”), or other applicable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              Stockholders may authorize or take action by Consent only if such Consents are solicited from all holders of common stock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(G)        Every Consent purporting to take or authorize the taking of corporate action must bear the date of signature of each stockholder who signs the Consent, and no Consent shall be effective to take or authorize the taking of the action referred to therein unless, within 60 days of the earliest dated Consent delivered in the manner required by Section H of this </w:t>
      </w:r>
      <w:r>
        <w:rPr>
          <w:rFonts w:ascii="Times New Roman;Times;Serif" w:hAnsi="Times New Roman;Times;Serif"/>
          <w:b w:val="false"/>
          <w:i w:val="false"/>
          <w:caps w:val="false"/>
          <w:smallCaps w:val="false"/>
          <w:sz w:val="24"/>
          <w:u w:val="single"/>
        </w:rPr>
        <w:t>Article 9</w:t>
      </w:r>
      <w:r>
        <w:rPr>
          <w:rFonts w:ascii="Times New Roman;Times;Serif" w:hAnsi="Times New Roman;Times;Serif"/>
          <w:b w:val="false"/>
          <w:i w:val="false"/>
          <w:caps w:val="false"/>
          <w:smallCaps w:val="false"/>
          <w:sz w:val="24"/>
        </w:rPr>
        <w:t>, Consents signed by a sufficient number of stockholders to authorize or take such action are so delivered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3"/>
        </w:rPr>
        <w:t>(H)</w:t>
      </w:r>
      <w:r>
        <w:rPr>
          <w:rFonts w:ascii="Times New Roman;Times;Serif" w:hAnsi="Times New Roman;Times;Serif"/>
          <w:b w:val="false"/>
          <w:i w:val="false"/>
          <w:caps w:val="false"/>
          <w:smallCaps w:val="false"/>
          <w:sz w:val="24"/>
        </w:rPr>
        <w:t xml:space="preserve">             </w:t>
      </w:r>
      <w:r>
        <w:rPr>
          <w:rFonts w:ascii="Times New Roman;Times;Serif" w:hAnsi="Times New Roman;Times;Serif"/>
          <w:b w:val="false"/>
          <w:i w:val="false"/>
          <w:caps w:val="false"/>
          <w:smallCaps w:val="false"/>
          <w:sz w:val="23"/>
        </w:rPr>
        <w:t xml:space="preserve">Every Consent purporting to take or authorize the taking of corporate action must be dated and delivered to the Corporation at its principal place of business, or at its registered office in the State of Nevada no earlier than 60 days after the delivery of a valid Request. Delivery </w:t>
      </w:r>
      <w:r>
        <w:rPr>
          <w:rFonts w:ascii="Times New Roman;Times;Serif" w:hAnsi="Times New Roman;Times;Serif"/>
          <w:b w:val="false"/>
          <w:i w:val="false"/>
          <w:caps w:val="false"/>
          <w:smallCaps w:val="false"/>
          <w:sz w:val="24"/>
        </w:rPr>
        <w:t>must be made by hand or by certified or registered mail, return receipt requested. The Secretary of the Corporation, or such other officer of the Corporation as the Board of Directors may designate (an “</w:t>
      </w:r>
      <w:r>
        <w:rPr>
          <w:rFonts w:ascii="Times New Roman;Times;Serif" w:hAnsi="Times New Roman;Times;Serif"/>
          <w:b w:val="false"/>
          <w:i w:val="false"/>
          <w:caps w:val="false"/>
          <w:smallCaps w:val="false"/>
          <w:sz w:val="24"/>
          <w:u w:val="single"/>
        </w:rPr>
        <w:t>Other Officer</w:t>
      </w:r>
      <w:r>
        <w:rPr>
          <w:rFonts w:ascii="Times New Roman;Times;Serif" w:hAnsi="Times New Roman;Times;Serif"/>
          <w:b w:val="false"/>
          <w:i w:val="false"/>
          <w:caps w:val="false"/>
          <w:smallCaps w:val="false"/>
          <w:sz w:val="24"/>
        </w:rPr>
        <w:t>”), shall provide for the safe-keeping of such Consents and any related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bdr w:val="single" w:sz="8" w:space="1" w:color="000000"/>
        </w:rPr>
      </w:pPr>
      <w:r>
        <w:rPr>
          <w:rFonts w:ascii="Times New Roman;Times;Serif" w:hAnsi="Times New Roman;Times;Serif"/>
          <w:b w:val="false"/>
          <w:i w:val="false"/>
          <w:caps w:val="false"/>
          <w:smallCaps w:val="false"/>
          <w:sz w:val="24"/>
          <w:bdr w:val="single" w:sz="8" w:space="1" w:color="000000"/>
        </w:rPr>
        <w:t>7 of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3"/>
        </w:rPr>
      </w:pPr>
      <w:r>
        <w:rPr>
          <w:rFonts w:ascii="Times New Roman;Times;Serif" w:hAnsi="Times New Roman;Times;Serif"/>
          <w:b w:val="false"/>
          <w:i w:val="false"/>
          <w:caps w:val="false"/>
          <w:smallCaps w:val="false"/>
          <w:sz w:val="23"/>
        </w:rPr>
        <w:t>revocations and shall promptly conduct such ministerial review of the sufficiency of all Consents and any related revocations and of the validity of the action to be authorized or taken by Consent as the Secretary of the Corporation or Other Officer, as the case may be, deems necessary or appropriate, including, without limitation, whether the holders of a number of shares having the requisite voting power to authorize or take the action specified in the Consents have given consent; provided, however, that if the action to which the Consents relate is the removal or replacement of one or more members of the Board of Directors, the Secretary of the Corporation or Other Officer, as the case may be, shall promptly designate two persons, who shall not be members of the Board of Directors, to serve as inspectors (“</w:t>
      </w:r>
      <w:r>
        <w:rPr>
          <w:rFonts w:ascii="Times New Roman;Times;Serif" w:hAnsi="Times New Roman;Times;Serif"/>
          <w:b w:val="false"/>
          <w:i w:val="false"/>
          <w:caps w:val="false"/>
          <w:smallCaps w:val="false"/>
          <w:sz w:val="23"/>
          <w:u w:val="single"/>
        </w:rPr>
        <w:t>Inspectors</w:t>
      </w:r>
      <w:r>
        <w:rPr>
          <w:rFonts w:ascii="Times New Roman;Times;Serif" w:hAnsi="Times New Roman;Times;Serif"/>
          <w:b w:val="false"/>
          <w:i w:val="false"/>
          <w:caps w:val="false"/>
          <w:smallCaps w:val="false"/>
          <w:sz w:val="23"/>
        </w:rPr>
        <w:t xml:space="preserve">”) with respect to such Consents and such Inspectors shall discharge the functions of the Secretary of the Corporation or Other Officer, as the case may be, under this </w:t>
      </w:r>
      <w:r>
        <w:rPr>
          <w:rFonts w:ascii="Times New Roman;Times;Serif" w:hAnsi="Times New Roman;Times;Serif"/>
          <w:b w:val="false"/>
          <w:i w:val="false"/>
          <w:caps w:val="false"/>
          <w:smallCaps w:val="false"/>
          <w:sz w:val="23"/>
          <w:u w:val="single"/>
        </w:rPr>
        <w:t>Article 9</w:t>
      </w:r>
      <w:r>
        <w:rPr>
          <w:rFonts w:ascii="Times New Roman;Times;Serif" w:hAnsi="Times New Roman;Times;Serif"/>
          <w:b w:val="false"/>
          <w:i w:val="false"/>
          <w:caps w:val="false"/>
          <w:smallCaps w:val="false"/>
          <w:sz w:val="23"/>
        </w:rPr>
        <w:t>. If after such investigation the Secretary of the Corporation, Other Officer, or Inspectors, as the case may be, shall determine that the action has been duly authorized or taken by the Consents, that fact shall be certified on the records of the Corporation and the Consents shall be filed in such records. In conducting the investigation required by this Section, the Secretary of the Corporation, Other Officer, or Inspectors, as the case may be, may retain special legal counsel and any other necessary or appropriate professional advisors as such person or persons may deem necessary or appropriate, at the expense of the Corporation, and shall be fully protected in relying in good faith upon the opinion of such counsel or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(I)                No action may be authorized or taken by the stockholders by Consent except in accordance with this </w:t>
      </w:r>
      <w:r>
        <w:rPr>
          <w:rFonts w:ascii="Times New Roman;Times;Serif" w:hAnsi="Times New Roman;Times;Serif"/>
          <w:b w:val="false"/>
          <w:i w:val="false"/>
          <w:caps w:val="false"/>
          <w:smallCaps w:val="false"/>
          <w:sz w:val="24"/>
          <w:u w:val="single"/>
        </w:rPr>
        <w:t>Article 9</w:t>
      </w:r>
      <w:r>
        <w:rPr>
          <w:rFonts w:ascii="Times New Roman;Times;Serif" w:hAnsi="Times New Roman;Times;Serif"/>
          <w:b w:val="false"/>
          <w:i w:val="false"/>
          <w:caps w:val="false"/>
          <w:smallCaps w:val="false"/>
          <w:sz w:val="24"/>
        </w:rPr>
        <w:t xml:space="preserve">. If the Board of Directors shall determine that any Request was not properly made in accordance with, or relates to an action that may not be effected by Consent pursuant to, this </w:t>
      </w:r>
      <w:r>
        <w:rPr>
          <w:rFonts w:ascii="Times New Roman;Times;Serif" w:hAnsi="Times New Roman;Times;Serif"/>
          <w:b w:val="false"/>
          <w:i w:val="false"/>
          <w:caps w:val="false"/>
          <w:smallCaps w:val="false"/>
          <w:sz w:val="24"/>
          <w:u w:val="single"/>
        </w:rPr>
        <w:t>Article 9</w:t>
      </w:r>
      <w:r>
        <w:rPr>
          <w:rFonts w:ascii="Times New Roman;Times;Serif" w:hAnsi="Times New Roman;Times;Serif"/>
          <w:b w:val="false"/>
          <w:i w:val="false"/>
          <w:caps w:val="false"/>
          <w:smallCaps w:val="false"/>
          <w:sz w:val="24"/>
        </w:rPr>
        <w:t xml:space="preserve">, or any stockholder seeking to authorize or take such action does not otherwise comply with this </w:t>
      </w:r>
      <w:r>
        <w:rPr>
          <w:rFonts w:ascii="Times New Roman;Times;Serif" w:hAnsi="Times New Roman;Times;Serif"/>
          <w:b w:val="false"/>
          <w:i w:val="false"/>
          <w:caps w:val="false"/>
          <w:smallCaps w:val="false"/>
          <w:sz w:val="24"/>
          <w:u w:val="single"/>
        </w:rPr>
        <w:t>Article 9</w:t>
      </w:r>
      <w:r>
        <w:rPr>
          <w:rFonts w:ascii="Times New Roman;Times;Serif" w:hAnsi="Times New Roman;Times;Serif"/>
          <w:b w:val="false"/>
          <w:i w:val="false"/>
          <w:caps w:val="false"/>
          <w:smallCaps w:val="false"/>
          <w:sz w:val="24"/>
        </w:rPr>
        <w:t xml:space="preserve">, then the Board of Directors shall not be required to fix a record date and any such purported action by Consent shall be null and void to the fullest extent permitted by applicable law. No Consent shall be effective until such date as the Secretary of the Corporation, Other Officer, or Inspectors, as the case may be, certify to the Corporation that the Consents delivered to the Corporation in accordance with Section H of this </w:t>
      </w:r>
      <w:r>
        <w:rPr>
          <w:rFonts w:ascii="Times New Roman;Times;Serif" w:hAnsi="Times New Roman;Times;Serif"/>
          <w:b w:val="false"/>
          <w:i w:val="false"/>
          <w:caps w:val="false"/>
          <w:smallCaps w:val="false"/>
          <w:sz w:val="24"/>
          <w:u w:val="single"/>
        </w:rPr>
        <w:t>Article 9</w:t>
      </w:r>
      <w:r>
        <w:rPr>
          <w:rFonts w:ascii="Times New Roman;Times;Serif" w:hAnsi="Times New Roman;Times;Serif"/>
          <w:b w:val="false"/>
          <w:i w:val="false"/>
          <w:caps w:val="false"/>
          <w:smallCaps w:val="false"/>
          <w:sz w:val="24"/>
        </w:rPr>
        <w:t xml:space="preserve"> represent at least the minimum number of votes that would be necessary to authorize or take the corporate action at a meeting at which all shares entitled to vote thereon were present and voted, in accordance with Nevada law and these Articles.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(J)              Nothing contained in this </w:t>
      </w:r>
      <w:r>
        <w:rPr>
          <w:rFonts w:ascii="Times New Roman;Times;Serif" w:hAnsi="Times New Roman;Times;Serif"/>
          <w:b w:val="false"/>
          <w:i w:val="false"/>
          <w:caps w:val="false"/>
          <w:smallCaps w:val="false"/>
          <w:sz w:val="24"/>
          <w:u w:val="single"/>
        </w:rPr>
        <w:t>Article 9</w:t>
      </w:r>
      <w:r>
        <w:rPr>
          <w:rFonts w:ascii="Times New Roman;Times;Serif" w:hAnsi="Times New Roman;Times;Serif"/>
          <w:b w:val="false"/>
          <w:i w:val="false"/>
          <w:caps w:val="false"/>
          <w:smallCaps w:val="false"/>
          <w:sz w:val="24"/>
        </w:rPr>
        <w:t xml:space="preserve"> shall in any way be construed to suggest or imply that the Board of Directors or any stockholder shall not be entitled to contest the validity of any Consent or related revocations, whether before or after such certification by the Secretary of the Corporation, Other Officer, or Inspectors, as the case may be, or to take any other action (including, without limitation, the commencement, prosecution, or defense of any litigation with respect thereto, and the seeking of injunctive relief in such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(K)             Notwithstanding anything to the contrary set forth above, (i) none of the foregoing provisions of this </w:t>
      </w:r>
      <w:r>
        <w:rPr>
          <w:rFonts w:ascii="Times New Roman;Times;Serif" w:hAnsi="Times New Roman;Times;Serif"/>
          <w:b w:val="false"/>
          <w:i w:val="false"/>
          <w:caps w:val="false"/>
          <w:smallCaps w:val="false"/>
          <w:sz w:val="24"/>
          <w:u w:val="single"/>
        </w:rPr>
        <w:t>Article 9</w:t>
      </w:r>
      <w:r>
        <w:rPr>
          <w:rFonts w:ascii="Times New Roman;Times;Serif" w:hAnsi="Times New Roman;Times;Serif"/>
          <w:b w:val="false"/>
          <w:i w:val="false"/>
          <w:caps w:val="false"/>
          <w:smallCaps w:val="false"/>
          <w:sz w:val="24"/>
        </w:rPr>
        <w:t xml:space="preserve"> shall apply to any solicitation of stockholder action by written consent by or at the direction of the Board of Directors and (ii) the Board of Directors shall be entitled to solicit stockholder action by Consent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bdr w:val="single" w:sz="8" w:space="1" w:color="000000"/>
        </w:rPr>
      </w:pPr>
      <w:r>
        <w:rPr>
          <w:rFonts w:ascii="Times New Roman;Times;Serif" w:hAnsi="Times New Roman;Times;Serif"/>
          <w:b w:val="false"/>
          <w:i w:val="false"/>
          <w:caps w:val="false"/>
          <w:smallCaps w:val="false"/>
          <w:sz w:val="24"/>
          <w:bdr w:val="single" w:sz="8" w:space="1" w:color="000000"/>
        </w:rPr>
        <w:t>8 of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ARTICLE 10</w:t>
      </w:r>
    </w:p>
    <w:p>
      <w:pPr>
        <w:pStyle w:val="TextBody"/>
        <w:bidi w:val="0"/>
        <w:spacing w:before="0" w:after="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NEVADA “COMBINATIONS WITH</w:t>
      </w:r>
    </w:p>
    <w:p>
      <w:pPr>
        <w:pStyle w:val="TextBody"/>
        <w:bidi w:val="0"/>
        <w:spacing w:before="0" w:after="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INTERESTED STOCKHOLDERS” STATUTES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Corporation expressly elects to be subject to the provisions of NRS 78.411 to 78.444, inclusive,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ARTICLE 11</w:t>
      </w:r>
    </w:p>
    <w:p>
      <w:pPr>
        <w:pStyle w:val="TextBody"/>
        <w:bidi w:val="0"/>
        <w:spacing w:before="0" w:after="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DISSENTER’S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provisions of NRS 92A.390(1) shall not be applicable to the holders of any class or series of shares of the Corporation’s capital stock with respect to any corporate action (i) for which corporate action dissenter’s rights would otherwise be available pursuant to NRS 92A.380, and (ii) the terms of which corporate action require the holders of such class or series to accept for such shares consideration consisting only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ARTICLE 12</w:t>
      </w:r>
    </w:p>
    <w:p>
      <w:pPr>
        <w:pStyle w:val="TextBody"/>
        <w:bidi w:val="0"/>
        <w:spacing w:before="0" w:after="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w:t>
      </w:r>
      <w:r>
        <w:rPr>
          <w:rFonts w:ascii="Times New Roman;Times;Serif" w:hAnsi="Times New Roman;Times;Serif"/>
          <w:b w:val="false"/>
          <w:i w:val="false"/>
          <w:caps w:val="false"/>
          <w:smallCaps w:val="false"/>
          <w:sz w:val="24"/>
          <w:u w:val="single"/>
        </w:rPr>
        <w:t>Severability</w:t>
      </w:r>
      <w:r>
        <w:rPr>
          <w:rFonts w:ascii="Times New Roman;Times;Serif" w:hAnsi="Times New Roman;Times;Serif"/>
          <w:b w:val="false"/>
          <w:i w:val="false"/>
          <w:caps w:val="false"/>
          <w:smallCaps w:val="false"/>
          <w:sz w:val="24"/>
        </w:rPr>
        <w:t>. If any provision or provisions of these Articles shall be held to be invalid, illegal or unenforceable as applied to any circumstance for any reason whatsoever: (i) the validity, legality and enforceability of such provision(s) in any other circumstance and of the remaining provisions of these Articles (including, without limitation, each portion of any paragraph of the Articles containing any such provision held to be invalid, illegal or unenforceable that is not itself held to be invalid, illegal or unenforceable) shall not in any way be affected or impaired thereby; and (ii) to the fullest extent possible, the provisions of the Articles (including, without limitation, each such portion of any paragraph of the Articles containing any such provision held to be invalid, illegal or unenforceable) shall be construed (a) so as to permit the Corporation to protect its directors, officers, employees and agents from personal liability in respect of their good faith service or (b) for the benefit of the Corporation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(B)             </w:t>
      </w:r>
      <w:r>
        <w:rPr>
          <w:rFonts w:ascii="Times New Roman;Times;Serif" w:hAnsi="Times New Roman;Times;Serif"/>
          <w:b w:val="false"/>
          <w:i w:val="false"/>
          <w:caps w:val="false"/>
          <w:smallCaps w:val="false"/>
          <w:sz w:val="24"/>
          <w:u w:val="single"/>
        </w:rPr>
        <w:t>Deemed Notice and Consent</w:t>
      </w:r>
      <w:r>
        <w:rPr>
          <w:rFonts w:ascii="Times New Roman;Times;Serif" w:hAnsi="Times New Roman;Times;Serif"/>
          <w:b w:val="false"/>
          <w:i w:val="false"/>
          <w:caps w:val="false"/>
          <w:smallCaps w:val="false"/>
          <w:sz w:val="24"/>
        </w:rPr>
        <w:t>. To the fullest extent permitted by law, any current stockholder of the Corporation at the time these Articles are effective, and each and every person or entity purchasing or otherwise acquiring any interest (of any nature whatsoever) in any shares of capital stock of the Corporation by reason of and from and after the time of such purchase or other acquisition, shall be deemed to have notice of and to have consented to all of the provisions of (i) these Articles, (ii) the Bylaws and (iii) any amendment to the Articles or the Bylaws enacted or adopted in accordance with the Articles, the Bylaws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w:t>
      </w:r>
      <w:r>
        <w:rPr>
          <w:rFonts w:ascii="Times New Roman;Times;Serif" w:hAnsi="Times New Roman;Times;Serif"/>
          <w:b w:val="false"/>
          <w:i w:val="false"/>
          <w:caps w:val="false"/>
          <w:smallCaps w:val="false"/>
          <w:sz w:val="24"/>
        </w:rPr>
        <w:t>        </w:t>
      </w:r>
      <w:r>
        <w:rPr>
          <w:rFonts w:ascii="Times New Roman;Times;Serif" w:hAnsi="Times New Roman;Times;Serif"/>
          <w:b/>
          <w:i w:val="false"/>
          <w:caps w:val="false"/>
          <w:smallCaps w:val="false"/>
          <w:sz w:val="24"/>
        </w:rPr>
        <w:t>*</w:t>
      </w:r>
      <w:r>
        <w:rPr>
          <w:rFonts w:ascii="Times New Roman;Times;Serif" w:hAnsi="Times New Roman;Times;Serif"/>
          <w:b w:val="false"/>
          <w:i w:val="false"/>
          <w:caps w:val="false"/>
          <w:smallCaps w:val="false"/>
          <w:sz w:val="24"/>
        </w:rPr>
        <w:t>        </w:t>
      </w:r>
      <w:r>
        <w:rPr>
          <w:rFonts w:ascii="Times New Roman;Times;Serif" w:hAnsi="Times New Roman;Times;Serif"/>
          <w:b/>
          <w:i w:val="false"/>
          <w:caps w:val="false"/>
          <w:smallCaps w:val="false"/>
          <w:sz w:val="24"/>
        </w:rPr>
        <w:t>*</w:t>
      </w:r>
      <w:r>
        <w:rPr>
          <w:rFonts w:ascii="Times New Roman;Times;Serif" w:hAnsi="Times New Roman;Times;Serif"/>
          <w:b w:val="false"/>
          <w:i w:val="false"/>
          <w:caps w:val="false"/>
          <w:smallCaps w:val="false"/>
          <w:sz w:val="24"/>
        </w:rPr>
        <w:t>        </w:t>
      </w:r>
      <w:r>
        <w:rPr>
          <w:rFonts w:ascii="Times New Roman;Times;Serif" w:hAnsi="Times New Roman;Times;Serif"/>
          <w:b/>
          <w:i w:val="false"/>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4"/>
          <w:bdr w:val="single" w:sz="8" w:space="1" w:color="000000"/>
        </w:rPr>
      </w:pPr>
      <w:r>
        <w:rPr>
          <w:rFonts w:ascii="Times New Roman;Times;Serif" w:hAnsi="Times New Roman;Times;Serif"/>
          <w:b w:val="false"/>
          <w:i w:val="false"/>
          <w:caps w:val="false"/>
          <w:smallCaps w:val="false"/>
          <w:sz w:val="24"/>
          <w:bdr w:val="single" w:sz="8" w:space="1" w:color="000000"/>
        </w:rPr>
        <w:t>9 of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color w:val="254F79"/>
          <w:sz w:val="40"/>
        </w:rPr>
      </w:pPr>
      <w:r>
        <w:rPr>
          <w:rFonts w:ascii="Arial;Helvetica;Sans-Serif" w:hAnsi="Arial;Helvetica;Sans-Serif"/>
          <w:b/>
          <w:i w:val="false"/>
          <w:caps w:val="false"/>
          <w:smallCaps w:val="false"/>
          <w:color w:val="254F79"/>
          <w:sz w:val="40"/>
        </w:rPr>
        <w:t>ANNEX B:</w:t>
      </w:r>
    </w:p>
    <w:p>
      <w:pPr>
        <w:pStyle w:val="TextBody"/>
        <w:bidi w:val="0"/>
        <w:spacing w:before="0" w:after="0"/>
        <w:jc w:val="center"/>
        <w:rPr>
          <w:rFonts w:ascii="Arial;Helvetica;Sans-Serif" w:hAnsi="Arial;Helvetica;Sans-Serif"/>
          <w:b/>
          <w:i w:val="false"/>
          <w:caps w:val="false"/>
          <w:smallCaps w:val="false"/>
          <w:color w:val="254F79"/>
          <w:sz w:val="37"/>
        </w:rPr>
      </w:pPr>
      <w:r>
        <w:rPr>
          <w:rFonts w:ascii="Arial;Helvetica;Sans-Serif" w:hAnsi="Arial;Helvetica;Sans-Serif"/>
          <w:b/>
          <w:i w:val="false"/>
          <w:caps w:val="false"/>
          <w:smallCaps w:val="false"/>
          <w:color w:val="254F79"/>
          <w:sz w:val="37"/>
        </w:rPr>
        <w:t>AMENDED AND RESTATED BYLAWS</w:t>
      </w:r>
    </w:p>
    <w:p>
      <w:pPr>
        <w:pStyle w:val="TextBody"/>
        <w:bidi w:val="0"/>
        <w:spacing w:before="0" w:after="0"/>
        <w:ind w:left="4600" w:right="2800" w:hanging="1807"/>
        <w:jc w:val="left"/>
        <w:rPr>
          <w:caps w:val="false"/>
          <w:smallCaps w:val="false"/>
          <w:color w:val="254F79"/>
        </w:rPr>
      </w:pPr>
      <w:r>
        <w:rPr>
          <w:caps w:val="false"/>
          <w:smallCaps w:val="false"/>
          <w:color w:val="254F79"/>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0" w:right="2800" w:hanging="1807"/>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AMENDED AND RESTATED BYLAWS</w:t>
        <w:br/>
        <w:t>of</w:t>
      </w:r>
    </w:p>
    <w:p>
      <w:pPr>
        <w:pStyle w:val="TextBody"/>
        <w:bidi w:val="0"/>
        <w:spacing w:before="0" w:after="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FIDELITY NATIONAL FINANCIAL, INC.</w:t>
        <w:br/>
        <w:t>a Nevada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ARTICLE I</w:t>
      </w:r>
    </w:p>
    <w:p>
      <w:pPr>
        <w:pStyle w:val="TextBody"/>
        <w:bidi w:val="0"/>
        <w:spacing w:before="0" w:after="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1.1          </w:t>
      </w:r>
      <w:r>
        <w:rPr>
          <w:rFonts w:ascii="Times New Roman;Times;Serif" w:hAnsi="Times New Roman;Times;Serif"/>
          <w:b w:val="false"/>
          <w:i w:val="false"/>
          <w:caps w:val="false"/>
          <w:smallCaps w:val="false"/>
          <w:sz w:val="22"/>
          <w:u w:val="single"/>
        </w:rPr>
        <w:t>Principal Office</w:t>
      </w:r>
      <w:r>
        <w:rPr>
          <w:rFonts w:ascii="Times New Roman;Times;Serif" w:hAnsi="Times New Roman;Times;Serif"/>
          <w:b w:val="false"/>
          <w:i w:val="false"/>
          <w:caps w:val="false"/>
          <w:smallCaps w:val="false"/>
          <w:sz w:val="22"/>
        </w:rPr>
        <w:t>. The principal office and place of business of Fidelity National Financial, Inc. (the “</w:t>
      </w:r>
      <w:r>
        <w:rPr>
          <w:rFonts w:ascii="Times New Roman;Times;Serif" w:hAnsi="Times New Roman;Times;Serif"/>
          <w:b w:val="false"/>
          <w:i w:val="false"/>
          <w:caps w:val="false"/>
          <w:smallCaps w:val="false"/>
          <w:sz w:val="22"/>
          <w:u w:val="single"/>
        </w:rPr>
        <w:t>Corporation</w:t>
      </w:r>
      <w:r>
        <w:rPr>
          <w:rFonts w:ascii="Times New Roman;Times;Serif" w:hAnsi="Times New Roman;Times;Serif"/>
          <w:b w:val="false"/>
          <w:i w:val="false"/>
          <w:caps w:val="false"/>
          <w:smallCaps w:val="false"/>
          <w:sz w:val="22"/>
        </w:rPr>
        <w:t>”) shall be at such location as established from time to time by resolution of the board of directors of the Corporation (the “</w:t>
      </w:r>
      <w:r>
        <w:rPr>
          <w:rFonts w:ascii="Times New Roman;Times;Serif" w:hAnsi="Times New Roman;Times;Serif"/>
          <w:b w:val="false"/>
          <w:i w:val="false"/>
          <w:caps w:val="false"/>
          <w:smallCaps w:val="false"/>
          <w:sz w:val="22"/>
          <w:u w:val="single"/>
        </w:rPr>
        <w:t>Board of Directors</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1.2         </w:t>
      </w:r>
      <w:r>
        <w:rPr>
          <w:rFonts w:ascii="Times New Roman;Times;Serif" w:hAnsi="Times New Roman;Times;Serif"/>
          <w:b w:val="false"/>
          <w:i w:val="false"/>
          <w:caps w:val="false"/>
          <w:smallCaps w:val="false"/>
          <w:sz w:val="22"/>
          <w:u w:val="single"/>
        </w:rPr>
        <w:t>Other Offices</w:t>
      </w:r>
      <w:r>
        <w:rPr>
          <w:rFonts w:ascii="Times New Roman;Times;Serif" w:hAnsi="Times New Roman;Times;Serif"/>
          <w:b w:val="false"/>
          <w:i w:val="false"/>
          <w:caps w:val="false"/>
          <w:smallCaps w:val="false"/>
          <w:sz w:val="22"/>
        </w:rPr>
        <w:t>. Other offices and places of business either within or without the State of Nevada may be established from time to time by resolution of the Board of Directors or as the business of the Corporation may require. The street address of the Corporation’s registered agent is the registered office of the Corporation in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ARTICLE II</w:t>
      </w:r>
    </w:p>
    <w:p>
      <w:pPr>
        <w:pStyle w:val="TextBody"/>
        <w:bidi w:val="0"/>
        <w:spacing w:before="0" w:after="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2.1          </w:t>
      </w:r>
      <w:r>
        <w:rPr>
          <w:rFonts w:ascii="Times New Roman;Times;Serif" w:hAnsi="Times New Roman;Times;Serif"/>
          <w:b w:val="false"/>
          <w:i w:val="false"/>
          <w:caps w:val="false"/>
          <w:smallCaps w:val="false"/>
          <w:sz w:val="22"/>
          <w:u w:val="single"/>
        </w:rPr>
        <w:t>Annual Meeting</w:t>
      </w:r>
      <w:r>
        <w:rPr>
          <w:rFonts w:ascii="Times New Roman;Times;Serif" w:hAnsi="Times New Roman;Times;Serif"/>
          <w:b w:val="false"/>
          <w:i w:val="false"/>
          <w:caps w:val="false"/>
          <w:smallCaps w:val="false"/>
          <w:sz w:val="22"/>
        </w:rPr>
        <w:t>. The annual meeting of the stockholders of the Corporation shall be held on such date and at such time as may be designated from time to time by the Board of Directors. No business may be transacted at the annual meeting other than the election of directors and such other business as may be properly brought before the meeting pursuant to these Amended and Restated Bylaws (as amended from time to time, these “</w:t>
      </w:r>
      <w:r>
        <w:rPr>
          <w:rFonts w:ascii="Times New Roman;Times;Serif" w:hAnsi="Times New Roman;Times;Serif"/>
          <w:b w:val="false"/>
          <w:i w:val="false"/>
          <w:caps w:val="false"/>
          <w:smallCaps w:val="false"/>
          <w:sz w:val="22"/>
          <w:u w:val="single"/>
        </w:rPr>
        <w:t>Bylaws</w:t>
      </w:r>
      <w:r>
        <w:rPr>
          <w:rFonts w:ascii="Times New Roman;Times;Serif" w:hAnsi="Times New Roman;Times;Serif"/>
          <w:b w:val="false"/>
          <w:i w:val="false"/>
          <w:caps w:val="false"/>
          <w:smallCaps w:val="false"/>
          <w:sz w:val="22"/>
        </w:rPr>
        <w:t>”). Except as otherwise restricted by the articles of incorporation of the Corporation (as amended from time to time, the “</w:t>
      </w:r>
      <w:r>
        <w:rPr>
          <w:rFonts w:ascii="Times New Roman;Times;Serif" w:hAnsi="Times New Roman;Times;Serif"/>
          <w:b w:val="false"/>
          <w:i w:val="false"/>
          <w:caps w:val="false"/>
          <w:smallCaps w:val="false"/>
          <w:sz w:val="22"/>
          <w:u w:val="single"/>
        </w:rPr>
        <w:t>Articles of Incorporation</w:t>
      </w:r>
      <w:r>
        <w:rPr>
          <w:rFonts w:ascii="Times New Roman;Times;Serif" w:hAnsi="Times New Roman;Times;Serif"/>
          <w:b w:val="false"/>
          <w:i w:val="false"/>
          <w:caps w:val="false"/>
          <w:smallCaps w:val="false"/>
          <w:sz w:val="22"/>
        </w:rPr>
        <w:t>”) or applicable law, the Board of Directors may postpone, reschedule or cancel any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2.2         </w:t>
      </w:r>
      <w:r>
        <w:rPr>
          <w:rFonts w:ascii="Times New Roman;Times;Serif" w:hAnsi="Times New Roman;Times;Serif"/>
          <w:b w:val="false"/>
          <w:i w:val="false"/>
          <w:caps w:val="false"/>
          <w:smallCaps w:val="false"/>
          <w:sz w:val="22"/>
          <w:u w:val="single"/>
        </w:rPr>
        <w:t>Special Meetings</w:t>
      </w:r>
      <w:r>
        <w:rPr>
          <w:rFonts w:ascii="Times New Roman;Times;Serif" w:hAnsi="Times New Roman;Times;Serif"/>
          <w:b w:val="false"/>
          <w:i w:val="false"/>
          <w:caps w:val="false"/>
          <w:smallCaps w:val="false"/>
          <w:sz w:val="22"/>
        </w:rPr>
        <w:t>. Unless otherwise prescribed by the Nevada Revised Statutes (as amended from time to time, the “</w:t>
      </w:r>
      <w:r>
        <w:rPr>
          <w:rFonts w:ascii="Times New Roman;Times;Serif" w:hAnsi="Times New Roman;Times;Serif"/>
          <w:b w:val="false"/>
          <w:i w:val="false"/>
          <w:caps w:val="false"/>
          <w:smallCaps w:val="false"/>
          <w:sz w:val="22"/>
          <w:u w:val="single"/>
        </w:rPr>
        <w:t>NRS</w:t>
      </w:r>
      <w:r>
        <w:rPr>
          <w:rFonts w:ascii="Times New Roman;Times;Serif" w:hAnsi="Times New Roman;Times;Serif"/>
          <w:b w:val="false"/>
          <w:i w:val="false"/>
          <w:caps w:val="false"/>
          <w:smallCaps w:val="false"/>
          <w:sz w:val="22"/>
        </w:rPr>
        <w:t>”) or the Articles of Incorporation, special meetings of the stockholders, for any purpose or purposes, may be called only by the chair of the board or the chief executive officer or, if there be no chair of the board and no chief executive officer, by the president, and shall be called by the secretary upon the written request (which request shall state the purpose or purposes of the meeting) of (i) at least a majority of the Board of Directors or (ii) the stockholders of the Corporation owning twenty-five percent (25%) or more of the issued and outstanding shares of the Corporation’s capital stock entitled to vote. Special meetings may not be called by any other person or persons. The chair of the board, chief executive officer, president or secretary so calling any such meeting shall fix the time, date and place for holding such special meeting. Except as otherwise restricted by the Articles of Incorporation or applicable law, the Board of Directors may postpone, reschedule or cancel any special meeting of stockholders. No business shall be acted upon at a special meeting of stockholders except as set forth in the notice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2.3          </w:t>
      </w:r>
      <w:r>
        <w:rPr>
          <w:rFonts w:ascii="Times New Roman;Times;Serif" w:hAnsi="Times New Roman;Times;Serif"/>
          <w:b w:val="false"/>
          <w:i w:val="false"/>
          <w:caps w:val="false"/>
          <w:smallCaps w:val="false"/>
          <w:sz w:val="22"/>
          <w:u w:val="single"/>
        </w:rPr>
        <w:t>Place of Meetings</w:t>
      </w:r>
      <w:r>
        <w:rPr>
          <w:rFonts w:ascii="Times New Roman;Times;Serif" w:hAnsi="Times New Roman;Times;Serif"/>
          <w:b w:val="false"/>
          <w:i w:val="false"/>
          <w:caps w:val="false"/>
          <w:smallCaps w:val="false"/>
          <w:sz w:val="22"/>
        </w:rPr>
        <w:t xml:space="preserve">. Unless a meeting is to be held solely by remote communication pursuant to </w:t>
      </w:r>
      <w:r>
        <w:rPr>
          <w:rFonts w:ascii="Times New Roman;Times;Serif" w:hAnsi="Times New Roman;Times;Serif"/>
          <w:b w:val="false"/>
          <w:i w:val="false"/>
          <w:caps w:val="false"/>
          <w:smallCaps w:val="false"/>
          <w:sz w:val="22"/>
          <w:u w:val="single"/>
        </w:rPr>
        <w:t>Section 2.14</w:t>
      </w:r>
      <w:r>
        <w:rPr>
          <w:rFonts w:ascii="Times New Roman;Times;Serif" w:hAnsi="Times New Roman;Times;Serif"/>
          <w:b w:val="false"/>
          <w:i w:val="false"/>
          <w:caps w:val="false"/>
          <w:smallCaps w:val="false"/>
          <w:sz w:val="22"/>
        </w:rPr>
        <w:t xml:space="preserve">, any meeting of the stockholders of the Corporation may be held at the Corporation’s registered office in the State of Nevada or at such other place in or out of the State of Nevada as may be designated in the notice of meeting. A waiver of notice signed by all stockholders entitled to vote thereat may designate any place for the holding of such meeting. The Board of Directors may, in its sole discretion, determine that any meeting of the stockholders shall be held by means of remote communications or other available technology in accordance with </w:t>
      </w:r>
      <w:r>
        <w:rPr>
          <w:rFonts w:ascii="Times New Roman;Times;Serif" w:hAnsi="Times New Roman;Times;Serif"/>
          <w:b w:val="false"/>
          <w:i w:val="false"/>
          <w:caps w:val="false"/>
          <w:smallCaps w:val="false"/>
          <w:sz w:val="22"/>
          <w:u w:val="single"/>
        </w:rPr>
        <w:t>Section 2.14</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40" w:right="0" w:hanging="0"/>
        <w:jc w:val="left"/>
        <w:rPr>
          <w:caps w:val="false"/>
          <w:smallCaps w:val="false"/>
        </w:rPr>
      </w:pPr>
      <w:r>
        <w:rPr>
          <w:caps w:val="false"/>
          <w:smallCaps w:val="false"/>
        </w:rPr>
        <w:t> </w:t>
      </w:r>
    </w:p>
    <w:p>
      <w:pPr>
        <w:pStyle w:val="TextBody"/>
        <w:bidi w:val="0"/>
        <w:spacing w:before="0" w:after="0"/>
        <w:ind w:left="840" w:right="0" w:hanging="0"/>
        <w:jc w:val="left"/>
        <w:rPr>
          <w:rFonts w:ascii="Arial;Helvetica;Sans-Serif" w:hAnsi="Arial;Helvetica;Sans-Serif"/>
          <w:b w:val="false"/>
          <w:i w:val="false"/>
          <w:caps w:val="false"/>
          <w:smallCaps w:val="false"/>
          <w:sz w:val="24"/>
        </w:rPr>
      </w:pPr>
      <w:r>
        <w:rPr>
          <w:rFonts w:ascii="Times New Roman;Times;Serif" w:hAnsi="Times New Roman;Times;Serif"/>
          <w:b w:val="false"/>
          <w:i w:val="false"/>
          <w:caps w:val="false"/>
          <w:smallCaps w:val="false"/>
          <w:sz w:val="22"/>
        </w:rPr>
        <w:t>Section 2.4</w:t>
      </w:r>
      <w:r>
        <w:rPr>
          <w:rFonts w:ascii="Arial;Helvetica;Sans-Serif" w:hAnsi="Arial;Helvetica;Sans-Serif"/>
          <w:b w:val="false"/>
          <w:i w:val="false"/>
          <w:caps w:val="false"/>
          <w:smallCaps w:val="false"/>
          <w:sz w:val="24"/>
        </w:rPr>
        <w:t>        </w:t>
      </w:r>
      <w:r>
        <w:rPr>
          <w:rFonts w:ascii="Times New Roman;Times;Serif" w:hAnsi="Times New Roman;Times;Serif"/>
          <w:b w:val="false"/>
          <w:i w:val="false"/>
          <w:caps w:val="false"/>
          <w:smallCaps w:val="false"/>
          <w:sz w:val="22"/>
          <w:u w:val="single"/>
        </w:rPr>
        <w:t>Notice of Meetings; Waiver of Notice</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The chief executive officer, the president, any vice president, the secretary, an assistant secretary or any other individual designated by the Board of Directors shall sign and deliver or cause to be delivered to the stockholders written notice of any stockholders’ meeting not less than ten (10) days, but not more than sixty (60) days, before the date of such meeting. The notice shall state the place, date and time of the meeting, the means of remote communication, if any, by which the stockholders or the proxies thereof shall be deemed to be present and vote and, in the case of a special meeting, the purpose or purposes for which the meeting is called. The notice shall be delivered in accordance with, and shall contain or be accompanied by such additional information as may be required by, the NRS, including, without limitation, NRS 78.379, 92A.120 or 92A.410.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          In the case of an annual meeting, subject to </w:t>
      </w:r>
      <w:r>
        <w:rPr>
          <w:rFonts w:ascii="Times New Roman;Times;Serif" w:hAnsi="Times New Roman;Times;Serif"/>
          <w:b w:val="false"/>
          <w:i w:val="false"/>
          <w:caps w:val="false"/>
          <w:smallCaps w:val="false"/>
          <w:sz w:val="22"/>
          <w:u w:val="single"/>
        </w:rPr>
        <w:t>Section 2.13</w:t>
      </w:r>
      <w:r>
        <w:rPr>
          <w:rFonts w:ascii="Times New Roman;Times;Serif" w:hAnsi="Times New Roman;Times;Serif"/>
          <w:b w:val="false"/>
          <w:i w:val="false"/>
          <w:caps w:val="false"/>
          <w:smallCaps w:val="false"/>
          <w:sz w:val="22"/>
        </w:rPr>
        <w:t>, any proper business may be presented for action, except that (i) if a proposed plan of merger, conversion or exchange is submitted to a vote, the notice of the meeting must state that the purpose, or one of the purposes, of the meeting is to consider the plan of merger, conversion or exchange and must contain or be accompanied by a copy or summary of the plan; and (ii) if a proposed action creating dissenter’s rights is to be submitted to a vote, the notice of the meeting must state that the stockholders are or may be entitled to assert dissenter’s rights under NRS 92A.300 to 92A.500, inclusive, and be accompanied by a copy of those sections.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1"/>
        </w:rPr>
      </w:pPr>
      <w:r>
        <w:rPr>
          <w:rFonts w:ascii="Times New Roman;Times;Serif" w:hAnsi="Times New Roman;Times;Serif"/>
          <w:b w:val="false"/>
          <w:i w:val="false"/>
          <w:caps w:val="false"/>
          <w:smallCaps w:val="false"/>
          <w:sz w:val="21"/>
        </w:rPr>
        <w:t>(c)          A copy of the notice shall be personally delivered or mailed postage prepaid to each stockholder of record entitled to vote at the meeting (unless the NRS requires delivery to all stockholders of record, in which case such notice shall be delivered to all such stockholders) at the address appearing on the records of the Corporation. Upon mailing, service of the notice is complete, and the time of the notice begins to run from the date upon which the notice is deposited in the mail. If the address of any stockholder does not appear upon the records of the Corporation or is incomplete, it will be sufficient to address any notice to such stockholder at the registered office of the Corporation. Notwithstanding the foregoing and in addition thereto, any notice to stockholders given by the Corporation pursuant to Chapters 78 or 92A of the NRS, the Articles of Incorporation or these Bylaws may be given pursuant to the forms of electronic transmission listed herein, if such forms of transmission are consented to in writing by the stockholder receiving such electronically transmitted notice and such consent is filed by the secretary in the corporate records. Notice shall be deemed given (i) by facsimile when directed to a number consented to by the stockholder to receive notice, (ii) by electronic mail when directed to an e-mail address consented to by the stockholder to receive notice, (iii) by posting on an electronic network together with a separate notice to the stockholder of the specific posting on the later of the specific posting or the giving of the separate notice or (iv) by any other electronic transmission as consented to by and when directed to the stockholder. The stockholder consent necessary to permit electronic transmission to such stockholder shall be deemed revoked and of no force and effect if (A) the Corporation is unable to deliver by electronic transmission two consecutive notices given by the Corporation in accordance with the stockholder’s consent and (B) the inability to deliver by electronic transmission becomes known to the secretary, assistant secretary, transfer agent or other agent of the Corporation responsible for the giving of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          The written certificate of an individual signing a notice of meeting, setting forth the substance of the notice or having a copy thereof attached thereto, the date the notice was mailed or personally delivered to the stockholders and the addresses to which the notice was mailed, shall be prima facie evidence of the manner and fact of giving such notice and, in the absence of fraud, an affidavit of the individual signing a notice of a meeting that the notice thereof has been given by a form of electronic transmission shall be prima facie evidence of the facts stated in the affidavit.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          Any stockholder may waive notice of any meeting by a signed writing or by transmission of an electronic record, either before or after the meeting. Such waiver of notice shall be deemed the equivalent of the giving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40" w:right="0" w:hanging="0"/>
        <w:jc w:val="left"/>
        <w:rPr>
          <w:rFonts w:ascii="Arial;Helvetica;Sans-Serif" w:hAnsi="Arial;Helvetica;Sans-Serif"/>
          <w:b w:val="false"/>
          <w:i w:val="false"/>
          <w:caps w:val="false"/>
          <w:smallCaps w:val="false"/>
          <w:sz w:val="24"/>
        </w:rPr>
      </w:pPr>
      <w:r>
        <w:rPr>
          <w:rFonts w:ascii="Times New Roman;Times;Serif" w:hAnsi="Times New Roman;Times;Serif"/>
          <w:b w:val="false"/>
          <w:i w:val="false"/>
          <w:caps w:val="false"/>
          <w:smallCaps w:val="false"/>
          <w:sz w:val="22"/>
        </w:rPr>
        <w:t>Section 2.5</w:t>
      </w:r>
      <w:r>
        <w:rPr>
          <w:rFonts w:ascii="Arial;Helvetica;Sans-Serif" w:hAnsi="Arial;Helvetica;Sans-Serif"/>
          <w:b w:val="false"/>
          <w:i w:val="false"/>
          <w:caps w:val="false"/>
          <w:smallCaps w:val="false"/>
          <w:sz w:val="24"/>
        </w:rPr>
        <w:t>        </w:t>
      </w:r>
      <w:r>
        <w:rPr>
          <w:rFonts w:ascii="Times New Roman;Times;Serif" w:hAnsi="Times New Roman;Times;Serif"/>
          <w:b w:val="false"/>
          <w:i w:val="false"/>
          <w:caps w:val="false"/>
          <w:smallCaps w:val="false"/>
          <w:sz w:val="22"/>
          <w:u w:val="single"/>
        </w:rPr>
        <w:t>Determination of Stockholders of Record</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For the purpose of determining the stockholders entitled to (i) notice of and to vote at any meeting of stockholders or any adjournment thereof, (ii) receive payment of any distribution or the allotment of any rights, or (iii) exercise any rights in respect of any change, conversion or exchange of stock, or for the purpose of any other lawful action, the Board of Directors may fix, in advance, a record date, which shall not be more than sixty (60) days nor less than ten (10) days before the date of such meeting,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          The record date for determining the stockholders entitled to take action by written consent pursuant to </w:t>
      </w:r>
      <w:r>
        <w:rPr>
          <w:rFonts w:ascii="Times New Roman;Times;Serif" w:hAnsi="Times New Roman;Times;Serif"/>
          <w:b w:val="false"/>
          <w:i w:val="false"/>
          <w:caps w:val="false"/>
          <w:smallCaps w:val="false"/>
          <w:sz w:val="22"/>
          <w:u w:val="single"/>
        </w:rPr>
        <w:t>Section 2.9</w:t>
      </w:r>
      <w:r>
        <w:rPr>
          <w:rFonts w:ascii="Times New Roman;Times;Serif" w:hAnsi="Times New Roman;Times;Serif"/>
          <w:b w:val="false"/>
          <w:i w:val="false"/>
          <w:caps w:val="false"/>
          <w:smallCaps w:val="false"/>
          <w:sz w:val="22"/>
        </w:rPr>
        <w:t xml:space="preserve"> of these Bylaws shall be as determined in accordance with Article 9 of the Articles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          If no record date is fixed, the record date for determining the stockholders: (i) entitled to notice of and to vote at a meeting of stockholders shall be at the close of business on the day next preceding the day on which notice is given, or, if notice is waived, at the close of business on the day next preceding the day on which the meeting is held; and (ii) for any other purpose shall be at the close of business on the day on which the Board of Directors adopts the resolution relating thereto. A determination of stockholders of record entitled to notice of or to vote at any meeting of stockholders shall apply to any postponement of any meeting of stockholders to a date not more than sixty (60) days after the record date or to any adjournment of the meeting; provided that the Board of Directors may fix a new record date for the adjourned meeting and must fix a new record date if the meeting is adjourned to a date more than sixty (60) days later than the date set for the original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40" w:right="0" w:hanging="0"/>
        <w:jc w:val="left"/>
        <w:rPr>
          <w:rFonts w:ascii="Arial;Helvetica;Sans-Serif" w:hAnsi="Arial;Helvetica;Sans-Serif"/>
          <w:b w:val="false"/>
          <w:i w:val="false"/>
          <w:caps w:val="false"/>
          <w:smallCaps w:val="false"/>
          <w:sz w:val="24"/>
        </w:rPr>
      </w:pPr>
      <w:r>
        <w:rPr>
          <w:rFonts w:ascii="Times New Roman;Times;Serif" w:hAnsi="Times New Roman;Times;Serif"/>
          <w:b w:val="false"/>
          <w:i w:val="false"/>
          <w:caps w:val="false"/>
          <w:smallCaps w:val="false"/>
          <w:sz w:val="22"/>
        </w:rPr>
        <w:t>Section 2.6</w:t>
      </w:r>
      <w:r>
        <w:rPr>
          <w:rFonts w:ascii="Arial;Helvetica;Sans-Serif" w:hAnsi="Arial;Helvetica;Sans-Serif"/>
          <w:b w:val="false"/>
          <w:i w:val="false"/>
          <w:caps w:val="false"/>
          <w:smallCaps w:val="false"/>
          <w:sz w:val="24"/>
        </w:rPr>
        <w:t>        </w:t>
      </w:r>
      <w:r>
        <w:rPr>
          <w:rFonts w:ascii="Times New Roman;Times;Serif" w:hAnsi="Times New Roman;Times;Serif"/>
          <w:b w:val="false"/>
          <w:i w:val="false"/>
          <w:caps w:val="false"/>
          <w:smallCaps w:val="false"/>
          <w:sz w:val="22"/>
          <w:u w:val="single"/>
        </w:rPr>
        <w:t>Quorum; Adjourned Meetings</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Unless the Articles of Incorporation provide for a different proportion, stockholders holding at least a majority of the voting power of the Corporation’s capital stock, represented in person or by proxy (regardless of whether the proxy has authority to vote on any matter), are necessary to constitute a quorum for the transaction of business at any meeting. If, on any issue, voting by classes or series is required by the laws of the State of Nevada, the Articles of Incorporation or these Bylaws, at least a majority of the voting power, represented in person or by proxy (regardless of whether the proxy has authority to vote on any matter), within each such class or series is necessary to constitute a quorum of each such class or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1"/>
        </w:rPr>
      </w:pPr>
      <w:r>
        <w:rPr>
          <w:rFonts w:ascii="Times New Roman;Times;Serif" w:hAnsi="Times New Roman;Times;Serif"/>
          <w:b w:val="false"/>
          <w:i w:val="false"/>
          <w:caps w:val="false"/>
          <w:smallCaps w:val="false"/>
          <w:sz w:val="21"/>
        </w:rPr>
        <w:t>(b)         If a quorum is not represented, a majority of the voting power represented or the person presiding at the meeting may adjourn the meeting from time to time until a quorum shall be represented. At any such adjourned meeting at which a quorum shall be represented, any business may be transacted which might otherwise have been transacted at the adjourned meeting as originally called. When a stockholders’ meeting is adjourned to another time or place hereunder, notice need not be given of the adjourned meeting if the time and place thereof are announced at the meeting at which the adjournment is taken. However, if a new record date is fixed for the adjourned meeting, notice of the adjourned meeting must be given to each stockholder of record as of the new record date. The stockholders present at a duly convened meeting at which a quorum is present may continue to transact business until adjournment, notwithstanding the departure of enough stockholders to leave less than a quorum of the 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40" w:right="0" w:hanging="0"/>
        <w:jc w:val="left"/>
        <w:rPr>
          <w:rFonts w:ascii="Arial;Helvetica;Sans-Serif" w:hAnsi="Arial;Helvetica;Sans-Serif"/>
          <w:b w:val="false"/>
          <w:i w:val="false"/>
          <w:caps w:val="false"/>
          <w:smallCaps w:val="false"/>
          <w:sz w:val="24"/>
        </w:rPr>
      </w:pPr>
      <w:r>
        <w:rPr>
          <w:rFonts w:ascii="Times New Roman;Times;Serif" w:hAnsi="Times New Roman;Times;Serif"/>
          <w:b w:val="false"/>
          <w:i w:val="false"/>
          <w:caps w:val="false"/>
          <w:smallCaps w:val="false"/>
          <w:sz w:val="22"/>
        </w:rPr>
        <w:t>Section 2.7</w:t>
      </w:r>
      <w:r>
        <w:rPr>
          <w:rFonts w:ascii="Arial;Helvetica;Sans-Serif" w:hAnsi="Arial;Helvetica;Sans-Serif"/>
          <w:b w:val="false"/>
          <w:i w:val="false"/>
          <w:caps w:val="false"/>
          <w:smallCaps w:val="false"/>
          <w:sz w:val="24"/>
        </w:rPr>
        <w:t>        </w:t>
      </w:r>
      <w:r>
        <w:rPr>
          <w:rFonts w:ascii="Times New Roman;Times;Serif" w:hAnsi="Times New Roman;Times;Serif"/>
          <w:b w:val="false"/>
          <w:i w:val="false"/>
          <w:caps w:val="false"/>
          <w:smallCaps w:val="false"/>
          <w:sz w:val="22"/>
          <w:u w:val="single"/>
        </w:rPr>
        <w:t>Voting</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Unless otherwise provided in the NRS, the Articles of Incorporation, or any resolution providing for the issuance of preferred stock adopted by the Board of Directors pursuant to authority expressly vested in it by the provisions of the Articles of Incorporation, each stockholder of record, or such stockholder’s duly authorized proxy, shall be entitled to one (1) vote for each share of voting stock standing registered in such stockholder’s name at the close of business on the record date or the date established by the Board of Directors in connection with stockholder action by written consent,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Except as otherwise provided in these Bylaws, all votes with respect to shares (including pledged shares) standing in the name of an individual at the close of business on the record date (or the date established by the Board of Directors in connection with stockholder action by written consent, as applicable) shall be cast only by that individual or such individual’s duly authorized proxy. With respect to shares held by a representative of the estate of a deceased stockholder, or a guardian, conservator, custodian or trustee, even though the shares do not stand in the name of such holder, votes may be cast by such holder upon proof of such representative capacity. In the case of shares under the control of a receiver, the receiver may vote such shares even though the shares do not stand of record in the name of the receiver but only if and to the extent that the order of a court of competent jurisdiction which appoints the receiver contains the authority to vote such shares. If shares stand of record in the name of a minor, votes may be cast by the duly appointed guardian of the estate of such minor only if such guardian has provided the Corporation with written proof of such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          With respect to shares standing of record in the name of another corporation, partnership, limited liability company or other legal entity on the record date, votes may be cast: (i) in the case of a corporation, by such individual as the bylaws of such other corporation prescribe, by such individual as may be appointed by resolution of the board of directors of such other corporation or by such individual (including, without limitation, the officer making the authorization) authorized in writing to do so by the chair of the board, if any, the chief executive officer, the president or any vice president of such corporation; and (ii) in the case of a partnership, limited liability company or other legal entity, by an individual representing such stockholder upon presentation to the Corporation of satisfactory evidence of his or her authority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          Notwithstanding anything to the contrary contained in these Bylaws and except for the Corporation’s shares held in a fiduciary capacity, the Corporation shall not vote, directly or indirectly, shares of its own stock owned or held by it, and such shares shall not be counted in determining the total number of outstanding shares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(e)          Any holder of shares entitled to vote on any matter may cast a portion of the votes in favor of such matter and refrain from casting the remaining votes or cast the same against the proposal, except in the case of elections of directors. If such holder entitled to vote does vote any of such stockholder’s shares affirmatively and fails to specify the number of affirmative votes, it will be conclusively presumed that the holder is casting affirmative votes with respect to all shares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          With respect to shares standing of record in the name of two or more persons, whether fiduciaries, members of a partnership, joint tenants, tenants in common, spouses as community property, tenants by the entirety, voting trustees or otherwise and shares held by two or more persons (including proxy holders) having the same fiduciary relationship in respect to the same shares, votes may be cast in the following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Arial;Helvetica;Sans-Serif" w:hAnsi="Arial;Helvetica;Sans-Serif"/>
          <w:b w:val="false"/>
          <w:i w:val="false"/>
          <w:caps w:val="false"/>
          <w:smallCaps w:val="false"/>
          <w:sz w:val="24"/>
        </w:rPr>
      </w:pPr>
      <w:r>
        <w:rPr>
          <w:rFonts w:ascii="Times New Roman;Times;Serif" w:hAnsi="Times New Roman;Times;Serif"/>
          <w:b w:val="false"/>
          <w:i w:val="false"/>
          <w:caps w:val="false"/>
          <w:smallCaps w:val="false"/>
          <w:sz w:val="22"/>
        </w:rPr>
        <w:t>(i)</w:t>
      </w:r>
      <w:r>
        <w:rPr>
          <w:rFonts w:ascii="Arial;Helvetica;Sans-Serif" w:hAnsi="Arial;Helvetica;Sans-Serif"/>
          <w:b w:val="false"/>
          <w:i w:val="false"/>
          <w:caps w:val="false"/>
          <w:smallCaps w:val="false"/>
          <w:sz w:val="24"/>
        </w:rPr>
        <w:t>         </w:t>
      </w:r>
      <w:r>
        <w:rPr>
          <w:rFonts w:ascii="Times New Roman;Times;Serif" w:hAnsi="Times New Roman;Times;Serif"/>
          <w:b w:val="false"/>
          <w:i w:val="false"/>
          <w:caps w:val="false"/>
          <w:smallCaps w:val="false"/>
          <w:sz w:val="22"/>
        </w:rPr>
        <w:t>If only one person votes, the vote of such person binds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Arial;Helvetica;Sans-Serif" w:hAnsi="Arial;Helvetica;Sans-Serif"/>
          <w:b w:val="false"/>
          <w:i w:val="false"/>
          <w:caps w:val="false"/>
          <w:smallCaps w:val="false"/>
          <w:sz w:val="24"/>
        </w:rPr>
      </w:pPr>
      <w:r>
        <w:rPr>
          <w:rFonts w:ascii="Times New Roman;Times;Serif" w:hAnsi="Times New Roman;Times;Serif"/>
          <w:b w:val="false"/>
          <w:i w:val="false"/>
          <w:caps w:val="false"/>
          <w:smallCaps w:val="false"/>
          <w:sz w:val="21"/>
        </w:rPr>
        <w:t>(ii)</w:t>
      </w:r>
      <w:r>
        <w:rPr>
          <w:rFonts w:ascii="Arial;Helvetica;Sans-Serif" w:hAnsi="Arial;Helvetica;Sans-Serif"/>
          <w:b w:val="false"/>
          <w:i w:val="false"/>
          <w:caps w:val="false"/>
          <w:smallCaps w:val="false"/>
          <w:sz w:val="24"/>
        </w:rPr>
        <w:t>        </w:t>
      </w:r>
      <w:r>
        <w:rPr>
          <w:rFonts w:ascii="Times New Roman;Times;Serif" w:hAnsi="Times New Roman;Times;Serif"/>
          <w:b w:val="false"/>
          <w:i w:val="false"/>
          <w:caps w:val="false"/>
          <w:smallCaps w:val="false"/>
          <w:sz w:val="21"/>
        </w:rPr>
        <w:t>If more than one person casts votes, the act of the majority so voting binds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(iii)       If more than one person casts votes, but the vote is evenly split on a particular matter, the votes shall be deemed cast proportionately, as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(g)          If a quorum is present, unless the Articles of Incorporation, these Bylaws, the NRS, or other applicable law provide for a different proportion, action by the stockholders entitled to vote on a matter, other than the election of directors, is approved by and is the act and decision of the stockholders if approved by the vote of the holders of a majority of the stock represented and entitled to vote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(h)          If a quorum is present, each director shall be elected by a majority of the votes cast with respect to the director at any meeting for the election of directors, provided that, if as of the date that is ten (10) days in advance of the date the Corporation files its definitive proxy statement (regardless of whether or not thereafter revised or supplemented) with the Securities and Exchange Commission (the “</w:t>
      </w:r>
      <w:r>
        <w:rPr>
          <w:rFonts w:ascii="Times New Roman;Times;Serif" w:hAnsi="Times New Roman;Times;Serif"/>
          <w:b w:val="false"/>
          <w:i w:val="false"/>
          <w:caps w:val="false"/>
          <w:smallCaps w:val="false"/>
          <w:sz w:val="22"/>
          <w:u w:val="single"/>
        </w:rPr>
        <w:t>SEC</w:t>
      </w:r>
      <w:r>
        <w:rPr>
          <w:rFonts w:ascii="Times New Roman;Times;Serif" w:hAnsi="Times New Roman;Times;Serif"/>
          <w:b w:val="false"/>
          <w:i w:val="false"/>
          <w:caps w:val="false"/>
          <w:smallCaps w:val="false"/>
          <w:sz w:val="22"/>
        </w:rPr>
        <w:t>”), the number of director nominees exceeds the number of directors to be elected in such election (a “</w:t>
      </w:r>
      <w:r>
        <w:rPr>
          <w:rFonts w:ascii="Times New Roman;Times;Serif" w:hAnsi="Times New Roman;Times;Serif"/>
          <w:b w:val="false"/>
          <w:i w:val="false"/>
          <w:caps w:val="false"/>
          <w:smallCaps w:val="false"/>
          <w:sz w:val="22"/>
          <w:u w:val="single"/>
        </w:rPr>
        <w:t>contested election</w:t>
      </w:r>
      <w:r>
        <w:rPr>
          <w:rFonts w:ascii="Times New Roman;Times;Serif" w:hAnsi="Times New Roman;Times;Serif"/>
          <w:b w:val="false"/>
          <w:i w:val="false"/>
          <w:caps w:val="false"/>
          <w:smallCaps w:val="false"/>
          <w:sz w:val="22"/>
        </w:rPr>
        <w:t xml:space="preserve">”), the directors shall be elected by the vote of a plurality of the votes cast. For purposes of this </w:t>
      </w:r>
      <w:r>
        <w:rPr>
          <w:rFonts w:ascii="Times New Roman;Times;Serif" w:hAnsi="Times New Roman;Times;Serif"/>
          <w:b w:val="false"/>
          <w:i w:val="false"/>
          <w:caps w:val="false"/>
          <w:smallCaps w:val="false"/>
          <w:sz w:val="22"/>
          <w:u w:val="single"/>
        </w:rPr>
        <w:t>Section 2.7(h)</w:t>
      </w:r>
      <w:r>
        <w:rPr>
          <w:rFonts w:ascii="Times New Roman;Times;Serif" w:hAnsi="Times New Roman;Times;Serif"/>
          <w:b w:val="false"/>
          <w:i w:val="false"/>
          <w:caps w:val="false"/>
          <w:smallCaps w:val="false"/>
          <w:sz w:val="22"/>
        </w:rPr>
        <w:t>, a “</w:t>
      </w:r>
      <w:r>
        <w:rPr>
          <w:rFonts w:ascii="Times New Roman;Times;Serif" w:hAnsi="Times New Roman;Times;Serif"/>
          <w:b w:val="false"/>
          <w:i w:val="false"/>
          <w:caps w:val="false"/>
          <w:smallCaps w:val="false"/>
          <w:sz w:val="22"/>
          <w:u w:val="single"/>
        </w:rPr>
        <w:t>majority of the votes cast</w:t>
      </w:r>
      <w:r>
        <w:rPr>
          <w:rFonts w:ascii="Times New Roman;Times;Serif" w:hAnsi="Times New Roman;Times;Serif"/>
          <w:b w:val="false"/>
          <w:i w:val="false"/>
          <w:caps w:val="false"/>
          <w:smallCaps w:val="false"/>
          <w:sz w:val="22"/>
        </w:rPr>
        <w:t>” means that the number of votes cast “for” a director must exceed the number of votes cast “against” that director (with “abstentions” and “broker non-votes” not counted as a vote either “for” or “against” that directors’ election). If directors are to be elected by a plurality of the votes cast in a contested election, stockholders shall not be permitted to vote against a nominee. In an uncontested election of directors, any incumbent director who does not receive a majority of the votes cast will promptly tender his or her resignation to the Board of Directors. The Board of Directors will decide, after considering the recommendation of the Corporation’s corporate governance and nominating committee (the “</w:t>
      </w:r>
      <w:r>
        <w:rPr>
          <w:rFonts w:ascii="Times New Roman;Times;Serif" w:hAnsi="Times New Roman;Times;Serif"/>
          <w:b w:val="false"/>
          <w:i w:val="false"/>
          <w:caps w:val="false"/>
          <w:smallCaps w:val="false"/>
          <w:sz w:val="22"/>
          <w:u w:val="single"/>
        </w:rPr>
        <w:t>Corporate Governance and Nominating Committee</w:t>
      </w:r>
      <w:r>
        <w:rPr>
          <w:rFonts w:ascii="Times New Roman;Times;Serif" w:hAnsi="Times New Roman;Times;Serif"/>
          <w:b w:val="false"/>
          <w:i w:val="false"/>
          <w:caps w:val="false"/>
          <w:smallCaps w:val="false"/>
          <w:sz w:val="22"/>
        </w:rPr>
        <w:t xml:space="preserve">”), whether to accept or reject the tendered resignation, or whether other action should be taken. The nominee in question will not participate in the recommendation or decision-making process. The explanation by the Board of Directors of its decision will be publicly disclosed within ninety (90) days from the date of publication of the election results. The Corporate Governance and Nominating Committee and the Board of Directors may consider any factor deemed appropriate in making this determination. If a director’s resignation is accepted by the Board of Directors pursuant to this section, or if a nominee for director is not elected and the nominee is not an incumbent director, then the Board of Directors, in its sole discretion, may fill any resulting vacancy pursuant to the provisions of </w:t>
      </w:r>
      <w:r>
        <w:rPr>
          <w:rFonts w:ascii="Times New Roman;Times;Serif" w:hAnsi="Times New Roman;Times;Serif"/>
          <w:b w:val="false"/>
          <w:i w:val="false"/>
          <w:caps w:val="false"/>
          <w:smallCaps w:val="false"/>
          <w:sz w:val="22"/>
          <w:u w:val="single"/>
        </w:rPr>
        <w:t>Section 3.7</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2.8          </w:t>
      </w:r>
      <w:r>
        <w:rPr>
          <w:rFonts w:ascii="Times New Roman;Times;Serif" w:hAnsi="Times New Roman;Times;Serif"/>
          <w:b w:val="false"/>
          <w:i w:val="false"/>
          <w:caps w:val="false"/>
          <w:smallCaps w:val="false"/>
          <w:sz w:val="22"/>
          <w:u w:val="single"/>
        </w:rPr>
        <w:t>Proxies</w:t>
      </w:r>
      <w:r>
        <w:rPr>
          <w:rFonts w:ascii="Times New Roman;Times;Serif" w:hAnsi="Times New Roman;Times;Serif"/>
          <w:b w:val="false"/>
          <w:i w:val="false"/>
          <w:caps w:val="false"/>
          <w:smallCaps w:val="false"/>
          <w:sz w:val="22"/>
        </w:rPr>
        <w:t>. At any meeting of stockholders, any holder of shares entitled to vote may designate, in a manner permitted by the laws of the State of Nevada, another person or persons to act as a proxy or proxies. Every proxy shall continue in full force and effect until its expiration or revocation in a manner permitted by the laws of the State of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2.9          </w:t>
      </w:r>
      <w:r>
        <w:rPr>
          <w:rFonts w:ascii="Times New Roman;Times;Serif" w:hAnsi="Times New Roman;Times;Serif"/>
          <w:b w:val="false"/>
          <w:i w:val="false"/>
          <w:caps w:val="false"/>
          <w:smallCaps w:val="false"/>
          <w:sz w:val="22"/>
          <w:u w:val="single"/>
        </w:rPr>
        <w:t>Stockholder Action by Written Consent</w:t>
      </w:r>
      <w:r>
        <w:rPr>
          <w:rFonts w:ascii="Times New Roman;Times;Serif" w:hAnsi="Times New Roman;Times;Serif"/>
          <w:b w:val="false"/>
          <w:i w:val="false"/>
          <w:caps w:val="false"/>
          <w:smallCaps w:val="false"/>
          <w:sz w:val="22"/>
        </w:rPr>
        <w:t>. Any action required or permitted to be taken at any annual or special meeting of stockholders of the Corporation may be taken without a meeting upon the written consent of the stockholders, but only if such action is taken in accordance with the provisions of Article 9 of the Articles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2.10     </w:t>
      </w:r>
      <w:r>
        <w:rPr>
          <w:rFonts w:ascii="Times New Roman;Times;Serif" w:hAnsi="Times New Roman;Times;Serif"/>
          <w:b w:val="false"/>
          <w:i w:val="false"/>
          <w:caps w:val="false"/>
          <w:smallCaps w:val="false"/>
          <w:sz w:val="22"/>
          <w:u w:val="single"/>
        </w:rPr>
        <w:t>Organization</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Meetings of stockholders shall be presided over by the chair of the board, or, in the absence of the chair of the board, by the vice chair of the board, if any, or if there be no vice chair or in the absence of the vice chair, by the chief executive officer, or if there be no chief executive officer or in the absence of the chief executive officer, by the president, or, in the absence of the president, or, in the absence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of any of the foregoing persons, by a chair designated by the Board of Directors, or by a chair chosen at the meeting by the stockholders entitled to cast a majority of the votes which all stockholders present in person or by proxy are entitled to cast. The individual acting as chair of the meeting may delegate any or all of his or her authority and responsibilities as such to any director or officer of the Corporation present in person at the meeting. The secretary, or in the absence of the secretary, an assistant secretary, shall act as secretary of the meeting, but in the absence of the secretary and any assistant secretary the chair of the meeting may appoint any person to act as secretary of the meeting. The order of business at each such meeting shall be as determined by the chair of the meeting. The chair of the meeting shall have the right and authority to prescribe such rules, regulations and procedures and to do all such acts and things as are necessary or desirable for the proper conduct of the meeting, including, without limitation, (i) the establishment of procedures for the maintenance of order and safety, (ii) limitation on participation in the meeting to stockholders of record of the Corporation, their duly authorized and constituted proxies and such other persons as the chair of the meeting shall permit, (iii) limitation on the time allotted for consideration of each agenda item and for questions or comments by meeting participants, (iv) restrictions on entry to such meeting after the time prescribed for the commencement thereof and (v) the opening and closing of the voting polls. The Board of Directors, in its discretion, or the chair of the meeting, in his or her discretion, may require that any votes cast at such meeting shall be cast by written ballot.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The chair of the meeting may appoint one or more inspectors of elections. The inspector or inspectors may (i) ascertain the number of shares outstanding and the voting power of each; (ii) determine the number of shares represented at a meeting and the validity of proxies or ballots; (iii) count all votes and ballots; (iv) determine any challenges made to any determination made by the inspector(s); and (v) certify the determination of the number of shares represented at the meeting and the count of all votes and ballots.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Section 2.11        </w:t>
      </w:r>
      <w:r>
        <w:rPr>
          <w:rFonts w:ascii="Times New Roman;Times;Serif" w:hAnsi="Times New Roman;Times;Serif"/>
          <w:b w:val="false"/>
          <w:i w:val="false"/>
          <w:caps w:val="false"/>
          <w:smallCaps w:val="false"/>
          <w:sz w:val="22"/>
          <w:u w:val="single"/>
        </w:rPr>
        <w:t>Consent to Meetings</w:t>
      </w:r>
      <w:r>
        <w:rPr>
          <w:rFonts w:ascii="Times New Roman;Times;Serif" w:hAnsi="Times New Roman;Times;Serif"/>
          <w:b w:val="false"/>
          <w:i w:val="false"/>
          <w:caps w:val="false"/>
          <w:smallCaps w:val="false"/>
          <w:sz w:val="22"/>
        </w:rPr>
        <w:t>. Attendance of a person at a meeting shall constitute a waiver of notice of such meeting, except when the person objects at the beginning of the meeting to the transaction of any business because the meeting is not lawfully called, noticed or convened and except that attendance at a meeting is not a waiver of any right to object to the consideration of matters not included in the notice, to the extent such notice is required, if such objection is expressly made at the time any such matters are presented at the meeting. Neither the business to be transacted at nor the purpose of any regular or special meeting of stockholders need be specified in any written waiver of notice or consent, except as otherwise provided in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2.12       </w:t>
      </w:r>
      <w:r>
        <w:rPr>
          <w:rFonts w:ascii="Times New Roman;Times;Serif" w:hAnsi="Times New Roman;Times;Serif"/>
          <w:b w:val="false"/>
          <w:i w:val="false"/>
          <w:caps w:val="false"/>
          <w:smallCaps w:val="false"/>
          <w:sz w:val="22"/>
          <w:u w:val="single"/>
        </w:rPr>
        <w:t>Director Nominations and Business Conducted at Meetings of Stockholders</w:t>
      </w:r>
      <w:r>
        <w:rPr>
          <w:rFonts w:ascii="Times New Roman;Times;Serif" w:hAnsi="Times New Roman;Times;Serif"/>
          <w:b w:val="false"/>
          <w:i w:val="false"/>
          <w:caps w:val="false"/>
          <w:smallCaps w:val="false"/>
          <w:sz w:val="22"/>
        </w:rPr>
        <w:t xml:space="preserve">. Nominations of persons for election to the Board of Directors and the proposal of business to be considered by the stockholders may be made (i) at any annual meeting of stockholders or at any special meeting of stockholders called for the purpose of electing directors (A) by or at the direction of the Board of Directors (or any duly authorized committee thereof) or (B) by any stockholder of the Corporation who is a stockholder of record on the date of the giving of the notice provided for in </w:t>
      </w:r>
      <w:r>
        <w:rPr>
          <w:rFonts w:ascii="Times New Roman;Times;Serif" w:hAnsi="Times New Roman;Times;Serif"/>
          <w:b w:val="false"/>
          <w:i w:val="false"/>
          <w:caps w:val="false"/>
          <w:smallCaps w:val="false"/>
          <w:sz w:val="22"/>
          <w:u w:val="single"/>
        </w:rPr>
        <w:t>Section 2.13</w:t>
      </w:r>
      <w:r>
        <w:rPr>
          <w:rFonts w:ascii="Times New Roman;Times;Serif" w:hAnsi="Times New Roman;Times;Serif"/>
          <w:b w:val="false"/>
          <w:i w:val="false"/>
          <w:caps w:val="false"/>
          <w:smallCaps w:val="false"/>
          <w:sz w:val="22"/>
        </w:rPr>
        <w:t xml:space="preserve"> and on the record date for the determination of stockholders entitled to vote at such annual or special meeting and who complies with the notice procedures set forth in this </w:t>
      </w:r>
      <w:r>
        <w:rPr>
          <w:rFonts w:ascii="Times New Roman;Times;Serif" w:hAnsi="Times New Roman;Times;Serif"/>
          <w:b w:val="false"/>
          <w:i w:val="false"/>
          <w:caps w:val="false"/>
          <w:smallCaps w:val="false"/>
          <w:sz w:val="22"/>
          <w:u w:val="single"/>
        </w:rPr>
        <w:t>Section 2.13</w:t>
      </w:r>
      <w:r>
        <w:rPr>
          <w:rFonts w:ascii="Times New Roman;Times;Serif" w:hAnsi="Times New Roman;Times;Serif"/>
          <w:b w:val="false"/>
          <w:i w:val="false"/>
          <w:caps w:val="false"/>
          <w:smallCaps w:val="false"/>
          <w:sz w:val="22"/>
        </w:rPr>
        <w:t xml:space="preserve"> (other than with respect to nominations made in accordance with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or (ii) at any annual meeting, by an Eligible Stockholder (as defined in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of these Bylaws) that meets the requirements of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of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2.13        </w:t>
      </w:r>
      <w:r>
        <w:rPr>
          <w:rFonts w:ascii="Times New Roman;Times;Serif" w:hAnsi="Times New Roman;Times;Serif"/>
          <w:b w:val="false"/>
          <w:i w:val="false"/>
          <w:caps w:val="false"/>
          <w:smallCaps w:val="false"/>
          <w:sz w:val="22"/>
          <w:u w:val="single"/>
        </w:rPr>
        <w:t>Advance Notice of Director Nominations and Stockholder Proposals by Stockholders</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(a)         Only such persons who are nominated in accordance with the procedures set forth in </w:t>
      </w:r>
      <w:r>
        <w:rPr>
          <w:rFonts w:ascii="Times New Roman;Times;Serif" w:hAnsi="Times New Roman;Times;Serif"/>
          <w:b w:val="false"/>
          <w:i w:val="false"/>
          <w:caps w:val="false"/>
          <w:smallCaps w:val="false"/>
          <w:sz w:val="22"/>
          <w:u w:val="single"/>
        </w:rPr>
        <w:t>Section 2.12</w:t>
      </w:r>
      <w:r>
        <w:rPr>
          <w:rFonts w:ascii="Times New Roman;Times;Serif" w:hAnsi="Times New Roman;Times;Serif"/>
          <w:b w:val="false"/>
          <w:i w:val="false"/>
          <w:caps w:val="false"/>
          <w:smallCaps w:val="false"/>
          <w:sz w:val="22"/>
        </w:rPr>
        <w:t xml:space="preserve"> and this </w:t>
      </w:r>
      <w:r>
        <w:rPr>
          <w:rFonts w:ascii="Times New Roman;Times;Serif" w:hAnsi="Times New Roman;Times;Serif"/>
          <w:b w:val="false"/>
          <w:i w:val="false"/>
          <w:caps w:val="false"/>
          <w:smallCaps w:val="false"/>
          <w:sz w:val="22"/>
          <w:u w:val="single"/>
        </w:rPr>
        <w:t>Section 2.13</w:t>
      </w:r>
      <w:r>
        <w:rPr>
          <w:rFonts w:ascii="Times New Roman;Times;Serif" w:hAnsi="Times New Roman;Times;Serif"/>
          <w:b w:val="false"/>
          <w:i w:val="false"/>
          <w:caps w:val="false"/>
          <w:smallCaps w:val="false"/>
          <w:sz w:val="22"/>
        </w:rPr>
        <w:t xml:space="preserve"> shall be eligible for election as directors of the Corporation, except as may be otherwise provided in the Articles of Incorporation with respect to the right of holders of preferred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stock of the Corporation to nominate and elect a specified number of directors in certain circumstances. Only such business shall be conducted at a meeting of stockholders as shall have been brought before the meeting in accordance with the procedures set forth in </w:t>
      </w:r>
      <w:r>
        <w:rPr>
          <w:rFonts w:ascii="Times New Roman;Times;Serif" w:hAnsi="Times New Roman;Times;Serif"/>
          <w:b w:val="false"/>
          <w:i w:val="false"/>
          <w:caps w:val="false"/>
          <w:smallCaps w:val="false"/>
          <w:sz w:val="22"/>
          <w:u w:val="single"/>
        </w:rPr>
        <w:t>Section 2.12</w:t>
      </w:r>
      <w:r>
        <w:rPr>
          <w:rFonts w:ascii="Times New Roman;Times;Serif" w:hAnsi="Times New Roman;Times;Serif"/>
          <w:b w:val="false"/>
          <w:i w:val="false"/>
          <w:caps w:val="false"/>
          <w:smallCaps w:val="false"/>
          <w:sz w:val="22"/>
        </w:rPr>
        <w:t xml:space="preserve"> and this </w:t>
      </w:r>
      <w:r>
        <w:rPr>
          <w:rFonts w:ascii="Times New Roman;Times;Serif" w:hAnsi="Times New Roman;Times;Serif"/>
          <w:b w:val="false"/>
          <w:i w:val="false"/>
          <w:caps w:val="false"/>
          <w:smallCaps w:val="false"/>
          <w:sz w:val="22"/>
          <w:u w:val="single"/>
        </w:rPr>
        <w:t>Section 2.13</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In addition to any other applicable requirements, for business to be properly brought before an annual meeting by a stockholder, such stockholder must have given timely notice thereof in proper written form to the secretary of the Corporation. To be timely, a stockholder's notice to the secretary must be delivered to or mailed and received at the principal executive offices of the Corporation not less than one-hundred and twenty (120) days prior to the anniversary date of the date of the proxy statement for the immediately preceding annual meeting; provided, however, that in the event that the annual meeting is called for a date that is not within thirty (30) days before or after the anniversary date of the immediately preceding annual meeting, notice by the stockholder in order to be timely must be so received not later than the close of business on the tenth (10</w:t>
      </w:r>
      <w:r>
        <w:rPr>
          <w:rFonts w:ascii="Times New Roman;Times;Serif" w:hAnsi="Times New Roman;Times;Serif"/>
          <w:b w:val="false"/>
          <w:i w:val="false"/>
          <w:caps w:val="false"/>
          <w:smallCaps w:val="false"/>
          <w:position w:val="7"/>
          <w:sz w:val="18"/>
          <w:sz w:val="22"/>
        </w:rPr>
        <w:t>th</w:t>
      </w:r>
      <w:r>
        <w:rPr>
          <w:rFonts w:ascii="Times New Roman;Times;Serif" w:hAnsi="Times New Roman;Times;Serif"/>
          <w:b w:val="false"/>
          <w:i w:val="false"/>
          <w:caps w:val="false"/>
          <w:smallCaps w:val="false"/>
          <w:sz w:val="22"/>
        </w:rPr>
        <w:t>) day following the day on which public disclosure of the date of the annual meeting was first made. To be in proper written form, a stockholder's notice to the secretary of the Corporation must set forth as to each matter such stockholder proposes to bring before the annual meeting (i) a brief description of the business desired to be brought before the annual meeting and the reasons for conducting such business at the annual meeting, (ii) the name and record address of such stockholder, (iii) the class or series and number of shares of capital stock of the Corporation which are owned beneficially or of record by such stockholder, (iv) a description of all arrangements or understandings between such stockholder and any other person or persons (including their names) in connection with the proposal of such business by such stockholder and any material interest of such stockholder in such business and (v) a representation that such stockholder intends to appear in person or by proxy at the annual meeting to bring such business before the meeting. If the chair of the meeting determines that business was not properly brought before the annual meeting in accordance with the foregoing procedures, the chair shall declare to the meeting that the business was not properly brought before the meeting and such business shall not be discussed or transacted.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(c)           In addition to any other applicable requirements, for a nomination to be made by a stockholder pursuant to this </w:t>
      </w:r>
      <w:r>
        <w:rPr>
          <w:rFonts w:ascii="Times New Roman;Times;Serif" w:hAnsi="Times New Roman;Times;Serif"/>
          <w:b w:val="false"/>
          <w:i w:val="false"/>
          <w:caps w:val="false"/>
          <w:smallCaps w:val="false"/>
          <w:sz w:val="22"/>
          <w:u w:val="single"/>
        </w:rPr>
        <w:t>Section 2.13</w:t>
      </w:r>
      <w:r>
        <w:rPr>
          <w:rFonts w:ascii="Times New Roman;Times;Serif" w:hAnsi="Times New Roman;Times;Serif"/>
          <w:b w:val="false"/>
          <w:i w:val="false"/>
          <w:caps w:val="false"/>
          <w:smallCaps w:val="false"/>
          <w:sz w:val="22"/>
        </w:rPr>
        <w:t>, such stockholder must have given timely notice thereof in proper written form to the secretary of the Corporation. To be timely, such stockholder’s notice to the secretary must be delivered to or mailed and received at the principal executive offices of the Corporation (i) in the case of an annual meeting, not less than one-hundred and twenty (120) days prior to the anniversary date of the date of the proxy statement for the immediately preceding annual meeting; provided, however, that in the event that the annual meeting is called for a date that is not within thirty (30) days before or after the anniversary date of the immediately preceding annual meeting, notice by the stockholder in order to be timely must be so received not later than the close of business on the tenth (10</w:t>
      </w:r>
      <w:r>
        <w:rPr>
          <w:rFonts w:ascii="Times New Roman;Times;Serif" w:hAnsi="Times New Roman;Times;Serif"/>
          <w:b w:val="false"/>
          <w:i w:val="false"/>
          <w:caps w:val="false"/>
          <w:smallCaps w:val="false"/>
          <w:position w:val="7"/>
          <w:sz w:val="18"/>
          <w:sz w:val="22"/>
        </w:rPr>
        <w:t>th</w:t>
      </w:r>
      <w:r>
        <w:rPr>
          <w:rFonts w:ascii="Times New Roman;Times;Serif" w:hAnsi="Times New Roman;Times;Serif"/>
          <w:b w:val="false"/>
          <w:i w:val="false"/>
          <w:caps w:val="false"/>
          <w:smallCaps w:val="false"/>
          <w:sz w:val="22"/>
        </w:rPr>
        <w:t>) day following the day on which public disclosure of the date of the annual meeting was first made; and (ii) in the case of a special meeting called for the purpose of electing directors, not later than the close of business on the tenth (10</w:t>
      </w:r>
      <w:r>
        <w:rPr>
          <w:rFonts w:ascii="Times New Roman;Times;Serif" w:hAnsi="Times New Roman;Times;Serif"/>
          <w:b w:val="false"/>
          <w:i w:val="false"/>
          <w:caps w:val="false"/>
          <w:smallCaps w:val="false"/>
          <w:position w:val="7"/>
          <w:sz w:val="18"/>
          <w:sz w:val="22"/>
        </w:rPr>
        <w:t>th</w:t>
      </w:r>
      <w:r>
        <w:rPr>
          <w:rFonts w:ascii="Times New Roman;Times;Serif" w:hAnsi="Times New Roman;Times;Serif"/>
          <w:b w:val="false"/>
          <w:i w:val="false"/>
          <w:caps w:val="false"/>
          <w:smallCaps w:val="false"/>
          <w:sz w:val="22"/>
        </w:rPr>
        <w:t>) day following the day on which public disclosure of the date of the special meeting was first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(d)          For a nomination made pursuant to </w:t>
      </w:r>
      <w:r>
        <w:rPr>
          <w:rFonts w:ascii="Times New Roman;Times;Serif" w:hAnsi="Times New Roman;Times;Serif"/>
          <w:b w:val="false"/>
          <w:i w:val="false"/>
          <w:caps w:val="false"/>
          <w:smallCaps w:val="false"/>
          <w:sz w:val="22"/>
          <w:u w:val="single"/>
        </w:rPr>
        <w:t>Section 2.12(i)(B)</w:t>
      </w:r>
      <w:r>
        <w:rPr>
          <w:rFonts w:ascii="Times New Roman;Times;Serif" w:hAnsi="Times New Roman;Times;Serif"/>
          <w:b w:val="false"/>
          <w:i w:val="false"/>
          <w:caps w:val="false"/>
          <w:smallCaps w:val="false"/>
          <w:sz w:val="22"/>
        </w:rPr>
        <w:t xml:space="preserve"> to be in proper written form, a stockholder’s notice of nomination submitted to the secretary of the Corporation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which are owned beneficially or of record by the person, (D) a description of all direct and indirect compensation and other material monetary agreements, arrangements and understandings during the past three years, and any other material relationships, between or among the stockholder and the beneficial owner, if any, on whose behalf the nomination is being made and their respective affiliates and associates, or others acting in concert therewith, on the one hand, and each such nominee, and his or her respective affiliates and associates, or others acting in concert therewith, on the other hand, including all information that would be required to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disclosed pursuant to Item 404 of Regulation S-K if the stockholder making the nomination and any beneficial owner on whose behalf the nomination is made or any affiliate or associate thereof or person acting in concert therewith, were the “registrant” for purposes of such Item and the nominee were a director or executive officer of such registrant and (E) any other information relating to the person that would be required to be disclosed in a proxy statement or other filing required to be made in connection with solicitations of proxies for election of directors pursuant to Section 14 of the Securities Exchange Act of 1934, as amended (the “</w:t>
      </w:r>
      <w:r>
        <w:rPr>
          <w:rFonts w:ascii="Times New Roman;Times;Serif" w:hAnsi="Times New Roman;Times;Serif"/>
          <w:b w:val="false"/>
          <w:i w:val="false"/>
          <w:caps w:val="false"/>
          <w:smallCaps w:val="false"/>
          <w:sz w:val="22"/>
          <w:u w:val="single"/>
        </w:rPr>
        <w:t>Exchange Act</w:t>
      </w:r>
      <w:r>
        <w:rPr>
          <w:rFonts w:ascii="Times New Roman;Times;Serif" w:hAnsi="Times New Roman;Times;Serif"/>
          <w:b w:val="false"/>
          <w:i w:val="false"/>
          <w:caps w:val="false"/>
          <w:smallCaps w:val="false"/>
          <w:sz w:val="22"/>
        </w:rPr>
        <w:t>”) and the rules and regulations promulgated thereunder (including each such nominee’s written consent to be named as a nominee and to serve as a director if elected); (ii) as to the stockholder giving the notice and the beneficial owner, if any, on whose behalf the nomination is made, (A) the name and record address of such stockholder and the name and address of such beneficial owner, (B) the class or series and number of shares of capital stock of the Corporation which are owned beneficially or of record by such stockholder and such beneficial owner, (C) a description of all agreements, arrangements or understandings between or among such stockholder and/or such beneficial owner and each proposed nominee and any other person or persons (including their names) pursuant to which the nomination(s) are to be made by such stockholder, (D) a description of any agreement, arrangement or understanding (including any derivative or short positions, profit interests, options, warrants, stock appreciation or similar rights, hedging transactions, and borrowed or loaned shares) that has been entered into as of the date of the stockholder’s notice by, or on behalf of, such stockholder and such beneficial owner, the effect or intent of which is to mitigate loss to, manage risk or benefit of share price changes for, or increase or decrease the voting power of, such stockholder or such beneficial owner with respect to shares of stock of the Corporation, (E) a representation that such stockholder intends to appear in person or by proxy at the annual meeting to nominate the persons named in its notice and is a holder of record of stock of the Corporation entitled to vote at such meeting, and (F) any other information relating to such stockholder and such beneficial owner that would be required to be disclosed in a proxy statement or other filings required to be made in connection with solicitations of proxies for election of directors pursuant to Section 14 of the Exchange Act and the rules and regulations promulgated thereunder; and (iii) a representation as to whether either such stockholder or such beneficial owner, alone or as part of a group, intends (A) to deliver a proxy statement and/or form of proxy to holders of at least the percentage of the Corporation’s outstanding capital stock required to elect the nominee and/or (B) otherwise to solicit proxies from stockholders in support of such nominee. The Corporation may require any proposed nominee to furnish such other information as it may reasonably require to determine the eligibility and qualifications of such proposed nominee to serve as a director of the Corporation or that could be material to a reasonable stockholder’s understanding of the independence, or lack thereof, of such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(e)          Subject to the requirements of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the Corporation shall include in its proxy statement and on its proxy card for any annual meeting the name of any proxy access nominee for election to the Board of Directors who is properly submitted pursuant to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(each a “</w:t>
      </w:r>
      <w:r>
        <w:rPr>
          <w:rFonts w:ascii="Times New Roman;Times;Serif" w:hAnsi="Times New Roman;Times;Serif"/>
          <w:b w:val="false"/>
          <w:i w:val="false"/>
          <w:caps w:val="false"/>
          <w:smallCaps w:val="false"/>
          <w:sz w:val="22"/>
          <w:u w:val="single"/>
        </w:rPr>
        <w:t>Proxy Access Nominee</w:t>
      </w:r>
      <w:r>
        <w:rPr>
          <w:rFonts w:ascii="Times New Roman;Times;Serif" w:hAnsi="Times New Roman;Times;Serif"/>
          <w:b w:val="false"/>
          <w:i w:val="false"/>
          <w:caps w:val="false"/>
          <w:smallCaps w:val="false"/>
          <w:sz w:val="22"/>
        </w:rPr>
        <w:t xml:space="preserve">”) provided that (i) timely written notice of such Proxy Access Nominee satisfying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(a “</w:t>
      </w:r>
      <w:r>
        <w:rPr>
          <w:rFonts w:ascii="Times New Roman;Times;Serif" w:hAnsi="Times New Roman;Times;Serif"/>
          <w:b w:val="false"/>
          <w:i w:val="false"/>
          <w:caps w:val="false"/>
          <w:smallCaps w:val="false"/>
          <w:sz w:val="22"/>
          <w:u w:val="single"/>
        </w:rPr>
        <w:t>Proxy Access Nomination Notice</w:t>
      </w:r>
      <w:r>
        <w:rPr>
          <w:rFonts w:ascii="Times New Roman;Times;Serif" w:hAnsi="Times New Roman;Times;Serif"/>
          <w:b w:val="false"/>
          <w:i w:val="false"/>
          <w:caps w:val="false"/>
          <w:smallCaps w:val="false"/>
          <w:sz w:val="22"/>
        </w:rPr>
        <w:t xml:space="preserve">”) is delivered to the Corporation by or on behalf of a stockholder or group of stockholders that, at the time the Proxy Access Nomination Notice is delivered, satisfy the ownership and other requirements of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(such stockholder or stockholders, and any person on whose behalf they are acting, the “</w:t>
      </w:r>
      <w:r>
        <w:rPr>
          <w:rFonts w:ascii="Times New Roman;Times;Serif" w:hAnsi="Times New Roman;Times;Serif"/>
          <w:b w:val="false"/>
          <w:i w:val="false"/>
          <w:caps w:val="false"/>
          <w:smallCaps w:val="false"/>
          <w:sz w:val="22"/>
          <w:u w:val="single"/>
        </w:rPr>
        <w:t>Eligible Stockholder</w:t>
      </w:r>
      <w:r>
        <w:rPr>
          <w:rFonts w:ascii="Times New Roman;Times;Serif" w:hAnsi="Times New Roman;Times;Serif"/>
          <w:b w:val="false"/>
          <w:i w:val="false"/>
          <w:caps w:val="false"/>
          <w:smallCaps w:val="false"/>
          <w:sz w:val="22"/>
        </w:rPr>
        <w:t xml:space="preserve">”), (ii) the Eligible Stockholder expressly elects in writing at the time of providing the Proxy Access Nomination Notice to have its nominee included in the Corporation’s proxy statement pursuant to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and (iii) the Eligible Stockholder and the Proxy Access Nominee otherwise satisfy the requirements of this </w:t>
      </w:r>
      <w:r>
        <w:rPr>
          <w:rFonts w:ascii="Times New Roman;Times;Serif" w:hAnsi="Times New Roman;Times;Serif"/>
          <w:b w:val="false"/>
          <w:i w:val="false"/>
          <w:caps w:val="false"/>
          <w:smallCaps w:val="false"/>
          <w:sz w:val="22"/>
          <w:u w:val="single"/>
        </w:rPr>
        <w:t xml:space="preserve">Section 2.13(e) </w:t>
      </w:r>
      <w:r>
        <w:rPr>
          <w:rFonts w:ascii="Times New Roman;Times;Serif" w:hAnsi="Times New Roman;Times;Serif"/>
          <w:b w:val="false"/>
          <w:i w:val="false"/>
          <w:caps w:val="false"/>
          <w:smallCaps w:val="false"/>
          <w:sz w:val="22"/>
        </w:rPr>
        <w:t>and the director qualification requirements set forth in the Corporation’s corporate governance guidelines or other document(s) setting forth qualifications for directors (the “</w:t>
      </w:r>
      <w:r>
        <w:rPr>
          <w:rFonts w:ascii="Times New Roman;Times;Serif" w:hAnsi="Times New Roman;Times;Serif"/>
          <w:b w:val="false"/>
          <w:i w:val="false"/>
          <w:caps w:val="false"/>
          <w:smallCaps w:val="false"/>
          <w:sz w:val="22"/>
          <w:u w:val="single"/>
        </w:rPr>
        <w:t>Corporate Governance Guidelines</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2"/>
        </w:rPr>
        <w:t xml:space="preserve">(i)          To be timely, an Eligible Stockholder’s Proxy Access Nomination Notice must meet the advance notice requirements set forth in </w:t>
      </w:r>
      <w:r>
        <w:rPr>
          <w:rFonts w:ascii="Times New Roman;Times;Serif" w:hAnsi="Times New Roman;Times;Serif"/>
          <w:b w:val="false"/>
          <w:i w:val="false"/>
          <w:caps w:val="false"/>
          <w:smallCaps w:val="false"/>
          <w:sz w:val="22"/>
          <w:u w:val="single"/>
        </w:rPr>
        <w:t>Section 2.13(c)</w:t>
      </w:r>
      <w:r>
        <w:rPr>
          <w:rFonts w:ascii="Times New Roman;Times;Serif" w:hAnsi="Times New Roman;Times;Serif"/>
          <w:b w:val="false"/>
          <w:i w:val="false"/>
          <w:caps w:val="false"/>
          <w:smallCaps w:val="false"/>
          <w:sz w:val="22"/>
        </w:rPr>
        <w:t xml:space="preserve"> of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2"/>
        </w:rPr>
        <w:t>(ii)          In addition to including the name of the Proxy Access Nominee in the Corporation’s proxy statement for the annual meeting, the Corporation also shall include (A) the information concerning the Proxy Access Nominee and the Eligible Stockholder that is required to be disclosed in the Corporation’s proxy statement pursuant to Section 14 of the Exchange Act and the rules and regulations promulgated thereunder and (B) a Statement (as defined below) (collectively, the “</w:t>
      </w:r>
      <w:r>
        <w:rPr>
          <w:rFonts w:ascii="Times New Roman;Times;Serif" w:hAnsi="Times New Roman;Times;Serif"/>
          <w:b w:val="false"/>
          <w:i w:val="false"/>
          <w:caps w:val="false"/>
          <w:smallCaps w:val="false"/>
          <w:sz w:val="22"/>
          <w:u w:val="single"/>
        </w:rPr>
        <w:t>Required Information</w:t>
      </w:r>
      <w:r>
        <w:rPr>
          <w:rFonts w:ascii="Times New Roman;Times;Serif" w:hAnsi="Times New Roman;Times;Serif"/>
          <w:b w:val="false"/>
          <w:i w:val="false"/>
          <w:caps w:val="false"/>
          <w:smallCaps w:val="false"/>
          <w:sz w:val="22"/>
        </w:rPr>
        <w:t xml:space="preserve">”). To be timely, the Required Information must be delivered to the secretary of the Corporation within the time period specified in </w:t>
      </w:r>
      <w:r>
        <w:rPr>
          <w:rFonts w:ascii="Times New Roman;Times;Serif" w:hAnsi="Times New Roman;Times;Serif"/>
          <w:b w:val="false"/>
          <w:i w:val="false"/>
          <w:caps w:val="false"/>
          <w:smallCaps w:val="false"/>
          <w:sz w:val="22"/>
          <w:u w:val="single"/>
        </w:rPr>
        <w:t>Section 2.13(c)(i)</w:t>
      </w:r>
      <w:r>
        <w:rPr>
          <w:rFonts w:ascii="Times New Roman;Times;Serif" w:hAnsi="Times New Roman;Times;Serif"/>
          <w:b w:val="false"/>
          <w:i w:val="false"/>
          <w:caps w:val="false"/>
          <w:smallCaps w:val="false"/>
          <w:sz w:val="22"/>
        </w:rPr>
        <w:t xml:space="preserve"> of these Bylaws. Nothing in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shall limit the Corporation’s ability to solicit against and include in its proxy statement its own statements relating to any Proxy Access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2"/>
        </w:rPr>
        <w:t xml:space="preserve">(iii)          The number of Proxy Access Nominees (including Proxy Access Nominees that were submitted by an Eligible Stockholder for inclusion in the Corporation’s proxy statement pursuant to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but either are subsequently withdrawn or that the Board of Directors decides to nominate appearing in the Corporation’s proxy statement with respect to a meeting of stockholders and Proxy Access Nominees who were previously elected based upon a nomination pursuant to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at any of the preceding two annual meetings and whose reelection at the upcoming annual meeting is being recommended by the Board of the Directors) shall not exceed the greater of two (2) or twenty percent (20%) of the number of directors in office as of the last day on which notice of a nomination may be delivered pursuant to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(the “</w:t>
      </w:r>
      <w:r>
        <w:rPr>
          <w:rFonts w:ascii="Times New Roman;Times;Serif" w:hAnsi="Times New Roman;Times;Serif"/>
          <w:b w:val="false"/>
          <w:i w:val="false"/>
          <w:caps w:val="false"/>
          <w:smallCaps w:val="false"/>
          <w:sz w:val="22"/>
          <w:u w:val="single"/>
        </w:rPr>
        <w:t>Final Proxy Access Nomination Date</w:t>
      </w:r>
      <w:r>
        <w:rPr>
          <w:rFonts w:ascii="Times New Roman;Times;Serif" w:hAnsi="Times New Roman;Times;Serif"/>
          <w:b w:val="false"/>
          <w:i w:val="false"/>
          <w:caps w:val="false"/>
          <w:smallCaps w:val="false"/>
          <w:sz w:val="22"/>
        </w:rPr>
        <w:t>”) or, if such amount is not a whole number, the closest whole number below twenty percent (the “</w:t>
      </w:r>
      <w:r>
        <w:rPr>
          <w:rFonts w:ascii="Times New Roman;Times;Serif" w:hAnsi="Times New Roman;Times;Serif"/>
          <w:b w:val="false"/>
          <w:i w:val="false"/>
          <w:caps w:val="false"/>
          <w:smallCaps w:val="false"/>
          <w:sz w:val="22"/>
          <w:u w:val="single"/>
        </w:rPr>
        <w:t>Permitted Number</w:t>
      </w:r>
      <w:r>
        <w:rPr>
          <w:rFonts w:ascii="Times New Roman;Times;Serif" w:hAnsi="Times New Roman;Times;Serif"/>
          <w:b w:val="false"/>
          <w:i w:val="false"/>
          <w:caps w:val="false"/>
          <w:smallCaps w:val="false"/>
          <w:sz w:val="22"/>
        </w:rPr>
        <w:t xml:space="preserve">”); provided, however, that in the event that one or more vacancies for any reason occurs on the Board of Directors at any time after the Final Proxy Access Nomination Date and before the date of the annual meeting and the Board of Directors resolves to reduce the size of the Board of Directors in connection therewith, the Permitted Number shall be calculated based on the number of directors in office as so reduced. In the event that the number of Proxy Access Nominees submitted by Eligible Stockholders pursuant to this </w:t>
      </w:r>
      <w:r>
        <w:rPr>
          <w:rFonts w:ascii="Times New Roman;Times;Serif" w:hAnsi="Times New Roman;Times;Serif"/>
          <w:b w:val="false"/>
          <w:i w:val="false"/>
          <w:caps w:val="false"/>
          <w:smallCaps w:val="false"/>
          <w:sz w:val="22"/>
          <w:u w:val="single"/>
        </w:rPr>
        <w:t xml:space="preserve">Section 2.13(e) </w:t>
      </w:r>
      <w:r>
        <w:rPr>
          <w:rFonts w:ascii="Times New Roman;Times;Serif" w:hAnsi="Times New Roman;Times;Serif"/>
          <w:b w:val="false"/>
          <w:i w:val="false"/>
          <w:caps w:val="false"/>
          <w:smallCaps w:val="false"/>
          <w:sz w:val="22"/>
        </w:rPr>
        <w:t>exceeds the Permitted Number, each Eligible Stockholder shall select one Proxy Access Nominee for inclusion in the Corporation’s proxy statement until the Permitted Number is reached, going in order of the amount (greatest to least) of voting power of the Corporation’s capital stock entitled to vote on the election of directors as disclosed in the Proxy Access Nomination Notice. If the Permitted Number is not reached after each Eligible Stockholder has selected one Proxy Access Nominee, this selection process shall continue as many times as necessary, following the same order each time, until the Permitted Number is reached.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2"/>
        <w:jc w:val="both"/>
        <w:rPr>
          <w:caps w:val="false"/>
          <w:smallCaps w:val="false"/>
        </w:rPr>
      </w:pPr>
      <w:r>
        <w:rPr>
          <w:caps w:val="false"/>
          <w:smallCaps w:val="false"/>
        </w:rPr>
        <w:t> </w:t>
      </w:r>
      <w:r>
        <w:rPr>
          <w:rFonts w:ascii="Times New Roman;Times;Serif" w:hAnsi="Times New Roman;Times;Serif"/>
          <w:b w:val="false"/>
          <w:i w:val="false"/>
          <w:caps w:val="false"/>
          <w:smallCaps w:val="false"/>
          <w:sz w:val="22"/>
        </w:rPr>
        <w:t>(iv)          An Eligible Stockholder must have owned (as defined below) continuously for at least three (3) years a number of shares that represents three percent (3%) or more of the total voting power of the Corporation’s outstanding shares of capital stock entitled to vote in the election of directors (the “</w:t>
      </w:r>
      <w:r>
        <w:rPr>
          <w:rFonts w:ascii="Times New Roman;Times;Serif" w:hAnsi="Times New Roman;Times;Serif"/>
          <w:b w:val="false"/>
          <w:i w:val="false"/>
          <w:caps w:val="false"/>
          <w:smallCaps w:val="false"/>
          <w:sz w:val="22"/>
          <w:u w:val="single"/>
        </w:rPr>
        <w:t>Required Shares</w:t>
      </w:r>
      <w:r>
        <w:rPr>
          <w:rFonts w:ascii="Times New Roman;Times;Serif" w:hAnsi="Times New Roman;Times;Serif"/>
          <w:b w:val="false"/>
          <w:i w:val="false"/>
          <w:caps w:val="false"/>
          <w:smallCaps w:val="false"/>
          <w:sz w:val="22"/>
        </w:rPr>
        <w:t xml:space="preserve">”) as of both the date the Proxy Access Nomination Notice is delivered to or received by the Corporation in accordance with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and the record date for determining stockholders entitled to vote at the annual meeting and must continue to own the Required Shares through the meeting date. For purposes of satisfying the ownership requirement under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the voting power represented by the shares of the Corporation’s capital stock owned by one or more stockholders, or by the person or persons who own shares of the Corporation’s capital stock and on whose behalf any stockholder is acting, may be aggregated, provided that the number of stockholders and other persons whose ownership of shares is aggregated for such purpose shall not exceed twenty-five (25), and a group of two or more funds that are (A) under common management and investment control, (B) under common management and funded primarily by the same employer (or by a group of related employers that are under common control), or (C) a “group of investment companies,” as such term is defined in Section 12(d)(1)(G)(ii) of the Investment Company Act of 1940, as amended, shall be treated as one stockholder or person for this purpose. With respect to any annual meeting, no person may be a member of more than one group of persons constituting an Eligible Stockholder under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1"/>
        <w:jc w:val="both"/>
        <w:rPr>
          <w:caps w:val="false"/>
          <w:smallCaps w:val="false"/>
        </w:rPr>
      </w:pPr>
      <w:r>
        <w:rPr>
          <w:caps w:val="false"/>
          <w:smallCaps w:val="false"/>
        </w:rPr>
        <w:t> </w:t>
      </w:r>
      <w:r>
        <w:rPr>
          <w:rFonts w:ascii="Times New Roman;Times;Serif" w:hAnsi="Times New Roman;Times;Serif"/>
          <w:b w:val="false"/>
          <w:i w:val="false"/>
          <w:caps w:val="false"/>
          <w:smallCaps w:val="false"/>
          <w:sz w:val="22"/>
        </w:rPr>
        <w:t xml:space="preserve">(v)         For purposes of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an Eligible Stockholder shall be deemed to “own” only those outstanding shares of the Corporation’s capital stock as to which the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person or any of its affiliates in any transaction that has not been settled or closed, (2) borrowed by such person or any of its affiliates for any purposes or purchased by such person or any of its affiliates pursuant to an agreement to resell, or (3)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outstanding shares of the Corporation’s capital stock, in any such case which instrument or agreement has, or is intended to have, the purpose or effect of (1) reducing in any manner, to any extent or at any time in the future, such person’s or affiliates’ full right to vote or direct the voting of any such shares and/or (2) hedging, offsetting or altering to any degree gain or loss arising from the full economic ownership of such shares by such person or affiliate. A person shall “</w:t>
      </w:r>
      <w:r>
        <w:rPr>
          <w:rFonts w:ascii="Times New Roman;Times;Serif" w:hAnsi="Times New Roman;Times;Serif"/>
          <w:b w:val="false"/>
          <w:i w:val="false"/>
          <w:caps w:val="false"/>
          <w:smallCaps w:val="false"/>
          <w:sz w:val="22"/>
          <w:u w:val="single"/>
        </w:rPr>
        <w:t>own</w:t>
      </w:r>
      <w:r>
        <w:rPr>
          <w:rFonts w:ascii="Times New Roman;Times;Serif" w:hAnsi="Times New Roman;Times;Serif"/>
          <w:b w:val="false"/>
          <w:i w:val="false"/>
          <w:caps w:val="false"/>
          <w:smallCaps w:val="false"/>
          <w:sz w:val="22"/>
        </w:rPr>
        <w:t xml:space="preserve">”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(A) the person has loaned such shares, provided that the person has the power to recall such loaned shares on five (5) business days’ notice and provides a representation that it will promptly recall such loaned shares upon being notified that any of its Proxy Access Nominees will be included in the Corporation’s proxy statement, or (B) the person has delegated any voting power by means of a proxy, power of attorney or other instrument or arrangement that is revocable at any time by the person. The terms “owned,” “owning,” and other variations of the word “own” shall have correlative meanings. For purposes of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the term “affiliate” shall have the meaning ascribed thereto in the regulations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2"/>
        <w:jc w:val="both"/>
        <w:rPr>
          <w:caps w:val="false"/>
          <w:smallCaps w:val="false"/>
        </w:rPr>
      </w:pPr>
      <w:r>
        <w:rPr>
          <w:caps w:val="false"/>
          <w:smallCaps w:val="false"/>
        </w:rPr>
        <w:t> </w:t>
      </w:r>
      <w:r>
        <w:rPr>
          <w:rFonts w:ascii="Times New Roman;Times;Serif" w:hAnsi="Times New Roman;Times;Serif"/>
          <w:b w:val="false"/>
          <w:i w:val="false"/>
          <w:caps w:val="false"/>
          <w:smallCaps w:val="false"/>
          <w:sz w:val="22"/>
        </w:rPr>
        <w:t xml:space="preserve">(vi)         Within the time period specified in </w:t>
      </w:r>
      <w:r>
        <w:rPr>
          <w:rFonts w:ascii="Times New Roman;Times;Serif" w:hAnsi="Times New Roman;Times;Serif"/>
          <w:b w:val="false"/>
          <w:i w:val="false"/>
          <w:caps w:val="false"/>
          <w:smallCaps w:val="false"/>
          <w:sz w:val="22"/>
          <w:u w:val="single"/>
        </w:rPr>
        <w:t>Section 2.13(e)(i)</w:t>
      </w:r>
      <w:r>
        <w:rPr>
          <w:rFonts w:ascii="Times New Roman;Times;Serif" w:hAnsi="Times New Roman;Times;Serif"/>
          <w:b w:val="false"/>
          <w:i w:val="false"/>
          <w:caps w:val="false"/>
          <w:smallCaps w:val="false"/>
          <w:sz w:val="22"/>
        </w:rPr>
        <w:t xml:space="preserve">, an Eligible Stockholder must provide with its Proxy Access Nomination Notice the following information in writing to the secretary of the Corporation: (A) one or more written statements from the record holder of the shares (and from each intermediary through which the shares are or have been held during the requisite three (3)-year holding period) verifying that, as of a date within seven (7) calendar days prior to the date the Proxy Access Nomination Notice is delivered to or received by the Corporation, the Eligible Stockholder owns, and has owned continuously for the preceding three (3) years, the Required Shares, and the Eligible Stockholder’s agreement to provide (1) within five (5) business days after the record date for the meeting, written statements from the record holder and intermediaries verifying the Eligible Stockholder’s continuous ownership of the Required Shares through the record date and (2) immediate notice if the Eligible Stockholder ceases to own any of the Required Shares prior to the date of the annual meeting; (B) documentation satisfactory to the Corporation demonstrating that a group of funds are entitled to be treated as one (1) stockholder or person for purposes of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(C) a representation that the Eligible Stockholder (including each member of any group of stockholders that together is an Eligible Stockholder hereunder): (1) intends to continue to own the Required Shares through the date of the annual meeting, (2) acquired the Required Shares in the ordinary course of business and not with the intent to change or influence control of the Corporation, and does not presently have such intent, (3) has not nominated and will not nominate for election to the Board of Directors at the meeting any person other than the Proxy Access Nominee(s) being nominated pursuant to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(4) has not engaged and will not engage in, and has not and will not be, a “participant” in another person’s “solicitation” within the meaning of Rule 14a-1(l) under the Exchange Act in support of the election of any individual as a director at the annual meeting other than its Proxy Access Nominee(s) or a nominee of the Board of Directors, (5) will not distribute to any stockholder any form of proxy for the annual meeting other than the form distributed by the Corporation, and (6) has provided and will provide facts, statements and other information in all communications with the Corporation and its stockholders that are or will be true and correct in all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respects and do not and will not omit to state a material fact necessary in order to make the statements made, in light of the circumstances under which they were made, not misleading; (D) the written consent of each Proxy Access Nominee to be named in the Corporation’s proxy statement as a nominee and to serve as a director if elected; (E) a copy of the Schedule 14N that has been filed with the SEC as required by Rule 14a-18 under the Exchange Act; (F) the information and representations that would be required to be set forth in the stockholder’s notice of a nomination pursuant to </w:t>
      </w:r>
      <w:r>
        <w:rPr>
          <w:rFonts w:ascii="Times New Roman;Times;Serif" w:hAnsi="Times New Roman;Times;Serif"/>
          <w:b w:val="false"/>
          <w:i w:val="false"/>
          <w:caps w:val="false"/>
          <w:smallCaps w:val="false"/>
          <w:sz w:val="22"/>
          <w:u w:val="single"/>
        </w:rPr>
        <w:t>Section 2.13(d)</w:t>
      </w:r>
      <w:r>
        <w:rPr>
          <w:rFonts w:ascii="Times New Roman;Times;Serif" w:hAnsi="Times New Roman;Times;Serif"/>
          <w:b w:val="false"/>
          <w:i w:val="false"/>
          <w:caps w:val="false"/>
          <w:smallCaps w:val="false"/>
          <w:sz w:val="22"/>
        </w:rPr>
        <w:t xml:space="preserve"> of these Bylaws; (G) in the case of a nomination by a group of stockholders that together is an Eligible Stockholder, the designation by all group members of one group member that is authorized to act on behalf of all members of the nominating stockholder group with respect to the nomination and matters related thereto, including withdrawal of the nomination; and (H)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Corporation, (2) indemnify and hold harmless the Corporation and each of its directors, or its officers and employees individually against any liability, loss or damages in connection with any threatened or pending action, suit or proceeding, whether legal, administrative or investigative, against the Corporation or any of its directors, or its officers or employees arising out of any nomination submitted by the Eligible Stockholder pursuant to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(3) file with the SEC any solicitation or other communication with the Corporation’s stockholders relating to the meeting at which the Proxy Access Nominee will be nominated, regardless of whether any such filing is required under Section 14 of the Exchange Act and the rules and regulations promulgated thereunder or whether any exemption from filing is available for such solicitation or other communication under Section 14 of the Exchange Act and the rules and regulations promulgated thereunder, and (4) comply with all other applicable laws, rules, regulations and listing standards with respect to any solicitation in connection with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1"/>
        <w:jc w:val="both"/>
        <w:rPr>
          <w:caps w:val="false"/>
          <w:smallCaps w:val="false"/>
        </w:rPr>
      </w:pPr>
      <w:r>
        <w:rPr>
          <w:caps w:val="false"/>
          <w:smallCaps w:val="false"/>
        </w:rPr>
        <w:t> </w:t>
      </w:r>
      <w:r>
        <w:rPr>
          <w:rFonts w:ascii="Times New Roman;Times;Serif" w:hAnsi="Times New Roman;Times;Serif"/>
          <w:b w:val="false"/>
          <w:i w:val="false"/>
          <w:caps w:val="false"/>
          <w:smallCaps w:val="false"/>
          <w:sz w:val="22"/>
        </w:rPr>
        <w:t>(vii)         The Eligible Stockholder may with its Proxy Access Nomination Notice, provide to the secretary of the Corporation, a written statement for inclusion in the Corporation’s proxy statement for the annual meeting, not to exceed five hundred (500) words per Proxy Access Nominee, in support of each Proxy Access Nominee it names in its Proxy Access Nomination Notice (the “</w:t>
      </w:r>
      <w:r>
        <w:rPr>
          <w:rFonts w:ascii="Times New Roman;Times;Serif" w:hAnsi="Times New Roman;Times;Serif"/>
          <w:b w:val="false"/>
          <w:i w:val="false"/>
          <w:caps w:val="false"/>
          <w:smallCaps w:val="false"/>
          <w:sz w:val="22"/>
          <w:u w:val="single"/>
        </w:rPr>
        <w:t>Statement</w:t>
      </w:r>
      <w:r>
        <w:rPr>
          <w:rFonts w:ascii="Times New Roman;Times;Serif" w:hAnsi="Times New Roman;Times;Serif"/>
          <w:b w:val="false"/>
          <w:i w:val="false"/>
          <w:caps w:val="false"/>
          <w:smallCaps w:val="false"/>
          <w:sz w:val="22"/>
        </w:rPr>
        <w:t xml:space="preserve">”). Notwithstanding anything to the contrary contained in this </w:t>
      </w:r>
      <w:r>
        <w:rPr>
          <w:rFonts w:ascii="Times New Roman;Times;Serif" w:hAnsi="Times New Roman;Times;Serif"/>
          <w:b w:val="false"/>
          <w:i w:val="false"/>
          <w:caps w:val="false"/>
          <w:smallCaps w:val="false"/>
          <w:sz w:val="22"/>
          <w:u w:val="single"/>
        </w:rPr>
        <w:t>Section 2.13</w:t>
      </w:r>
      <w:r>
        <w:rPr>
          <w:rFonts w:ascii="Times New Roman;Times;Serif" w:hAnsi="Times New Roman;Times;Serif"/>
          <w:b w:val="false"/>
          <w:i w:val="false"/>
          <w:caps w:val="false"/>
          <w:smallCaps w:val="false"/>
          <w:sz w:val="22"/>
        </w:rPr>
        <w:t>, the Corporation may omit from its proxy statement any information or Statement that it believes would violate any applicable law, rule, regulation, or listing standard.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1"/>
        <w:jc w:val="both"/>
        <w:rPr>
          <w:caps w:val="false"/>
          <w:smallCaps w:val="false"/>
        </w:rPr>
      </w:pPr>
      <w:r>
        <w:rPr>
          <w:caps w:val="false"/>
          <w:smallCaps w:val="false"/>
        </w:rPr>
        <w:t> </w:t>
      </w:r>
      <w:r>
        <w:rPr>
          <w:rFonts w:ascii="Times New Roman;Times;Serif" w:hAnsi="Times New Roman;Times;Serif"/>
          <w:b w:val="false"/>
          <w:i w:val="false"/>
          <w:caps w:val="false"/>
          <w:smallCaps w:val="false"/>
          <w:sz w:val="22"/>
        </w:rPr>
        <w:t xml:space="preserve">(viii)        Within the time period specified in </w:t>
      </w:r>
      <w:r>
        <w:rPr>
          <w:rFonts w:ascii="Times New Roman;Times;Serif" w:hAnsi="Times New Roman;Times;Serif"/>
          <w:b w:val="false"/>
          <w:i w:val="false"/>
          <w:caps w:val="false"/>
          <w:smallCaps w:val="false"/>
          <w:sz w:val="22"/>
          <w:u w:val="single"/>
        </w:rPr>
        <w:t>Section 2.13(e)(i)</w:t>
      </w:r>
      <w:r>
        <w:rPr>
          <w:rFonts w:ascii="Times New Roman;Times;Serif" w:hAnsi="Times New Roman;Times;Serif"/>
          <w:b w:val="false"/>
          <w:i w:val="false"/>
          <w:caps w:val="false"/>
          <w:smallCaps w:val="false"/>
          <w:sz w:val="22"/>
        </w:rPr>
        <w:t>, a Proxy Access Nominee must deliver to the secretary of the Corporation a written representation and agreement that the Proxy Access Nominee: (A) has read and agrees to adhere to the Corporation’s code of conduct, Corporate Governance Guidelines, and conflict of interest, confidentiality and stock ownership and securities trading policies, and any other policies and guidelines applicable to directors, as well as any applicable law, rule or regulation or listing requirement, (B) is not and will not become a party to any agreement, arrangement or understanding with, and has not given any commitment or assurance to, any person or entity as to how such person, if elected as a director of the Corporation, will act or vote on any issue or question that has not been disclosed to the Corporation (a “</w:t>
      </w:r>
      <w:r>
        <w:rPr>
          <w:rFonts w:ascii="Times New Roman;Times;Serif" w:hAnsi="Times New Roman;Times;Serif"/>
          <w:b w:val="false"/>
          <w:i w:val="false"/>
          <w:caps w:val="false"/>
          <w:smallCaps w:val="false"/>
          <w:sz w:val="22"/>
          <w:u w:val="single"/>
        </w:rPr>
        <w:t>Voting Commitment</w:t>
      </w:r>
      <w:r>
        <w:rPr>
          <w:rFonts w:ascii="Times New Roman;Times;Serif" w:hAnsi="Times New Roman;Times;Serif"/>
          <w:b w:val="false"/>
          <w:i w:val="false"/>
          <w:caps w:val="false"/>
          <w:smallCaps w:val="false"/>
          <w:sz w:val="22"/>
        </w:rPr>
        <w:t>”), (C) is not and will not become a party to any agreement, arrangement or understanding with any person or entity other than the Corporation with respect to any direct or indirect compensation, reimbursement or indemnification (a “</w:t>
      </w:r>
      <w:r>
        <w:rPr>
          <w:rFonts w:ascii="Times New Roman;Times;Serif" w:hAnsi="Times New Roman;Times;Serif"/>
          <w:b w:val="false"/>
          <w:i w:val="false"/>
          <w:caps w:val="false"/>
          <w:smallCaps w:val="false"/>
          <w:sz w:val="22"/>
          <w:u w:val="single"/>
        </w:rPr>
        <w:t>Compensation Arrangement</w:t>
      </w:r>
      <w:r>
        <w:rPr>
          <w:rFonts w:ascii="Times New Roman;Times;Serif" w:hAnsi="Times New Roman;Times;Serif"/>
          <w:b w:val="false"/>
          <w:i w:val="false"/>
          <w:caps w:val="false"/>
          <w:smallCaps w:val="false"/>
          <w:sz w:val="22"/>
        </w:rPr>
        <w:t xml:space="preserve">”) in connection with such person’s nomination for director and/or service as a director, in each case that has not been disclosed to the Corporation. At the request of the Corporation, the Proxy Access Nominee must (A) complete, sign and submit all questionnaires required of the Board of Directors within five (5) business days of receipt of each such questionnaire from the Corporation; and (B) provide within five (5) business days of the Corporation’s request such additional information as the Corporation determines may be necessary to permit the Board of Directors to determine whether such Proxy Access Nominee meets the requirements of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and/or the Corporation’s requirements with regard to qualifications and policies and guidelines applicable to members of the Board of Directors,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whether: (1) such Proxy Access Nominee is independent under the listing standards of each principal U.S. exchange upon which the capital stock of the Corporation is listed, any applicable rules of the SEC, and any publicly disclosed standards used by the Board of Directors in determining and disclosing the independence of members of the Board of Directors (the “</w:t>
      </w:r>
      <w:r>
        <w:rPr>
          <w:rFonts w:ascii="Times New Roman;Times;Serif" w:hAnsi="Times New Roman;Times;Serif"/>
          <w:b w:val="false"/>
          <w:i w:val="false"/>
          <w:caps w:val="false"/>
          <w:smallCaps w:val="false"/>
          <w:sz w:val="22"/>
          <w:u w:val="single"/>
        </w:rPr>
        <w:t>Independence Standards</w:t>
      </w:r>
      <w:r>
        <w:rPr>
          <w:rFonts w:ascii="Times New Roman;Times;Serif" w:hAnsi="Times New Roman;Times;Serif"/>
          <w:b w:val="false"/>
          <w:i w:val="false"/>
          <w:caps w:val="false"/>
          <w:smallCaps w:val="false"/>
          <w:sz w:val="22"/>
        </w:rPr>
        <w:t>”), (2) such Proxy Access Nominee has any direct or indirect relationship with the Corporation, and (3) such Proxy Access Nominee is not and has not been subject to (x) any event specified in Item 401(f) of Regulation S-K under the Securities Act of 1933, as amended (the “</w:t>
      </w:r>
      <w:r>
        <w:rPr>
          <w:rFonts w:ascii="Times New Roman;Times;Serif" w:hAnsi="Times New Roman;Times;Serif"/>
          <w:b w:val="false"/>
          <w:i w:val="false"/>
          <w:caps w:val="false"/>
          <w:smallCaps w:val="false"/>
          <w:sz w:val="22"/>
          <w:u w:val="single"/>
        </w:rPr>
        <w:t>Securities Act</w:t>
      </w:r>
      <w:r>
        <w:rPr>
          <w:rFonts w:ascii="Times New Roman;Times;Serif" w:hAnsi="Times New Roman;Times;Serif"/>
          <w:b w:val="false"/>
          <w:i w:val="false"/>
          <w:caps w:val="false"/>
          <w:smallCaps w:val="false"/>
          <w:sz w:val="22"/>
        </w:rPr>
        <w:t>”) or (y) any order of the type specified in Rule 506(d) of Regulation 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2"/>
        </w:rPr>
        <w:t>(ix)        In the event that any information or communications provided by the Eligible Stockholder 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the Corporation of any such inaccuracy or omission in such previously provided information and of the information that is required to make such information or communication true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3"/>
        <w:jc w:val="both"/>
        <w:rPr>
          <w:caps w:val="false"/>
          <w:smallCaps w:val="false"/>
        </w:rPr>
      </w:pPr>
      <w:r>
        <w:rPr>
          <w:caps w:val="false"/>
          <w:smallCaps w:val="false"/>
        </w:rPr>
        <w:t> </w:t>
      </w:r>
      <w:r>
        <w:rPr>
          <w:rFonts w:ascii="Times New Roman;Times;Serif" w:hAnsi="Times New Roman;Times;Serif"/>
          <w:b w:val="false"/>
          <w:i w:val="false"/>
          <w:caps w:val="false"/>
          <w:smallCaps w:val="false"/>
          <w:sz w:val="22"/>
        </w:rPr>
        <w:t xml:space="preserve">(x)          The Corporation shall not be required to include pursuant to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any Proxy Access Nominee in its proxy statement (or, if the proxy statement has already been filed, to allow the nomination of a Proxy Access Nominee, notwithstanding that proxies in respect of such vote may have been received by the Corporation) if (A) the Eligible Stockholder who has nominated such Proxy Access Nominee has nominated for election to the Board of Directors at the annual meeting any other person pursuant to </w:t>
      </w:r>
      <w:r>
        <w:rPr>
          <w:rFonts w:ascii="Times New Roman;Times;Serif" w:hAnsi="Times New Roman;Times;Serif"/>
          <w:b w:val="false"/>
          <w:i w:val="false"/>
          <w:caps w:val="false"/>
          <w:smallCaps w:val="false"/>
          <w:sz w:val="22"/>
          <w:u w:val="single"/>
        </w:rPr>
        <w:t>Section 2.12(i)(B)</w:t>
      </w:r>
      <w:r>
        <w:rPr>
          <w:rFonts w:ascii="Times New Roman;Times;Serif" w:hAnsi="Times New Roman;Times;Serif"/>
          <w:b w:val="false"/>
          <w:i w:val="false"/>
          <w:caps w:val="false"/>
          <w:smallCaps w:val="false"/>
          <w:sz w:val="22"/>
        </w:rPr>
        <w:t xml:space="preserve">, (B) the Eligible Stockholder has or is engaged in, or has been or is a “participant” in another person’s, “solicitation” within the meaning of Rule 14a-1(l) under the Exchange Act in support of the election of any individual as a director at the annual meeting other than its Proxy Access Nominee(s) or any other nominee, (C) the Proxy Access Nominee is determined by the Board of Directors not to be independent under the Independence Standards, (D) the Proxy Access Nominee’s election as a director would cause the Corporation to be in violation of these Bylaws, the Articles of Incorporation, the Corporate Governance Guidelines, the listing standards of the principal exchange upon which the Corporation’s capital stock is traded, or any applicable state or federal law, rule or regulation, (E) the Proxy Access Nominee is or becomes a party to any undisclosed Voting Commitment or Compensation Arrangement, (F) the Proxy Access Nominee is or has been, within the past three years, an officer or director of a competitor, as defined in Section 8 of the Clayton Antitrust Act of 1914, (G) the Proxy Access Nominee’s then-current or within the preceding ten (10) years’ business or personal interests place such Proxy Access Nominee in a conflict of interest with the Corporation or any of its subsidiaries that would cause such Proxy Access Nominee to violate any fiduciary duties of directors established pursuant to the laws of the State of Nevada, including but not limited to the duty of loyalty and duty of care, (H) the Proxy Access Nominee is a named a subject of a pending criminal proceeding (excluding traffic violations and other minor offenses) or has been convicted in such a criminal proceeding within the past ten (10) years, (I) the Proxy Access Nominee is subject to any order of the type specified in Rule 506(d) of Regulation D under the Securities Act, or (J)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w:t>
      </w:r>
      <w:r>
        <w:rPr>
          <w:rFonts w:ascii="Times New Roman;Times;Serif" w:hAnsi="Times New Roman;Times;Serif"/>
          <w:b w:val="false"/>
          <w:i w:val="false"/>
          <w:caps w:val="false"/>
          <w:smallCaps w:val="false"/>
          <w:sz w:val="22"/>
          <w:u w:val="single"/>
        </w:rPr>
        <w:t>Section 2.13(e).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2"/>
        </w:rPr>
        <w:t xml:space="preserve">(xi)       Notwithstanding anything to the contrary set forth herein, if (A) the Proxy Access Nominee and/or the applicable Eligible Stockholder shall have breached its or their agreements, representations, undertakings and/or obligations pursuant to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as determined by the Board of Directors or the person presiding at the meeting, or (B) the Eligible Stockholder (or a qualified representative thereof) does not appear at the meeting to present any nomination pursuant to this </w:t>
      </w:r>
      <w:r>
        <w:rPr>
          <w:rFonts w:ascii="Times New Roman;Times;Serif" w:hAnsi="Times New Roman;Times;Serif"/>
          <w:b w:val="false"/>
          <w:i w:val="false"/>
          <w:caps w:val="false"/>
          <w:smallCaps w:val="false"/>
          <w:sz w:val="22"/>
          <w:u w:val="single"/>
        </w:rPr>
        <w:t>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u w:val="single"/>
        </w:rPr>
        <w:t>2.13(e)</w:t>
      </w:r>
      <w:r>
        <w:rPr>
          <w:rFonts w:ascii="Times New Roman;Times;Serif" w:hAnsi="Times New Roman;Times;Serif"/>
          <w:b w:val="false"/>
          <w:i w:val="false"/>
          <w:caps w:val="false"/>
          <w:smallCaps w:val="false"/>
          <w:sz w:val="22"/>
        </w:rPr>
        <w:t>, (x)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and (y) the Corporation shall not be required to include in its proxy statement any successor or replacement nominee proposed by the applicable Eligible Stockholder or any other Eligible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1"/>
        <w:jc w:val="both"/>
        <w:rPr>
          <w:caps w:val="false"/>
          <w:smallCaps w:val="false"/>
        </w:rPr>
      </w:pPr>
      <w:r>
        <w:rPr>
          <w:caps w:val="false"/>
          <w:smallCaps w:val="false"/>
        </w:rPr>
        <w:t> </w:t>
      </w:r>
      <w:r>
        <w:rPr>
          <w:rFonts w:ascii="Times New Roman;Times;Serif" w:hAnsi="Times New Roman;Times;Serif"/>
          <w:b w:val="false"/>
          <w:i w:val="false"/>
          <w:caps w:val="false"/>
          <w:smallCaps w:val="false"/>
          <w:sz w:val="22"/>
        </w:rPr>
        <w:t xml:space="preserve">(xii)        Any Proxy Access Nominee who is included in the Corporation’s proxy statement for a particular annual meeting but withdraws from or becomes ineligible or unavailable for election at the annual meeting shall be ineligible to be included in the Corporation’s proxy statement as a Proxy Access Nominee pursuant to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for the next two annual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1"/>
        <w:jc w:val="both"/>
        <w:rPr>
          <w:caps w:val="false"/>
          <w:smallCaps w:val="false"/>
        </w:rPr>
      </w:pPr>
      <w:r>
        <w:rPr>
          <w:caps w:val="false"/>
          <w:smallCaps w:val="false"/>
        </w:rPr>
        <w:t> </w:t>
      </w:r>
      <w:r>
        <w:rPr>
          <w:rFonts w:ascii="Times New Roman;Times;Serif" w:hAnsi="Times New Roman;Times;Serif"/>
          <w:b w:val="false"/>
          <w:i w:val="false"/>
          <w:caps w:val="false"/>
          <w:smallCaps w:val="false"/>
          <w:sz w:val="22"/>
        </w:rPr>
        <w:t xml:space="preserve">(xiii)       The Board of Directors (and any other person or body authorized by the Board of Directors) shall have the power and authority to interpret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and to make any and all determinations necessary or advisable to apply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to any persons, facts or circumstances, including the power to determine (A) whether a person or group of persons qualifies as an Eligible Stockholder, (B) whether outstanding shares of the Corporation’s capital stock are “owned” for purposes of meeting the ownership requirements of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(C) whether a notice complies with the requirements of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(D) whether a person satisfies the qualifications and requirements to be a Proxy Access Nominee, (E) whether inclusion of the Required Information in the Corporation’s proxy statement is consistent with all applicable laws, rules, regulations and listing standards, and (F) whether any and all requirements of this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have been satisfied. Any such interpretation or determination adopted in good faith by the Board of Directors (or any other person or body authorized by the Board of Directors) shall be conclusive and binding on all persons, including the Corporation and all record or beneficial owners of stock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(f)           No person shall be eligible for election as a director of the Corporation unless nominated in accordance with the procedures set forth in this </w:t>
      </w:r>
      <w:r>
        <w:rPr>
          <w:rFonts w:ascii="Times New Roman;Times;Serif" w:hAnsi="Times New Roman;Times;Serif"/>
          <w:b w:val="false"/>
          <w:i w:val="false"/>
          <w:caps w:val="false"/>
          <w:smallCaps w:val="false"/>
          <w:sz w:val="22"/>
          <w:u w:val="single"/>
        </w:rPr>
        <w:t>Section 2.13</w:t>
      </w:r>
      <w:r>
        <w:rPr>
          <w:rFonts w:ascii="Times New Roman;Times;Serif" w:hAnsi="Times New Roman;Times;Serif"/>
          <w:b w:val="false"/>
          <w:i w:val="false"/>
          <w:caps w:val="false"/>
          <w:smallCaps w:val="false"/>
          <w:sz w:val="22"/>
        </w:rPr>
        <w:t xml:space="preserve">. If the chair of the meeting determines that a nomination was not made in accordance with the foregoing procedures, the chair shall declare to the meeting that the nomination was defective and such defective nomination shall be disregarded. Notwithstanding the foregoing provisions of this </w:t>
      </w:r>
      <w:r>
        <w:rPr>
          <w:rFonts w:ascii="Times New Roman;Times;Serif" w:hAnsi="Times New Roman;Times;Serif"/>
          <w:b w:val="false"/>
          <w:i w:val="false"/>
          <w:caps w:val="false"/>
          <w:smallCaps w:val="false"/>
          <w:sz w:val="22"/>
          <w:u w:val="single"/>
        </w:rPr>
        <w:t>Section 2.13</w:t>
      </w:r>
      <w:r>
        <w:rPr>
          <w:rFonts w:ascii="Times New Roman;Times;Serif" w:hAnsi="Times New Roman;Times;Serif"/>
          <w:b w:val="false"/>
          <w:i w:val="false"/>
          <w:caps w:val="false"/>
          <w:smallCaps w:val="false"/>
          <w:sz w:val="22"/>
        </w:rPr>
        <w:t>, to be considered a qualified representative of the stockholder, a person must be authorized by a written instrument executed by such stockholder or an electronic transmission delivered by such stockholder to act for such stockholder as a proxy at the meeting of stockholders and such person must produce such written instrument or electronic transmission, or a reliable reproduction of the written instrument or electronic transmission, at the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(g)           Subject to </w:t>
      </w:r>
      <w:r>
        <w:rPr>
          <w:rFonts w:ascii="Times New Roman;Times;Serif" w:hAnsi="Times New Roman;Times;Serif"/>
          <w:b w:val="false"/>
          <w:i w:val="false"/>
          <w:caps w:val="false"/>
          <w:smallCaps w:val="false"/>
          <w:sz w:val="22"/>
          <w:u w:val="single"/>
        </w:rPr>
        <w:t>Section 2.13(e)</w:t>
      </w:r>
      <w:r>
        <w:rPr>
          <w:rFonts w:ascii="Times New Roman;Times;Serif" w:hAnsi="Times New Roman;Times;Serif"/>
          <w:b w:val="false"/>
          <w:i w:val="false"/>
          <w:caps w:val="false"/>
          <w:smallCaps w:val="false"/>
          <w:sz w:val="22"/>
        </w:rPr>
        <w:t xml:space="preserve"> of these Bylaws and except as otherwise required by law, nothing in this </w:t>
      </w:r>
      <w:r>
        <w:rPr>
          <w:rFonts w:ascii="Times New Roman;Times;Serif" w:hAnsi="Times New Roman;Times;Serif"/>
          <w:b w:val="false"/>
          <w:i w:val="false"/>
          <w:caps w:val="false"/>
          <w:smallCaps w:val="false"/>
          <w:sz w:val="22"/>
          <w:u w:val="single"/>
        </w:rPr>
        <w:t>Section 2.13</w:t>
      </w:r>
      <w:r>
        <w:rPr>
          <w:rFonts w:ascii="Times New Roman;Times;Serif" w:hAnsi="Times New Roman;Times;Serif"/>
          <w:b w:val="false"/>
          <w:i w:val="false"/>
          <w:caps w:val="false"/>
          <w:smallCaps w:val="false"/>
          <w:sz w:val="22"/>
        </w:rPr>
        <w:t xml:space="preserve"> shall be construed to permit any stockholder of the Corporation to include in any proxy statement or other stockholder communication distributed on behalf of the Corporation or the Board of Directors information with respect to any nominee for director submitted by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1"/>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(h)           For purposes of </w:t>
      </w:r>
      <w:r>
        <w:rPr>
          <w:rFonts w:ascii="Times New Roman;Times;Serif" w:hAnsi="Times New Roman;Times;Serif"/>
          <w:b w:val="false"/>
          <w:i w:val="false"/>
          <w:caps w:val="false"/>
          <w:smallCaps w:val="false"/>
          <w:sz w:val="22"/>
          <w:u w:val="single"/>
        </w:rPr>
        <w:t>Section 2.13</w:t>
      </w:r>
      <w:r>
        <w:rPr>
          <w:rFonts w:ascii="Times New Roman;Times;Serif" w:hAnsi="Times New Roman;Times;Serif"/>
          <w:b w:val="false"/>
          <w:i w:val="false"/>
          <w:caps w:val="false"/>
          <w:smallCaps w:val="false"/>
          <w:sz w:val="22"/>
        </w:rPr>
        <w:t xml:space="preserve"> of these Bylaws, “public disclosure” shall include disclosure in a press release reported by the Dow Jones News Service, Associated Press or comparable national news service or in a document publicly filed by the Corporation with the SEC pursuant to Section 13, 14 or 15(d)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9"/>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2.14         </w:t>
      </w:r>
      <w:r>
        <w:rPr>
          <w:rFonts w:ascii="Times New Roman;Times;Serif" w:hAnsi="Times New Roman;Times;Serif"/>
          <w:b w:val="false"/>
          <w:i w:val="false"/>
          <w:caps w:val="false"/>
          <w:smallCaps w:val="false"/>
          <w:sz w:val="22"/>
          <w:u w:val="single"/>
        </w:rPr>
        <w:t>Meetings Through Remote Communications</w:t>
      </w:r>
      <w:r>
        <w:rPr>
          <w:rFonts w:ascii="Times New Roman;Times;Serif" w:hAnsi="Times New Roman;Times;Serif"/>
          <w:b w:val="false"/>
          <w:i w:val="false"/>
          <w:caps w:val="false"/>
          <w:smallCaps w:val="false"/>
          <w:sz w:val="22"/>
        </w:rPr>
        <w:t>. Stockholders may participate in a meeting of the stockholders by any means of remote communications, including electronic communications, videoconferencing, teleconferencing or other available technology permitted under the NRS (including, without limitation, a telephone conference or similar method of communication by which all individuals participating in the meeting can hear each other) and utilized by the Corporation. If any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means are utilized, the Corporation shall, to the extent required under the NRS, implement reasonable measures to (a) verify the identity of each person participating through such means as a stockholder and (b) provide the stockholders a reasonable opportunity to participate in the meeting and to vote on matters submitted to the stockholders, including an opportunity to communicate, and to read or hear the proceedings of the meeting in a substantially concurrent manner with such proceedings. Participation in a meeting pursuant to this </w:t>
      </w:r>
      <w:r>
        <w:rPr>
          <w:rFonts w:ascii="Times New Roman;Times;Serif" w:hAnsi="Times New Roman;Times;Serif"/>
          <w:b w:val="false"/>
          <w:i w:val="false"/>
          <w:caps w:val="false"/>
          <w:smallCaps w:val="false"/>
          <w:sz w:val="22"/>
          <w:u w:val="single"/>
        </w:rPr>
        <w:t>Section 2.14</w:t>
      </w:r>
      <w:r>
        <w:rPr>
          <w:rFonts w:ascii="Times New Roman;Times;Serif" w:hAnsi="Times New Roman;Times;Serif"/>
          <w:b w:val="false"/>
          <w:i w:val="false"/>
          <w:caps w:val="false"/>
          <w:smallCaps w:val="false"/>
          <w:sz w:val="22"/>
        </w:rPr>
        <w:t xml:space="preserve"> constitutes presence in person at the meeting. Notwithstanding anything to the contrary in these Bylaws, a meeting of stockholders may be held solely by remote communication pursuant to and in accordance with NRS 78.320(4).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ARTICLE III</w:t>
      </w:r>
    </w:p>
    <w:p>
      <w:pPr>
        <w:pStyle w:val="TextBody"/>
        <w:bidi w:val="0"/>
        <w:spacing w:before="0" w:after="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3.1          </w:t>
      </w:r>
      <w:r>
        <w:rPr>
          <w:rFonts w:ascii="Times New Roman;Times;Serif" w:hAnsi="Times New Roman;Times;Serif"/>
          <w:b w:val="false"/>
          <w:i w:val="false"/>
          <w:caps w:val="false"/>
          <w:smallCaps w:val="false"/>
          <w:sz w:val="22"/>
          <w:u w:val="single"/>
        </w:rPr>
        <w:t>General Powers; Performance of Duties</w:t>
      </w:r>
      <w:r>
        <w:rPr>
          <w:rFonts w:ascii="Times New Roman;Times;Serif" w:hAnsi="Times New Roman;Times;Serif"/>
          <w:b w:val="false"/>
          <w:i w:val="false"/>
          <w:caps w:val="false"/>
          <w:smallCaps w:val="false"/>
          <w:sz w:val="22"/>
        </w:rPr>
        <w:t>. The business and affairs of the Corporation shall be managed by or under the direction of the Board of Directors, which may exercise all powers of the Corporation and do all such lawful acts and things except as otherwise provided in NRS Chapter 78 or the Articles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3.2          </w:t>
      </w:r>
      <w:r>
        <w:rPr>
          <w:rFonts w:ascii="Times New Roman;Times;Serif" w:hAnsi="Times New Roman;Times;Serif"/>
          <w:b w:val="false"/>
          <w:i w:val="false"/>
          <w:caps w:val="false"/>
          <w:smallCaps w:val="false"/>
          <w:sz w:val="22"/>
          <w:u w:val="single"/>
        </w:rPr>
        <w:t>Number, Tenure, and Qualifications</w:t>
      </w:r>
      <w:r>
        <w:rPr>
          <w:rFonts w:ascii="Times New Roman;Times;Serif" w:hAnsi="Times New Roman;Times;Serif"/>
          <w:b w:val="false"/>
          <w:i w:val="false"/>
          <w:caps w:val="false"/>
          <w:smallCaps w:val="false"/>
          <w:sz w:val="22"/>
        </w:rPr>
        <w:t xml:space="preserve">. Subject to the rights, if any, of holders of preferred stock of the Corporation to elect directors of the Corporation, the Board of Directors shall consist of not less than one nor more than fourteen members with the exact number of directors within the foregoing fixed minimum and maximum to be determined from time to time exclusively by resolution duly adopted by the Board of Directors, without amendment to these Bylaws or the Articles of Incorporation. Unless otherwise provided in the Articles of Incorporation, each director shall hold office until the annual meeting of stockholders in the year in which his or her term expires and until his or her successor shall be elected or appointed and qualified, or until his or her earlier death, retirement, disqualification, resignation or removal. No reduction of the number of directors shall have the effect of removing any director prior to the expiration of his or her term of office. No provision of this </w:t>
      </w:r>
      <w:r>
        <w:rPr>
          <w:rFonts w:ascii="Times New Roman;Times;Serif" w:hAnsi="Times New Roman;Times;Serif"/>
          <w:b w:val="false"/>
          <w:i w:val="false"/>
          <w:caps w:val="false"/>
          <w:smallCaps w:val="false"/>
          <w:sz w:val="22"/>
          <w:u w:val="single"/>
        </w:rPr>
        <w:t>Section 3.2</w:t>
      </w:r>
      <w:r>
        <w:rPr>
          <w:rFonts w:ascii="Times New Roman;Times;Serif" w:hAnsi="Times New Roman;Times;Serif"/>
          <w:b w:val="false"/>
          <w:i w:val="false"/>
          <w:caps w:val="false"/>
          <w:smallCaps w:val="false"/>
          <w:sz w:val="22"/>
        </w:rPr>
        <w:t xml:space="preserve"> shall restrict the right of the Board of Directors to fill vacancies or the right of the stockholders to remove directors, each as provided in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3.3          </w:t>
      </w:r>
      <w:r>
        <w:rPr>
          <w:rFonts w:ascii="Times New Roman;Times;Serif" w:hAnsi="Times New Roman;Times;Serif"/>
          <w:b w:val="false"/>
          <w:i w:val="false"/>
          <w:caps w:val="false"/>
          <w:smallCaps w:val="false"/>
          <w:sz w:val="22"/>
          <w:u w:val="single"/>
        </w:rPr>
        <w:t>Chair of the Board</w:t>
      </w:r>
      <w:r>
        <w:rPr>
          <w:rFonts w:ascii="Times New Roman;Times;Serif" w:hAnsi="Times New Roman;Times;Serif"/>
          <w:b w:val="false"/>
          <w:i w:val="false"/>
          <w:caps w:val="false"/>
          <w:smallCaps w:val="false"/>
          <w:sz w:val="22"/>
        </w:rPr>
        <w:t>. The Board of Directors shall elect a chair of the board from the members of the Board of Directors, who shall preside at all meetings of the Board of Directors and stockholders at which he or she shall be present and shall have and may exercise such powers as may, from time to time, be assigned to him or her by the Board of Directors, these Bylaws or as provided by law. The chair of the board shall possess the same power as the chief executive officer or the president to sign all contracts, certificates and other instruments of the Corporation. During the absence or disability of the chief executive officer or the president, the chair of the board shall exercise all the powers and discharge all the duties of the chief executive officer or the president. The chair of the board shall also perform such other duties and may exercise such other powers as from time to time may be assigned to him or her by these Bylaws or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3.4          </w:t>
      </w:r>
      <w:r>
        <w:rPr>
          <w:rFonts w:ascii="Times New Roman;Times;Serif" w:hAnsi="Times New Roman;Times;Serif"/>
          <w:b w:val="false"/>
          <w:i w:val="false"/>
          <w:caps w:val="false"/>
          <w:smallCaps w:val="false"/>
          <w:sz w:val="22"/>
          <w:u w:val="single"/>
        </w:rPr>
        <w:t>Vice Chair of the Board</w:t>
      </w:r>
      <w:r>
        <w:rPr>
          <w:rFonts w:ascii="Times New Roman;Times;Serif" w:hAnsi="Times New Roman;Times;Serif"/>
          <w:b w:val="false"/>
          <w:i w:val="false"/>
          <w:caps w:val="false"/>
          <w:smallCaps w:val="false"/>
          <w:sz w:val="22"/>
        </w:rPr>
        <w:t>. The Board of Directors may elect a vice chair of the board from the members of the Board of Directors who shall preside at all meetings of the Board of Directors and stockholders at which he or she shall be present and the chair of the board is not present and shall have and may exercise such powers as may, from time to time, be assigned to him or her by the Board of Directors, these Bylaws or as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3.5          </w:t>
      </w:r>
      <w:r>
        <w:rPr>
          <w:rFonts w:ascii="Times New Roman;Times;Serif" w:hAnsi="Times New Roman;Times;Serif"/>
          <w:b w:val="false"/>
          <w:i w:val="false"/>
          <w:caps w:val="false"/>
          <w:smallCaps w:val="false"/>
          <w:sz w:val="22"/>
          <w:u w:val="single"/>
        </w:rPr>
        <w:t>Director Elections</w:t>
      </w:r>
      <w:r>
        <w:rPr>
          <w:rFonts w:ascii="Times New Roman;Times;Serif" w:hAnsi="Times New Roman;Times;Serif"/>
          <w:b w:val="false"/>
          <w:i w:val="false"/>
          <w:caps w:val="false"/>
          <w:smallCaps w:val="false"/>
          <w:sz w:val="22"/>
        </w:rPr>
        <w:t>. Prior to the election of directors at the Corporation’s 2027 annual meeting of stockholders, the directors are classified, with respect to the time for which they shall hold their respective offices, into three classes known as “Class I,” “Class II” and “Class III.” Beginning with the 2027 annual meeting of stockholders, the Class I directors, whose terms expire at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will be elected to serve a one-year term; at the 2028 annual meeting of stockholders, the former Class I directors and the Class II directors, whose terms expire at such meeting, will be elected to serve a one-year term; and at the 2029 annual meeting of stockholders, and at each annual meeting of stockholders thereafter, all directors will be elected annually, to hold office for a one-year term expiring at the next annual meeting of stockholders and until such directors’ successors shall have been elected and qualified.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3.6          </w:t>
      </w:r>
      <w:r>
        <w:rPr>
          <w:rFonts w:ascii="Times New Roman;Times;Serif" w:hAnsi="Times New Roman;Times;Serif"/>
          <w:b w:val="false"/>
          <w:i w:val="false"/>
          <w:caps w:val="false"/>
          <w:smallCaps w:val="false"/>
          <w:sz w:val="22"/>
          <w:u w:val="single"/>
        </w:rPr>
        <w:t>Removal and Resignation of Directors</w:t>
      </w:r>
      <w:r>
        <w:rPr>
          <w:rFonts w:ascii="Times New Roman;Times;Serif" w:hAnsi="Times New Roman;Times;Serif"/>
          <w:b w:val="false"/>
          <w:i w:val="false"/>
          <w:caps w:val="false"/>
          <w:smallCaps w:val="false"/>
          <w:sz w:val="22"/>
        </w:rPr>
        <w:t>. Subject to any rights of the holders of preferred stock, if any, and except as otherwise provided in the NRS, any director may be removed from office with or without cause by the affirmative vote of the holders of not less than two-thirds (2/3) of the voting power of the issued and outstanding stock of the Corporation entitled to vote generally in the election of directors (voting as a single class) excluding stock entitled to vote only upon the happening of a fact or event unless such fact or event shall have occurred. In addition, the Board of Directors of the Corporation, by majority vote, may declare vacant the office of a director who has been (a) declared incompetent by an order of a court of competent jurisdiction, or (b) convicted of a felony. Any director may resign effective upon giving written notice, unless the notice specifies a later time for effectiveness of such resignation, to the chair of the board, the president or the secretary, or in the absence of all of them, any other officer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3.7          </w:t>
      </w:r>
      <w:r>
        <w:rPr>
          <w:rFonts w:ascii="Times New Roman;Times;Serif" w:hAnsi="Times New Roman;Times;Serif"/>
          <w:b w:val="false"/>
          <w:i w:val="false"/>
          <w:caps w:val="false"/>
          <w:smallCaps w:val="false"/>
          <w:sz w:val="22"/>
          <w:u w:val="single"/>
        </w:rPr>
        <w:t>Vacancies; Newly Created Directorships</w:t>
      </w:r>
      <w:r>
        <w:rPr>
          <w:rFonts w:ascii="Times New Roman;Times;Serif" w:hAnsi="Times New Roman;Times;Serif"/>
          <w:b w:val="false"/>
          <w:i w:val="false"/>
          <w:caps w:val="false"/>
          <w:smallCaps w:val="false"/>
          <w:sz w:val="22"/>
        </w:rPr>
        <w:t>. Subject to any rights of the holders of preferred stock, if any, any vacancies on the Board of Directors resulting from death, resignation, retirement, disqualification, removal, or other cause, and newly created directorships resulting from any increase in the authorized number of directors, may be filled by a majority vote of the directors then in office or by a sole remaining director, in either case though less than a quorum, and each director so appointed shall hold office for a term expiring at the next annual meeting of stockholders and when such director’s successor is elected or appointed or until his or her earlier death, resignation, retirement, disqualification or removal. No decrease in the number of directors constituting the Board of Directors shall cause the removal or shorten the term of any incumbent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3.8          </w:t>
      </w:r>
      <w:r>
        <w:rPr>
          <w:rFonts w:ascii="Times New Roman;Times;Serif" w:hAnsi="Times New Roman;Times;Serif"/>
          <w:b w:val="false"/>
          <w:i w:val="false"/>
          <w:caps w:val="false"/>
          <w:smallCaps w:val="false"/>
          <w:sz w:val="22"/>
          <w:u w:val="single"/>
        </w:rPr>
        <w:t>Regular Meetings</w:t>
      </w:r>
      <w:r>
        <w:rPr>
          <w:rFonts w:ascii="Times New Roman;Times;Serif" w:hAnsi="Times New Roman;Times;Serif"/>
          <w:b w:val="false"/>
          <w:i w:val="false"/>
          <w:caps w:val="false"/>
          <w:smallCaps w:val="false"/>
          <w:sz w:val="22"/>
        </w:rPr>
        <w:t>. The Board of Directors may provide by resolution the place, date, and hour for holding regular meetings, and if the Board of Directors so provides with respect to a regular meeting, notice of such regular meeting shall not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3.9          </w:t>
      </w:r>
      <w:r>
        <w:rPr>
          <w:rFonts w:ascii="Times New Roman;Times;Serif" w:hAnsi="Times New Roman;Times;Serif"/>
          <w:b w:val="false"/>
          <w:i w:val="false"/>
          <w:caps w:val="false"/>
          <w:smallCaps w:val="false"/>
          <w:sz w:val="22"/>
          <w:u w:val="single"/>
        </w:rPr>
        <w:t>Special Meetings</w:t>
      </w:r>
      <w:r>
        <w:rPr>
          <w:rFonts w:ascii="Times New Roman;Times;Serif" w:hAnsi="Times New Roman;Times;Serif"/>
          <w:b w:val="false"/>
          <w:i w:val="false"/>
          <w:caps w:val="false"/>
          <w:smallCaps w:val="false"/>
          <w:sz w:val="22"/>
        </w:rPr>
        <w:t>. Subject to any rights of the holders of preferred stock, if any, and except as otherwise required by law, special meetings of the Board of Directors may be called only by the chair of the board, if any, or if there be no chair of the board, by the chief executive officer, the president or the secretary, and shall be called by the chair of the board, if any, the chief executive officer, the president, or the secretary upon the request of at least a majority of the Board of Directors. If the chair of the board, or if there be no chair of the board, each of the chief executive officer, the president, and the secretary, fails for any reason to call such special meeting, a special meeting may be called by a notice signed by at least a majority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3.10        </w:t>
      </w:r>
      <w:r>
        <w:rPr>
          <w:rFonts w:ascii="Times New Roman;Times;Serif" w:hAnsi="Times New Roman;Times;Serif"/>
          <w:b w:val="false"/>
          <w:i w:val="false"/>
          <w:caps w:val="false"/>
          <w:smallCaps w:val="false"/>
          <w:sz w:val="22"/>
          <w:u w:val="single"/>
        </w:rPr>
        <w:t>Place of Meetings</w:t>
      </w:r>
      <w:r>
        <w:rPr>
          <w:rFonts w:ascii="Times New Roman;Times;Serif" w:hAnsi="Times New Roman;Times;Serif"/>
          <w:b w:val="false"/>
          <w:i w:val="false"/>
          <w:caps w:val="false"/>
          <w:smallCaps w:val="false"/>
          <w:sz w:val="22"/>
        </w:rPr>
        <w:t>. Any regular or special meeting of the Board of Directors may be held at such place as the Board of Directors, or in the absence of such designation, as the notice calling such meeting, may designate. A waiver of notice signed by the directors may designate any place for the holding of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3.11        </w:t>
      </w:r>
      <w:r>
        <w:rPr>
          <w:rFonts w:ascii="Times New Roman;Times;Serif" w:hAnsi="Times New Roman;Times;Serif"/>
          <w:b w:val="false"/>
          <w:i w:val="false"/>
          <w:caps w:val="false"/>
          <w:smallCaps w:val="false"/>
          <w:sz w:val="22"/>
          <w:u w:val="single"/>
        </w:rPr>
        <w:t>Notice of Meetings</w:t>
      </w:r>
      <w:r>
        <w:rPr>
          <w:rFonts w:ascii="Times New Roman;Times;Serif" w:hAnsi="Times New Roman;Times;Serif"/>
          <w:b w:val="false"/>
          <w:i w:val="false"/>
          <w:caps w:val="false"/>
          <w:smallCaps w:val="false"/>
          <w:sz w:val="22"/>
        </w:rPr>
        <w:t xml:space="preserve">. Except as otherwise provided in </w:t>
      </w:r>
      <w:r>
        <w:rPr>
          <w:rFonts w:ascii="Times New Roman;Times;Serif" w:hAnsi="Times New Roman;Times;Serif"/>
          <w:b w:val="false"/>
          <w:i w:val="false"/>
          <w:caps w:val="false"/>
          <w:smallCaps w:val="false"/>
          <w:sz w:val="22"/>
          <w:u w:val="single"/>
        </w:rPr>
        <w:t>Section 3.8</w:t>
      </w:r>
      <w:r>
        <w:rPr>
          <w:rFonts w:ascii="Times New Roman;Times;Serif" w:hAnsi="Times New Roman;Times;Serif"/>
          <w:b w:val="false"/>
          <w:i w:val="false"/>
          <w:caps w:val="false"/>
          <w:smallCaps w:val="false"/>
          <w:sz w:val="22"/>
        </w:rPr>
        <w:t>, there shall be delivered to each director at the address appearing for him or her on the records of the Corporation a copy of a written notice of any meeting (i) by delivery of such notice personally at least forty-eight (48) hours before the time of such meeting,, (ii) by mailing such notice postage prepaid at least forty-eight (48) hours before the time of such meeting, (iii) by facsimile at least twenty-four (24) hours before the time of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meeting, (iv) by overnight courier at least forty-eight (48) hours before the time of such meeting, or (v) by electronic transmission or electronic writing, including, without limitation, e-mail, at least twenty-four (24) hours before the time of such meeting. If mailed to an address inside the United States, the notice shall be deemed delivered two (2) business days following the date the same is deposited in the United States mail, postage prepaid. If mailed to an address outside the United States, the notice shall be deemed delivered four (4) business days following the date the same is deposited in the United States mail, postage prepaid. If sent via overnight courier, the notice shall be deemed delivered the business day following the delivery of such notice to the courier. If sent via facsimile, the notice shall be deemed delivered upon sender’s receipt of confirmation of the successful transmission. If sent by electronic transmission (including, without limitation, e-mail), the notice shall be deemed delivered when directed to the e-mail address of the director appearing on the records of the Corporation and otherwise pursuant to the applicable provisions of NRS Chapter 75. If the address of any director is incomplete or does not appear upon the records of the Corporation it will be sufficient to address any notice to such director at the registered office of the Corporation. Any director may waive notice of any meeting, and the attendance of a director at a meeting and oral consent entered on the minutes of such meeting shall constitute waiver of notice of the meeting unless such director objects, prior to the transaction of any business, that the meeting was not lawfully called, noticed or convened. Attendance for the express purpose of objecting to the transaction of business thereat because the meeting was not properly called or convened shall not constitute presence or a waiver of notice for purposes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3.12      </w:t>
      </w:r>
      <w:r>
        <w:rPr>
          <w:rFonts w:ascii="Times New Roman;Times;Serif" w:hAnsi="Times New Roman;Times;Serif"/>
          <w:b w:val="false"/>
          <w:i w:val="false"/>
          <w:caps w:val="false"/>
          <w:smallCaps w:val="false"/>
          <w:sz w:val="22"/>
          <w:u w:val="single"/>
        </w:rPr>
        <w:t>Quorum; Adjourned Meetings</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A majority of the directors in office, at a meeting duly assembled, is necessary to constitute a quorum for the transaction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At any meeting of the Board of Directors where a quorum is not present, a majority of those present may adjourn, from time to time, until a quorum is present, and no notice of such adjournment shall be required. At any adjourned meeting where a quorum is present, any business may be transacted which could have been transacted at the meeting originally called.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3.13        </w:t>
      </w:r>
      <w:r>
        <w:rPr>
          <w:rFonts w:ascii="Times New Roman;Times;Serif" w:hAnsi="Times New Roman;Times;Serif"/>
          <w:b w:val="false"/>
          <w:i w:val="false"/>
          <w:caps w:val="false"/>
          <w:smallCaps w:val="false"/>
          <w:sz w:val="22"/>
          <w:u w:val="single"/>
        </w:rPr>
        <w:t>Manner of Acting</w:t>
      </w:r>
      <w:r>
        <w:rPr>
          <w:rFonts w:ascii="Times New Roman;Times;Serif" w:hAnsi="Times New Roman;Times;Serif"/>
          <w:b w:val="false"/>
          <w:i w:val="false"/>
          <w:caps w:val="false"/>
          <w:smallCaps w:val="false"/>
          <w:sz w:val="22"/>
        </w:rPr>
        <w:t xml:space="preserve">. Except as provided in </w:t>
      </w:r>
      <w:r>
        <w:rPr>
          <w:rFonts w:ascii="Times New Roman;Times;Serif" w:hAnsi="Times New Roman;Times;Serif"/>
          <w:b w:val="false"/>
          <w:i w:val="false"/>
          <w:caps w:val="false"/>
          <w:smallCaps w:val="false"/>
          <w:sz w:val="22"/>
          <w:u w:val="single"/>
        </w:rPr>
        <w:t>Section 3.15</w:t>
      </w:r>
      <w:r>
        <w:rPr>
          <w:rFonts w:ascii="Times New Roman;Times;Serif" w:hAnsi="Times New Roman;Times;Serif"/>
          <w:b w:val="false"/>
          <w:i w:val="false"/>
          <w:caps w:val="false"/>
          <w:smallCaps w:val="false"/>
          <w:sz w:val="22"/>
        </w:rPr>
        <w:t>, the affirmative vote of a majority of the directors present at a meeting at which a quorum is present is the act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3.14        </w:t>
      </w:r>
      <w:r>
        <w:rPr>
          <w:rFonts w:ascii="Times New Roman;Times;Serif" w:hAnsi="Times New Roman;Times;Serif"/>
          <w:b w:val="false"/>
          <w:i w:val="false"/>
          <w:caps w:val="false"/>
          <w:smallCaps w:val="false"/>
          <w:sz w:val="22"/>
          <w:u w:val="single"/>
        </w:rPr>
        <w:t>Meetings Through Remote Communications</w:t>
      </w:r>
      <w:r>
        <w:rPr>
          <w:rFonts w:ascii="Times New Roman;Times;Serif" w:hAnsi="Times New Roman;Times;Serif"/>
          <w:b w:val="false"/>
          <w:i w:val="false"/>
          <w:caps w:val="false"/>
          <w:smallCaps w:val="false"/>
          <w:sz w:val="22"/>
        </w:rPr>
        <w:t xml:space="preserve">. Members of the Board of Directors or of any committee designated by the Board of Directors may participate in a meeting of the Board of Directors or such committee by any means of remote communications, including electronic communications, videoconferencing, teleconferencing or other available technology permitted under the NRS (including, without limitation, a telephone conference or similar method of communication by which all individuals participating in the meeting can hear each other) and utilized by the Corporation. If any such means are utilized, the Corporation shall, to the extent required under the NRS, implement reasonable measures to (a) verify the identity of each person participating through such means as a director or member of the committee, as the case may be, and (b) provide the directors or members of the committee a reasonable opportunity to participate in the meeting and to vote on matters submitted to the directors or members of the committee, including an opportunity to communicate, and to read or hear the proceedings of the meeting in a substantially concurrent manner with such proceedings. Participation in a meeting pursuant to this </w:t>
      </w:r>
      <w:r>
        <w:rPr>
          <w:rFonts w:ascii="Times New Roman;Times;Serif" w:hAnsi="Times New Roman;Times;Serif"/>
          <w:b w:val="false"/>
          <w:i w:val="false"/>
          <w:caps w:val="false"/>
          <w:smallCaps w:val="false"/>
          <w:sz w:val="22"/>
          <w:u w:val="single"/>
        </w:rPr>
        <w:t>Section 3.14</w:t>
      </w:r>
      <w:r>
        <w:rPr>
          <w:rFonts w:ascii="Times New Roman;Times;Serif" w:hAnsi="Times New Roman;Times;Serif"/>
          <w:b w:val="false"/>
          <w:i w:val="false"/>
          <w:caps w:val="false"/>
          <w:smallCaps w:val="false"/>
          <w:sz w:val="22"/>
        </w:rPr>
        <w:t xml:space="preserve"> constitutes presence in person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3.15        </w:t>
      </w:r>
      <w:r>
        <w:rPr>
          <w:rFonts w:ascii="Times New Roman;Times;Serif" w:hAnsi="Times New Roman;Times;Serif"/>
          <w:b w:val="false"/>
          <w:i w:val="false"/>
          <w:caps w:val="false"/>
          <w:smallCaps w:val="false"/>
          <w:sz w:val="22"/>
          <w:u w:val="single"/>
        </w:rPr>
        <w:t>Action Without Meeting</w:t>
      </w:r>
      <w:r>
        <w:rPr>
          <w:rFonts w:ascii="Times New Roman;Times;Serif" w:hAnsi="Times New Roman;Times;Serif"/>
          <w:b w:val="false"/>
          <w:i w:val="false"/>
          <w:caps w:val="false"/>
          <w:smallCaps w:val="false"/>
          <w:sz w:val="22"/>
        </w:rPr>
        <w:t>. Any action required or permitted to be taken at a meeting of the Board of Directors or of a committee thereof may be taken without a meeting if, before or after the action, a written consent thereto is signed by all of the members of the Board of Directors or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committee. The written consent may be signed manually or electronically (or by any other means then permitted under the NRS), and may be so signed in counterparts, including, without limitation, facsimile or email counterparts, and shall be filed with the minutes of the proceedings of the Board of Directors or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3.16     </w:t>
      </w:r>
      <w:r>
        <w:rPr>
          <w:rFonts w:ascii="Times New Roman;Times;Serif" w:hAnsi="Times New Roman;Times;Serif"/>
          <w:b w:val="false"/>
          <w:i w:val="false"/>
          <w:caps w:val="false"/>
          <w:smallCaps w:val="false"/>
          <w:sz w:val="22"/>
          <w:u w:val="single"/>
        </w:rPr>
        <w:t>Powers and Duties</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Except as otherwise restricted by NRS Chapter 78 or the Articles of Incorporation, the Board of Directors has full control over the business and affairs of the Corporation. The Board of Directors may delegate any of its authority to manage, control or conduct the business of the Corporation to any standing or special committee, or to any officer or agent, and to appoint any persons to be agents of the Corporation with such powers, including the power to subdelegate, and upon such terms as it deems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The Board of Directors, in its discretion, or the officer presiding at a meeting of stockholders, in his or her discretion, may submit any contract or act for approval or ratification at any annual meeting of the stockholders or any special meeting properly called and noticed for the purpose of considering any such contract or act, provided a quorum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          The Board of Directors may, by resolution passed by at least a majority of the Board of Directors, designate one or more committees, provided that each such committee must have at least one director of the Corporation as a member. Unless the Articles of Incorporation, the charter of the committee, or the resolutions designating the committee expressly require that all members of such committee be directors of the Corporation, the Board of Directors may appoint natural persons who are not directors of the Corporation to serve on such committee. The Board of Directors may designate one or more individuals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individual to act at the meeting in the place of any such absent or disqualified member. Subject to applicable law and to the extent provided in the resolution of the Board of Directors, any such committee shall have and may exercise all the powers of the Board of Directors in the management of the business and affairs of the Corporation. Such committee or committees shall have such name or names as may be determined from time to time by resolution adopted by the Board of Directors. The committees shall keep regular minutes of their proceedings and report the same to the Board of Directors when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          The Board of Directors, by resolution adopted by at least a majority of the Board of Directors, may designate three or more directors to constitute an audit committee of the Corporation, to serve as such until the next annual meeting of the Board of Directors or until their respective successors are designated. The audit committee will carry out its responsibilities as set forth in an audit committee charter adopted, and as amended from time to time,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3.17       </w:t>
      </w:r>
      <w:r>
        <w:rPr>
          <w:rFonts w:ascii="Times New Roman;Times;Serif" w:hAnsi="Times New Roman;Times;Serif"/>
          <w:b w:val="false"/>
          <w:i w:val="false"/>
          <w:caps w:val="false"/>
          <w:smallCaps w:val="false"/>
          <w:sz w:val="22"/>
          <w:u w:val="single"/>
        </w:rPr>
        <w:t>Compensation</w:t>
      </w:r>
      <w:r>
        <w:rPr>
          <w:rFonts w:ascii="Times New Roman;Times;Serif" w:hAnsi="Times New Roman;Times;Serif"/>
          <w:b w:val="false"/>
          <w:i w:val="false"/>
          <w:caps w:val="false"/>
          <w:smallCaps w:val="false"/>
          <w:sz w:val="22"/>
        </w:rPr>
        <w:t xml:space="preserve">. The Board of Directors, without regard to personal interest, may establish the compensation of directors for services in any capacity, which may include the payment of expenses, if any, of attendance at each meeting of the Board of Directors, or a fixed sum for attendance at each meeting or a stated salary as director. If the Board of Directors establishes the compensation of directors pursuant to this </w:t>
      </w:r>
      <w:r>
        <w:rPr>
          <w:rFonts w:ascii="Times New Roman;Times;Serif" w:hAnsi="Times New Roman;Times;Serif"/>
          <w:b w:val="false"/>
          <w:i w:val="false"/>
          <w:caps w:val="false"/>
          <w:smallCaps w:val="false"/>
          <w:sz w:val="22"/>
          <w:u w:val="single"/>
        </w:rPr>
        <w:t>Section 3.17</w:t>
      </w:r>
      <w:r>
        <w:rPr>
          <w:rFonts w:ascii="Times New Roman;Times;Serif" w:hAnsi="Times New Roman;Times;Serif"/>
          <w:b w:val="false"/>
          <w:i w:val="false"/>
          <w:caps w:val="false"/>
          <w:smallCaps w:val="false"/>
          <w:sz w:val="22"/>
        </w:rPr>
        <w:t>, such compensation is presumed to be fair to the Corporation unless proven unfair by a preponderance of the evidence. No such payment shall preclude any director from serving the Corporation in any other capacity and receiving compensation therefor. At the discretion of the Board of Directors, members of special or standing committees may be allowed like compensation for attending committee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3.18       </w:t>
      </w:r>
      <w:r>
        <w:rPr>
          <w:rFonts w:ascii="Times New Roman;Times;Serif" w:hAnsi="Times New Roman;Times;Serif"/>
          <w:b w:val="false"/>
          <w:i w:val="false"/>
          <w:caps w:val="false"/>
          <w:smallCaps w:val="false"/>
          <w:sz w:val="22"/>
          <w:u w:val="single"/>
        </w:rPr>
        <w:t>Organization</w:t>
      </w:r>
      <w:r>
        <w:rPr>
          <w:rFonts w:ascii="Times New Roman;Times;Serif" w:hAnsi="Times New Roman;Times;Serif"/>
          <w:b w:val="false"/>
          <w:i w:val="false"/>
          <w:caps w:val="false"/>
          <w:smallCaps w:val="false"/>
          <w:sz w:val="22"/>
        </w:rPr>
        <w:t>. Meetings of the Board of Directors shall be presided over by the chair of the board, or in the absence of the chair of the board by the vice chair, if any, or in his or her absence by a chair chosen at the meeting. The secretary, or in the absence, of the secretary an assistant secretary, shall act as secretary of the meeting, but in the absence of the secretary and any assistant secretary, the chair of the meeting may appoint any person to act as secretary of the meeting. The order of business at each such meeting shall be as determined by the chair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ARTICLE IV</w:t>
      </w:r>
    </w:p>
    <w:p>
      <w:pPr>
        <w:pStyle w:val="TextBody"/>
        <w:bidi w:val="0"/>
        <w:spacing w:before="0" w:after="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4.1          </w:t>
      </w:r>
      <w:r>
        <w:rPr>
          <w:rFonts w:ascii="Times New Roman;Times;Serif" w:hAnsi="Times New Roman;Times;Serif"/>
          <w:b w:val="false"/>
          <w:i w:val="false"/>
          <w:caps w:val="false"/>
          <w:smallCaps w:val="false"/>
          <w:sz w:val="22"/>
          <w:u w:val="single"/>
        </w:rPr>
        <w:t>Election</w:t>
      </w:r>
      <w:r>
        <w:rPr>
          <w:rFonts w:ascii="Times New Roman;Times;Serif" w:hAnsi="Times New Roman;Times;Serif"/>
          <w:b w:val="false"/>
          <w:i w:val="false"/>
          <w:caps w:val="false"/>
          <w:smallCaps w:val="false"/>
          <w:sz w:val="22"/>
        </w:rPr>
        <w:t>. The Board of Directors shall elect or appoint a chief executive officer, a president, a secretary and a treasurer or the equivalents of such officers. Such officers shall serve until their respective successors are elected and appointed and shall qualify or until their earlier resignation or removal. The Board of Directors may from time to time, by resolution, elect or appoint such other officers and agents as it may deem advisable, including but not limited to a chair of the board and vice chair of the board (each of whom must be a director), a chief financial officer, assistant chief financial officer, controller, and one or more vice presidents, assistant treasurers and assistant secretaries, who shall hold office at the pleasure of the Board of Directors, and shall have such powers and duties and be paid such compensation as may be directed by the Board of Directors. Any individual may hold two or more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4.2          </w:t>
      </w:r>
      <w:r>
        <w:rPr>
          <w:rFonts w:ascii="Times New Roman;Times;Serif" w:hAnsi="Times New Roman;Times;Serif"/>
          <w:b w:val="false"/>
          <w:i w:val="false"/>
          <w:caps w:val="false"/>
          <w:smallCaps w:val="false"/>
          <w:sz w:val="22"/>
          <w:u w:val="single"/>
        </w:rPr>
        <w:t>Removal; Resignation</w:t>
      </w:r>
      <w:r>
        <w:rPr>
          <w:rFonts w:ascii="Times New Roman;Times;Serif" w:hAnsi="Times New Roman;Times;Serif"/>
          <w:b w:val="false"/>
          <w:i w:val="false"/>
          <w:caps w:val="false"/>
          <w:smallCaps w:val="false"/>
          <w:sz w:val="22"/>
        </w:rPr>
        <w:t>. Any officer or agent elected or appointed by the Board of Directors may be removed by the Board of Directors with or without cause. Any officer may resign at any time upon written notice to the Corporation. Any such removal or resignation shall be subject to the rights, if any, of the respective parties under any contract between the Corporation and such officer or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4.3          </w:t>
      </w:r>
      <w:r>
        <w:rPr>
          <w:rFonts w:ascii="Times New Roman;Times;Serif" w:hAnsi="Times New Roman;Times;Serif"/>
          <w:b w:val="false"/>
          <w:i w:val="false"/>
          <w:caps w:val="false"/>
          <w:smallCaps w:val="false"/>
          <w:sz w:val="22"/>
          <w:u w:val="single"/>
        </w:rPr>
        <w:t>Vacancies</w:t>
      </w:r>
      <w:r>
        <w:rPr>
          <w:rFonts w:ascii="Times New Roman;Times;Serif" w:hAnsi="Times New Roman;Times;Serif"/>
          <w:b w:val="false"/>
          <w:i w:val="false"/>
          <w:caps w:val="false"/>
          <w:smallCaps w:val="false"/>
          <w:sz w:val="22"/>
        </w:rPr>
        <w:t>. Any vacancy in any office because of death, resignation, removal or otherwise may be filled by the Board of Directors for the unexpired portion of the term of such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4.4          </w:t>
      </w:r>
      <w:r>
        <w:rPr>
          <w:rFonts w:ascii="Times New Roman;Times;Serif" w:hAnsi="Times New Roman;Times;Serif"/>
          <w:b w:val="false"/>
          <w:i w:val="false"/>
          <w:caps w:val="false"/>
          <w:smallCaps w:val="false"/>
          <w:sz w:val="22"/>
          <w:u w:val="single"/>
        </w:rPr>
        <w:t>Chief Executive Officer</w:t>
      </w:r>
      <w:r>
        <w:rPr>
          <w:rFonts w:ascii="Times New Roman;Times;Serif" w:hAnsi="Times New Roman;Times;Serif"/>
          <w:b w:val="false"/>
          <w:i w:val="false"/>
          <w:caps w:val="false"/>
          <w:smallCaps w:val="false"/>
          <w:sz w:val="22"/>
        </w:rPr>
        <w:t>. The chief executive officer shall, subject to the control of the Board of Directors, have general executive charge, management and control of the properties, business and operations of the Corporation with all such powers as may be reasonably incident to such responsibilities, and the chief executive officer may agree upon and execute all leases, contracts, evidences of indebtedness and other obligations in the name of the Corporation and may sign all certificates for shares of capital stock of the Corporation. In the absence or disability of the chair of the board or vice chair of the board, or if there is none, the chief executive officer shall preside at all meetings of the stockholders and the Board of Directors. The chief executive officer shall also perform such other duties and may exercise such other powers as from time to time may be assigned to him or her by these Bylaws or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1"/>
        <w:jc w:val="both"/>
        <w:rPr>
          <w:rFonts w:ascii="Times New Roman;Times;Serif" w:hAnsi="Times New Roman;Times;Serif"/>
          <w:b w:val="false"/>
          <w:i w:val="false"/>
          <w:caps w:val="false"/>
          <w:smallCaps w:val="false"/>
          <w:sz w:val="21"/>
        </w:rPr>
      </w:pPr>
      <w:r>
        <w:rPr>
          <w:rFonts w:ascii="Times New Roman;Times;Serif" w:hAnsi="Times New Roman;Times;Serif"/>
          <w:b w:val="false"/>
          <w:i w:val="false"/>
          <w:caps w:val="false"/>
          <w:smallCaps w:val="false"/>
          <w:sz w:val="21"/>
        </w:rPr>
        <w:t xml:space="preserve">Section 4.5          </w:t>
      </w:r>
      <w:r>
        <w:rPr>
          <w:rFonts w:ascii="Times New Roman;Times;Serif" w:hAnsi="Times New Roman;Times;Serif"/>
          <w:b w:val="false"/>
          <w:i w:val="false"/>
          <w:caps w:val="false"/>
          <w:smallCaps w:val="false"/>
          <w:sz w:val="21"/>
          <w:u w:val="single"/>
        </w:rPr>
        <w:t>President</w:t>
      </w:r>
      <w:r>
        <w:rPr>
          <w:rFonts w:ascii="Times New Roman;Times;Serif" w:hAnsi="Times New Roman;Times;Serif"/>
          <w:b w:val="false"/>
          <w:i w:val="false"/>
          <w:caps w:val="false"/>
          <w:smallCaps w:val="false"/>
          <w:sz w:val="21"/>
        </w:rPr>
        <w:t xml:space="preserve">. The president, subject to the supervision and control of the Board of Directors, the chief executive officer and, if there is one, the chair of the board (or vice chair of the board), </w:t>
      </w:r>
      <w:r>
        <w:rPr>
          <w:rFonts w:ascii="Times New Roman;Times;Serif" w:hAnsi="Times New Roman;Times;Serif"/>
          <w:b w:val="false"/>
          <w:i w:val="false"/>
          <w:caps w:val="false"/>
          <w:smallCaps w:val="false"/>
          <w:sz w:val="22"/>
        </w:rPr>
        <w:t xml:space="preserve">shall in general actively supervise and control the business and affairs of the Corporation </w:t>
      </w:r>
      <w:r>
        <w:rPr>
          <w:rFonts w:ascii="Times New Roman;Times;Serif" w:hAnsi="Times New Roman;Times;Serif"/>
          <w:b w:val="false"/>
          <w:i w:val="false"/>
          <w:caps w:val="false"/>
          <w:smallCaps w:val="false"/>
          <w:sz w:val="21"/>
        </w:rPr>
        <w:t>and shall see that all orders and resolutions of the Board of Directors are carried into effect</w:t>
      </w:r>
      <w:r>
        <w:rPr>
          <w:rFonts w:ascii="Times New Roman;Times;Serif" w:hAnsi="Times New Roman;Times;Serif"/>
          <w:b w:val="false"/>
          <w:i w:val="false"/>
          <w:caps w:val="false"/>
          <w:smallCaps w:val="false"/>
          <w:sz w:val="22"/>
        </w:rPr>
        <w:t>. The president shall keep the Board of Directors fully informed as the Board of Directors may request and shall consult the Board of Directors concerning the business of the Corporation. In the absence or disability of the chief executive officer and, if there is one, the chair of the board (or vice chair of the board), the president shall preside at all meetings of the stockholders and the Board of Directors. The president shall perform such other duties and have such other powers which are delegated and assigned to him or her by the Board of Directors, the chief executive officer, these Bylaws or as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4.6         </w:t>
      </w:r>
      <w:r>
        <w:rPr>
          <w:rFonts w:ascii="Times New Roman;Times;Serif" w:hAnsi="Times New Roman;Times;Serif"/>
          <w:b w:val="false"/>
          <w:i w:val="false"/>
          <w:caps w:val="false"/>
          <w:smallCaps w:val="false"/>
          <w:sz w:val="22"/>
          <w:u w:val="single"/>
        </w:rPr>
        <w:t>Vice Presidents</w:t>
      </w:r>
      <w:r>
        <w:rPr>
          <w:rFonts w:ascii="Times New Roman;Times;Serif" w:hAnsi="Times New Roman;Times;Serif"/>
          <w:b w:val="false"/>
          <w:i w:val="false"/>
          <w:caps w:val="false"/>
          <w:smallCaps w:val="false"/>
          <w:sz w:val="22"/>
        </w:rPr>
        <w:t>. The Board of Directors may elect one or more vice presidents. In the absence or disability of the president, or at the president’s request, the vice president or vice presidents, in order of their rank as fixed by the Board of Directors, and if not ranked, the vice presidents in the order designated by the Board of Directors, or in the absence of such designation, in the order designated by the president, shall perform all of the duties of the president, and when so acting, shall have all the powers of, and be subject to all the restrictions on the president. Each vice president shall perform such other duties and have such other powers which are delegated and assigned to him or her by the Board of Directors, the president, these Bylaws or as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4.7        </w:t>
      </w:r>
      <w:r>
        <w:rPr>
          <w:rFonts w:ascii="Times New Roman;Times;Serif" w:hAnsi="Times New Roman;Times;Serif"/>
          <w:b w:val="false"/>
          <w:i w:val="false"/>
          <w:caps w:val="false"/>
          <w:smallCaps w:val="false"/>
          <w:sz w:val="22"/>
          <w:u w:val="single"/>
        </w:rPr>
        <w:t>Secretary</w:t>
      </w:r>
      <w:r>
        <w:rPr>
          <w:rFonts w:ascii="Times New Roman;Times;Serif" w:hAnsi="Times New Roman;Times;Serif"/>
          <w:b w:val="false"/>
          <w:i w:val="false"/>
          <w:caps w:val="false"/>
          <w:smallCaps w:val="false"/>
          <w:sz w:val="22"/>
        </w:rPr>
        <w:t>. The secretary shall attend all meetings of the stockholders, the Board of Directors and any committees thereof, and shall keep, or cause to be kept, the minutes of proceedings thereof in books provided for that purpose. He or she shall keep, or cause to be kept, a register of the stockholders of the Corporation and shall be responsible for the giving of notice of meetings of the stockholders, the Board of Directors and any committees, and shall see that all notices are duly given in accordance with the provisions of these Bylaws or as required by law. The secretary shall be custodian of the corporate seal, if any, the records of the Corporation, the stock certificate books, transfer books and stock ledgers, and such other books and papers as the Board of Directors or any appropriate committee may direct. The secretary shall perform all other duties commonly incident to his or her office and shall perform such other duties which are assigned to him or her by the Board of Directors, the chief executive officer, the president, these Bylaws or as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4.8          </w:t>
      </w:r>
      <w:r>
        <w:rPr>
          <w:rFonts w:ascii="Times New Roman;Times;Serif" w:hAnsi="Times New Roman;Times;Serif"/>
          <w:b w:val="false"/>
          <w:i w:val="false"/>
          <w:caps w:val="false"/>
          <w:smallCaps w:val="false"/>
          <w:sz w:val="22"/>
          <w:u w:val="single"/>
        </w:rPr>
        <w:t>Assistant Secretaries</w:t>
      </w:r>
      <w:r>
        <w:rPr>
          <w:rFonts w:ascii="Times New Roman;Times;Serif" w:hAnsi="Times New Roman;Times;Serif"/>
          <w:b w:val="false"/>
          <w:i w:val="false"/>
          <w:caps w:val="false"/>
          <w:smallCaps w:val="false"/>
          <w:sz w:val="22"/>
        </w:rPr>
        <w:t>. An assistant secretary shall, at the request of the secretary, or in the absence or disability of the secretary, perform all the duties of the secretary. He or she shall perform such other duties as are assigned to him or her by the Board of Directors, the chief executive officer, the president, these Bylaws or as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4.9          </w:t>
      </w:r>
      <w:r>
        <w:rPr>
          <w:rFonts w:ascii="Times New Roman;Times;Serif" w:hAnsi="Times New Roman;Times;Serif"/>
          <w:b w:val="false"/>
          <w:i w:val="false"/>
          <w:caps w:val="false"/>
          <w:smallCaps w:val="false"/>
          <w:sz w:val="22"/>
          <w:u w:val="single"/>
        </w:rPr>
        <w:t>Chief Financial Officer</w:t>
      </w:r>
      <w:r>
        <w:rPr>
          <w:rFonts w:ascii="Times New Roman;Times;Serif" w:hAnsi="Times New Roman;Times;Serif"/>
          <w:b w:val="false"/>
          <w:i w:val="false"/>
          <w:caps w:val="false"/>
          <w:smallCaps w:val="false"/>
          <w:sz w:val="22"/>
        </w:rPr>
        <w:t>. The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chief financial officer shall disburse the funds of the Corporation as may be ordered by the Board of Directors, taking proper vouchers for such disbursements, and shall render to the chief executive officer, the chair of the board, the vice chair of the board, the president and the Board of Directors, at its regular meetings or when the Board of Directors so requires, an account of all transactions as chief financial officer and of the financial condition of the Corporation. The chief financial officer shall perform such other duties as may from time to time be prescribed by the Board of Directors, the chief executive officer, the chair of the board, the vice chair of the board or the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4.10       </w:t>
      </w:r>
      <w:r>
        <w:rPr>
          <w:rFonts w:ascii="Times New Roman;Times;Serif" w:hAnsi="Times New Roman;Times;Serif"/>
          <w:b w:val="false"/>
          <w:i w:val="false"/>
          <w:caps w:val="false"/>
          <w:smallCaps w:val="false"/>
          <w:sz w:val="22"/>
          <w:u w:val="single"/>
        </w:rPr>
        <w:t>Assistant Chief Financial Officer</w:t>
      </w:r>
      <w:r>
        <w:rPr>
          <w:rFonts w:ascii="Times New Roman;Times;Serif" w:hAnsi="Times New Roman;Times;Serif"/>
          <w:b w:val="false"/>
          <w:i w:val="false"/>
          <w:caps w:val="false"/>
          <w:smallCaps w:val="false"/>
          <w:sz w:val="22"/>
        </w:rPr>
        <w:t>. The assistant chief financial officer, or if there is more than one, the assistant chief financial officers, in the order determined by the Board of Directors (or if there is no such determination, then in the order of their election), shall, in the absence of the chief financial officer or in the event of the chief financial officer's inability or refusal to act, perform the duties and exercise the powers of the chief financial officer and shall perform such other duties and have such other powers as may from time to time be prescribed by the Board of Directors, the chief executive officer, the chair of the board, the vice chair of the board, the president or the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4.11      </w:t>
      </w:r>
      <w:r>
        <w:rPr>
          <w:rFonts w:ascii="Times New Roman;Times;Serif" w:hAnsi="Times New Roman;Times;Serif"/>
          <w:b w:val="false"/>
          <w:i w:val="false"/>
          <w:caps w:val="false"/>
          <w:smallCaps w:val="false"/>
          <w:sz w:val="22"/>
          <w:u w:val="single"/>
        </w:rPr>
        <w:t>Controller.</w:t>
      </w:r>
      <w:r>
        <w:rPr>
          <w:rFonts w:ascii="Times New Roman;Times;Serif" w:hAnsi="Times New Roman;Times;Serif"/>
          <w:b w:val="false"/>
          <w:i w:val="false"/>
          <w:caps w:val="false"/>
          <w:smallCaps w:val="false"/>
          <w:sz w:val="22"/>
        </w:rPr>
        <w:t xml:space="preserve"> The Board of Directors may elect a controller who shall be responsible for all accounting and auditing functions of the Corporation and who shall perform such other duties as may from time to time be required of him or her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1"/>
        </w:rPr>
        <w:t xml:space="preserve">Section 4.12       </w:t>
      </w:r>
      <w:r>
        <w:rPr>
          <w:rFonts w:ascii="Times New Roman;Times;Serif" w:hAnsi="Times New Roman;Times;Serif"/>
          <w:b w:val="false"/>
          <w:i w:val="false"/>
          <w:caps w:val="false"/>
          <w:smallCaps w:val="false"/>
          <w:sz w:val="22"/>
          <w:u w:val="single"/>
        </w:rPr>
        <w:t>Treasurer</w:t>
      </w:r>
      <w:r>
        <w:rPr>
          <w:rFonts w:ascii="Times New Roman;Times;Serif" w:hAnsi="Times New Roman;Times;Serif"/>
          <w:b w:val="false"/>
          <w:i w:val="false"/>
          <w:caps w:val="false"/>
          <w:smallCaps w:val="false"/>
          <w:sz w:val="22"/>
        </w:rPr>
        <w:t xml:space="preserve">. The treasurer, if any, shall have the custody of the corporate </w:t>
      </w:r>
      <w:r>
        <w:rPr>
          <w:rFonts w:ascii="Times New Roman;Times;Serif" w:hAnsi="Times New Roman;Times;Serif"/>
          <w:b w:val="false"/>
          <w:i w:val="false"/>
          <w:caps w:val="false"/>
          <w:smallCaps w:val="false"/>
          <w:sz w:val="24"/>
        </w:rPr>
        <w:t xml:space="preserve">funds and securities and shall keep full and accurate accounts of receipts and disbursements in books belonging to the Corporation and shall deposit all moneys and other valuable effects </w:t>
      </w:r>
      <w:r>
        <w:rPr>
          <w:rFonts w:ascii="Times New Roman;Times;Serif" w:hAnsi="Times New Roman;Times;Serif"/>
          <w:b w:val="false"/>
          <w:i w:val="false"/>
          <w:caps w:val="false"/>
          <w:smallCaps w:val="false"/>
          <w:sz w:val="22"/>
        </w:rPr>
        <w:t>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chief executive officer, the president and the Board of Directors, at its regular meetings, or when the Board of Directors so requires, an account of 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possession or under his or her control belonging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18"/>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4.13       </w:t>
      </w:r>
      <w:r>
        <w:rPr>
          <w:rFonts w:ascii="Times New Roman;Times;Serif" w:hAnsi="Times New Roman;Times;Serif"/>
          <w:b w:val="false"/>
          <w:i w:val="false"/>
          <w:caps w:val="false"/>
          <w:smallCaps w:val="false"/>
          <w:sz w:val="22"/>
          <w:u w:val="single"/>
        </w:rPr>
        <w:t>Assistant Treasurers</w:t>
      </w:r>
      <w:r>
        <w:rPr>
          <w:rFonts w:ascii="Times New Roman;Times;Serif" w:hAnsi="Times New Roman;Times;Serif"/>
          <w:b w:val="false"/>
          <w:i w:val="false"/>
          <w:caps w:val="false"/>
          <w:smallCaps w:val="false"/>
          <w:sz w:val="22"/>
        </w:rPr>
        <w:t>. An assistant treasurer shall, at the request of the treasurer, or in the absence or disability of the treasurer, perform all the duties of the treasurer. He or she shall perform such other duties which are assigned to him or her by the Board of Directors, the chief executive officer, the president, the treasurer, these Bylaws or as provided by law. The Board of Directors may require an assistant treasurer to give a bond to the Corporation in such sum and with such security as it may approve, for the faithful performance of the duties of the assistant treasurer, and for restoration to the Corporation, in the event of the assistant treasurer’s death, resignation, retirement or removal from office, of all books, records, papers, vouchers, money and other property in the assistant treasurer’s custody or control and belonging to the Corporation. The expense of such bond shall be borne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4.14       </w:t>
      </w:r>
      <w:r>
        <w:rPr>
          <w:rFonts w:ascii="Times New Roman;Times;Serif" w:hAnsi="Times New Roman;Times;Serif"/>
          <w:b w:val="false"/>
          <w:i w:val="false"/>
          <w:caps w:val="false"/>
          <w:smallCaps w:val="false"/>
          <w:sz w:val="22"/>
          <w:u w:val="single"/>
        </w:rPr>
        <w:t>Execution of Negotiable Instruments, Deeds and Contracts</w:t>
      </w:r>
      <w:r>
        <w:rPr>
          <w:rFonts w:ascii="Times New Roman;Times;Serif" w:hAnsi="Times New Roman;Times;Serif"/>
          <w:b w:val="false"/>
          <w:i w:val="false"/>
          <w:caps w:val="false"/>
          <w:smallCaps w:val="false"/>
          <w:sz w:val="22"/>
        </w:rPr>
        <w:t>. All (i) checks, drafts, notes, bonds, bills of exchange, and orders for the payment of money of the Corporation, (ii) deeds, mortgages, proxies, powers of attorney and other written contracts, documents, instruments and agreements to which the Corporation shall be a party and (iii) assignments or endorsements of stock certificates, registered bonds or other securities owned by the Corporation shall be signed in the name of the Corporation by such officers or other persons as the Board of Directors or the chief executive officer may from time to time designate. The Board of Directors may authorize the use of the facsimile and electronic signatures of any such persons. Any officer of the Corporation shall be authorized to attend, act and vote, or designate another officer or an agent of the Corporation to attend, act and vote, at any meeting of the owners of any entity in which the Corporation may own an interest or to take action by written consent in lieu thereof. Such officer or agent, at any such meeting or by such written action, shall possess and may exercise on behalf of the Corporation any and all rights and powers incident to the ownership of such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ARTICLE V</w:t>
      </w:r>
    </w:p>
    <w:p>
      <w:pPr>
        <w:pStyle w:val="TextBody"/>
        <w:bidi w:val="0"/>
        <w:spacing w:before="0" w:after="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5.1          </w:t>
      </w:r>
      <w:r>
        <w:rPr>
          <w:rFonts w:ascii="Times New Roman;Times;Serif" w:hAnsi="Times New Roman;Times;Serif"/>
          <w:b w:val="false"/>
          <w:i w:val="false"/>
          <w:caps w:val="false"/>
          <w:smallCaps w:val="false"/>
          <w:sz w:val="22"/>
          <w:u w:val="single"/>
        </w:rPr>
        <w:t>Issuance</w:t>
      </w:r>
      <w:r>
        <w:rPr>
          <w:rFonts w:ascii="Times New Roman;Times;Serif" w:hAnsi="Times New Roman;Times;Serif"/>
          <w:b w:val="false"/>
          <w:i w:val="false"/>
          <w:caps w:val="false"/>
          <w:smallCaps w:val="false"/>
          <w:sz w:val="22"/>
        </w:rPr>
        <w:t>. Shares of the Corporation’s authorized capital stock shall, subject to any provisions or limitations of the laws of the State of Nevada, the Articles of Incorporation or any contracts or agreements to which the Corporation may be a party, be issued in such manner, at such times, upon such conditions and for such consideration as shall be prescribed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Section 5.2        </w:t>
      </w:r>
      <w:r>
        <w:rPr>
          <w:rFonts w:ascii="Times New Roman;Times;Serif" w:hAnsi="Times New Roman;Times;Serif"/>
          <w:b w:val="false"/>
          <w:i w:val="false"/>
          <w:caps w:val="false"/>
          <w:smallCaps w:val="false"/>
          <w:sz w:val="22"/>
          <w:u w:val="single"/>
        </w:rPr>
        <w:t>Stock Certificates and Uncertificated Shares</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          Every holder of stock in the Corporation shall be entitled to have a certificate issued and signed by or in the name of the Corporation by (i) the chief executive officer, the president, or a vice president, and (ii) the secretary, an assistant secretary, the treasurer or the chief financial officer, if any, of the Corporation (or any other two officers or agents so authorized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certifying the number of shares of stock owned by him, her or it in the Corporation; provided that the Board of Directors may authorize the issuance of uncertificated shares of some or all of any or all classes or series of the Corporation’s stock. Any such issuance of uncertificated shares shall have no effect on existing certificates for shares until such certificates are surrendered to the Corporation, or on the respective rights and obligations of the stockholders. Whenever any such certificate is countersigned or otherwise authenticated by a transfer agent or a transfer clerk and by a registrar (other than the Corporation), then a facsimile of the signatures of any corporate officers or agents, the transfer agent, transfer clerk or the registrar of the Corporation may be printed or lithographed upon the certificate in lieu of the actual signatures. In the event that any officer or officers who have signed, or whose facsimile signatures have been used on any certificate or certificates for stock cease to be an officer or officers because of death, resignation or other reason, before the certificate or certificates for stock have been delivered by the Corporation, the certificate or certificates may nevertheless be adopted by the Corporation and be issued and delivered as though the person or persons who signed the certificate or certificates, or whose facsimile signature or signatures have been used thereon, had not ceased to be an officer or officers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          Within a reasonable time after the issuance or transfer of uncertificated shares, the Corporation shall send to the registered owner thereof a written statement certifying the number and class (and the designation of the series, if any) of the shares owned by such stockholder in the Corporation and any restrictions on the transfer or registration of such shares imposed by the Articles of Incorporation, these Bylaws, any agreement among stockholders or any agreement between the stockholders and the Corporation, and, at least annually thereafter, to the extent required by law, the Corporation shall provide to such stockholders of record holding uncertificated shares, a written statement confirming the information contained in such written statement previously sent. Except as otherwise expressly provided by the NRS, the rights and obligations of the stockholders of the Corporation shall be identical whether or not their shares of stock are represented by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         Each certificate representing shares shall state the following upon the face thereof: the name of the state of the Corporation’s organization; the name of the person to whom issued; the number and class of shares and the designation of the series, if any, which such certificate represents; the par value of each share, if any, represented by such certificate or a statement that the shares are without par value. Certificates of stock shall be in such form consistent with law as shall be prescribed by the Board of Directors. No certificate shall be issued until the shares represented thereby are fully paid. In addition to the foregoing, all certificates evidencing shares of the Corporation’s stock or other securities issued by the Corporation shall contain such legend or legends as may from time to time be required by the NRS or such other federal, state or local laws or regulations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5.3         </w:t>
      </w:r>
      <w:r>
        <w:rPr>
          <w:rFonts w:ascii="Times New Roman;Times;Serif" w:hAnsi="Times New Roman;Times;Serif"/>
          <w:b w:val="false"/>
          <w:i w:val="false"/>
          <w:caps w:val="false"/>
          <w:smallCaps w:val="false"/>
          <w:sz w:val="22"/>
          <w:u w:val="single"/>
        </w:rPr>
        <w:t>Surrendered; Lost or Destroyed Certificates</w:t>
      </w:r>
      <w:r>
        <w:rPr>
          <w:rFonts w:ascii="Times New Roman;Times;Serif" w:hAnsi="Times New Roman;Times;Serif"/>
          <w:b w:val="false"/>
          <w:i w:val="false"/>
          <w:caps w:val="false"/>
          <w:smallCaps w:val="false"/>
          <w:sz w:val="22"/>
        </w:rPr>
        <w:t>. All certificates surrendered to the Corporation, except those representing shares of treasury stock, shall be canceled and no new certificate shall be issued until the former certificate for a like number of shares shall have been canceled, except that in case of a lost, stolen, destroyed or mutilated certificate, a new one may be issued therefor. However, any stockholder applying for the issuance of a stock certificate in lieu of one alleged to have been lost, stolen, destroyed or mutilated shall, prior to the issuance of a replacement, provide the Corporation with his, her or its affidavit of the facts surrounding the loss, theft, destruction or mutilation and, if required by the Board of Directors, an indemnity bond in an amount not less than twice the current market value of the stock, and upon such terms as the treasurer or the Board of Directors shall require which shall indemnify the Corporation against any loss, damage, cost or inconvenience arising as a consequence of the issuance of a replacement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Section 5.4         </w:t>
      </w:r>
      <w:r>
        <w:rPr>
          <w:rFonts w:ascii="Times New Roman;Times;Serif" w:hAnsi="Times New Roman;Times;Serif"/>
          <w:b w:val="false"/>
          <w:i w:val="false"/>
          <w:caps w:val="false"/>
          <w:smallCaps w:val="false"/>
          <w:sz w:val="22"/>
          <w:u w:val="single"/>
        </w:rPr>
        <w:t>Replacement Certificate</w:t>
      </w:r>
      <w:r>
        <w:rPr>
          <w:rFonts w:ascii="Times New Roman;Times;Serif" w:hAnsi="Times New Roman;Times;Serif"/>
          <w:b w:val="false"/>
          <w:i w:val="false"/>
          <w:caps w:val="false"/>
          <w:smallCaps w:val="false"/>
          <w:sz w:val="22"/>
        </w:rPr>
        <w:t>. When the Articles of Incorporation are amended in any way affecting the statements contained in the certificates for outstanding shares of capital stock of the Corporation or it becomes desirable for any reason, in the discretion of the Board of Directors,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without limitation, the merger of the Corporation with another Corporation or the conversion or reorganization of the Corporation, to cancel any outstanding certificate for shares and issue a new certificate therefor conforming to the rights of the holder, the Board of Directors may order any holders of outstanding certificates for shares to surrender and exchange the same for new certificates within a reasonable time to be fixed by the Board of Directors. The order may provide that a holder of any certificate(s) ordered to be surrendered shall not be entitled to vote, receive distributions or exercise any other rights of stockholders of record until the holder has complied with the order, but the order operates to suspend such rights only after notice and until compliance.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5.5          </w:t>
      </w:r>
      <w:r>
        <w:rPr>
          <w:rFonts w:ascii="Times New Roman;Times;Serif" w:hAnsi="Times New Roman;Times;Serif"/>
          <w:b w:val="false"/>
          <w:i w:val="false"/>
          <w:caps w:val="false"/>
          <w:smallCaps w:val="false"/>
          <w:sz w:val="22"/>
          <w:u w:val="single"/>
        </w:rPr>
        <w:t>Transfer of Shares</w:t>
      </w:r>
      <w:r>
        <w:rPr>
          <w:rFonts w:ascii="Times New Roman;Times;Serif" w:hAnsi="Times New Roman;Times;Serif"/>
          <w:b w:val="false"/>
          <w:i w:val="false"/>
          <w:caps w:val="false"/>
          <w:smallCaps w:val="false"/>
          <w:sz w:val="22"/>
        </w:rPr>
        <w:t>. No transfer of stock shall be valid as against the Corporation except on surrender and cancellation of any certificate(s) therefor accompanied by an assignment or transfer by the registered owner made either in person or under assignment. Upon receipt of proper transfer instructions from the registered owner of uncertificated shares, such uncertificated shares shall be canceled and issuance of new, equivalent uncertificated shares or certificated shares shall be made to the stockholder entitled thereto and the transaction shall be recorded in the records of the Corporation. Whenever any transfer shall be expressly made for collateral security and not absolutely, the collateral nature of the transfer shall be reflected in the entry of transfer in the records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5.6        </w:t>
      </w:r>
      <w:r>
        <w:rPr>
          <w:rFonts w:ascii="Times New Roman;Times;Serif" w:hAnsi="Times New Roman;Times;Serif"/>
          <w:b w:val="false"/>
          <w:i w:val="false"/>
          <w:caps w:val="false"/>
          <w:smallCaps w:val="false"/>
          <w:sz w:val="22"/>
          <w:u w:val="single"/>
        </w:rPr>
        <w:t>Transfer Agent; Registrars</w:t>
      </w:r>
      <w:r>
        <w:rPr>
          <w:rFonts w:ascii="Times New Roman;Times;Serif" w:hAnsi="Times New Roman;Times;Serif"/>
          <w:b w:val="false"/>
          <w:i w:val="false"/>
          <w:caps w:val="false"/>
          <w:smallCaps w:val="false"/>
          <w:sz w:val="22"/>
        </w:rPr>
        <w:t>. The Board of Directors may appoint one or more transfer agents, transfer clerks and registrars of transfer and may require all certificates for shares of stock to bear the signature of such transfer agents, transfer clerks and/or registrars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5.7        </w:t>
      </w:r>
      <w:r>
        <w:rPr>
          <w:rFonts w:ascii="Times New Roman;Times;Serif" w:hAnsi="Times New Roman;Times;Serif"/>
          <w:b w:val="false"/>
          <w:i w:val="false"/>
          <w:caps w:val="false"/>
          <w:smallCaps w:val="false"/>
          <w:sz w:val="22"/>
          <w:u w:val="single"/>
        </w:rPr>
        <w:t>Miscellaneous</w:t>
      </w:r>
      <w:r>
        <w:rPr>
          <w:rFonts w:ascii="Times New Roman;Times;Serif" w:hAnsi="Times New Roman;Times;Serif"/>
          <w:b w:val="false"/>
          <w:i w:val="false"/>
          <w:caps w:val="false"/>
          <w:smallCaps w:val="false"/>
          <w:sz w:val="22"/>
        </w:rPr>
        <w:t>. The Board of Directors shall have the power and authority to make such rules and regulations not inconsistent herewith as it may deem expedient concerning the issue, transfer, and registration of certificates for shares of the Corporation’s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ARTICLE VI</w:t>
      </w:r>
    </w:p>
    <w:p>
      <w:pPr>
        <w:pStyle w:val="TextBody"/>
        <w:bidi w:val="0"/>
        <w:spacing w:before="0" w:after="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Distributions may be declared, subject to the provisions of the laws of the State of Nevada and the Articles of Incorporation, by the Board of Directors and may be paid in money, shares of corporate stock, property or any other medium not prohibited under applicable law. The Board of Directors may fix in advance a record date, in accordance with and as provided in </w:t>
      </w:r>
      <w:r>
        <w:rPr>
          <w:rFonts w:ascii="Times New Roman;Times;Serif" w:hAnsi="Times New Roman;Times;Serif"/>
          <w:b w:val="false"/>
          <w:i w:val="false"/>
          <w:caps w:val="false"/>
          <w:smallCaps w:val="false"/>
          <w:sz w:val="22"/>
          <w:u w:val="single"/>
        </w:rPr>
        <w:t>Section 2.5</w:t>
      </w:r>
      <w:r>
        <w:rPr>
          <w:rFonts w:ascii="Times New Roman;Times;Serif" w:hAnsi="Times New Roman;Times;Serif"/>
          <w:b w:val="false"/>
          <w:i w:val="false"/>
          <w:caps w:val="false"/>
          <w:smallCaps w:val="false"/>
          <w:sz w:val="22"/>
        </w:rPr>
        <w:t>, prior to the distribution for the purpose of determining stockholders entitled to receive any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ARTICLE VII</w:t>
      </w:r>
    </w:p>
    <w:p>
      <w:pPr>
        <w:pStyle w:val="TextBody"/>
        <w:bidi w:val="0"/>
        <w:spacing w:before="0" w:after="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RECORDS AND REPORTS; CORPORATE SEAL;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7.1         </w:t>
      </w:r>
      <w:r>
        <w:rPr>
          <w:rFonts w:ascii="Times New Roman;Times;Serif" w:hAnsi="Times New Roman;Times;Serif"/>
          <w:b w:val="false"/>
          <w:i w:val="false"/>
          <w:caps w:val="false"/>
          <w:smallCaps w:val="false"/>
          <w:sz w:val="22"/>
          <w:u w:val="single"/>
        </w:rPr>
        <w:t>Records</w:t>
      </w:r>
      <w:r>
        <w:rPr>
          <w:rFonts w:ascii="Times New Roman;Times;Serif" w:hAnsi="Times New Roman;Times;Serif"/>
          <w:b w:val="false"/>
          <w:i w:val="false"/>
          <w:caps w:val="false"/>
          <w:smallCaps w:val="false"/>
          <w:sz w:val="22"/>
        </w:rPr>
        <w:t>. All original records of the Corporation shall be kept at the principal office of the Corporation by or under the direction of the secretary or at such other place or by such other person as may be prescribed by these Bylaws or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7.2         </w:t>
      </w:r>
      <w:r>
        <w:rPr>
          <w:rFonts w:ascii="Times New Roman;Times;Serif" w:hAnsi="Times New Roman;Times;Serif"/>
          <w:b w:val="false"/>
          <w:i w:val="false"/>
          <w:caps w:val="false"/>
          <w:smallCaps w:val="false"/>
          <w:sz w:val="22"/>
          <w:u w:val="single"/>
        </w:rPr>
        <w:t>Corporate Seal</w:t>
      </w:r>
      <w:r>
        <w:rPr>
          <w:rFonts w:ascii="Times New Roman;Times;Serif" w:hAnsi="Times New Roman;Times;Serif"/>
          <w:b w:val="false"/>
          <w:i w:val="false"/>
          <w:caps w:val="false"/>
          <w:smallCaps w:val="false"/>
          <w:sz w:val="22"/>
        </w:rPr>
        <w:t>. The Board of Directors may, by resolution, authorize a seal, and the seal may be used by causing it, or a facsimile, to be impressed or affixed or reproduced or otherwise. Except as otherwise specifically provided in these Bylaws, any officer of the Corporation shall have the authority to affix the seal to any document requiring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7.3        </w:t>
      </w:r>
      <w:r>
        <w:rPr>
          <w:rFonts w:ascii="Times New Roman;Times;Serif" w:hAnsi="Times New Roman;Times;Serif"/>
          <w:b w:val="false"/>
          <w:i w:val="false"/>
          <w:caps w:val="false"/>
          <w:smallCaps w:val="false"/>
          <w:sz w:val="22"/>
          <w:u w:val="single"/>
        </w:rPr>
        <w:t>Fiscal Year-End</w:t>
      </w:r>
      <w:r>
        <w:rPr>
          <w:rFonts w:ascii="Times New Roman;Times;Serif" w:hAnsi="Times New Roman;Times;Serif"/>
          <w:b w:val="false"/>
          <w:i w:val="false"/>
          <w:caps w:val="false"/>
          <w:smallCaps w:val="false"/>
          <w:sz w:val="22"/>
        </w:rPr>
        <w:t>. The fiscal year-end of the Corporation shall be such date as may be fixed from time to time by resolution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ARTICLE VIII</w:t>
      </w:r>
    </w:p>
    <w:p>
      <w:pPr>
        <w:pStyle w:val="TextBody"/>
        <w:bidi w:val="0"/>
        <w:spacing w:before="0" w:after="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52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8.1        </w:t>
      </w:r>
      <w:r>
        <w:rPr>
          <w:rFonts w:ascii="Times New Roman;Times;Serif" w:hAnsi="Times New Roman;Times;Serif"/>
          <w:b w:val="false"/>
          <w:i w:val="false"/>
          <w:caps w:val="false"/>
          <w:smallCaps w:val="false"/>
          <w:sz w:val="22"/>
          <w:u w:val="single"/>
        </w:rPr>
        <w:t>Indemnification and Insurance</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2"/>
        </w:rPr>
        <w:t>(a)</w:t>
      </w:r>
      <w:r>
        <w:rPr>
          <w:rFonts w:ascii="Times New Roman;Times;Serif" w:hAnsi="Times New Roman;Times;Serif"/>
          <w:b w:val="false"/>
          <w:i w:val="false"/>
          <w:caps w:val="false"/>
          <w:smallCaps w:val="false"/>
          <w:sz w:val="24"/>
        </w:rPr>
        <w:t>          </w:t>
      </w:r>
      <w:r>
        <w:rPr>
          <w:rFonts w:ascii="Times New Roman;Times;Serif" w:hAnsi="Times New Roman;Times;Serif"/>
          <w:b w:val="false"/>
          <w:i w:val="false"/>
          <w:caps w:val="false"/>
          <w:smallCaps w:val="false"/>
          <w:sz w:val="22"/>
          <w:u w:val="single"/>
        </w:rPr>
        <w:t>Indemnification of Directors and Officers</w:t>
      </w:r>
      <w:r>
        <w:rPr>
          <w:rFonts w:ascii="Times New Roman;Times;Serif" w:hAnsi="Times New Roman;Time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(i)           For purposes of this </w:t>
      </w:r>
      <w:r>
        <w:rPr>
          <w:rFonts w:ascii="Times New Roman;Times;Serif" w:hAnsi="Times New Roman;Times;Serif"/>
          <w:b w:val="false"/>
          <w:i w:val="false"/>
          <w:caps w:val="false"/>
          <w:smallCaps w:val="false"/>
          <w:sz w:val="22"/>
          <w:u w:val="single"/>
        </w:rPr>
        <w:t>Article VIII</w:t>
      </w:r>
      <w:r>
        <w:rPr>
          <w:rFonts w:ascii="Times New Roman;Times;Serif" w:hAnsi="Times New Roman;Times;Serif"/>
          <w:b w:val="false"/>
          <w:i w:val="false"/>
          <w:caps w:val="false"/>
          <w:smallCaps w:val="false"/>
          <w:sz w:val="22"/>
        </w:rPr>
        <w:t>, (A) “</w:t>
      </w:r>
      <w:r>
        <w:rPr>
          <w:rFonts w:ascii="Times New Roman;Times;Serif" w:hAnsi="Times New Roman;Times;Serif"/>
          <w:b w:val="false"/>
          <w:i w:val="false"/>
          <w:caps w:val="false"/>
          <w:smallCaps w:val="false"/>
          <w:sz w:val="22"/>
          <w:u w:val="single"/>
        </w:rPr>
        <w:t>Indemnitee</w:t>
      </w:r>
      <w:r>
        <w:rPr>
          <w:rFonts w:ascii="Times New Roman;Times;Serif" w:hAnsi="Times New Roman;Times;Serif"/>
          <w:b w:val="false"/>
          <w:i w:val="false"/>
          <w:caps w:val="false"/>
          <w:smallCaps w:val="false"/>
          <w:sz w:val="22"/>
        </w:rPr>
        <w:t>” shall mean each director or officer who was or is a party to, or is threatened to be made a party to, or is otherwise involved in, any Proceeding (as defined below), by reason of the fact that he or she is or was a director, officer, employee or agent (including, without limitation, as a trustee, fiduciary, administrator or manager) of the Corporation or any predecessor entity thereof, or is or was serving in any capacity at the request of the Corporation as a director, officer, employee or agent (including, without limitation, as a trustee, fiduciary administrator, partner, member or manager) of, or in any other capacity for, another corporation or any partnership, joint venture, limited liability company, trust, or other enterprise; and (B) “</w:t>
      </w:r>
      <w:r>
        <w:rPr>
          <w:rFonts w:ascii="Times New Roman;Times;Serif" w:hAnsi="Times New Roman;Times;Serif"/>
          <w:b w:val="false"/>
          <w:i w:val="false"/>
          <w:caps w:val="false"/>
          <w:smallCaps w:val="false"/>
          <w:sz w:val="22"/>
          <w:u w:val="single"/>
        </w:rPr>
        <w:t>Proceeding</w:t>
      </w:r>
      <w:r>
        <w:rPr>
          <w:rFonts w:ascii="Times New Roman;Times;Serif" w:hAnsi="Times New Roman;Times;Serif"/>
          <w:b w:val="false"/>
          <w:i w:val="false"/>
          <w:caps w:val="false"/>
          <w:smallCaps w:val="false"/>
          <w:sz w:val="22"/>
        </w:rPr>
        <w:t>” shall mean any threatened, pending, or completed action, suit or proceeding (including, without limitation, an action, suit or proceeding by or in the right of the Corporation), whether civil, criminal, administrative, or investigative.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(ii)         Each Indemnitee shall be indemnified and held harmless by the Corporation to the fullest extent permitted by Nevada law (including, without limitation, NRS 78.751(3)), against all expense, liability and loss (including, without limitation, attorneys’ fees, judgments, fines, taxes, penalties, and amounts paid or to be paid in settlement) reasonably incurred or suffered by the Indemnitee in connection with any Proceeding; provided that, notwithstanding anything to the contrary contained in these Bylaws, no director or officer may be indemnified for expenses incurred in defending any threatened, pending, or completed action, suit or proceeding (including without limitation, an action, suit or proceeding by or in the right of the Corporation), whether civil, criminal, administrative or investigative, that such director or officer incurred in his or her capacity as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(iii)         Indemnification pursuant to this </w:t>
      </w:r>
      <w:r>
        <w:rPr>
          <w:rFonts w:ascii="Times New Roman;Times;Serif" w:hAnsi="Times New Roman;Times;Serif"/>
          <w:b w:val="false"/>
          <w:i w:val="false"/>
          <w:caps w:val="false"/>
          <w:smallCaps w:val="false"/>
          <w:sz w:val="22"/>
          <w:u w:val="single"/>
        </w:rPr>
        <w:t>Section 8.1</w:t>
      </w:r>
      <w:r>
        <w:rPr>
          <w:rFonts w:ascii="Times New Roman;Times;Serif" w:hAnsi="Times New Roman;Times;Serif"/>
          <w:b w:val="false"/>
          <w:i w:val="false"/>
          <w:caps w:val="false"/>
          <w:smallCaps w:val="false"/>
          <w:sz w:val="22"/>
        </w:rPr>
        <w:t xml:space="preserve"> shall continue as to an Indemnitee who has ceased to be a director or officer of the Corporation or any predecessor entity thereof or a director, officer, employee, agent, partner, member, manager or fiduciary of, or to serve in any other capacity for, another corporation or any partnership, joint venture, limited liability company, trust, or other enterprise and shall inure to the benefit of his or her heirs, executors and administrators.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(iv)         The expenses of Indemnitees must be paid by the Corporation or through insurance purchased and maintained by the Corporation or through other financial arrangements made by the Corporation, as such expenses are incurred and in advance of the final disposition of the Proceeding, upon receipt of an undertaking by or on behalf of such Indemnitee to repay the amount if it is ultimately determined by a court of competent jurisdiction that he or she is not entitled to be indemnified by the Corporation. To the extent that an Indemnitee is successful on the merits or otherwise in defense of any Proceeding, or in the defense of any claim, issue or matter therein, the Corporation shall indemnify him or her against expenses, including attorneys’ fees, actually and reasonably incurred in by him or her in connection with the defense.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         </w:t>
      </w:r>
      <w:r>
        <w:rPr>
          <w:rFonts w:ascii="Times New Roman;Times;Serif" w:hAnsi="Times New Roman;Times;Serif"/>
          <w:b w:val="false"/>
          <w:i w:val="false"/>
          <w:caps w:val="false"/>
          <w:smallCaps w:val="false"/>
          <w:sz w:val="22"/>
          <w:u w:val="single"/>
        </w:rPr>
        <w:t>Indemnification of Employees and Other Persons</w:t>
      </w:r>
      <w:r>
        <w:rPr>
          <w:rFonts w:ascii="Times New Roman;Times;Serif" w:hAnsi="Times New Roman;Times;Serif"/>
          <w:b w:val="false"/>
          <w:i w:val="false"/>
          <w:caps w:val="false"/>
          <w:smallCaps w:val="false"/>
          <w:sz w:val="22"/>
        </w:rPr>
        <w:t>. The Corporation may, by action of its Board of Directors and to the extent provided in such action, indemnify employees and other persons as though they were Indemnitees.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(c)         </w:t>
      </w:r>
      <w:r>
        <w:rPr>
          <w:rFonts w:ascii="Times New Roman;Times;Serif" w:hAnsi="Times New Roman;Times;Serif"/>
          <w:b w:val="false"/>
          <w:i w:val="false"/>
          <w:caps w:val="false"/>
          <w:smallCaps w:val="false"/>
          <w:sz w:val="22"/>
          <w:u w:val="single"/>
        </w:rPr>
        <w:t>Non-Exclusivity of Rights</w:t>
      </w:r>
      <w:r>
        <w:rPr>
          <w:rFonts w:ascii="Times New Roman;Times;Serif" w:hAnsi="Times New Roman;Times;Serif"/>
          <w:b w:val="false"/>
          <w:i w:val="false"/>
          <w:caps w:val="false"/>
          <w:smallCaps w:val="false"/>
          <w:sz w:val="22"/>
        </w:rPr>
        <w:t xml:space="preserve">. The rights to indemnification provided in this </w:t>
      </w:r>
      <w:r>
        <w:rPr>
          <w:rFonts w:ascii="Times New Roman;Times;Serif" w:hAnsi="Times New Roman;Times;Serif"/>
          <w:b w:val="false"/>
          <w:i w:val="false"/>
          <w:caps w:val="false"/>
          <w:smallCaps w:val="false"/>
          <w:sz w:val="22"/>
          <w:u w:val="single"/>
        </w:rPr>
        <w:t xml:space="preserve">Article VIII </w:t>
      </w:r>
      <w:r>
        <w:rPr>
          <w:rFonts w:ascii="Times New Roman;Times;Serif" w:hAnsi="Times New Roman;Times;Serif"/>
          <w:b w:val="false"/>
          <w:i w:val="false"/>
          <w:caps w:val="false"/>
          <w:smallCaps w:val="false"/>
          <w:sz w:val="22"/>
        </w:rPr>
        <w:t>shall not be exclusive of any other rights that any person may have or hereafter acquire under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statute (including, without limitation, NRS 78.7502), provision of the Articles of Incorporation or these Bylaws, agreement, vote of stockholders or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(d)          </w:t>
      </w:r>
      <w:r>
        <w:rPr>
          <w:rFonts w:ascii="Times New Roman;Times;Serif" w:hAnsi="Times New Roman;Times;Serif"/>
          <w:b w:val="false"/>
          <w:i w:val="false"/>
          <w:caps w:val="false"/>
          <w:smallCaps w:val="false"/>
          <w:sz w:val="22"/>
          <w:u w:val="single"/>
        </w:rPr>
        <w:t>Insurance</w:t>
      </w:r>
      <w:r>
        <w:rPr>
          <w:rFonts w:ascii="Times New Roman;Times;Serif" w:hAnsi="Times New Roman;Times;Serif"/>
          <w:b w:val="false"/>
          <w:i w:val="false"/>
          <w:caps w:val="false"/>
          <w:smallCaps w:val="false"/>
          <w:sz w:val="22"/>
        </w:rPr>
        <w:t>. The Corporation may purchase and maintain insurance or make other financial arrangements on behalf of any Indemnitee for any liability asserted against him or her and liability and expenses incurred by him or her in his or her capacity as a director, officer, employee, member, managing member or agent, or arising out of his or her status as such, whether or not the Corporation has the authority to indemnify him or her against such liability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(e)          </w:t>
      </w:r>
      <w:r>
        <w:rPr>
          <w:rFonts w:ascii="Times New Roman;Times;Serif" w:hAnsi="Times New Roman;Times;Serif"/>
          <w:b w:val="false"/>
          <w:i w:val="false"/>
          <w:caps w:val="false"/>
          <w:smallCaps w:val="false"/>
          <w:sz w:val="22"/>
          <w:u w:val="single"/>
        </w:rPr>
        <w:t>Other Financial Arrangements</w:t>
      </w:r>
      <w:r>
        <w:rPr>
          <w:rFonts w:ascii="Times New Roman;Times;Serif" w:hAnsi="Times New Roman;Times;Serif"/>
          <w:b w:val="false"/>
          <w:i w:val="false"/>
          <w:caps w:val="false"/>
          <w:smallCaps w:val="false"/>
          <w:sz w:val="22"/>
        </w:rPr>
        <w:t>. The other financial arrangements which may be made by the Corporation may include the following (i) the creation of a trust fund; (ii) the establishment of a program of self-insurance; (iii) the securing of its obligation of indemnification by granting a security interest or other lien on any assets of the Corporation; and (iv) the establishment of a letter of credit, guarantee or surety. No financial arrangement made pursuant to this subsection may provide protection for a person adjudged by a court of competent jurisdiction, after exhaustion of all appeals therefrom, to be liable for intentional misconduct, fraud, or a knowing violation of law, except with respect to advancement of expenses or indemnification ordered by a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(f)          </w:t>
      </w:r>
      <w:r>
        <w:rPr>
          <w:rFonts w:ascii="Times New Roman;Times;Serif" w:hAnsi="Times New Roman;Times;Serif"/>
          <w:b w:val="false"/>
          <w:i w:val="false"/>
          <w:caps w:val="false"/>
          <w:smallCaps w:val="false"/>
          <w:sz w:val="22"/>
          <w:u w:val="single"/>
        </w:rPr>
        <w:t>Other Matters Relating to Insurance or Financial Arrangements</w:t>
      </w:r>
      <w:r>
        <w:rPr>
          <w:rFonts w:ascii="Times New Roman;Times;Serif" w:hAnsi="Times New Roman;Times;Serif"/>
          <w:b w:val="false"/>
          <w:i w:val="false"/>
          <w:caps w:val="false"/>
          <w:smallCaps w:val="false"/>
          <w:sz w:val="22"/>
        </w:rPr>
        <w:t xml:space="preserve">. Any insurance or other financial arrangement made on behalf of a person pursuant to this </w:t>
      </w:r>
      <w:r>
        <w:rPr>
          <w:rFonts w:ascii="Times New Roman;Times;Serif" w:hAnsi="Times New Roman;Times;Serif"/>
          <w:b w:val="false"/>
          <w:i w:val="false"/>
          <w:caps w:val="false"/>
          <w:smallCaps w:val="false"/>
          <w:sz w:val="22"/>
          <w:u w:val="single"/>
        </w:rPr>
        <w:t>Section 8.1</w:t>
      </w:r>
      <w:r>
        <w:rPr>
          <w:rFonts w:ascii="Times New Roman;Times;Serif" w:hAnsi="Times New Roman;Times;Serif"/>
          <w:b w:val="false"/>
          <w:i w:val="false"/>
          <w:caps w:val="false"/>
          <w:smallCaps w:val="false"/>
          <w:sz w:val="22"/>
        </w:rPr>
        <w:t xml:space="preserve"> may be provided by the Corporation or any other person approved by the Board of Directors, even if all or part of the other person’s stock or other securities is owned by the Corporation. In the absence of fraud, (i) the decision of the Board of Directors as to the propriety of the terms and conditions of any insurance or other financial arrangement made pursuant to this </w:t>
      </w:r>
      <w:r>
        <w:rPr>
          <w:rFonts w:ascii="Times New Roman;Times;Serif" w:hAnsi="Times New Roman;Times;Serif"/>
          <w:b w:val="false"/>
          <w:i w:val="false"/>
          <w:caps w:val="false"/>
          <w:smallCaps w:val="false"/>
          <w:sz w:val="22"/>
          <w:u w:val="single"/>
        </w:rPr>
        <w:t>Section 8.1</w:t>
      </w:r>
      <w:r>
        <w:rPr>
          <w:rFonts w:ascii="Times New Roman;Times;Serif" w:hAnsi="Times New Roman;Times;Serif"/>
          <w:b w:val="false"/>
          <w:i w:val="false"/>
          <w:caps w:val="false"/>
          <w:smallCaps w:val="false"/>
          <w:sz w:val="22"/>
        </w:rPr>
        <w:t xml:space="preserve"> and the choice of the person to provide the insurance or other financial arrangement is conclusive; and (ii) the insurance or other financial arrangement is not void or voidable and does not subject any director approving it to personal liability for his action; even if a director approving the insurance or other financial arrangement is a beneficiary of the insurance or other financial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Section 8.2         </w:t>
      </w:r>
      <w:r>
        <w:rPr>
          <w:rFonts w:ascii="Times New Roman;Times;Serif" w:hAnsi="Times New Roman;Times;Serif"/>
          <w:b w:val="false"/>
          <w:i w:val="false"/>
          <w:caps w:val="false"/>
          <w:smallCaps w:val="false"/>
          <w:sz w:val="22"/>
          <w:u w:val="single"/>
        </w:rPr>
        <w:t>Amendment</w:t>
      </w:r>
      <w:r>
        <w:rPr>
          <w:rFonts w:ascii="Times New Roman;Times;Serif" w:hAnsi="Times New Roman;Times;Serif"/>
          <w:b w:val="false"/>
          <w:i w:val="false"/>
          <w:caps w:val="false"/>
          <w:smallCaps w:val="false"/>
          <w:sz w:val="22"/>
        </w:rPr>
        <w:t xml:space="preserve">. The provisions of this </w:t>
      </w:r>
      <w:r>
        <w:rPr>
          <w:rFonts w:ascii="Times New Roman;Times;Serif" w:hAnsi="Times New Roman;Times;Serif"/>
          <w:b w:val="false"/>
          <w:i w:val="false"/>
          <w:caps w:val="false"/>
          <w:smallCaps w:val="false"/>
          <w:sz w:val="22"/>
          <w:u w:val="single"/>
        </w:rPr>
        <w:t>Article VIII</w:t>
      </w:r>
      <w:r>
        <w:rPr>
          <w:rFonts w:ascii="Times New Roman;Times;Serif" w:hAnsi="Times New Roman;Times;Serif"/>
          <w:b w:val="false"/>
          <w:i w:val="false"/>
          <w:caps w:val="false"/>
          <w:smallCaps w:val="false"/>
          <w:sz w:val="22"/>
        </w:rPr>
        <w:t xml:space="preserve"> relating to indemnification shall constitute a contract between the Corporation and each of its directors and officers which may be modified as to any director or officer only with that person’s consent or as specifically provided in this </w:t>
      </w:r>
      <w:r>
        <w:rPr>
          <w:rFonts w:ascii="Times New Roman;Times;Serif" w:hAnsi="Times New Roman;Times;Serif"/>
          <w:b w:val="false"/>
          <w:i w:val="false"/>
          <w:caps w:val="false"/>
          <w:smallCaps w:val="false"/>
          <w:sz w:val="22"/>
          <w:u w:val="single"/>
        </w:rPr>
        <w:t>Section 8.2</w:t>
      </w:r>
      <w:r>
        <w:rPr>
          <w:rFonts w:ascii="Times New Roman;Times;Serif" w:hAnsi="Times New Roman;Times;Serif"/>
          <w:b w:val="false"/>
          <w:i w:val="false"/>
          <w:caps w:val="false"/>
          <w:smallCaps w:val="false"/>
          <w:sz w:val="22"/>
        </w:rPr>
        <w:t xml:space="preserve">. Notwithstanding any other provision of these Bylaws relating to their amendment generally, any repeal or amendment of this </w:t>
      </w:r>
      <w:r>
        <w:rPr>
          <w:rFonts w:ascii="Times New Roman;Times;Serif" w:hAnsi="Times New Roman;Times;Serif"/>
          <w:b w:val="false"/>
          <w:i w:val="false"/>
          <w:caps w:val="false"/>
          <w:smallCaps w:val="false"/>
          <w:sz w:val="22"/>
          <w:u w:val="single"/>
        </w:rPr>
        <w:t>Article VIII</w:t>
      </w:r>
      <w:r>
        <w:rPr>
          <w:rFonts w:ascii="Times New Roman;Times;Serif" w:hAnsi="Times New Roman;Times;Serif"/>
          <w:b w:val="false"/>
          <w:i w:val="false"/>
          <w:caps w:val="false"/>
          <w:smallCaps w:val="false"/>
          <w:sz w:val="22"/>
        </w:rPr>
        <w:t xml:space="preserve"> which is adverse to any director or officer shall apply to such director or officer only on a prospective basis, and shall not limit the rights of an Indemnitee to indemnification with respect to any action or failure to act occurring prior to the time of such repeal or amendment. Notwithstanding any other provision of these Bylaws (including, without limitation, </w:t>
      </w:r>
      <w:r>
        <w:rPr>
          <w:rFonts w:ascii="Times New Roman;Times;Serif" w:hAnsi="Times New Roman;Times;Serif"/>
          <w:b w:val="false"/>
          <w:i w:val="false"/>
          <w:caps w:val="false"/>
          <w:smallCaps w:val="false"/>
          <w:sz w:val="22"/>
          <w:u w:val="single"/>
        </w:rPr>
        <w:t>Article X</w:t>
      </w:r>
      <w:r>
        <w:rPr>
          <w:rFonts w:ascii="Times New Roman;Times;Serif" w:hAnsi="Times New Roman;Times;Serif"/>
          <w:b w:val="false"/>
          <w:i w:val="false"/>
          <w:caps w:val="false"/>
          <w:smallCaps w:val="false"/>
          <w:sz w:val="22"/>
        </w:rPr>
        <w:t xml:space="preserve">), no repeal or amendment of these Bylaws shall affect any or all of this </w:t>
      </w:r>
      <w:r>
        <w:rPr>
          <w:rFonts w:ascii="Times New Roman;Times;Serif" w:hAnsi="Times New Roman;Times;Serif"/>
          <w:b w:val="false"/>
          <w:i w:val="false"/>
          <w:caps w:val="false"/>
          <w:smallCaps w:val="false"/>
          <w:sz w:val="22"/>
          <w:u w:val="single"/>
        </w:rPr>
        <w:t>Article VIII</w:t>
      </w:r>
      <w:r>
        <w:rPr>
          <w:rFonts w:ascii="Times New Roman;Times;Serif" w:hAnsi="Times New Roman;Times;Serif"/>
          <w:b w:val="false"/>
          <w:i w:val="false"/>
          <w:caps w:val="false"/>
          <w:smallCaps w:val="false"/>
          <w:sz w:val="22"/>
        </w:rPr>
        <w:t xml:space="preserve"> so as to limit or reduce the indemnification in any manner unless adopted by (i) the unanimous vote of the directors of the Corporation then serving, or (ii) by the stockholders as set forth in </w:t>
      </w:r>
      <w:r>
        <w:rPr>
          <w:rFonts w:ascii="Times New Roman;Times;Serif" w:hAnsi="Times New Roman;Times;Serif"/>
          <w:b w:val="false"/>
          <w:i w:val="false"/>
          <w:caps w:val="false"/>
          <w:smallCaps w:val="false"/>
          <w:sz w:val="22"/>
          <w:u w:val="single"/>
        </w:rPr>
        <w:t>Article X</w:t>
      </w:r>
      <w:r>
        <w:rPr>
          <w:rFonts w:ascii="Times New Roman;Times;Serif" w:hAnsi="Times New Roman;Times;Serif"/>
          <w:b w:val="false"/>
          <w:i w:val="false"/>
          <w:caps w:val="false"/>
          <w:smallCaps w:val="false"/>
          <w:sz w:val="22"/>
        </w:rPr>
        <w:t>; provided that no such amendment shall have a retroactive effect inconsistent with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ARTICLE IX</w:t>
      </w:r>
    </w:p>
    <w:p>
      <w:pPr>
        <w:pStyle w:val="TextBody"/>
        <w:bidi w:val="0"/>
        <w:spacing w:before="0" w:after="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CHANGES IN NEVADA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References in these Bylaws to the laws of the State of Nevada or the NRS or to any provision thereof shall be to such law as it existed on the date these Bylaws were adopted or as such law thereafter may be changed; provided that (i) in the case of any change which expands the liability of directors or officers or limits the indemnification rights or the rights to advancement of expenses which the Corporation may provide in </w:t>
      </w:r>
      <w:r>
        <w:rPr>
          <w:rFonts w:ascii="Times New Roman;Times;Serif" w:hAnsi="Times New Roman;Times;Serif"/>
          <w:b w:val="false"/>
          <w:i w:val="false"/>
          <w:caps w:val="false"/>
          <w:smallCaps w:val="false"/>
          <w:sz w:val="22"/>
          <w:u w:val="single"/>
        </w:rPr>
        <w:t>Article VIII</w:t>
      </w:r>
      <w:r>
        <w:rPr>
          <w:rFonts w:ascii="Times New Roman;Times;Serif" w:hAnsi="Times New Roman;Times;Serif"/>
          <w:b w:val="false"/>
          <w:i w:val="false"/>
          <w:caps w:val="false"/>
          <w:smallCaps w:val="false"/>
          <w:sz w:val="22"/>
        </w:rPr>
        <w:t>, the rights to limited liability, to indemnification and to the advancement of expenses provided in the Articles of Incorporation and/or these Bylaws shall continue as theretofore to the extent permitted by law; and (ii) if such change permits the Corporation, without the requirement of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further action by stockholders or directors, to limit further the liability of directors or limit the liability of officers or to provide broader indemnification rights or rights to the advancement of expenses than the Corporation was permitted to provide prior to such change, then liability thereupon shall be so limited and the rights to indemnification and the advancement of expenses shall be so broadened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ARTICLE X</w:t>
      </w:r>
    </w:p>
    <w:p>
      <w:pPr>
        <w:pStyle w:val="TextBody"/>
        <w:bidi w:val="0"/>
        <w:spacing w:before="0" w:after="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AMENDMENT OR REPEAL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In furtherance and not in limitation of the powers conferred by statute, the Board of Directors is expressly authorized to amend or repeal these Bylaws or to adopt new bylaws; provided that these Bylaws may be amended or repealed in any respect, and new bylaws may be adopted, in each case by the affirmative vote of the holders of at least a majority of the outstanding voting power of the Corporation, voting together as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ARTICLE XI</w:t>
      </w:r>
    </w:p>
    <w:p>
      <w:pPr>
        <w:pStyle w:val="TextBody"/>
        <w:bidi w:val="0"/>
        <w:spacing w:before="0" w:after="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If any provision or provisions of these Bylaws shall be held to be invalid, illegal or unenforceable as applied to any circumstance for any reason whatsoever: (i) the validity, legality and enforceability of such provision(s) in any other circumstance and of the remaining provisions of these Bylaws (including, without limitation, each portion of any paragraph of the Bylaws containing any such provision held to be invalid, illegal or unenforceable that is not itself held to be invalid, illegal or unenforceable) shall not in any way be affected or impaired thereby; and (ii) to the fullest extent possible, the provisions of the Bylaws (including, without limitation, each such portion of any paragraph of the Bylaws containing any such provision held to be invalid, illegal or unenforceable) shall be construed (a) so as to permit the Corporation to protect its directors, officers, employees and agents from personal liability in respect of their good faith service or (b) for the benefit of the Corporation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4"/>
        </w:rPr>
        <w:t>*</w:t>
      </w:r>
      <w:r>
        <w:rPr>
          <w:rFonts w:ascii="Times New Roman;Times;Serif" w:hAnsi="Times New Roman;Times;Serif"/>
          <w:b w:val="false"/>
          <w:i w:val="false"/>
          <w:caps w:val="false"/>
          <w:smallCaps w:val="false"/>
          <w:sz w:val="24"/>
        </w:rPr>
        <w:t>        </w:t>
      </w:r>
      <w:r>
        <w:rPr>
          <w:rFonts w:ascii="Times New Roman;Times;Serif" w:hAnsi="Times New Roman;Times;Serif"/>
          <w:b/>
          <w:i w:val="false"/>
          <w:caps w:val="false"/>
          <w:smallCaps w:val="false"/>
          <w:sz w:val="24"/>
        </w:rPr>
        <w:t>*</w:t>
      </w:r>
      <w:r>
        <w:rPr>
          <w:rFonts w:ascii="Times New Roman;Times;Serif" w:hAnsi="Times New Roman;Times;Serif"/>
          <w:b w:val="false"/>
          <w:i w:val="false"/>
          <w:caps w:val="false"/>
          <w:smallCaps w:val="false"/>
          <w:sz w:val="24"/>
        </w:rPr>
        <w:t>        </w:t>
      </w:r>
      <w:r>
        <w:rPr>
          <w:rFonts w:ascii="Times New Roman;Times;Serif" w:hAnsi="Times New Roman;Times;Serif"/>
          <w:b/>
          <w:i w:val="false"/>
          <w:caps w:val="false"/>
          <w:smallCaps w:val="false"/>
          <w:sz w:val="24"/>
        </w:rPr>
        <w:t>*</w:t>
      </w:r>
      <w:r>
        <w:rPr>
          <w:rFonts w:ascii="Times New Roman;Times;Serif" w:hAnsi="Times New Roman;Times;Serif"/>
          <w:b w:val="false"/>
          <w:i w:val="false"/>
          <w:caps w:val="false"/>
          <w:smallCaps w:val="false"/>
          <w:sz w:val="24"/>
        </w:rPr>
        <w:t>        </w:t>
      </w:r>
      <w:r>
        <w:rPr>
          <w:rFonts w:ascii="Times New Roman;Times;Serif" w:hAnsi="Times New Roman;Times;Serif"/>
          <w:b/>
          <w:i w:val="false"/>
          <w:caps w:val="false"/>
          <w:smallCaps w:val="false"/>
          <w:sz w:val="24"/>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2"/>
          <w:bdr w:val="single" w:sz="8" w:space="1" w:color="000000"/>
        </w:rPr>
      </w:pPr>
      <w:r>
        <w:rPr>
          <w:rFonts w:ascii="Times New Roman;Times;Serif" w:hAnsi="Times New Roman;Times;Serif"/>
          <w:b w:val="false"/>
          <w:i w:val="false"/>
          <w:caps w:val="false"/>
          <w:smallCaps w:val="false"/>
          <w:sz w:val="22"/>
          <w:bdr w:val="single" w:sz="8"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725" w:type="dxa"/>
        <w:jc w:val="left"/>
        <w:tblInd w:w="0" w:type="dxa"/>
        <w:tblLayout w:type="fixed"/>
        <w:tblCellMar>
          <w:top w:w="0" w:type="dxa"/>
          <w:left w:w="0" w:type="dxa"/>
          <w:bottom w:w="0" w:type="dxa"/>
          <w:right w:w="0" w:type="dxa"/>
        </w:tblCellMar>
      </w:tblPr>
      <w:tblGrid>
        <w:gridCol w:w="105"/>
        <w:gridCol w:w="5450"/>
        <w:gridCol w:w="1170"/>
      </w:tblGrid>
      <w:tr>
        <w:trPr/>
        <w:tc>
          <w:tcPr>
            <w:tcW w:w="105"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drawing>
                <wp:inline distT="0" distB="0" distL="0" distR="0">
                  <wp:extent cx="3076575" cy="1123950"/>
                  <wp:effectExtent l="0" t="0" r="0" b="0"/>
                  <wp:docPr id="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 descr=""/>
                          <pic:cNvPicPr>
                            <a:picLocks noChangeAspect="1" noChangeArrowheads="1"/>
                          </pic:cNvPicPr>
                        </pic:nvPicPr>
                        <pic:blipFill>
                          <a:blip r:embed="rId18"/>
                          <a:stretch>
                            <a:fillRect/>
                          </a:stretch>
                        </pic:blipFill>
                        <pic:spPr bwMode="auto">
                          <a:xfrm>
                            <a:off x="0" y="0"/>
                            <a:ext cx="3076575" cy="1123950"/>
                          </a:xfrm>
                          <a:prstGeom prst="rect">
                            <a:avLst/>
                          </a:prstGeom>
                        </pic:spPr>
                      </pic:pic>
                    </a:graphicData>
                  </a:graphic>
                </wp:inline>
              </w:drawing>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rFonts w:ascii="Arial;Helvetica;Sans-Serif" w:hAnsi="Arial;Helvetica;Sans-Serif"/>
                <w:b/>
                <w:i w:val="false"/>
                <w:caps w:val="false"/>
                <w:smallCaps w:val="false"/>
                <w:color w:val="58595B"/>
                <w:sz w:val="30"/>
              </w:rPr>
            </w:pPr>
            <w:r>
              <w:rPr>
                <w:rFonts w:ascii="Arial;Helvetica;Sans-Serif" w:hAnsi="Arial;Helvetica;Sans-Serif"/>
                <w:b/>
                <w:i w:val="false"/>
                <w:caps w:val="false"/>
                <w:smallCaps w:val="false"/>
                <w:color w:val="58595B"/>
                <w:sz w:val="30"/>
              </w:rPr>
              <w:t>FIDELITY NATIONAL FINANCIAL, INC.</w:t>
            </w:r>
          </w:p>
          <w:p>
            <w:pPr>
              <w:pStyle w:val="TableContents"/>
              <w:bidi w:val="0"/>
              <w:spacing w:before="120" w:after="60"/>
              <w:jc w:val="center"/>
              <w:rPr>
                <w:rFonts w:ascii="Arial;Helvetica;Sans-Serif" w:hAnsi="Arial;Helvetica;Sans-Serif"/>
                <w:b/>
                <w:i w:val="false"/>
                <w:caps w:val="false"/>
                <w:smallCaps w:val="false"/>
                <w:color w:val="58595B"/>
                <w:sz w:val="20"/>
              </w:rPr>
            </w:pPr>
            <w:r>
              <w:rPr>
                <w:rFonts w:ascii="Arial;Helvetica;Sans-Serif" w:hAnsi="Arial;Helvetica;Sans-Serif"/>
                <w:b/>
                <w:i w:val="false"/>
                <w:caps w:val="false"/>
                <w:smallCaps w:val="false"/>
                <w:color w:val="58595B"/>
                <w:sz w:val="20"/>
              </w:rPr>
              <w:t>601 RIVERSIDE AVENUE</w:t>
            </w:r>
          </w:p>
          <w:p>
            <w:pPr>
              <w:pStyle w:val="TableContents"/>
              <w:bidi w:val="0"/>
              <w:spacing w:before="0" w:after="0"/>
              <w:jc w:val="center"/>
              <w:rPr>
                <w:rFonts w:ascii="Arial;Helvetica;Sans-Serif" w:hAnsi="Arial;Helvetica;Sans-Serif"/>
                <w:b/>
                <w:i w:val="false"/>
                <w:caps w:val="false"/>
                <w:smallCaps w:val="false"/>
                <w:color w:val="58595B"/>
                <w:sz w:val="20"/>
              </w:rPr>
            </w:pPr>
            <w:r>
              <w:rPr>
                <w:rFonts w:ascii="Arial;Helvetica;Sans-Serif" w:hAnsi="Arial;Helvetica;Sans-Serif"/>
                <w:b/>
                <w:i w:val="false"/>
                <w:caps w:val="false"/>
                <w:smallCaps w:val="false"/>
                <w:color w:val="58595B"/>
                <w:sz w:val="20"/>
              </w:rPr>
              <w:t>JACKSONVILLE, FLORIDA 32204</w:t>
            </w:r>
          </w:p>
          <w:p>
            <w:pPr>
              <w:pStyle w:val="TableContents"/>
              <w:bidi w:val="0"/>
              <w:spacing w:before="0" w:after="0"/>
              <w:jc w:val="center"/>
              <w:rPr>
                <w:caps w:val="false"/>
                <w:smallCaps w:val="false"/>
                <w:color w:val="58595B"/>
              </w:rPr>
            </w:pPr>
            <w:r>
              <w:rPr>
                <w:caps w:val="false"/>
                <w:smallCaps w:val="false"/>
                <w:color w:val="58595B"/>
              </w:rPr>
              <w:t>  </w:t>
            </w:r>
          </w:p>
          <w:p>
            <w:pPr>
              <w:pStyle w:val="TableContents"/>
              <w:bidi w:val="0"/>
              <w:spacing w:before="0" w:after="0"/>
              <w:jc w:val="center"/>
              <w:rPr>
                <w:caps w:val="false"/>
                <w:smallCaps w:val="false"/>
                <w:color w:val="58595B"/>
              </w:rPr>
            </w:pPr>
            <w:r>
              <w:rPr>
                <w:caps w:val="false"/>
                <w:smallCaps w:val="false"/>
                <w:color w:val="58595B"/>
              </w:rPr>
              <w:t> </w:t>
            </w:r>
          </w:p>
        </w:tc>
        <w:tc>
          <w:tcPr>
            <w:tcW w:w="1170" w:type="dxa"/>
            <w:tcBorders/>
            <w:vAlign w:val="center"/>
          </w:tcPr>
          <w:p>
            <w:pPr>
              <w:pStyle w:val="TableContents"/>
              <w:bidi w:val="0"/>
              <w:jc w:val="right"/>
              <w:rPr/>
            </w:pPr>
            <w:r>
              <w:rPr/>
              <w:t> </w:t>
            </w:r>
          </w:p>
          <w:p>
            <w:pPr>
              <w:pStyle w:val="TableContents"/>
              <w:bidi w:val="0"/>
              <w:jc w:val="right"/>
              <w:rPr/>
            </w:pPr>
            <w:r>
              <w:rPr/>
              <w:t> </w:t>
            </w:r>
          </w:p>
          <w:p>
            <w:pPr>
              <w:pStyle w:val="TableContents"/>
              <w:bidi w:val="0"/>
              <w:jc w:val="right"/>
              <w:rPr/>
            </w:pPr>
            <w:r>
              <w:rPr/>
              <w:t> </w:t>
            </w:r>
          </w:p>
          <w:p>
            <w:pPr>
              <w:pStyle w:val="TableContents"/>
              <w:bidi w:val="0"/>
              <w:jc w:val="right"/>
              <w:rPr/>
            </w:pPr>
            <w:r>
              <w:rPr/>
              <w:t> </w:t>
            </w:r>
          </w:p>
          <w:p>
            <w:pPr>
              <w:pStyle w:val="TableContents"/>
              <w:bidi w:val="0"/>
              <w:jc w:val="right"/>
              <w:rPr/>
            </w:pPr>
            <w:r>
              <w:rPr/>
              <w:drawing>
                <wp:inline distT="0" distB="0" distL="0" distR="0">
                  <wp:extent cx="695325" cy="6791325"/>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19"/>
                          <a:stretch>
                            <a:fillRect/>
                          </a:stretch>
                        </pic:blipFill>
                        <pic:spPr bwMode="auto">
                          <a:xfrm>
                            <a:off x="0" y="0"/>
                            <a:ext cx="695325" cy="6791325"/>
                          </a:xfrm>
                          <a:prstGeom prst="rect">
                            <a:avLst/>
                          </a:prstGeom>
                        </pic:spPr>
                      </pic:pic>
                    </a:graphicData>
                  </a:graphic>
                </wp:inline>
              </w:drawing>
            </w:r>
          </w:p>
          <w:p>
            <w:pPr>
              <w:pStyle w:val="TableContents"/>
              <w:bidi w:val="0"/>
              <w:spacing w:before="0" w:after="283"/>
              <w:jc w:val="righ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3228" w:type="dxa"/>
        <w:jc w:val="center"/>
        <w:tblInd w:w="0" w:type="dxa"/>
        <w:tblLayout w:type="fixed"/>
        <w:tblCellMar>
          <w:top w:w="0" w:type="dxa"/>
          <w:left w:w="0" w:type="dxa"/>
          <w:bottom w:w="0" w:type="dxa"/>
          <w:right w:w="0" w:type="dxa"/>
        </w:tblCellMar>
      </w:tblPr>
      <w:tblGrid>
        <w:gridCol w:w="53"/>
        <w:gridCol w:w="12765"/>
        <w:gridCol w:w="410"/>
      </w:tblGrid>
      <w:tr>
        <w:trPr/>
        <w:tc>
          <w:tcPr>
            <w:tcW w:w="5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left"/>
              <w:rPr/>
            </w:pPr>
            <w:r>
              <w:rPr/>
              <w:drawing>
                <wp:inline distT="0" distB="0" distL="0" distR="0">
                  <wp:extent cx="8086725" cy="10477500"/>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20"/>
                          <a:stretch>
                            <a:fillRect/>
                          </a:stretch>
                        </pic:blipFill>
                        <pic:spPr bwMode="auto">
                          <a:xfrm>
                            <a:off x="0" y="0"/>
                            <a:ext cx="8086725" cy="10477500"/>
                          </a:xfrm>
                          <a:prstGeom prst="rect">
                            <a:avLst/>
                          </a:prstGeom>
                        </pic:spPr>
                      </pic:pic>
                    </a:graphicData>
                  </a:graphic>
                </wp:inline>
              </w:drawing>
            </w:r>
          </w:p>
        </w:tc>
        <w:tc>
          <w:tcPr>
            <w:tcW w:w="4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Signature [PLEASE SIGN WITHIN BOX] Date Signature (Joint Owners) Date TO VOTE, MARK BLOCKS BELOW IN BLUE OR BLACK INK AS FOLLOWS: KEEP THIS PORTION FOR YOUR RECORDS DETACH AND RETURN THIS PORTION ONLY THIS PROXY CARD IS VALID ONLY WHEN SIGNED AND DATED. V89427-P49458 ! ! ! For All Withhold All For All Except For Against Abstain ! ! ! ! ! ! ! ! ! FIDELITY NATIONAL FINANCIAL, INC. To withhold authority to vote for any individual nominee(s), mark "For All Except" and write the number(s) of the nominee(s) on the line below. Nominees: 1. Election of Class III directors to serve until the 2029 annual meeting of shareholders. The Board of Directors recommends you vote FOR ALL for Proposal 1: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3. Approval of a non-binding advisory resolution on the compensation paid to our named executive officers. 2. Approval of the Amended and Restated Articles of Incorporation to implement annual elections of directors. 4. Ratification of the appointment of Ernst &amp; Young LLP as our independent registered public accounting firm for the 2026 fiscal year. The Board of Directors recommends you vote FOR Proposals 2, 3 and 4: NOTE: To transact such other business as may properly come before the meeting or any postponement or adjournment thereof. 01) William P. Foley, II 02) Douglas K. Ammerman 03) Thomas M. Hagerty 04) Peter O. Shea, Jr. FIDELITY NATIONAL FINANCIAL, INC. 601 RIVERSIDE AVE. JACKSONVILLE, FL 32204 VOTE BY INTERNET Before The Meeting - Go to www.proxyvote.com or scan the QR Barcode above Use the Internet to transmit your voting instructions and for electronic delivery of information up until 11:59 p.m. Eastern Time on June 9, 2026 for shares held directly and by 11:59 p.m. Eastern Time on June 7, 2026 for shares held in a Plan. Have your proxy card in hand when you access the website and follow the instructions to obtain your records and to create an electronic voting instruction form. During The Meeting - Go to www.virtualshareholdermeeting.com/FNF2026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June 9, 2026 for shares held directly and by 11:59 p.m. Eastern Time on June 7, 2026 for shares held in a Plan.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VOTEw</w:t>
            </w:r>
          </w:p>
        </w:tc>
      </w:tr>
    </w:tbl>
    <w:tbl>
      <w:tblPr>
        <w:tblW w:w="13228" w:type="dxa"/>
        <w:jc w:val="center"/>
        <w:tblInd w:w="0" w:type="dxa"/>
        <w:tblLayout w:type="fixed"/>
        <w:tblCellMar>
          <w:top w:w="0" w:type="dxa"/>
          <w:left w:w="0" w:type="dxa"/>
          <w:bottom w:w="0" w:type="dxa"/>
          <w:right w:w="0" w:type="dxa"/>
        </w:tblCellMar>
      </w:tblPr>
      <w:tblGrid>
        <w:gridCol w:w="53"/>
        <w:gridCol w:w="12765"/>
        <w:gridCol w:w="410"/>
      </w:tblGrid>
      <w:tr>
        <w:trPr/>
        <w:tc>
          <w:tcPr>
            <w:tcW w:w="53" w:type="dxa"/>
            <w:tcBorders/>
            <w:vAlign w:val="center"/>
          </w:tcPr>
          <w:p>
            <w:pPr>
              <w:pStyle w:val="TableContents"/>
              <w:bidi w:val="0"/>
              <w:spacing w:before="0" w:after="283"/>
              <w:jc w:val="left"/>
              <w:rPr>
                <w:sz w:val="4"/>
                <w:szCs w:val="4"/>
              </w:rPr>
            </w:pPr>
            <w:r>
              <w:rPr>
                <w:sz w:val="4"/>
                <w:szCs w:val="4"/>
              </w:rPr>
            </w:r>
          </w:p>
        </w:tc>
        <w:tc>
          <w:tcPr>
            <w:tcW w:w="12765" w:type="dxa"/>
            <w:tcBorders/>
          </w:tcPr>
          <w:p>
            <w:pPr>
              <w:pStyle w:val="TableContents"/>
              <w:bidi w:val="0"/>
              <w:spacing w:before="0" w:after="0"/>
              <w:ind w:left="0" w:right="0" w:hanging="0"/>
              <w:jc w:val="left"/>
              <w:rPr/>
            </w:pPr>
            <w:r>
              <w:rPr/>
              <w:drawing>
                <wp:inline distT="0" distB="0" distL="0" distR="0">
                  <wp:extent cx="8086725" cy="10477500"/>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1"/>
                          <a:stretch>
                            <a:fillRect/>
                          </a:stretch>
                        </pic:blipFill>
                        <pic:spPr bwMode="auto">
                          <a:xfrm>
                            <a:off x="0" y="0"/>
                            <a:ext cx="8086725" cy="10477500"/>
                          </a:xfrm>
                          <a:prstGeom prst="rect">
                            <a:avLst/>
                          </a:prstGeom>
                        </pic:spPr>
                      </pic:pic>
                    </a:graphicData>
                  </a:graphic>
                </wp:inline>
              </w:drawing>
            </w:r>
          </w:p>
        </w:tc>
        <w:tc>
          <w:tcPr>
            <w:tcW w:w="4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V89428-P49458 FIDELITY NATIONAL FINANCIAL, INC. THIS PROXY IS SOLICITED BY THE BOARD OF DIRECTORS OF FIDELITY NATIONAL FINANCIAL, INC. FOR THE ANNUAL MEETING OF SHAREHOLDERS TO BE HELD JUNE 10, 2026 The undersigned hereby appoints the Chief Executive Officer, Corporate Secretary and Assistant Corporate Secretary of Fidelity National Financial, Inc. ("FNF"), and each of them, as Proxies, each with full power of substitution, and hereby authorizes each of them to represent and to vote, as designated on the reverse side, all the shares of common stock held of record by the undersigned as of April 13, 2026, at the Annual Meeting of Shareholders to be held at 10:00 a.m., Eastern Time, or any postponement or adjournment thereof. The meeting will be held virtually at www.virtualshareholdermeeting.com/FNF2026. This instruction and proxy card is also solicited by the Board of Directors of FNF for use at the Annual Meeting of Shareholders on June 10, 2026 at 10:00 a.m., Eastern Time, or any postponement or adjournment thereof, from persons who participate in the Fidelity National Financial, Inc. 401(k) Profit Sharing Plan (the "401(k) Plan"). By signing this instruction and proxy card, the undersigned hereby instructs Delaware Charter Guarantee &amp; Trust Company, doing business as Principal Trust Company (the "Trustee" for the 401(k) Plan), to exercise the voting rights relating to any shares of common stock allocable to his or her account(s) as of April 13, 2026. For shares voted by mail, this instruction and proxy card is to be returned to the tabulation agent (Fidelity National Financial, Inc., c/o Broadridge, 51 Mercedes Way, Edgewood, NY 11717). All voting instructions for shares in the 401(k) Plan, whether voted by mail, telephone or internet, must be received by 11:59 p.m., Eastern Time, on June 7, 2026. The Trustee will tabulate the votes from all 401(k) Plan participants received by the deadline and will determine the ratio of votes for and against each item. The Trustee will then vote all shares held in the 401(k) Plan according to these ratios. THIS PROXY, WHEN PROPERLY EXECUTED, WILL BE VOTED IN THE MANNER DIRECTED HEREIN. IF NO SUCH DIRECTION IS MADE, THIS PROXY WILL BE VOTED IN ACCORDANCE WITH THE BOARD OF DIRECTORS' RECOMMENDATIONS. Continued and to be signed on reverse side Important Notice Regarding the Availability of Proxy Materials for the Annual Meeting: The Notice and Proxy Statement and Annual Report are available at www.proxyvote.com. Fidelity National Financial, Inc. Meeting Information 2026 Annual Meeting of Shareholders June 10, 2026 10:00 a.m. Eastern Time www.virtualshareholdermeeting.com/FNF2026</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Cursive">
    <w:charset w:val="01"/>
    <w:family w:val="auto"/>
    <w:pitch w:val="default"/>
  </w:font>
  <w:font w:name="Segoe UI Symbol">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65893</Words>
  <Characters>352845</Characters>
  <CharactersWithSpaces>420174</CharactersWithSpaces>
  <Paragraphs>5396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