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210185</wp:posOffset>
            </wp:positionV>
            <wp:extent cx="72485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243840</wp:posOffset>
            </wp:positionV>
            <wp:extent cx="724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179070</wp:posOffset>
            </wp:positionV>
            <wp:extent cx="1879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207645</wp:posOffset>
            </wp:positionV>
            <wp:extent cx="1879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7" w:lineRule="exact"/>
        <w:rPr>
          <w:sz w:val="20"/>
          <w:szCs w:val="20"/>
          <w:color w:val="auto"/>
        </w:rPr>
      </w:pPr>
    </w:p>
    <w:p>
      <w:pPr>
        <w:ind w:left="1380" w:right="100" w:hanging="1067"/>
        <w:spacing w:after="0" w:line="274" w:lineRule="auto"/>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 (No Fee Required)</w:t>
      </w:r>
    </w:p>
    <w:p>
      <w:pPr>
        <w:spacing w:after="0" w:line="4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0"/>
          <w:szCs w:val="20"/>
          <w:color w:val="auto"/>
        </w:rPr>
      </w:pPr>
    </w:p>
    <w:p>
      <w:pPr>
        <w:ind w:left="1380" w:right="20" w:hanging="1027"/>
        <w:spacing w:after="0" w:line="274" w:lineRule="auto"/>
        <w:tabs>
          <w:tab w:leader="none" w:pos="138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 1934 (No Fee Required)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 1-32630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193675</wp:posOffset>
            </wp:positionV>
            <wp:extent cx="1879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Fidelity National Financial,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0" w:lineRule="exact"/>
        <w:rPr>
          <w:sz w:val="20"/>
          <w:szCs w:val="20"/>
          <w:color w:val="auto"/>
        </w:rPr>
      </w:pPr>
    </w:p>
    <w:tbl>
      <w:tblPr>
        <w:tblLayout w:type="fixed"/>
        <w:tblInd w:w="1340" w:type="dxa"/>
        <w:tblCellMar>
          <w:top w:w="0" w:type="dxa"/>
          <w:left w:w="0" w:type="dxa"/>
          <w:bottom w:w="0" w:type="dxa"/>
          <w:right w:w="0" w:type="dxa"/>
        </w:tblCellMar>
      </w:tblPr>
      <w:tr>
        <w:trPr>
          <w:trHeight w:val="219"/>
        </w:trPr>
        <w:tc>
          <w:tcPr>
            <w:tcW w:w="1000" w:type="dxa"/>
            <w:vAlign w:val="bottom"/>
          </w:tcPr>
          <w:p>
            <w:pPr>
              <w:spacing w:after="0"/>
              <w:rPr>
                <w:sz w:val="19"/>
                <w:szCs w:val="19"/>
                <w:color w:val="auto"/>
              </w:rPr>
            </w:pPr>
          </w:p>
        </w:tc>
        <w:tc>
          <w:tcPr>
            <w:tcW w:w="316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w w:val="91"/>
              </w:rPr>
              <w:t>Delaware</w:t>
            </w:r>
          </w:p>
        </w:tc>
        <w:tc>
          <w:tcPr>
            <w:tcW w:w="4540" w:type="dxa"/>
            <w:vAlign w:val="bottom"/>
            <w:gridSpan w:val="2"/>
          </w:tcPr>
          <w:p>
            <w:pPr>
              <w:jc w:val="right"/>
              <w:ind w:right="811"/>
              <w:spacing w:after="0"/>
              <w:rPr>
                <w:sz w:val="20"/>
                <w:szCs w:val="20"/>
                <w:color w:val="auto"/>
              </w:rPr>
            </w:pPr>
            <w:r>
              <w:rPr>
                <w:rFonts w:ascii="Arial" w:cs="Arial" w:eastAsia="Arial" w:hAnsi="Arial"/>
                <w:sz w:val="18"/>
                <w:szCs w:val="18"/>
                <w:b w:val="1"/>
                <w:bCs w:val="1"/>
                <w:color w:val="auto"/>
              </w:rPr>
              <w:t>16-1725106</w:t>
            </w:r>
          </w:p>
        </w:tc>
        <w:tc>
          <w:tcPr>
            <w:tcW w:w="20" w:type="dxa"/>
            <w:vAlign w:val="bottom"/>
          </w:tcPr>
          <w:p>
            <w:pPr>
              <w:spacing w:after="0"/>
              <w:rPr>
                <w:sz w:val="19"/>
                <w:szCs w:val="19"/>
                <w:color w:val="auto"/>
              </w:rPr>
            </w:pPr>
          </w:p>
        </w:tc>
      </w:tr>
      <w:tr>
        <w:trPr>
          <w:trHeight w:val="213"/>
        </w:trPr>
        <w:tc>
          <w:tcPr>
            <w:tcW w:w="4160" w:type="dxa"/>
            <w:vAlign w:val="bottom"/>
            <w:gridSpan w:val="3"/>
          </w:tcPr>
          <w:p>
            <w:pPr>
              <w:jc w:val="center"/>
              <w:ind w:right="1420"/>
              <w:spacing w:after="0"/>
              <w:rPr>
                <w:sz w:val="20"/>
                <w:szCs w:val="20"/>
                <w:color w:val="auto"/>
              </w:rPr>
            </w:pPr>
            <w:r>
              <w:rPr>
                <w:rFonts w:ascii="Arial" w:cs="Arial" w:eastAsia="Arial" w:hAnsi="Arial"/>
                <w:sz w:val="18"/>
                <w:szCs w:val="18"/>
                <w:i w:val="1"/>
                <w:iCs w:val="1"/>
                <w:color w:val="auto"/>
                <w:w w:val="92"/>
              </w:rPr>
              <w:t>(State or other jurisdiction</w:t>
            </w:r>
          </w:p>
        </w:tc>
        <w:tc>
          <w:tcPr>
            <w:tcW w:w="1260" w:type="dxa"/>
            <w:vAlign w:val="bottom"/>
          </w:tcPr>
          <w:p>
            <w:pPr>
              <w:spacing w:after="0"/>
              <w:rPr>
                <w:sz w:val="18"/>
                <w:szCs w:val="18"/>
                <w:color w:val="auto"/>
              </w:rPr>
            </w:pPr>
          </w:p>
        </w:tc>
        <w:tc>
          <w:tcPr>
            <w:tcW w:w="3300" w:type="dxa"/>
            <w:vAlign w:val="bottom"/>
            <w:gridSpan w:val="2"/>
          </w:tcPr>
          <w:p>
            <w:pPr>
              <w:jc w:val="center"/>
              <w:ind w:left="491"/>
              <w:spacing w:after="0"/>
              <w:rPr>
                <w:sz w:val="20"/>
                <w:szCs w:val="20"/>
                <w:color w:val="auto"/>
              </w:rPr>
            </w:pPr>
            <w:r>
              <w:rPr>
                <w:rFonts w:ascii="Arial" w:cs="Arial" w:eastAsia="Arial" w:hAnsi="Arial"/>
                <w:sz w:val="18"/>
                <w:szCs w:val="18"/>
                <w:i w:val="1"/>
                <w:iCs w:val="1"/>
                <w:color w:val="auto"/>
                <w:w w:val="90"/>
              </w:rPr>
              <w:t>(I.R.S. Employer</w:t>
            </w:r>
          </w:p>
        </w:tc>
      </w:tr>
      <w:tr>
        <w:trPr>
          <w:trHeight w:val="224"/>
        </w:trPr>
        <w:tc>
          <w:tcPr>
            <w:tcW w:w="4160" w:type="dxa"/>
            <w:vAlign w:val="bottom"/>
            <w:gridSpan w:val="3"/>
          </w:tcPr>
          <w:p>
            <w:pPr>
              <w:jc w:val="center"/>
              <w:ind w:right="1420"/>
              <w:spacing w:after="0"/>
              <w:rPr>
                <w:sz w:val="20"/>
                <w:szCs w:val="20"/>
                <w:color w:val="auto"/>
              </w:rPr>
            </w:pPr>
            <w:r>
              <w:rPr>
                <w:rFonts w:ascii="Arial" w:cs="Arial" w:eastAsia="Arial" w:hAnsi="Arial"/>
                <w:sz w:val="18"/>
                <w:szCs w:val="18"/>
                <w:i w:val="1"/>
                <w:iCs w:val="1"/>
                <w:color w:val="auto"/>
                <w:w w:val="93"/>
              </w:rPr>
              <w:t>of incorporation or organization)</w:t>
            </w:r>
          </w:p>
        </w:tc>
        <w:tc>
          <w:tcPr>
            <w:tcW w:w="1260" w:type="dxa"/>
            <w:vAlign w:val="bottom"/>
          </w:tcPr>
          <w:p>
            <w:pPr>
              <w:spacing w:after="0"/>
              <w:rPr>
                <w:sz w:val="19"/>
                <w:szCs w:val="19"/>
                <w:color w:val="auto"/>
              </w:rPr>
            </w:pPr>
          </w:p>
        </w:tc>
        <w:tc>
          <w:tcPr>
            <w:tcW w:w="3300" w:type="dxa"/>
            <w:vAlign w:val="bottom"/>
            <w:gridSpan w:val="2"/>
          </w:tcPr>
          <w:p>
            <w:pPr>
              <w:jc w:val="center"/>
              <w:ind w:left="491"/>
              <w:spacing w:after="0"/>
              <w:rPr>
                <w:sz w:val="20"/>
                <w:szCs w:val="20"/>
                <w:color w:val="auto"/>
              </w:rPr>
            </w:pPr>
            <w:r>
              <w:rPr>
                <w:rFonts w:ascii="Arial" w:cs="Arial" w:eastAsia="Arial" w:hAnsi="Arial"/>
                <w:sz w:val="18"/>
                <w:szCs w:val="18"/>
                <w:i w:val="1"/>
                <w:iCs w:val="1"/>
                <w:color w:val="auto"/>
                <w:w w:val="94"/>
              </w:rPr>
              <w:t>Identification No.)</w:t>
            </w:r>
          </w:p>
        </w:tc>
      </w:tr>
      <w:tr>
        <w:trPr>
          <w:trHeight w:val="410"/>
        </w:trPr>
        <w:tc>
          <w:tcPr>
            <w:tcW w:w="416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88"/>
              </w:rPr>
              <w:t>601 Riverside Avenue</w:t>
            </w:r>
          </w:p>
        </w:tc>
        <w:tc>
          <w:tcPr>
            <w:tcW w:w="4540" w:type="dxa"/>
            <w:vAlign w:val="bottom"/>
            <w:gridSpan w:val="2"/>
          </w:tcPr>
          <w:p>
            <w:pPr>
              <w:jc w:val="right"/>
              <w:ind w:right="691"/>
              <w:spacing w:after="0"/>
              <w:rPr>
                <w:sz w:val="20"/>
                <w:szCs w:val="20"/>
                <w:color w:val="auto"/>
              </w:rPr>
            </w:pPr>
            <w:r>
              <w:rPr>
                <w:rFonts w:ascii="Arial" w:cs="Arial" w:eastAsia="Arial" w:hAnsi="Arial"/>
                <w:sz w:val="18"/>
                <w:szCs w:val="18"/>
                <w:b w:val="1"/>
                <w:bCs w:val="1"/>
                <w:color w:val="auto"/>
              </w:rPr>
              <w:t>(904) 854-8100</w:t>
            </w:r>
          </w:p>
        </w:tc>
        <w:tc>
          <w:tcPr>
            <w:tcW w:w="20" w:type="dxa"/>
            <w:vAlign w:val="bottom"/>
          </w:tcPr>
          <w:p>
            <w:pPr>
              <w:spacing w:after="0"/>
              <w:rPr>
                <w:sz w:val="24"/>
                <w:szCs w:val="24"/>
                <w:color w:val="auto"/>
              </w:rPr>
            </w:pPr>
          </w:p>
        </w:tc>
      </w:tr>
      <w:tr>
        <w:trPr>
          <w:trHeight w:val="219"/>
        </w:trPr>
        <w:tc>
          <w:tcPr>
            <w:tcW w:w="4160" w:type="dxa"/>
            <w:vAlign w:val="bottom"/>
            <w:gridSpan w:val="3"/>
          </w:tcPr>
          <w:p>
            <w:pPr>
              <w:jc w:val="center"/>
              <w:ind w:right="1420"/>
              <w:spacing w:after="0"/>
              <w:rPr>
                <w:sz w:val="20"/>
                <w:szCs w:val="20"/>
                <w:color w:val="auto"/>
              </w:rPr>
            </w:pPr>
            <w:r>
              <w:rPr>
                <w:rFonts w:ascii="Arial" w:cs="Arial" w:eastAsia="Arial" w:hAnsi="Arial"/>
                <w:sz w:val="18"/>
                <w:szCs w:val="18"/>
                <w:b w:val="1"/>
                <w:bCs w:val="1"/>
                <w:color w:val="auto"/>
                <w:w w:val="88"/>
              </w:rPr>
              <w:t>Jacksonville, Florida 32204</w:t>
            </w:r>
          </w:p>
        </w:tc>
        <w:tc>
          <w:tcPr>
            <w:tcW w:w="1260" w:type="dxa"/>
            <w:vAlign w:val="bottom"/>
          </w:tcPr>
          <w:p>
            <w:pPr>
              <w:spacing w:after="0"/>
              <w:rPr>
                <w:sz w:val="19"/>
                <w:szCs w:val="19"/>
                <w:color w:val="auto"/>
              </w:rPr>
            </w:pPr>
          </w:p>
        </w:tc>
        <w:tc>
          <w:tcPr>
            <w:tcW w:w="3300" w:type="dxa"/>
            <w:vAlign w:val="bottom"/>
            <w:gridSpan w:val="2"/>
          </w:tcPr>
          <w:p>
            <w:pPr>
              <w:jc w:val="center"/>
              <w:ind w:left="491"/>
              <w:spacing w:after="0"/>
              <w:rPr>
                <w:sz w:val="20"/>
                <w:szCs w:val="20"/>
                <w:color w:val="auto"/>
              </w:rPr>
            </w:pPr>
            <w:r>
              <w:rPr>
                <w:rFonts w:ascii="Arial" w:cs="Arial" w:eastAsia="Arial" w:hAnsi="Arial"/>
                <w:sz w:val="18"/>
                <w:szCs w:val="18"/>
                <w:i w:val="1"/>
                <w:iCs w:val="1"/>
                <w:color w:val="auto"/>
                <w:w w:val="87"/>
              </w:rPr>
              <w:t>(Registrant’s telephone number,</w:t>
            </w:r>
          </w:p>
        </w:tc>
      </w:tr>
      <w:tr>
        <w:trPr>
          <w:trHeight w:val="213"/>
        </w:trPr>
        <w:tc>
          <w:tcPr>
            <w:tcW w:w="4160" w:type="dxa"/>
            <w:vAlign w:val="bottom"/>
            <w:gridSpan w:val="3"/>
          </w:tcPr>
          <w:p>
            <w:pPr>
              <w:jc w:val="center"/>
              <w:ind w:right="1400"/>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1260" w:type="dxa"/>
            <w:vAlign w:val="bottom"/>
          </w:tcPr>
          <w:p>
            <w:pPr>
              <w:spacing w:after="0"/>
              <w:rPr>
                <w:sz w:val="18"/>
                <w:szCs w:val="18"/>
                <w:color w:val="auto"/>
              </w:rPr>
            </w:pPr>
          </w:p>
        </w:tc>
        <w:tc>
          <w:tcPr>
            <w:tcW w:w="3300" w:type="dxa"/>
            <w:vAlign w:val="bottom"/>
            <w:gridSpan w:val="2"/>
          </w:tcPr>
          <w:p>
            <w:pPr>
              <w:jc w:val="center"/>
              <w:ind w:left="491"/>
              <w:spacing w:after="0"/>
              <w:rPr>
                <w:sz w:val="20"/>
                <w:szCs w:val="20"/>
                <w:color w:val="auto"/>
              </w:rPr>
            </w:pPr>
            <w:r>
              <w:rPr>
                <w:rFonts w:ascii="Arial" w:cs="Arial" w:eastAsia="Arial" w:hAnsi="Arial"/>
                <w:sz w:val="18"/>
                <w:szCs w:val="18"/>
                <w:i w:val="1"/>
                <w:iCs w:val="1"/>
                <w:color w:val="auto"/>
                <w:w w:val="91"/>
              </w:rPr>
              <w:t>including area code)</w:t>
            </w:r>
          </w:p>
        </w:tc>
      </w:tr>
      <w:tr>
        <w:trPr>
          <w:trHeight w:val="224"/>
        </w:trPr>
        <w:tc>
          <w:tcPr>
            <w:tcW w:w="4160" w:type="dxa"/>
            <w:vAlign w:val="bottom"/>
            <w:gridSpan w:val="3"/>
          </w:tcPr>
          <w:p>
            <w:pPr>
              <w:jc w:val="center"/>
              <w:ind w:right="1400"/>
              <w:spacing w:after="0"/>
              <w:rPr>
                <w:sz w:val="20"/>
                <w:szCs w:val="20"/>
                <w:color w:val="auto"/>
              </w:rPr>
            </w:pPr>
            <w:r>
              <w:rPr>
                <w:rFonts w:ascii="Arial" w:cs="Arial" w:eastAsia="Arial" w:hAnsi="Arial"/>
                <w:sz w:val="18"/>
                <w:szCs w:val="18"/>
                <w:i w:val="1"/>
                <w:iCs w:val="1"/>
                <w:color w:val="auto"/>
                <w:w w:val="91"/>
              </w:rPr>
              <w:t>including zip code)</w:t>
            </w:r>
          </w:p>
        </w:tc>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33"/>
        </w:trPr>
        <w:tc>
          <w:tcPr>
            <w:tcW w:w="1000" w:type="dxa"/>
            <w:vAlign w:val="bottom"/>
          </w:tcPr>
          <w:p>
            <w:pPr>
              <w:spacing w:after="0"/>
              <w:rPr>
                <w:sz w:val="24"/>
                <w:szCs w:val="24"/>
                <w:color w:val="auto"/>
              </w:rPr>
            </w:pPr>
          </w:p>
        </w:tc>
        <w:tc>
          <w:tcPr>
            <w:tcW w:w="7720" w:type="dxa"/>
            <w:vAlign w:val="bottom"/>
            <w:gridSpan w:val="5"/>
          </w:tcPr>
          <w:p>
            <w:pPr>
              <w:ind w:left="1200"/>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415"/>
        </w:trPr>
        <w:tc>
          <w:tcPr>
            <w:tcW w:w="1000" w:type="dxa"/>
            <w:vAlign w:val="bottom"/>
          </w:tcPr>
          <w:p>
            <w:pPr>
              <w:spacing w:after="0"/>
              <w:rPr>
                <w:sz w:val="24"/>
                <w:szCs w:val="24"/>
                <w:color w:val="auto"/>
              </w:rPr>
            </w:pPr>
          </w:p>
        </w:tc>
        <w:tc>
          <w:tcPr>
            <w:tcW w:w="316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w w:val="86"/>
              </w:rPr>
              <w:t>Title of each class</w:t>
            </w:r>
          </w:p>
        </w:tc>
        <w:tc>
          <w:tcPr>
            <w:tcW w:w="4560" w:type="dxa"/>
            <w:vAlign w:val="bottom"/>
            <w:gridSpan w:val="3"/>
          </w:tcPr>
          <w:p>
            <w:pPr>
              <w:jc w:val="center"/>
              <w:ind w:left="1171"/>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9"/>
        </w:trPr>
        <w:tc>
          <w:tcPr>
            <w:tcW w:w="4160" w:type="dxa"/>
            <w:vAlign w:val="bottom"/>
            <w:gridSpan w:val="3"/>
          </w:tcPr>
          <w:p>
            <w:pPr>
              <w:jc w:val="center"/>
              <w:ind w:right="800"/>
              <w:spacing w:after="0"/>
              <w:rPr>
                <w:sz w:val="20"/>
                <w:szCs w:val="20"/>
                <w:color w:val="auto"/>
              </w:rPr>
            </w:pPr>
            <w:r>
              <w:rPr>
                <w:rFonts w:ascii="Arial" w:cs="Arial" w:eastAsia="Arial" w:hAnsi="Arial"/>
                <w:sz w:val="18"/>
                <w:szCs w:val="18"/>
                <w:color w:val="auto"/>
                <w:w w:val="89"/>
              </w:rPr>
              <w:t>Common Stock, $0.0001 par value</w:t>
            </w:r>
          </w:p>
        </w:tc>
        <w:tc>
          <w:tcPr>
            <w:tcW w:w="1260" w:type="dxa"/>
            <w:vAlign w:val="bottom"/>
          </w:tcPr>
          <w:p>
            <w:pPr>
              <w:spacing w:after="0"/>
              <w:rPr>
                <w:sz w:val="24"/>
                <w:szCs w:val="24"/>
                <w:color w:val="auto"/>
              </w:rPr>
            </w:pPr>
          </w:p>
        </w:tc>
        <w:tc>
          <w:tcPr>
            <w:tcW w:w="33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New York Stock Exchange</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84" w:lineRule="exact"/>
        <w:rPr>
          <w:sz w:val="20"/>
          <w:szCs w:val="20"/>
          <w:color w:val="auto"/>
        </w:rPr>
      </w:pPr>
    </w:p>
    <w:p>
      <w:pPr>
        <w:ind w:left="220" w:right="1780"/>
        <w:spacing w:after="0" w:line="299"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77" w:lineRule="exact"/>
        <w:rPr>
          <w:sz w:val="20"/>
          <w:szCs w:val="20"/>
          <w:color w:val="auto"/>
        </w:rPr>
      </w:pPr>
    </w:p>
    <w:p>
      <w:pPr>
        <w:ind w:right="380" w:firstLine="222"/>
        <w:spacing w:after="0" w:line="22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7" w:lineRule="exact"/>
        <w:rPr>
          <w:sz w:val="20"/>
          <w:szCs w:val="20"/>
          <w:color w:val="auto"/>
        </w:rPr>
      </w:pPr>
    </w:p>
    <w:p>
      <w:pPr>
        <w:ind w:right="300" w:firstLine="222"/>
        <w:spacing w:after="0" w:line="257"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o</w:t>
      </w:r>
    </w:p>
    <w:p>
      <w:pPr>
        <w:spacing w:after="0" w:line="82" w:lineRule="exact"/>
        <w:rPr>
          <w:sz w:val="20"/>
          <w:szCs w:val="20"/>
          <w:color w:val="auto"/>
        </w:rPr>
      </w:pPr>
    </w:p>
    <w:p>
      <w:pPr>
        <w:ind w:right="60" w:firstLine="222"/>
        <w:spacing w:after="0" w:line="33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217" w:gutter="0" w:footer="0" w:header="0"/>
        </w:sectPr>
      </w:pPr>
    </w:p>
    <w:p>
      <w:pPr>
        <w:spacing w:after="0" w:line="9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Accelerated filer </w:t>
      </w:r>
      <w:r>
        <w:rPr>
          <w:rFonts w:ascii="Arial" w:cs="Arial" w:eastAsia="Arial" w:hAnsi="Arial"/>
          <w:sz w:val="16"/>
          <w:szCs w:val="16"/>
          <w:b w:val="1"/>
          <w:bCs w:val="1"/>
          <w:color w:val="auto"/>
        </w:rPr>
        <w:t>o</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Non-accelerated filer </w:t>
      </w:r>
      <w:r>
        <w:rPr>
          <w:rFonts w:ascii="Arial" w:cs="Arial" w:eastAsia="Arial" w:hAnsi="Arial"/>
          <w:sz w:val="18"/>
          <w:szCs w:val="18"/>
          <w:b w:val="1"/>
          <w:bCs w:val="1"/>
          <w:color w:val="auto"/>
        </w:rPr>
        <w: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Smaller Reporting company </w:t>
      </w:r>
      <w:r>
        <w:rPr>
          <w:rFonts w:ascii="Arial" w:cs="Arial" w:eastAsia="Arial" w:hAnsi="Arial"/>
          <w:sz w:val="16"/>
          <w:szCs w:val="16"/>
          <w:b w:val="1"/>
          <w:bCs w:val="1"/>
          <w:color w:val="auto"/>
        </w:rPr>
        <w:t>o</w:t>
      </w:r>
    </w:p>
    <w:p>
      <w:pPr>
        <w:spacing w:after="0" w:line="355" w:lineRule="exact"/>
        <w:rPr>
          <w:sz w:val="20"/>
          <w:szCs w:val="20"/>
          <w:color w:val="auto"/>
        </w:rPr>
      </w:pPr>
    </w:p>
    <w:p>
      <w:pPr>
        <w:sectPr>
          <w:pgSz w:w="11900" w:h="16838" w:orient="portrait"/>
          <w:cols w:equalWidth="0" w:num="4">
            <w:col w:w="2840" w:space="720"/>
            <w:col w:w="1320" w:space="640"/>
            <w:col w:w="3300" w:space="460"/>
            <w:col w:w="2140"/>
          </w:cols>
          <w:pgMar w:left="240" w:top="122" w:right="239" w:bottom="217" w:gutter="0" w:footer="0" w:header="0"/>
          <w:type w:val="continuous"/>
        </w:sectPr>
      </w:pPr>
    </w:p>
    <w:p>
      <w:pPr>
        <w:ind w:left="2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4" w:lineRule="exact"/>
        <w:rPr>
          <w:sz w:val="20"/>
          <w:szCs w:val="20"/>
          <w:color w:val="auto"/>
        </w:rPr>
      </w:pPr>
    </w:p>
    <w:p>
      <w:pPr>
        <w:ind w:left="52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06" w:lineRule="exact"/>
        <w:rPr>
          <w:sz w:val="20"/>
          <w:szCs w:val="20"/>
          <w:color w:val="auto"/>
        </w:rPr>
      </w:pPr>
    </w:p>
    <w:p>
      <w:pPr>
        <w:ind w:right="60" w:firstLine="219"/>
        <w:spacing w:after="0" w:line="267" w:lineRule="auto"/>
        <w:rPr>
          <w:sz w:val="20"/>
          <w:szCs w:val="20"/>
          <w:color w:val="auto"/>
        </w:rPr>
      </w:pPr>
      <w:r>
        <w:rPr>
          <w:rFonts w:ascii="Arial" w:cs="Arial" w:eastAsia="Arial" w:hAnsi="Arial"/>
          <w:sz w:val="18"/>
          <w:szCs w:val="18"/>
          <w:color w:val="auto"/>
        </w:rPr>
        <w:t>The aggregate market value of the shares of the Common Stock held by non-affiliates of the registrant as of June 30, 2008 was $2,503,346,693, based on the closing price of $12.60 as reported by the New York Stock Exchange.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January 31, 2009, there were 215,087,639 shares of Common Stock outstanding.</w:t>
      </w:r>
    </w:p>
    <w:p>
      <w:pPr>
        <w:spacing w:after="0" w:line="113" w:lineRule="exact"/>
        <w:rPr>
          <w:sz w:val="20"/>
          <w:szCs w:val="20"/>
          <w:color w:val="auto"/>
        </w:rPr>
      </w:pPr>
    </w:p>
    <w:p>
      <w:pPr>
        <w:ind w:right="740" w:firstLine="219"/>
        <w:spacing w:after="0" w:line="267" w:lineRule="auto"/>
        <w:rPr>
          <w:sz w:val="20"/>
          <w:szCs w:val="20"/>
          <w:color w:val="auto"/>
        </w:rPr>
      </w:pPr>
      <w:r>
        <w:rPr>
          <w:rFonts w:ascii="Arial" w:cs="Arial" w:eastAsia="Arial" w:hAnsi="Arial"/>
          <w:sz w:val="18"/>
          <w:szCs w:val="18"/>
          <w:color w:val="auto"/>
        </w:rPr>
        <w:t>The information in Part III hereof is incorporated herein by reference to the registrant’s Proxy Statement on Schedule 14A for the fiscal year ended December 31, 2008, to be filed within 120 days after the close of the fiscal year that is the subject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113665</wp:posOffset>
            </wp:positionV>
            <wp:extent cx="724852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8525" cy="33655"/>
                    </a:xfrm>
                    <a:prstGeom prst="rect">
                      <a:avLst/>
                    </a:prstGeom>
                    <a:noFill/>
                  </pic:spPr>
                </pic:pic>
              </a:graphicData>
            </a:graphic>
          </wp:anchor>
        </w:drawing>
      </w:r>
    </w:p>
    <w:p>
      <w:pPr>
        <w:sectPr>
          <w:pgSz w:w="11900" w:h="16838" w:orient="portrait"/>
          <w:cols w:equalWidth="0" w:num="1">
            <w:col w:w="11420"/>
          </w:cols>
          <w:pgMar w:left="240" w:top="122" w:right="239" w:bottom="217"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523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80" w:type="dxa"/>
            <w:vAlign w:val="bottom"/>
            <w:gridSpan w:val="16"/>
          </w:tcPr>
          <w:p>
            <w:pPr>
              <w:jc w:val="center"/>
              <w:ind w:right="4140"/>
              <w:spacing w:after="0"/>
              <w:rPr>
                <w:sz w:val="20"/>
                <w:szCs w:val="20"/>
                <w:color w:val="auto"/>
              </w:rPr>
            </w:pPr>
            <w:r>
              <w:rPr>
                <w:rFonts w:ascii="Arial" w:cs="Arial" w:eastAsia="Arial" w:hAnsi="Arial"/>
                <w:sz w:val="18"/>
                <w:szCs w:val="18"/>
                <w:b w:val="1"/>
                <w:bCs w:val="1"/>
                <w:color w:val="auto"/>
                <w:w w:val="97"/>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40" w:type="dxa"/>
            <w:vAlign w:val="bottom"/>
            <w:gridSpan w:val="14"/>
          </w:tcPr>
          <w:p>
            <w:pPr>
              <w:jc w:val="center"/>
              <w:ind w:right="4460"/>
              <w:spacing w:after="0"/>
              <w:rPr>
                <w:sz w:val="20"/>
                <w:szCs w:val="20"/>
                <w:color w:val="auto"/>
              </w:rPr>
            </w:pPr>
            <w:r>
              <w:rPr>
                <w:rFonts w:ascii="Arial" w:cs="Arial" w:eastAsia="Arial" w:hAnsi="Arial"/>
                <w:sz w:val="18"/>
                <w:szCs w:val="18"/>
                <w:b w:val="1"/>
                <w:bCs w:val="1"/>
                <w:color w:val="auto"/>
                <w:w w:val="98"/>
              </w:rPr>
              <w:t>FORM 10-K</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5400" w:type="dxa"/>
            <w:vAlign w:val="bottom"/>
            <w:gridSpan w:val="10"/>
            <w:vMerge w:val="restart"/>
          </w:tcPr>
          <w:p>
            <w:pPr>
              <w:jc w:val="center"/>
              <w:ind w:right="482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5400" w:type="dxa"/>
            <w:vAlign w:val="bottom"/>
            <w:gridSpan w:val="10"/>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20" w:type="dxa"/>
            <w:vAlign w:val="bottom"/>
            <w:tcBorders>
              <w:bottom w:val="single" w:sz="8" w:color="0000EE"/>
            </w:tcBorders>
            <w:gridSpan w:val="2"/>
          </w:tcPr>
          <w:p>
            <w:pPr>
              <w:spacing w:after="0" w:line="194"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12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Borders>
              <w:bottom w:val="single" w:sz="8" w:color="0000EE"/>
            </w:tcBorders>
          </w:tcPr>
          <w:p>
            <w:pPr>
              <w:spacing w:after="0" w:line="194"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3420" w:type="dxa"/>
            <w:vAlign w:val="bottom"/>
            <w:gridSpan w:val="17"/>
          </w:tcPr>
          <w:p>
            <w:pPr>
              <w:spacing w:after="0"/>
              <w:rPr>
                <w:sz w:val="16"/>
                <w:szCs w:val="16"/>
                <w:color w:val="auto"/>
              </w:rPr>
            </w:pPr>
          </w:p>
        </w:tc>
        <w:tc>
          <w:tcPr>
            <w:tcW w:w="580" w:type="dxa"/>
            <w:vAlign w:val="bottom"/>
            <w:tcBorders>
              <w:top w:val="single" w:sz="8" w:color="0000EE"/>
            </w:tcBorders>
            <w:gridSpan w:val="2"/>
          </w:tcPr>
          <w:p>
            <w:pPr>
              <w:spacing w:after="0"/>
              <w:rPr>
                <w:sz w:val="16"/>
                <w:szCs w:val="16"/>
                <w:color w:val="auto"/>
              </w:rPr>
            </w:pPr>
          </w:p>
        </w:tc>
        <w:tc>
          <w:tcPr>
            <w:tcW w:w="4820" w:type="dxa"/>
            <w:vAlign w:val="bottom"/>
            <w:gridSpan w:val="8"/>
          </w:tcPr>
          <w:p>
            <w:pPr>
              <w:spacing w:after="0"/>
              <w:rPr>
                <w:sz w:val="16"/>
                <w:szCs w:val="16"/>
                <w:color w:val="auto"/>
              </w:rPr>
            </w:pPr>
          </w:p>
        </w:tc>
        <w:tc>
          <w:tcPr>
            <w:tcW w:w="600" w:type="dxa"/>
            <w:vAlign w:val="bottom"/>
          </w:tcPr>
          <w:p>
            <w:pPr>
              <w:jc w:val="right"/>
              <w:ind w:right="93"/>
              <w:spacing w:after="0" w:line="194"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3"/>
        </w:trPr>
        <w:tc>
          <w:tcPr>
            <w:tcW w:w="640" w:type="dxa"/>
            <w:vAlign w:val="bottom"/>
            <w:gridSpan w:val="4"/>
          </w:tcPr>
          <w:p>
            <w:pPr>
              <w:spacing w:after="0" w:line="194"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Item 1A.</w:t>
              </w:r>
            </w:hyperlink>
          </w:p>
        </w:tc>
        <w:tc>
          <w:tcPr>
            <w:tcW w:w="720" w:type="dxa"/>
            <w:vAlign w:val="bottom"/>
          </w:tcPr>
          <w:p>
            <w:pPr>
              <w:spacing w:after="0"/>
              <w:rPr>
                <w:sz w:val="16"/>
                <w:szCs w:val="16"/>
                <w:color w:val="auto"/>
              </w:rPr>
            </w:pPr>
          </w:p>
        </w:tc>
        <w:tc>
          <w:tcPr>
            <w:tcW w:w="9460" w:type="dxa"/>
            <w:vAlign w:val="bottom"/>
            <w:gridSpan w:val="28"/>
          </w:tcPr>
          <w:p>
            <w:pPr>
              <w:spacing w:after="0" w:line="194"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600" w:type="dxa"/>
            <w:vAlign w:val="bottom"/>
          </w:tcPr>
          <w:p>
            <w:pPr>
              <w:jc w:val="right"/>
              <w:ind w:right="93"/>
              <w:spacing w:after="0" w:line="194"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40" w:type="dxa"/>
            <w:vAlign w:val="bottom"/>
            <w:gridSpan w:val="4"/>
          </w:tcPr>
          <w:p>
            <w:pPr>
              <w:spacing w:after="0" w:line="194"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Item 1B.</w:t>
              </w:r>
            </w:hyperlink>
          </w:p>
        </w:tc>
        <w:tc>
          <w:tcPr>
            <w:tcW w:w="720" w:type="dxa"/>
            <w:vAlign w:val="bottom"/>
          </w:tcPr>
          <w:p>
            <w:pPr>
              <w:spacing w:after="0"/>
              <w:rPr>
                <w:sz w:val="16"/>
                <w:szCs w:val="16"/>
                <w:color w:val="auto"/>
              </w:rPr>
            </w:pPr>
          </w:p>
        </w:tc>
        <w:tc>
          <w:tcPr>
            <w:tcW w:w="9460" w:type="dxa"/>
            <w:vAlign w:val="bottom"/>
            <w:gridSpan w:val="28"/>
          </w:tcPr>
          <w:p>
            <w:pPr>
              <w:spacing w:after="0" w:line="194" w:lineRule="exact"/>
              <w:rPr>
                <w:rFonts w:ascii="Arial" w:cs="Arial" w:eastAsia="Arial" w:hAnsi="Arial"/>
                <w:sz w:val="18"/>
                <w:szCs w:val="18"/>
                <w:color w:val="0000EE"/>
              </w:rPr>
            </w:pPr>
            <w:hyperlink w:anchor="page26">
              <w:r>
                <w:rPr>
                  <w:rFonts w:ascii="Arial" w:cs="Arial" w:eastAsia="Arial" w:hAnsi="Arial"/>
                  <w:sz w:val="18"/>
                  <w:szCs w:val="18"/>
                  <w:color w:val="0000EE"/>
                </w:rPr>
                <w:t>Unresolved Staff Comments</w:t>
              </w:r>
            </w:hyperlink>
          </w:p>
        </w:tc>
        <w:tc>
          <w:tcPr>
            <w:tcW w:w="600" w:type="dxa"/>
            <w:vAlign w:val="bottom"/>
          </w:tcPr>
          <w:p>
            <w:pPr>
              <w:jc w:val="right"/>
              <w:ind w:right="93"/>
              <w:spacing w:after="0" w:line="194"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3"/>
        </w:trPr>
        <w:tc>
          <w:tcPr>
            <w:tcW w:w="520" w:type="dxa"/>
            <w:vAlign w:val="bottom"/>
            <w:tcBorders>
              <w:top w:val="single" w:sz="8" w:color="0000EE"/>
            </w:tcBorders>
            <w:gridSpan w:val="2"/>
          </w:tcPr>
          <w:p>
            <w:pPr>
              <w:spacing w:after="0" w:line="194"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120" w:type="dxa"/>
            <w:vAlign w:val="bottom"/>
            <w:tcBorders>
              <w:top w:val="single" w:sz="8" w:color="0000EE"/>
            </w:tcBorders>
            <w:gridSpan w:val="2"/>
          </w:tcPr>
          <w:p>
            <w:pPr>
              <w:spacing w:after="0"/>
              <w:rPr>
                <w:sz w:val="16"/>
                <w:szCs w:val="16"/>
                <w:color w:val="auto"/>
              </w:rPr>
            </w:pPr>
          </w:p>
        </w:tc>
        <w:tc>
          <w:tcPr>
            <w:tcW w:w="720" w:type="dxa"/>
            <w:vAlign w:val="bottom"/>
          </w:tcPr>
          <w:p>
            <w:pPr>
              <w:spacing w:after="0"/>
              <w:rPr>
                <w:sz w:val="16"/>
                <w:szCs w:val="16"/>
                <w:color w:val="auto"/>
              </w:rPr>
            </w:pPr>
          </w:p>
        </w:tc>
        <w:tc>
          <w:tcPr>
            <w:tcW w:w="2020" w:type="dxa"/>
            <w:vAlign w:val="bottom"/>
            <w:tcBorders>
              <w:top w:val="single" w:sz="8" w:color="0000EE"/>
            </w:tcBorders>
            <w:gridSpan w:val="8"/>
          </w:tcPr>
          <w:p>
            <w:pPr>
              <w:spacing w:after="0" w:line="194" w:lineRule="exact"/>
              <w:rPr>
                <w:rFonts w:ascii="Arial" w:cs="Arial" w:eastAsia="Arial" w:hAnsi="Arial"/>
                <w:sz w:val="18"/>
                <w:szCs w:val="18"/>
                <w:color w:val="0000EE"/>
              </w:rPr>
            </w:pPr>
            <w:hyperlink w:anchor="page26">
              <w:r>
                <w:rPr>
                  <w:rFonts w:ascii="Arial" w:cs="Arial" w:eastAsia="Arial" w:hAnsi="Arial"/>
                  <w:sz w:val="18"/>
                  <w:szCs w:val="18"/>
                  <w:color w:val="0000EE"/>
                </w:rPr>
                <w:t>Properties</w:t>
              </w:r>
            </w:hyperlink>
          </w:p>
        </w:tc>
        <w:tc>
          <w:tcPr>
            <w:tcW w:w="7440" w:type="dxa"/>
            <w:vAlign w:val="bottom"/>
            <w:gridSpan w:val="20"/>
          </w:tcPr>
          <w:p>
            <w:pPr>
              <w:spacing w:after="0"/>
              <w:rPr>
                <w:sz w:val="16"/>
                <w:szCs w:val="16"/>
                <w:color w:val="auto"/>
              </w:rPr>
            </w:pPr>
          </w:p>
        </w:tc>
        <w:tc>
          <w:tcPr>
            <w:tcW w:w="600" w:type="dxa"/>
            <w:vAlign w:val="bottom"/>
          </w:tcPr>
          <w:p>
            <w:pPr>
              <w:jc w:val="right"/>
              <w:ind w:right="93"/>
              <w:spacing w:after="0" w:line="194"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20" w:type="dxa"/>
            <w:vAlign w:val="bottom"/>
            <w:gridSpan w:val="2"/>
          </w:tcPr>
          <w:p>
            <w:pPr>
              <w:spacing w:after="0" w:line="194"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12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9460" w:type="dxa"/>
            <w:vAlign w:val="bottom"/>
            <w:gridSpan w:val="28"/>
          </w:tcPr>
          <w:p>
            <w:pPr>
              <w:spacing w:after="0" w:line="194"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600" w:type="dxa"/>
            <w:vAlign w:val="bottom"/>
          </w:tcPr>
          <w:p>
            <w:pPr>
              <w:jc w:val="right"/>
              <w:ind w:right="93"/>
              <w:spacing w:after="0" w:line="194"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20" w:type="dxa"/>
            <w:vAlign w:val="bottom"/>
            <w:gridSpan w:val="2"/>
          </w:tcPr>
          <w:p>
            <w:pPr>
              <w:spacing w:after="0" w:line="194"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4.</w:t>
              </w:r>
            </w:hyperlink>
          </w:p>
        </w:tc>
        <w:tc>
          <w:tcPr>
            <w:tcW w:w="12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9460" w:type="dxa"/>
            <w:vAlign w:val="bottom"/>
            <w:gridSpan w:val="28"/>
          </w:tcPr>
          <w:p>
            <w:pPr>
              <w:spacing w:after="0" w:line="194" w:lineRule="exact"/>
              <w:rPr>
                <w:rFonts w:ascii="Arial" w:cs="Arial" w:eastAsia="Arial" w:hAnsi="Arial"/>
                <w:sz w:val="18"/>
                <w:szCs w:val="18"/>
                <w:color w:val="0000EE"/>
              </w:rPr>
            </w:pPr>
            <w:hyperlink w:anchor="page29">
              <w:r>
                <w:rPr>
                  <w:rFonts w:ascii="Arial" w:cs="Arial" w:eastAsia="Arial" w:hAnsi="Arial"/>
                  <w:sz w:val="18"/>
                  <w:szCs w:val="18"/>
                  <w:color w:val="0000EE"/>
                </w:rPr>
                <w:t>Submission of Matters to a Vote of Security Holders</w:t>
              </w:r>
            </w:hyperlink>
          </w:p>
        </w:tc>
        <w:tc>
          <w:tcPr>
            <w:tcW w:w="600" w:type="dxa"/>
            <w:vAlign w:val="bottom"/>
          </w:tcPr>
          <w:p>
            <w:pPr>
              <w:jc w:val="right"/>
              <w:ind w:right="93"/>
              <w:spacing w:after="0" w:line="194"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3"/>
        </w:trPr>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bottom w:val="single" w:sz="8" w:color="0000EE"/>
            </w:tcBorders>
            <w:gridSpan w:val="4"/>
          </w:tcPr>
          <w:p>
            <w:pPr>
              <w:jc w:val="center"/>
              <w:spacing w:after="0" w:line="194" w:lineRule="exact"/>
              <w:rPr>
                <w:rFonts w:ascii="Arial" w:cs="Arial" w:eastAsia="Arial" w:hAnsi="Arial"/>
                <w:sz w:val="18"/>
                <w:szCs w:val="18"/>
                <w:b w:val="1"/>
                <w:bCs w:val="1"/>
                <w:color w:val="0000EE"/>
                <w:w w:val="99"/>
              </w:rPr>
            </w:pPr>
            <w:hyperlink w:anchor="page30">
              <w:r>
                <w:rPr>
                  <w:rFonts w:ascii="Arial" w:cs="Arial" w:eastAsia="Arial" w:hAnsi="Arial"/>
                  <w:sz w:val="18"/>
                  <w:szCs w:val="18"/>
                  <w:b w:val="1"/>
                  <w:bCs w:val="1"/>
                  <w:color w:val="0000EE"/>
                  <w:w w:val="99"/>
                </w:rPr>
                <w:t>PART II</w:t>
              </w:r>
            </w:hyperlink>
          </w:p>
        </w:tc>
        <w:tc>
          <w:tcPr>
            <w:tcW w:w="4780" w:type="dxa"/>
            <w:vAlign w:val="bottom"/>
            <w:gridSpan w:val="7"/>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0" w:type="dxa"/>
            <w:vAlign w:val="bottom"/>
            <w:tcBorders>
              <w:bottom w:val="single" w:sz="8" w:color="0000EE"/>
            </w:tcBorders>
            <w:gridSpan w:val="2"/>
          </w:tcPr>
          <w:p>
            <w:pPr>
              <w:spacing w:after="0" w:line="194"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5.</w:t>
              </w:r>
            </w:hyperlink>
          </w:p>
        </w:tc>
        <w:tc>
          <w:tcPr>
            <w:tcW w:w="12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8240" w:type="dxa"/>
            <w:vAlign w:val="bottom"/>
            <w:tcBorders>
              <w:bottom w:val="single" w:sz="8" w:color="0000EE"/>
            </w:tcBorders>
            <w:gridSpan w:val="27"/>
          </w:tcPr>
          <w:p>
            <w:pPr>
              <w:spacing w:after="0" w:line="194"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Market for Registrant's Common Equity and Related Stockholder Matters and Issuer Purchases of Equity Securities</w:t>
              </w:r>
            </w:hyperlink>
          </w:p>
        </w:tc>
        <w:tc>
          <w:tcPr>
            <w:tcW w:w="1220" w:type="dxa"/>
            <w:vAlign w:val="bottom"/>
          </w:tcPr>
          <w:p>
            <w:pPr>
              <w:spacing w:after="0"/>
              <w:rPr>
                <w:sz w:val="16"/>
                <w:szCs w:val="16"/>
                <w:color w:val="auto"/>
              </w:rPr>
            </w:pPr>
          </w:p>
        </w:tc>
        <w:tc>
          <w:tcPr>
            <w:tcW w:w="600" w:type="dxa"/>
            <w:vAlign w:val="bottom"/>
          </w:tcPr>
          <w:p>
            <w:pPr>
              <w:jc w:val="right"/>
              <w:ind w:right="93"/>
              <w:spacing w:after="0" w:line="194"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3"/>
        </w:trPr>
        <w:tc>
          <w:tcPr>
            <w:tcW w:w="520" w:type="dxa"/>
            <w:vAlign w:val="bottom"/>
            <w:tcBorders>
              <w:bottom w:val="single" w:sz="8" w:color="0000EE"/>
            </w:tcBorders>
            <w:gridSpan w:val="2"/>
          </w:tcPr>
          <w:p>
            <w:pPr>
              <w:spacing w:after="0" w:line="194"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6.</w:t>
              </w:r>
            </w:hyperlink>
          </w:p>
        </w:tc>
        <w:tc>
          <w:tcPr>
            <w:tcW w:w="12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1700" w:type="dxa"/>
            <w:vAlign w:val="bottom"/>
            <w:tcBorders>
              <w:bottom w:val="single" w:sz="8" w:color="0000EE"/>
            </w:tcBorders>
            <w:gridSpan w:val="5"/>
          </w:tcPr>
          <w:p>
            <w:pPr>
              <w:spacing w:after="0" w:line="194"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Selected Financial Data</w:t>
              </w:r>
            </w:hyperlink>
          </w:p>
        </w:tc>
        <w:tc>
          <w:tcPr>
            <w:tcW w:w="7760" w:type="dxa"/>
            <w:vAlign w:val="bottom"/>
            <w:gridSpan w:val="23"/>
          </w:tcPr>
          <w:p>
            <w:pPr>
              <w:spacing w:after="0"/>
              <w:rPr>
                <w:sz w:val="16"/>
                <w:szCs w:val="16"/>
                <w:color w:val="auto"/>
              </w:rPr>
            </w:pPr>
          </w:p>
        </w:tc>
        <w:tc>
          <w:tcPr>
            <w:tcW w:w="600" w:type="dxa"/>
            <w:vAlign w:val="bottom"/>
          </w:tcPr>
          <w:p>
            <w:pPr>
              <w:jc w:val="right"/>
              <w:ind w:right="93"/>
              <w:spacing w:after="0" w:line="194"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3"/>
        </w:trPr>
        <w:tc>
          <w:tcPr>
            <w:tcW w:w="520" w:type="dxa"/>
            <w:vAlign w:val="bottom"/>
            <w:gridSpan w:val="2"/>
          </w:tcPr>
          <w:p>
            <w:pPr>
              <w:spacing w:after="0" w:line="194"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7.</w:t>
              </w:r>
            </w:hyperlink>
          </w:p>
        </w:tc>
        <w:tc>
          <w:tcPr>
            <w:tcW w:w="12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9460" w:type="dxa"/>
            <w:vAlign w:val="bottom"/>
            <w:gridSpan w:val="28"/>
          </w:tcPr>
          <w:p>
            <w:pPr>
              <w:spacing w:after="0" w:line="194"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600" w:type="dxa"/>
            <w:vAlign w:val="bottom"/>
          </w:tcPr>
          <w:p>
            <w:pPr>
              <w:jc w:val="right"/>
              <w:ind w:right="93"/>
              <w:spacing w:after="0" w:line="194"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40" w:type="dxa"/>
            <w:vAlign w:val="bottom"/>
            <w:tcBorders>
              <w:bottom w:val="single" w:sz="8" w:color="0000EE"/>
            </w:tcBorders>
            <w:gridSpan w:val="4"/>
          </w:tcPr>
          <w:p>
            <w:pPr>
              <w:spacing w:after="0" w:line="194"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Item 7A.</w:t>
              </w:r>
            </w:hyperlink>
          </w:p>
        </w:tc>
        <w:tc>
          <w:tcPr>
            <w:tcW w:w="720" w:type="dxa"/>
            <w:vAlign w:val="bottom"/>
          </w:tcPr>
          <w:p>
            <w:pPr>
              <w:spacing w:after="0"/>
              <w:rPr>
                <w:sz w:val="16"/>
                <w:szCs w:val="16"/>
                <w:color w:val="auto"/>
              </w:rPr>
            </w:pPr>
          </w:p>
        </w:tc>
        <w:tc>
          <w:tcPr>
            <w:tcW w:w="4200" w:type="dxa"/>
            <w:vAlign w:val="bottom"/>
            <w:tcBorders>
              <w:bottom w:val="single" w:sz="8" w:color="0000EE"/>
            </w:tcBorders>
            <w:gridSpan w:val="19"/>
          </w:tcPr>
          <w:p>
            <w:pPr>
              <w:spacing w:after="0" w:line="194"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Quantitative and Qualitative Disclosure about Market Risk</w:t>
              </w:r>
            </w:hyperlink>
          </w:p>
        </w:tc>
        <w:tc>
          <w:tcPr>
            <w:tcW w:w="5260" w:type="dxa"/>
            <w:vAlign w:val="bottom"/>
            <w:gridSpan w:val="9"/>
          </w:tcPr>
          <w:p>
            <w:pPr>
              <w:spacing w:after="0"/>
              <w:rPr>
                <w:sz w:val="16"/>
                <w:szCs w:val="16"/>
                <w:color w:val="auto"/>
              </w:rPr>
            </w:pPr>
          </w:p>
        </w:tc>
        <w:tc>
          <w:tcPr>
            <w:tcW w:w="600" w:type="dxa"/>
            <w:vAlign w:val="bottom"/>
          </w:tcPr>
          <w:p>
            <w:pPr>
              <w:jc w:val="right"/>
              <w:ind w:right="93"/>
              <w:spacing w:after="0" w:line="194"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3"/>
        </w:trPr>
        <w:tc>
          <w:tcPr>
            <w:tcW w:w="520" w:type="dxa"/>
            <w:vAlign w:val="bottom"/>
            <w:tcBorders>
              <w:bottom w:val="single" w:sz="8" w:color="0000EE"/>
            </w:tcBorders>
            <w:gridSpan w:val="2"/>
          </w:tcPr>
          <w:p>
            <w:pPr>
              <w:spacing w:after="0" w:line="194"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Item 8.</w:t>
              </w:r>
            </w:hyperlink>
          </w:p>
        </w:tc>
        <w:tc>
          <w:tcPr>
            <w:tcW w:w="12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3300" w:type="dxa"/>
            <w:vAlign w:val="bottom"/>
            <w:tcBorders>
              <w:bottom w:val="single" w:sz="8" w:color="0000EE"/>
            </w:tcBorders>
            <w:gridSpan w:val="11"/>
          </w:tcPr>
          <w:p>
            <w:pPr>
              <w:spacing w:after="0" w:line="194"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Financial Statements and Supplementary Data</w:t>
              </w:r>
            </w:hyperlink>
          </w:p>
        </w:tc>
        <w:tc>
          <w:tcPr>
            <w:tcW w:w="6160" w:type="dxa"/>
            <w:vAlign w:val="bottom"/>
            <w:gridSpan w:val="17"/>
          </w:tcPr>
          <w:p>
            <w:pPr>
              <w:spacing w:after="0"/>
              <w:rPr>
                <w:sz w:val="16"/>
                <w:szCs w:val="16"/>
                <w:color w:val="auto"/>
              </w:rPr>
            </w:pPr>
          </w:p>
        </w:tc>
        <w:tc>
          <w:tcPr>
            <w:tcW w:w="600" w:type="dxa"/>
            <w:vAlign w:val="bottom"/>
          </w:tcPr>
          <w:p>
            <w:pPr>
              <w:jc w:val="right"/>
              <w:ind w:right="93"/>
              <w:spacing w:after="0" w:line="194"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3"/>
        </w:trPr>
        <w:tc>
          <w:tcPr>
            <w:tcW w:w="520" w:type="dxa"/>
            <w:vAlign w:val="bottom"/>
            <w:gridSpan w:val="2"/>
          </w:tcPr>
          <w:p>
            <w:pPr>
              <w:spacing w:after="0" w:line="194" w:lineRule="exact"/>
              <w:rPr>
                <w:rFonts w:ascii="Arial" w:cs="Arial" w:eastAsia="Arial" w:hAnsi="Arial"/>
                <w:sz w:val="18"/>
                <w:szCs w:val="18"/>
                <w:color w:val="0000EE"/>
                <w:w w:val="90"/>
              </w:rPr>
            </w:pPr>
            <w:hyperlink w:anchor="page112">
              <w:r>
                <w:rPr>
                  <w:rFonts w:ascii="Arial" w:cs="Arial" w:eastAsia="Arial" w:hAnsi="Arial"/>
                  <w:sz w:val="18"/>
                  <w:szCs w:val="18"/>
                  <w:color w:val="0000EE"/>
                  <w:w w:val="90"/>
                </w:rPr>
                <w:t>Item 9.</w:t>
              </w:r>
            </w:hyperlink>
          </w:p>
        </w:tc>
        <w:tc>
          <w:tcPr>
            <w:tcW w:w="12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9460" w:type="dxa"/>
            <w:vAlign w:val="bottom"/>
            <w:gridSpan w:val="28"/>
          </w:tcPr>
          <w:p>
            <w:pPr>
              <w:spacing w:after="0" w:line="194" w:lineRule="exact"/>
              <w:rPr>
                <w:rFonts w:ascii="Arial" w:cs="Arial" w:eastAsia="Arial" w:hAnsi="Arial"/>
                <w:sz w:val="18"/>
                <w:szCs w:val="18"/>
                <w:color w:val="0000EE"/>
              </w:rPr>
            </w:pPr>
            <w:hyperlink w:anchor="page112">
              <w:r>
                <w:rPr>
                  <w:rFonts w:ascii="Arial" w:cs="Arial" w:eastAsia="Arial" w:hAnsi="Arial"/>
                  <w:sz w:val="18"/>
                  <w:szCs w:val="18"/>
                  <w:color w:val="0000EE"/>
                </w:rPr>
                <w:t>Changes in and Disagreements with Accountants on Accounting and Financial Disclosure</w:t>
              </w:r>
            </w:hyperlink>
          </w:p>
        </w:tc>
        <w:tc>
          <w:tcPr>
            <w:tcW w:w="600" w:type="dxa"/>
            <w:vAlign w:val="bottom"/>
          </w:tcPr>
          <w:p>
            <w:pPr>
              <w:jc w:val="right"/>
              <w:ind w:right="93"/>
              <w:spacing w:after="0" w:line="194"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40" w:type="dxa"/>
            <w:vAlign w:val="bottom"/>
            <w:tcBorders>
              <w:bottom w:val="single" w:sz="8" w:color="0000EE"/>
            </w:tcBorders>
            <w:gridSpan w:val="4"/>
          </w:tcPr>
          <w:p>
            <w:pPr>
              <w:spacing w:after="0" w:line="194"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Item 9A.</w:t>
              </w:r>
            </w:hyperlink>
          </w:p>
        </w:tc>
        <w:tc>
          <w:tcPr>
            <w:tcW w:w="720" w:type="dxa"/>
            <w:vAlign w:val="bottom"/>
          </w:tcPr>
          <w:p>
            <w:pPr>
              <w:spacing w:after="0"/>
              <w:rPr>
                <w:sz w:val="16"/>
                <w:szCs w:val="16"/>
                <w:color w:val="auto"/>
              </w:rPr>
            </w:pPr>
          </w:p>
        </w:tc>
        <w:tc>
          <w:tcPr>
            <w:tcW w:w="1760" w:type="dxa"/>
            <w:vAlign w:val="bottom"/>
            <w:tcBorders>
              <w:bottom w:val="single" w:sz="8" w:color="0000EE"/>
            </w:tcBorders>
            <w:gridSpan w:val="6"/>
          </w:tcPr>
          <w:p>
            <w:pPr>
              <w:spacing w:after="0" w:line="194" w:lineRule="exact"/>
              <w:rPr>
                <w:rFonts w:ascii="Arial" w:cs="Arial" w:eastAsia="Arial" w:hAnsi="Arial"/>
                <w:sz w:val="18"/>
                <w:szCs w:val="18"/>
                <w:color w:val="0000EE"/>
                <w:w w:val="87"/>
              </w:rPr>
            </w:pPr>
            <w:hyperlink w:anchor="page112">
              <w:r>
                <w:rPr>
                  <w:rFonts w:ascii="Arial" w:cs="Arial" w:eastAsia="Arial" w:hAnsi="Arial"/>
                  <w:sz w:val="18"/>
                  <w:szCs w:val="18"/>
                  <w:color w:val="0000EE"/>
                  <w:w w:val="87"/>
                </w:rPr>
                <w:t>Controls and Procedures</w:t>
              </w:r>
            </w:hyperlink>
          </w:p>
        </w:tc>
        <w:tc>
          <w:tcPr>
            <w:tcW w:w="7700" w:type="dxa"/>
            <w:vAlign w:val="bottom"/>
            <w:gridSpan w:val="22"/>
          </w:tcPr>
          <w:p>
            <w:pPr>
              <w:spacing w:after="0"/>
              <w:rPr>
                <w:sz w:val="16"/>
                <w:szCs w:val="16"/>
                <w:color w:val="auto"/>
              </w:rPr>
            </w:pPr>
          </w:p>
        </w:tc>
        <w:tc>
          <w:tcPr>
            <w:tcW w:w="600" w:type="dxa"/>
            <w:vAlign w:val="bottom"/>
          </w:tcPr>
          <w:p>
            <w:pPr>
              <w:jc w:val="right"/>
              <w:ind w:right="93"/>
              <w:spacing w:after="0" w:line="194"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93"/>
        </w:trPr>
        <w:tc>
          <w:tcPr>
            <w:tcW w:w="640" w:type="dxa"/>
            <w:vAlign w:val="bottom"/>
            <w:gridSpan w:val="4"/>
          </w:tcPr>
          <w:p>
            <w:pPr>
              <w:spacing w:after="0" w:line="194"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Item 9B.</w:t>
              </w:r>
            </w:hyperlink>
          </w:p>
        </w:tc>
        <w:tc>
          <w:tcPr>
            <w:tcW w:w="10180" w:type="dxa"/>
            <w:vAlign w:val="bottom"/>
            <w:gridSpan w:val="29"/>
          </w:tcPr>
          <w:p>
            <w:pPr>
              <w:ind w:left="720"/>
              <w:spacing w:after="0" w:line="194" w:lineRule="exact"/>
              <w:rPr>
                <w:rFonts w:ascii="Arial" w:cs="Arial" w:eastAsia="Arial" w:hAnsi="Arial"/>
                <w:sz w:val="18"/>
                <w:szCs w:val="18"/>
                <w:color w:val="0000EE"/>
              </w:rPr>
            </w:pPr>
            <w:hyperlink w:anchor="page112">
              <w:r>
                <w:rPr>
                  <w:rFonts w:ascii="Arial" w:cs="Arial" w:eastAsia="Arial" w:hAnsi="Arial"/>
                  <w:sz w:val="18"/>
                  <w:szCs w:val="18"/>
                  <w:color w:val="0000EE"/>
                </w:rPr>
                <w:t>Other Information</w:t>
              </w:r>
            </w:hyperlink>
          </w:p>
        </w:tc>
        <w:tc>
          <w:tcPr>
            <w:tcW w:w="600" w:type="dxa"/>
            <w:vAlign w:val="bottom"/>
          </w:tcPr>
          <w:p>
            <w:pPr>
              <w:jc w:val="right"/>
              <w:ind w:right="93"/>
              <w:spacing w:after="0" w:line="194"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93"/>
        </w:trPr>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740" w:type="dxa"/>
            <w:vAlign w:val="bottom"/>
            <w:gridSpan w:val="14"/>
          </w:tcPr>
          <w:p>
            <w:pPr>
              <w:jc w:val="center"/>
              <w:ind w:right="4460"/>
              <w:spacing w:after="0" w:line="194" w:lineRule="exact"/>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PART III</w:t>
              </w:r>
            </w:hyperlink>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0" w:type="dxa"/>
            <w:vAlign w:val="bottom"/>
            <w:tcBorders>
              <w:bottom w:val="single" w:sz="8" w:color="0000EE"/>
            </w:tcBorders>
            <w:gridSpan w:val="3"/>
          </w:tcPr>
          <w:p>
            <w:pPr>
              <w:spacing w:after="0" w:line="194"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Item 10.</w:t>
              </w:r>
            </w:hyperlink>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580" w:type="dxa"/>
            <w:vAlign w:val="bottom"/>
            <w:tcBorders>
              <w:bottom w:val="single" w:sz="8" w:color="0000EE"/>
            </w:tcBorders>
            <w:gridSpan w:val="13"/>
          </w:tcPr>
          <w:p>
            <w:pPr>
              <w:spacing w:after="0" w:line="194"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Directors and Executive Officers of the Registrant</w:t>
              </w:r>
            </w:hyperlink>
          </w:p>
        </w:tc>
        <w:tc>
          <w:tcPr>
            <w:tcW w:w="420" w:type="dxa"/>
            <w:vAlign w:val="bottom"/>
            <w:gridSpan w:val="2"/>
          </w:tcPr>
          <w:p>
            <w:pPr>
              <w:spacing w:after="0"/>
              <w:rPr>
                <w:sz w:val="16"/>
                <w:szCs w:val="16"/>
                <w:color w:val="auto"/>
              </w:rPr>
            </w:pPr>
          </w:p>
        </w:tc>
        <w:tc>
          <w:tcPr>
            <w:tcW w:w="720" w:type="dxa"/>
            <w:vAlign w:val="bottom"/>
            <w:tcBorders>
              <w:top w:val="single" w:sz="8" w:color="0000EE"/>
            </w:tcBorders>
            <w:gridSpan w:val="8"/>
          </w:tcPr>
          <w:p>
            <w:pPr>
              <w:spacing w:after="0"/>
              <w:rPr>
                <w:sz w:val="16"/>
                <w:szCs w:val="16"/>
                <w:color w:val="auto"/>
              </w:rPr>
            </w:pPr>
          </w:p>
        </w:tc>
        <w:tc>
          <w:tcPr>
            <w:tcW w:w="4740" w:type="dxa"/>
            <w:vAlign w:val="bottom"/>
            <w:gridSpan w:val="5"/>
          </w:tcPr>
          <w:p>
            <w:pPr>
              <w:spacing w:after="0"/>
              <w:rPr>
                <w:sz w:val="16"/>
                <w:szCs w:val="16"/>
                <w:color w:val="auto"/>
              </w:rPr>
            </w:pPr>
          </w:p>
        </w:tc>
        <w:tc>
          <w:tcPr>
            <w:tcW w:w="600" w:type="dxa"/>
            <w:vAlign w:val="bottom"/>
          </w:tcPr>
          <w:p>
            <w:pPr>
              <w:jc w:val="right"/>
              <w:ind w:right="93"/>
              <w:spacing w:after="0" w:line="194"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3"/>
        </w:trPr>
        <w:tc>
          <w:tcPr>
            <w:tcW w:w="600" w:type="dxa"/>
            <w:vAlign w:val="bottom"/>
            <w:gridSpan w:val="3"/>
          </w:tcPr>
          <w:p>
            <w:pPr>
              <w:spacing w:after="0" w:line="194"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Item 11.</w:t>
              </w:r>
            </w:hyperlink>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60" w:type="dxa"/>
            <w:vAlign w:val="bottom"/>
            <w:gridSpan w:val="28"/>
          </w:tcPr>
          <w:p>
            <w:pPr>
              <w:spacing w:after="0" w:line="194" w:lineRule="exact"/>
              <w:rPr>
                <w:rFonts w:ascii="Arial" w:cs="Arial" w:eastAsia="Arial" w:hAnsi="Arial"/>
                <w:sz w:val="18"/>
                <w:szCs w:val="18"/>
                <w:color w:val="0000EE"/>
              </w:rPr>
            </w:pPr>
            <w:hyperlink w:anchor="page113">
              <w:r>
                <w:rPr>
                  <w:rFonts w:ascii="Arial" w:cs="Arial" w:eastAsia="Arial" w:hAnsi="Arial"/>
                  <w:sz w:val="18"/>
                  <w:szCs w:val="18"/>
                  <w:color w:val="0000EE"/>
                </w:rPr>
                <w:t>Executive Compensation</w:t>
              </w:r>
            </w:hyperlink>
          </w:p>
        </w:tc>
        <w:tc>
          <w:tcPr>
            <w:tcW w:w="600" w:type="dxa"/>
            <w:vAlign w:val="bottom"/>
          </w:tcPr>
          <w:p>
            <w:pPr>
              <w:jc w:val="right"/>
              <w:ind w:right="93"/>
              <w:spacing w:after="0" w:line="194"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0" w:type="dxa"/>
            <w:vAlign w:val="bottom"/>
            <w:gridSpan w:val="3"/>
          </w:tcPr>
          <w:p>
            <w:pPr>
              <w:spacing w:after="0" w:line="194"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Item 12.</w:t>
              </w:r>
            </w:hyperlink>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60" w:type="dxa"/>
            <w:vAlign w:val="bottom"/>
            <w:gridSpan w:val="28"/>
          </w:tcPr>
          <w:p>
            <w:pPr>
              <w:spacing w:after="0" w:line="194" w:lineRule="exact"/>
              <w:rPr>
                <w:rFonts w:ascii="Arial" w:cs="Arial" w:eastAsia="Arial" w:hAnsi="Arial"/>
                <w:sz w:val="18"/>
                <w:szCs w:val="18"/>
                <w:color w:val="0000EE"/>
              </w:rPr>
            </w:pPr>
            <w:hyperlink w:anchor="page113">
              <w:r>
                <w:rPr>
                  <w:rFonts w:ascii="Arial" w:cs="Arial" w:eastAsia="Arial" w:hAnsi="Arial"/>
                  <w:sz w:val="18"/>
                  <w:szCs w:val="18"/>
                  <w:color w:val="0000EE"/>
                </w:rPr>
                <w:t>Security Ownership of Certain Beneficial Owners and Management and Related Stockholder Matters</w:t>
              </w:r>
            </w:hyperlink>
          </w:p>
        </w:tc>
        <w:tc>
          <w:tcPr>
            <w:tcW w:w="600" w:type="dxa"/>
            <w:vAlign w:val="bottom"/>
          </w:tcPr>
          <w:p>
            <w:pPr>
              <w:jc w:val="right"/>
              <w:ind w:right="93"/>
              <w:spacing w:after="0" w:line="194"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3"/>
        </w:trPr>
        <w:tc>
          <w:tcPr>
            <w:tcW w:w="60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Item 13.</w:t>
              </w:r>
            </w:hyperlink>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380" w:type="dxa"/>
            <w:vAlign w:val="bottom"/>
            <w:tcBorders>
              <w:top w:val="single" w:sz="8" w:color="0000EE"/>
              <w:bottom w:val="single" w:sz="8" w:color="0000EE"/>
            </w:tcBorders>
            <w:gridSpan w:val="12"/>
          </w:tcPr>
          <w:p>
            <w:pPr>
              <w:spacing w:after="0" w:line="194" w:lineRule="exact"/>
              <w:rPr>
                <w:rFonts w:ascii="Arial" w:cs="Arial" w:eastAsia="Arial" w:hAnsi="Arial"/>
                <w:sz w:val="18"/>
                <w:szCs w:val="18"/>
                <w:color w:val="0000EE"/>
                <w:w w:val="88"/>
              </w:rPr>
            </w:pPr>
            <w:hyperlink w:anchor="page113">
              <w:r>
                <w:rPr>
                  <w:rFonts w:ascii="Arial" w:cs="Arial" w:eastAsia="Arial" w:hAnsi="Arial"/>
                  <w:sz w:val="18"/>
                  <w:szCs w:val="18"/>
                  <w:color w:val="0000EE"/>
                  <w:w w:val="88"/>
                </w:rPr>
                <w:t>Certain Relationships and Related Transactions</w:t>
              </w:r>
            </w:hyperlink>
          </w:p>
        </w:tc>
        <w:tc>
          <w:tcPr>
            <w:tcW w:w="3820" w:type="dxa"/>
            <w:vAlign w:val="bottom"/>
            <w:tcBorders>
              <w:top w:val="single" w:sz="8" w:color="0000EE"/>
            </w:tcBorders>
            <w:gridSpan w:val="14"/>
          </w:tcPr>
          <w:p>
            <w:pPr>
              <w:spacing w:after="0"/>
              <w:rPr>
                <w:sz w:val="16"/>
                <w:szCs w:val="16"/>
                <w:color w:val="auto"/>
              </w:rPr>
            </w:pPr>
          </w:p>
        </w:tc>
        <w:tc>
          <w:tcPr>
            <w:tcW w:w="2260" w:type="dxa"/>
            <w:vAlign w:val="bottom"/>
            <w:gridSpan w:val="2"/>
          </w:tcPr>
          <w:p>
            <w:pPr>
              <w:spacing w:after="0"/>
              <w:rPr>
                <w:sz w:val="16"/>
                <w:szCs w:val="16"/>
                <w:color w:val="auto"/>
              </w:rPr>
            </w:pPr>
          </w:p>
        </w:tc>
        <w:tc>
          <w:tcPr>
            <w:tcW w:w="600" w:type="dxa"/>
            <w:vAlign w:val="bottom"/>
          </w:tcPr>
          <w:p>
            <w:pPr>
              <w:jc w:val="right"/>
              <w:ind w:right="93"/>
              <w:spacing w:after="0" w:line="194"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3"/>
        </w:trPr>
        <w:tc>
          <w:tcPr>
            <w:tcW w:w="640" w:type="dxa"/>
            <w:vAlign w:val="bottom"/>
            <w:gridSpan w:val="4"/>
          </w:tcPr>
          <w:p>
            <w:pPr>
              <w:spacing w:after="0" w:line="194" w:lineRule="exact"/>
              <w:rPr>
                <w:rFonts w:ascii="Arial" w:cs="Arial" w:eastAsia="Arial" w:hAnsi="Arial"/>
                <w:sz w:val="18"/>
                <w:szCs w:val="18"/>
                <w:color w:val="0000EE"/>
                <w:w w:val="92"/>
              </w:rPr>
            </w:pPr>
            <w:hyperlink w:anchor="page113">
              <w:r>
                <w:rPr>
                  <w:rFonts w:ascii="Arial" w:cs="Arial" w:eastAsia="Arial" w:hAnsi="Arial"/>
                  <w:sz w:val="18"/>
                  <w:szCs w:val="18"/>
                  <w:color w:val="0000EE"/>
                  <w:w w:val="92"/>
                </w:rPr>
                <w:t>Item 14.</w:t>
              </w:r>
            </w:hyperlink>
          </w:p>
        </w:tc>
        <w:tc>
          <w:tcPr>
            <w:tcW w:w="10180" w:type="dxa"/>
            <w:vAlign w:val="bottom"/>
            <w:gridSpan w:val="29"/>
          </w:tcPr>
          <w:p>
            <w:pPr>
              <w:ind w:left="720"/>
              <w:spacing w:after="0" w:line="194" w:lineRule="exact"/>
              <w:rPr>
                <w:rFonts w:ascii="Arial" w:cs="Arial" w:eastAsia="Arial" w:hAnsi="Arial"/>
                <w:sz w:val="18"/>
                <w:szCs w:val="18"/>
                <w:color w:val="0000EE"/>
              </w:rPr>
            </w:pPr>
            <w:hyperlink w:anchor="page113">
              <w:r>
                <w:rPr>
                  <w:rFonts w:ascii="Arial" w:cs="Arial" w:eastAsia="Arial" w:hAnsi="Arial"/>
                  <w:sz w:val="18"/>
                  <w:szCs w:val="18"/>
                  <w:color w:val="0000EE"/>
                </w:rPr>
                <w:t>Principal Accounting Fees and Services</w:t>
              </w:r>
            </w:hyperlink>
          </w:p>
        </w:tc>
        <w:tc>
          <w:tcPr>
            <w:tcW w:w="600" w:type="dxa"/>
            <w:vAlign w:val="bottom"/>
          </w:tcPr>
          <w:p>
            <w:pPr>
              <w:jc w:val="right"/>
              <w:ind w:right="93"/>
              <w:spacing w:after="0" w:line="194"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3"/>
        </w:trPr>
        <w:tc>
          <w:tcPr>
            <w:tcW w:w="6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60" w:type="dxa"/>
            <w:vAlign w:val="bottom"/>
            <w:gridSpan w:val="13"/>
          </w:tcPr>
          <w:p>
            <w:pPr>
              <w:jc w:val="center"/>
              <w:ind w:right="4760"/>
              <w:spacing w:after="0" w:line="194" w:lineRule="exact"/>
              <w:rPr>
                <w:rFonts w:ascii="Arial" w:cs="Arial" w:eastAsia="Arial" w:hAnsi="Arial"/>
                <w:sz w:val="18"/>
                <w:szCs w:val="18"/>
                <w:b w:val="1"/>
                <w:bCs w:val="1"/>
                <w:color w:val="0000EE"/>
                <w:w w:val="98"/>
              </w:rPr>
            </w:pPr>
            <w:hyperlink w:anchor="page113">
              <w:r>
                <w:rPr>
                  <w:rFonts w:ascii="Arial" w:cs="Arial" w:eastAsia="Arial" w:hAnsi="Arial"/>
                  <w:sz w:val="18"/>
                  <w:szCs w:val="18"/>
                  <w:b w:val="1"/>
                  <w:bCs w:val="1"/>
                  <w:color w:val="0000EE"/>
                  <w:w w:val="98"/>
                </w:rPr>
                <w:t>PART IV</w:t>
              </w:r>
            </w:hyperlink>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0" w:type="dxa"/>
            <w:vAlign w:val="bottom"/>
            <w:gridSpan w:val="3"/>
          </w:tcPr>
          <w:p>
            <w:pPr>
              <w:spacing w:after="0" w:line="194"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Item 15.</w:t>
              </w:r>
            </w:hyperlink>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20" w:type="dxa"/>
            <w:vAlign w:val="bottom"/>
            <w:gridSpan w:val="16"/>
          </w:tcPr>
          <w:p>
            <w:pPr>
              <w:spacing w:after="0" w:line="194" w:lineRule="exact"/>
              <w:rPr>
                <w:rFonts w:ascii="Arial" w:cs="Arial" w:eastAsia="Arial" w:hAnsi="Arial"/>
                <w:sz w:val="18"/>
                <w:szCs w:val="18"/>
                <w:color w:val="0000EE"/>
              </w:rPr>
            </w:pPr>
            <w:hyperlink w:anchor="page113">
              <w:r>
                <w:rPr>
                  <w:rFonts w:ascii="Arial" w:cs="Arial" w:eastAsia="Arial" w:hAnsi="Arial"/>
                  <w:sz w:val="18"/>
                  <w:szCs w:val="18"/>
                  <w:color w:val="0000EE"/>
                </w:rPr>
                <w:t>Exhibits and Financial Statement Schedules</w:t>
              </w:r>
            </w:hyperlink>
          </w:p>
        </w:tc>
        <w:tc>
          <w:tcPr>
            <w:tcW w:w="680" w:type="dxa"/>
            <w:vAlign w:val="bottom"/>
            <w:tcBorders>
              <w:top w:val="single" w:sz="8" w:color="0000EE"/>
            </w:tcBorders>
            <w:gridSpan w:val="6"/>
          </w:tcPr>
          <w:p>
            <w:pPr>
              <w:spacing w:after="0"/>
              <w:rPr>
                <w:sz w:val="16"/>
                <w:szCs w:val="16"/>
                <w:color w:val="auto"/>
              </w:rPr>
            </w:pPr>
          </w:p>
        </w:tc>
        <w:tc>
          <w:tcPr>
            <w:tcW w:w="4760" w:type="dxa"/>
            <w:vAlign w:val="bottom"/>
            <w:gridSpan w:val="6"/>
          </w:tcPr>
          <w:p>
            <w:pPr>
              <w:spacing w:after="0"/>
              <w:rPr>
                <w:sz w:val="16"/>
                <w:szCs w:val="16"/>
                <w:color w:val="auto"/>
              </w:rPr>
            </w:pPr>
          </w:p>
        </w:tc>
        <w:tc>
          <w:tcPr>
            <w:tcW w:w="600" w:type="dxa"/>
            <w:vAlign w:val="bottom"/>
          </w:tcPr>
          <w:p>
            <w:pPr>
              <w:jc w:val="right"/>
              <w:ind w:right="93"/>
              <w:spacing w:after="0" w:line="194"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 w:type="dxa"/>
            <w:vAlign w:val="bottom"/>
          </w:tcPr>
          <w:p>
            <w:pPr>
              <w:spacing w:after="0"/>
              <w:rPr>
                <w:sz w:val="16"/>
                <w:szCs w:val="16"/>
                <w:color w:val="auto"/>
              </w:rPr>
            </w:pPr>
          </w:p>
        </w:tc>
        <w:tc>
          <w:tcPr>
            <w:tcW w:w="580" w:type="dxa"/>
            <w:vAlign w:val="bottom"/>
            <w:tcBorders>
              <w:bottom w:val="single" w:sz="8" w:color="0000EE"/>
            </w:tcBorders>
            <w:gridSpan w:val="3"/>
          </w:tcPr>
          <w:p>
            <w:pPr>
              <w:spacing w:after="0" w:line="194" w:lineRule="exact"/>
              <w:rPr>
                <w:sz w:val="20"/>
                <w:szCs w:val="20"/>
                <w:color w:val="auto"/>
              </w:rPr>
            </w:pPr>
            <w:r>
              <w:rPr>
                <w:rFonts w:ascii="Arial" w:cs="Arial" w:eastAsia="Arial" w:hAnsi="Arial"/>
                <w:sz w:val="17"/>
                <w:szCs w:val="17"/>
                <w:color w:val="0000EE"/>
                <w:w w:val="87"/>
              </w:rPr>
              <w:t>EX-10.5</w:t>
            </w: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580" w:type="dxa"/>
            <w:vAlign w:val="bottom"/>
            <w:tcBorders>
              <w:bottom w:val="single" w:sz="8" w:color="0000EE"/>
            </w:tcBorders>
            <w:gridSpan w:val="3"/>
          </w:tcPr>
          <w:p>
            <w:pPr>
              <w:spacing w:after="0" w:line="194" w:lineRule="exact"/>
              <w:rPr>
                <w:sz w:val="20"/>
                <w:szCs w:val="20"/>
                <w:color w:val="auto"/>
              </w:rPr>
            </w:pPr>
            <w:r>
              <w:rPr>
                <w:rFonts w:ascii="Arial" w:cs="Arial" w:eastAsia="Arial" w:hAnsi="Arial"/>
                <w:sz w:val="17"/>
                <w:szCs w:val="17"/>
                <w:color w:val="0000EE"/>
                <w:w w:val="87"/>
              </w:rPr>
              <w:t>EX-10.6</w:t>
            </w: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EX-10.11</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EX-10.14</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EX-10.15</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EX-10.16</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EX-10.18</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EX-21.1</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EX-23.1</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EX-31.1</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EX-31.2</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EX-32.1</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EX-32.2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48"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9" w:lineRule="exact"/>
        <w:rPr>
          <w:sz w:val="20"/>
          <w:szCs w:val="20"/>
          <w:color w:val="auto"/>
        </w:rPr>
      </w:pPr>
    </w:p>
    <w:p>
      <w:pPr>
        <w:ind w:firstLine="219"/>
        <w:spacing w:after="0" w:line="267" w:lineRule="auto"/>
        <w:rPr>
          <w:sz w:val="20"/>
          <w:szCs w:val="20"/>
          <w:color w:val="auto"/>
        </w:rPr>
      </w:pPr>
      <w:r>
        <w:rPr>
          <w:rFonts w:ascii="Arial" w:cs="Arial" w:eastAsia="Arial" w:hAnsi="Arial"/>
          <w:sz w:val="17"/>
          <w:szCs w:val="17"/>
          <w:color w:val="auto"/>
        </w:rPr>
        <w:t>We are a holding company that is a provider, through our subsidiaries, of title insurance, specialty insurance, claims management services, and information services. Following our acquisition of Commonwealth Land Title Insurance Company (“Commonwealth”) and Lawyers Title Insurance Corporation (“Lawyers”), we are the nation’s largest title insurance company through our title insurance underwriters — Fidelity National Title, Chicago Title, Commonwealth Land Title, Lawyers Title, Ticor Title, Security Union Title, and Alamo Title — which collectively issued more title insurance policies in 2007 than any other title company in the United States. We also provide flood insurance, personal lines insurance, and home warranty insurance through our specialty insurance subsidiaries. We are also a leading provider of outsourced claims management services to large corporate and public sector entities through our minority-owned affiliate, Sedgwick CMS Holdings (“Sedgwick”) and a provider of information services in the human resources, retail, and transportation markets through another minority-owned affiliate, Ceridian Corporation (“Ceridian”).</w:t>
      </w:r>
    </w:p>
    <w:p>
      <w:pPr>
        <w:spacing w:after="0" w:line="74" w:lineRule="exact"/>
        <w:rPr>
          <w:sz w:val="20"/>
          <w:szCs w:val="20"/>
          <w:color w:val="auto"/>
        </w:rPr>
      </w:pPr>
    </w:p>
    <w:p>
      <w:pPr>
        <w:ind w:right="220" w:firstLine="222"/>
        <w:spacing w:after="0" w:line="273" w:lineRule="auto"/>
        <w:rPr>
          <w:sz w:val="20"/>
          <w:szCs w:val="20"/>
          <w:color w:val="auto"/>
        </w:rPr>
      </w:pPr>
      <w:r>
        <w:rPr>
          <w:rFonts w:ascii="Arial" w:cs="Arial" w:eastAsia="Arial" w:hAnsi="Arial"/>
          <w:sz w:val="17"/>
          <w:szCs w:val="17"/>
          <w:color w:val="auto"/>
        </w:rPr>
        <w:t>On December 22, 2008, we completed the acquisition of LandAmerica Financial Group, Inc.’s (“LFG”) two principal title insurance underwriters, Commowealth and Lawyers, as well as United Capital Title Insurance Company (“United”) (collectively, the “LFG Underwriters”). As a result, the results of operations of the companies acquired are included in our results of operations for the period from December 22 through December 31, 2008. For more information on this acquisition, see note B of Notes to Consolidated Financial Statements.</w:t>
      </w:r>
    </w:p>
    <w:p>
      <w:pPr>
        <w:spacing w:after="0" w:line="71" w:lineRule="exact"/>
        <w:rPr>
          <w:sz w:val="20"/>
          <w:szCs w:val="20"/>
          <w:color w:val="auto"/>
        </w:rPr>
      </w:pPr>
    </w:p>
    <w:p>
      <w:pPr>
        <w:ind w:right="20" w:firstLine="222"/>
        <w:spacing w:after="0" w:line="282" w:lineRule="auto"/>
        <w:rPr>
          <w:sz w:val="20"/>
          <w:szCs w:val="20"/>
          <w:color w:val="auto"/>
        </w:rPr>
      </w:pPr>
      <w:r>
        <w:rPr>
          <w:rFonts w:ascii="Arial" w:cs="Arial" w:eastAsia="Arial" w:hAnsi="Arial"/>
          <w:sz w:val="16"/>
          <w:szCs w:val="16"/>
          <w:color w:val="auto"/>
        </w:rPr>
        <w:t>Prior to October 24, 2006, we were known as Fidelity National Title Group, Inc. (“FNT”) and were a majority-owned subsidiary of another publicly traded company, also called Fidelity National Financial, Inc. (“Old FNF”). On October 24, 2006, Old FNF transferred certain assets to us in return for the issuance of 45,265,956 shares of our common stock to Old FNF. Old FNF then distributed to its shareholders all of its shares of our common stock, making FNT a stand alone public company (the “2006 Distribution”). On November 9, 2006, Old FNF was then merged with and into another of its subsidiaries, Fidelity National Information Services, Inc. (“FIS”), after which our name was changed to Fidelity National Financial, Inc. (“we,” “FNF” or the “Company”). On November 10, 2006, our common stock began trading on the New York Stock Exchange under the trading symbol “FNF.” On July 2, 2008, FIS completed the spin-off of its former Lender Processing Services operating segment into a separate publicly traded company, referred to as LPS, by distributing all of its shares of LPS to FIS shareholders through a stock dividend. Old FNF’s chairman of the board and chief executive officer is now our chairman of the board, the executive chairman of the board of FIS, and the chairman of the board of LPS. Other key members of Old FNF’s senior management have also continued their involvement at FNF, FIS, and LPS in executive capacities. Under applicable accounting principles, following these transactions, Old FNF’s historical financial statements, with the exception of equity and earnings per share, became our historical financial statements, including the results of FIS through the date of our spin-off from Old FNF. For periods prior to October 24, 2006 our equity has been derived from FNT’s historical equity and our historical basic and diluted earnings per share have been calculated using FNT’s basic and diluted weighted average shares outstanding.</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currently have three reporting segments as follows:</w:t>
      </w:r>
    </w:p>
    <w:p>
      <w:pPr>
        <w:spacing w:after="0" w:line="113" w:lineRule="exact"/>
        <w:rPr>
          <w:sz w:val="20"/>
          <w:szCs w:val="20"/>
          <w:color w:val="auto"/>
        </w:rPr>
      </w:pPr>
    </w:p>
    <w:p>
      <w:pPr>
        <w:ind w:left="680" w:right="160" w:hanging="447"/>
        <w:spacing w:after="0" w:line="257" w:lineRule="auto"/>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Fidelity National Title Group. </w:t>
      </w:r>
      <w:r>
        <w:rPr>
          <w:rFonts w:ascii="Arial" w:cs="Arial" w:eastAsia="Arial" w:hAnsi="Arial"/>
          <w:sz w:val="18"/>
          <w:szCs w:val="18"/>
          <w:color w:val="auto"/>
        </w:rPr>
        <w:t>This segment consists of the operations of our title insurance underwriters and related businesses. This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core title insurance and escrow and other title-related services including collection and trust activities, trustee’s sales guarantees, recordings and reconveyances.</w:t>
      </w:r>
    </w:p>
    <w:p>
      <w:pPr>
        <w:spacing w:after="0" w:line="95" w:lineRule="exact"/>
        <w:rPr>
          <w:rFonts w:ascii="Arial" w:cs="Arial" w:eastAsia="Arial" w:hAnsi="Arial"/>
          <w:sz w:val="18"/>
          <w:szCs w:val="18"/>
          <w:b w:val="1"/>
          <w:bCs w:val="1"/>
          <w:color w:val="auto"/>
        </w:rPr>
      </w:pPr>
    </w:p>
    <w:p>
      <w:pPr>
        <w:ind w:left="680" w:right="240" w:hanging="447"/>
        <w:spacing w:after="0" w:line="267" w:lineRule="auto"/>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Specialty Insurance. </w:t>
      </w:r>
      <w:r>
        <w:rPr>
          <w:rFonts w:ascii="Arial" w:cs="Arial" w:eastAsia="Arial" w:hAnsi="Arial"/>
          <w:sz w:val="18"/>
          <w:szCs w:val="18"/>
          <w:color w:val="auto"/>
        </w:rPr>
        <w:t>The specialty insurance segment consists of certain subsidiaries that issue flood, home warranty, homeowners, automobile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personal lines insurance policies.</w:t>
      </w:r>
    </w:p>
    <w:p>
      <w:pPr>
        <w:spacing w:after="0" w:line="86" w:lineRule="exact"/>
        <w:rPr>
          <w:rFonts w:ascii="Arial" w:cs="Arial" w:eastAsia="Arial" w:hAnsi="Arial"/>
          <w:sz w:val="18"/>
          <w:szCs w:val="18"/>
          <w:b w:val="1"/>
          <w:bCs w:val="1"/>
          <w:color w:val="auto"/>
        </w:rPr>
      </w:pPr>
    </w:p>
    <w:p>
      <w:pPr>
        <w:ind w:left="680" w:right="120" w:hanging="447"/>
        <w:spacing w:after="0" w:line="257" w:lineRule="auto"/>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The corporate and other segment consists of the operations of the parent holding company, certain other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expenses, other smaller operations, and the Company’s share in the operations of certain equity investments, including Sedgwick, Ceridian, and Remy International, Inc. (“Remy”).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219"/>
        <w:spacing w:after="0" w:line="288" w:lineRule="auto"/>
        <w:rPr>
          <w:sz w:val="20"/>
          <w:szCs w:val="20"/>
          <w:color w:val="auto"/>
        </w:rPr>
      </w:pPr>
      <w:r>
        <w:rPr>
          <w:rFonts w:ascii="Arial" w:cs="Arial" w:eastAsia="Arial" w:hAnsi="Arial"/>
          <w:sz w:val="16"/>
          <w:szCs w:val="16"/>
          <w:color w:val="auto"/>
        </w:rPr>
        <w:t>Through October 23, 2006, the Company’s results also included the operations of FIS as a separate segment. This segment provided transaction processing services, consisting principally of technology solutions for banks and other financial institutions, credit and debit card services and check risk management and related services for retailers and others. This segment also provided lender processing services, consisting principally of technology solutions for mortgage lenders, selected mortgage origination services, title agency and closing services, default management and mortgage information services. FIS’s credit and debit card services and check risk management services were added through its merger with Certegy Inc. (“Certegy”). This merger closed in February 2006 and these businesses are not included in the financial information in this report for periods prior to February 1, 2006.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Fidelity National Title Group</w:t>
      </w:r>
    </w:p>
    <w:p>
      <w:pPr>
        <w:spacing w:after="0" w:line="113" w:lineRule="exact"/>
        <w:rPr>
          <w:sz w:val="20"/>
          <w:szCs w:val="20"/>
          <w:color w:val="auto"/>
        </w:rPr>
      </w:pPr>
    </w:p>
    <w:p>
      <w:pPr>
        <w:ind w:right="60" w:firstLine="222"/>
        <w:spacing w:after="0" w:line="267" w:lineRule="auto"/>
        <w:rPr>
          <w:sz w:val="20"/>
          <w:szCs w:val="20"/>
          <w:color w:val="auto"/>
        </w:rPr>
      </w:pPr>
      <w:r>
        <w:rPr>
          <w:rFonts w:ascii="Arial" w:cs="Arial" w:eastAsia="Arial" w:hAnsi="Arial"/>
          <w:sz w:val="18"/>
          <w:szCs w:val="18"/>
          <w:color w:val="auto"/>
        </w:rPr>
        <w:t>Our strategy in the title insurance business is to maximize operating profits by increasing our market share and managing operating expenses throughout the real estate business cycle. To accomplish our goals, we intend to:</w:t>
      </w:r>
    </w:p>
    <w:p>
      <w:pPr>
        <w:spacing w:after="0" w:line="73" w:lineRule="exact"/>
        <w:rPr>
          <w:sz w:val="20"/>
          <w:szCs w:val="20"/>
          <w:color w:val="auto"/>
        </w:rPr>
      </w:pPr>
    </w:p>
    <w:p>
      <w:pPr>
        <w:ind w:left="680" w:right="60" w:hanging="447"/>
        <w:spacing w:after="0" w:line="291" w:lineRule="auto"/>
        <w:tabs>
          <w:tab w:leader="none" w:pos="680" w:val="left"/>
        </w:tabs>
        <w:numPr>
          <w:ilvl w:val="0"/>
          <w:numId w:val="4"/>
        </w:numPr>
        <w:rPr>
          <w:rFonts w:ascii="Arial" w:cs="Arial" w:eastAsia="Arial" w:hAnsi="Arial"/>
          <w:sz w:val="16"/>
          <w:szCs w:val="16"/>
          <w:b w:val="1"/>
          <w:bCs w:val="1"/>
          <w:color w:val="auto"/>
        </w:rPr>
      </w:pPr>
      <w:r>
        <w:rPr>
          <w:rFonts w:ascii="Arial" w:cs="Arial" w:eastAsia="Arial" w:hAnsi="Arial"/>
          <w:sz w:val="16"/>
          <w:szCs w:val="16"/>
          <w:i w:val="1"/>
          <w:iCs w:val="1"/>
          <w:color w:val="auto"/>
        </w:rPr>
        <w:t>Continue to operate each of our seven title brands independently</w:t>
      </w:r>
      <w:r>
        <w:rPr>
          <w:rFonts w:ascii="Arial" w:cs="Arial" w:eastAsia="Arial" w:hAnsi="Arial"/>
          <w:sz w:val="16"/>
          <w:szCs w:val="16"/>
          <w:color w:val="auto"/>
        </w:rPr>
        <w:t>. We believe that in order to maintain and strengthen our title insurance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base, we must leave the Fidelity National Title, Chicago Title, Commonwealth Land Title, Lawyers Title, Ticor Title, Security Union Title and Alamo Title brands intact and operate these brands independently. In most of our largest markets, we operate two, and in a few cases as many as five, brands, including the brands acquired with the LFG Underwriters</w:t>
      </w:r>
      <w:r>
        <w:rPr>
          <w:rFonts w:ascii="Arial" w:cs="Arial" w:eastAsia="Arial" w:hAnsi="Arial"/>
          <w:sz w:val="16"/>
          <w:szCs w:val="16"/>
          <w:b w:val="1"/>
          <w:bCs w:val="1"/>
          <w:color w:val="auto"/>
        </w:rPr>
        <w:t>.</w:t>
      </w:r>
      <w:r>
        <w:rPr>
          <w:rFonts w:ascii="Arial" w:cs="Arial" w:eastAsia="Arial" w:hAnsi="Arial"/>
          <w:sz w:val="16"/>
          <w:szCs w:val="16"/>
          <w:color w:val="auto"/>
        </w:rPr>
        <w:t xml:space="preserve"> This approach allows us to continue to attract customers who identify with one brand over another and allows us to utilize a broader base of local agents and local operations than we would have with a single consolidated brand.</w:t>
      </w:r>
    </w:p>
    <w:p>
      <w:pPr>
        <w:spacing w:after="0" w:line="71" w:lineRule="exact"/>
        <w:rPr>
          <w:rFonts w:ascii="Arial" w:cs="Arial" w:eastAsia="Arial" w:hAnsi="Arial"/>
          <w:sz w:val="16"/>
          <w:szCs w:val="16"/>
          <w:b w:val="1"/>
          <w:bCs w:val="1"/>
          <w:color w:val="auto"/>
        </w:rPr>
      </w:pPr>
    </w:p>
    <w:p>
      <w:pPr>
        <w:ind w:left="680" w:right="80" w:hanging="447"/>
        <w:spacing w:after="0" w:line="254" w:lineRule="auto"/>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Consistently deliver superior customer service</w:t>
      </w:r>
      <w:r>
        <w:rPr>
          <w:rFonts w:ascii="Arial" w:cs="Arial" w:eastAsia="Arial" w:hAnsi="Arial"/>
          <w:sz w:val="18"/>
          <w:szCs w:val="18"/>
          <w:color w:val="auto"/>
        </w:rPr>
        <w:t>. We believe customer service and consistent product delivery are the most important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attracting and retaining customers. Our ability to provide superior customer service and provide consistent product delivery requires continued focus on providing high quality service and products at competitive prices. Our goal is to continue to improve the experience of our customers in all aspects of our business.</w:t>
      </w:r>
    </w:p>
    <w:p>
      <w:pPr>
        <w:spacing w:after="0" w:line="97" w:lineRule="exact"/>
        <w:rPr>
          <w:rFonts w:ascii="Arial" w:cs="Arial" w:eastAsia="Arial" w:hAnsi="Arial"/>
          <w:sz w:val="18"/>
          <w:szCs w:val="18"/>
          <w:b w:val="1"/>
          <w:bCs w:val="1"/>
          <w:color w:val="auto"/>
        </w:rPr>
      </w:pPr>
    </w:p>
    <w:p>
      <w:pPr>
        <w:ind w:left="680" w:right="20" w:hanging="447"/>
        <w:spacing w:after="0" w:line="250" w:lineRule="auto"/>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Manage our operations successfully through business cycles</w:t>
      </w:r>
      <w:r>
        <w:rPr>
          <w:rFonts w:ascii="Arial" w:cs="Arial" w:eastAsia="Arial" w:hAnsi="Arial"/>
          <w:sz w:val="18"/>
          <w:szCs w:val="18"/>
          <w:color w:val="auto"/>
        </w:rPr>
        <w:t>. We operate in a cyclical business and our ability to diversify our revenue base within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core title insurance 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Maintaining shorter durations on our investment portfolio allows us to mitigate our interest rate risk and, in a rising interest rate environment, to increase our investment revenue, which may offset some of the decline in premiums and service revenues we would expect in such an environment. For a more detailed discussion of our investment strategies, see “Investment Policies and Investment Portfolio.”</w:t>
      </w:r>
    </w:p>
    <w:p>
      <w:pPr>
        <w:spacing w:after="0" w:line="104" w:lineRule="exact"/>
        <w:rPr>
          <w:rFonts w:ascii="Arial" w:cs="Arial" w:eastAsia="Arial" w:hAnsi="Arial"/>
          <w:sz w:val="18"/>
          <w:szCs w:val="18"/>
          <w:b w:val="1"/>
          <w:bCs w:val="1"/>
          <w:color w:val="auto"/>
        </w:rPr>
      </w:pPr>
    </w:p>
    <w:p>
      <w:pPr>
        <w:ind w:left="680" w:right="40" w:hanging="447"/>
        <w:spacing w:after="0" w:line="270" w:lineRule="auto"/>
        <w:tabs>
          <w:tab w:leader="none" w:pos="680" w:val="left"/>
        </w:tabs>
        <w:numPr>
          <w:ilvl w:val="0"/>
          <w:numId w:val="4"/>
        </w:numPr>
        <w:rPr>
          <w:rFonts w:ascii="Arial" w:cs="Arial" w:eastAsia="Arial" w:hAnsi="Arial"/>
          <w:sz w:val="17"/>
          <w:szCs w:val="17"/>
          <w:b w:val="1"/>
          <w:bCs w:val="1"/>
          <w:color w:val="auto"/>
        </w:rPr>
      </w:pPr>
      <w:r>
        <w:rPr>
          <w:rFonts w:ascii="Arial" w:cs="Arial" w:eastAsia="Arial" w:hAnsi="Arial"/>
          <w:sz w:val="17"/>
          <w:szCs w:val="17"/>
          <w:i w:val="1"/>
          <w:iCs w:val="1"/>
          <w:color w:val="auto"/>
        </w:rPr>
        <w:t>Continue to improve our products and technology</w:t>
      </w:r>
      <w:r>
        <w:rPr>
          <w:rFonts w:ascii="Arial" w:cs="Arial" w:eastAsia="Arial" w:hAnsi="Arial"/>
          <w:sz w:val="17"/>
          <w:szCs w:val="17"/>
          <w:color w:val="auto"/>
        </w:rPr>
        <w:t>. As a national provider of real estate transaction products and services, we participate in an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that is subject to significant change,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improve the process of ordering title and escrow services and improve the delivery of our products to our customers.</w:t>
      </w:r>
    </w:p>
    <w:p>
      <w:pPr>
        <w:spacing w:after="0" w:line="87" w:lineRule="exact"/>
        <w:rPr>
          <w:rFonts w:ascii="Arial" w:cs="Arial" w:eastAsia="Arial" w:hAnsi="Arial"/>
          <w:sz w:val="17"/>
          <w:szCs w:val="17"/>
          <w:b w:val="1"/>
          <w:bCs w:val="1"/>
          <w:color w:val="auto"/>
        </w:rPr>
      </w:pPr>
    </w:p>
    <w:p>
      <w:pPr>
        <w:ind w:left="680" w:right="80" w:hanging="447"/>
        <w:spacing w:after="0" w:line="295" w:lineRule="auto"/>
        <w:tabs>
          <w:tab w:leader="none" w:pos="680" w:val="left"/>
        </w:tabs>
        <w:numPr>
          <w:ilvl w:val="0"/>
          <w:numId w:val="4"/>
        </w:numPr>
        <w:rPr>
          <w:rFonts w:ascii="Arial" w:cs="Arial" w:eastAsia="Arial" w:hAnsi="Arial"/>
          <w:sz w:val="16"/>
          <w:szCs w:val="16"/>
          <w:b w:val="1"/>
          <w:bCs w:val="1"/>
          <w:color w:val="auto"/>
        </w:rPr>
      </w:pPr>
      <w:r>
        <w:rPr>
          <w:rFonts w:ascii="Arial" w:cs="Arial" w:eastAsia="Arial" w:hAnsi="Arial"/>
          <w:sz w:val="16"/>
          <w:szCs w:val="16"/>
          <w:i w:val="1"/>
          <w:iCs w:val="1"/>
          <w:color w:val="auto"/>
        </w:rPr>
        <w:t>Maintain values supporting our strategy</w:t>
      </w:r>
      <w:r>
        <w:rPr>
          <w:rFonts w:ascii="Arial" w:cs="Arial" w:eastAsia="Arial" w:hAnsi="Arial"/>
          <w:sz w:val="16"/>
          <w:szCs w:val="16"/>
          <w:color w:val="auto"/>
        </w:rPr>
        <w:t>. We believe that our continued focus on and support of our long-established corporate culture will reinforce</w:t>
      </w:r>
      <w:r>
        <w:rPr>
          <w:rFonts w:ascii="Arial" w:cs="Arial" w:eastAsia="Arial" w:hAnsi="Arial"/>
          <w:sz w:val="16"/>
          <w:szCs w:val="16"/>
          <w:i w:val="1"/>
          <w:iCs w:val="1"/>
          <w:color w:val="auto"/>
        </w:rPr>
        <w:t xml:space="preserve"> </w:t>
      </w:r>
      <w:r>
        <w:rPr>
          <w:rFonts w:ascii="Arial" w:cs="Arial" w:eastAsia="Arial" w:hAnsi="Arial"/>
          <w:sz w:val="16"/>
          <w:szCs w:val="16"/>
          <w:color w:val="auto"/>
        </w:rPr>
        <w:t>and support our business strategy. Our goal is to foster and support a corporate culture where our agents and employees seek to operate independently and profitably at the local level while forming close customer relationships by meeting customer needs and improving customer service. Utilizing a relatively flat managerial structure and providing our employees with a sense of individual ownership supports this goal.</w:t>
      </w:r>
    </w:p>
    <w:p>
      <w:pPr>
        <w:spacing w:after="0" w:line="68" w:lineRule="exact"/>
        <w:rPr>
          <w:rFonts w:ascii="Arial" w:cs="Arial" w:eastAsia="Arial" w:hAnsi="Arial"/>
          <w:sz w:val="16"/>
          <w:szCs w:val="16"/>
          <w:b w:val="1"/>
          <w:bCs w:val="1"/>
          <w:color w:val="auto"/>
        </w:rPr>
      </w:pPr>
    </w:p>
    <w:p>
      <w:pPr>
        <w:ind w:left="680" w:hanging="447"/>
        <w:spacing w:after="0" w:line="254" w:lineRule="auto"/>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Effectively manage costs based on economic factors</w:t>
      </w:r>
      <w:r>
        <w:rPr>
          <w:rFonts w:ascii="Arial" w:cs="Arial" w:eastAsia="Arial" w:hAnsi="Arial"/>
          <w:sz w:val="18"/>
          <w:szCs w:val="18"/>
          <w:color w:val="auto"/>
        </w:rPr>
        <w:t>. We believe that our focus on our operating margins is essential to our continued success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title insurance business. Regardless of the business cycle in which we may be operating, we seek to continue to evaluate and manage our cost structure and make appropriate adjustments where economic conditions dictate. This continual focus on our cost structure helps us to better maintain our operating margins.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Specialty Insurance</w:t>
      </w:r>
    </w:p>
    <w:p>
      <w:pPr>
        <w:spacing w:after="0" w:line="113" w:lineRule="exact"/>
        <w:rPr>
          <w:sz w:val="20"/>
          <w:szCs w:val="20"/>
          <w:color w:val="auto"/>
        </w:rPr>
      </w:pPr>
    </w:p>
    <w:p>
      <w:pPr>
        <w:jc w:val="both"/>
        <w:ind w:right="120" w:firstLine="222"/>
        <w:spacing w:after="0" w:line="257" w:lineRule="auto"/>
        <w:rPr>
          <w:sz w:val="20"/>
          <w:szCs w:val="20"/>
          <w:color w:val="auto"/>
        </w:rPr>
      </w:pPr>
      <w:r>
        <w:rPr>
          <w:rFonts w:ascii="Arial" w:cs="Arial" w:eastAsia="Arial" w:hAnsi="Arial"/>
          <w:sz w:val="18"/>
          <w:szCs w:val="18"/>
          <w:color w:val="auto"/>
        </w:rPr>
        <w:t>Our strategy in the specialty insurance business is to provide an efficient and effective delivery mechanism for property insurance policies placed directly and through independent agents. We are positioned to be a low expense provider, while continuing to strictly adhere to pricing and underwriting disciplines to maintain our underwriting profitability.</w:t>
      </w:r>
    </w:p>
    <w:p>
      <w:pPr>
        <w:spacing w:after="0" w:line="82" w:lineRule="exact"/>
        <w:rPr>
          <w:sz w:val="20"/>
          <w:szCs w:val="20"/>
          <w:color w:val="auto"/>
        </w:rPr>
      </w:pPr>
    </w:p>
    <w:p>
      <w:pPr>
        <w:ind w:left="680" w:right="120" w:hanging="447"/>
        <w:spacing w:after="0" w:line="257" w:lineRule="auto"/>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offer coverage under the U.S. National Flood Insurance Program (“NFIP”) through Fidelity National Property and Casualty Insurance Company, which provides flood insurance in all 50 states. We are the largest provider of NFIP flood insurance in the U.S. through our independent agent network.</w:t>
      </w:r>
    </w:p>
    <w:p>
      <w:pPr>
        <w:spacing w:after="0" w:line="95" w:lineRule="exact"/>
        <w:rPr>
          <w:rFonts w:ascii="Arial" w:cs="Arial" w:eastAsia="Arial" w:hAnsi="Arial"/>
          <w:sz w:val="18"/>
          <w:szCs w:val="18"/>
          <w:b w:val="1"/>
          <w:bCs w:val="1"/>
          <w:color w:val="auto"/>
        </w:rPr>
      </w:pPr>
    </w:p>
    <w:p>
      <w:pPr>
        <w:jc w:val="both"/>
        <w:ind w:left="680" w:hanging="447"/>
        <w:spacing w:after="0" w:line="257" w:lineRule="auto"/>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We provide an efficient methodology for obtaining insurance on newly acquired homes, whether new construction or upon resale. We have an easy to use fully integrated website, which our agents use as a completely paperless and fully automated quoting and policy delivery system. This system is in use for all of our property products, including flood insurance.</w:t>
      </w:r>
    </w:p>
    <w:p>
      <w:pPr>
        <w:spacing w:after="0" w:line="95" w:lineRule="exact"/>
        <w:rPr>
          <w:rFonts w:ascii="Arial" w:cs="Arial" w:eastAsia="Arial" w:hAnsi="Arial"/>
          <w:sz w:val="18"/>
          <w:szCs w:val="18"/>
          <w:b w:val="1"/>
          <w:bCs w:val="1"/>
          <w:color w:val="auto"/>
        </w:rPr>
      </w:pPr>
    </w:p>
    <w:p>
      <w:pPr>
        <w:ind w:left="680" w:right="680" w:hanging="447"/>
        <w:spacing w:after="0" w:line="267" w:lineRule="auto"/>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underwriting practice is conservative. Catastrophe exposure is closely managed on a real time basis. We also buy reinsurance to assist in maintaining our profitability and growing our surplus.</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Possible Acquisitions, Dispositions, Minority Owned Operating Subsidiaries and Financings</w:t>
      </w:r>
    </w:p>
    <w:p>
      <w:pPr>
        <w:spacing w:after="0" w:line="113" w:lineRule="exact"/>
        <w:rPr>
          <w:sz w:val="20"/>
          <w:szCs w:val="20"/>
          <w:color w:val="auto"/>
        </w:rPr>
      </w:pPr>
    </w:p>
    <w:p>
      <w:pPr>
        <w:ind w:firstLine="219"/>
        <w:spacing w:after="0" w:line="287" w:lineRule="auto"/>
        <w:rPr>
          <w:sz w:val="20"/>
          <w:szCs w:val="20"/>
          <w:color w:val="auto"/>
        </w:rPr>
      </w:pPr>
      <w:r>
        <w:rPr>
          <w:rFonts w:ascii="Arial" w:cs="Arial" w:eastAsia="Arial" w:hAnsi="Arial"/>
          <w:sz w:val="16"/>
          <w:szCs w:val="16"/>
          <w:color w:val="auto"/>
        </w:rPr>
        <w:t>With assistance from our advisors, on an ongoing basis we actively evaluate possible strategic transactions, such as acquisitions and dispositions of business units and operating assets and business combination transactions, as well as possible means of financing the growth and operations of our business units or raising funds, through securities offerings or otherwise, for debt repayment or other purposes. In the current economic environment, we may seek to sell certain investments or other assets to increase our liquidity. Our Board of Directors has authorized us to investigate strategic alternatives for certain of our specialty insurance businesses. The assets to be evaluated include the flood insurance and personal lines insurance businesses, but not the home warranty business. Further, our management has stated that we may make acquisitions in lines of business that are not directly tied to or synergistic with our core operating segments. There can be no assurance, however, that any suitable opportunities will arise or that any particular transaction will be completed.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19" w:lineRule="exact"/>
        <w:rPr>
          <w:sz w:val="20"/>
          <w:szCs w:val="20"/>
          <w:color w:val="auto"/>
        </w:rPr>
      </w:pPr>
    </w:p>
    <w:p>
      <w:pPr>
        <w:ind w:right="380" w:firstLine="222"/>
        <w:spacing w:after="0" w:line="331" w:lineRule="auto"/>
        <w:rPr>
          <w:sz w:val="20"/>
          <w:szCs w:val="20"/>
          <w:color w:val="auto"/>
        </w:rPr>
      </w:pPr>
      <w:r>
        <w:rPr>
          <w:rFonts w:ascii="Arial" w:cs="Arial" w:eastAsia="Arial" w:hAnsi="Arial"/>
          <w:sz w:val="16"/>
          <w:szCs w:val="16"/>
          <w:color w:val="auto"/>
        </w:rPr>
        <w:t>Strategic acquisitions have been an important part of our growth strategy. We made a number of acquisitions over the past three years to strengthen and expand our service offerings and customer base in our various businesses, to expand into other businesses or where we otherwise saw value.</w:t>
      </w:r>
    </w:p>
    <w:p>
      <w:pPr>
        <w:spacing w:after="0" w:line="26" w:lineRule="exact"/>
        <w:rPr>
          <w:sz w:val="20"/>
          <w:szCs w:val="20"/>
          <w:color w:val="auto"/>
        </w:rPr>
      </w:pPr>
    </w:p>
    <w:p>
      <w:pPr>
        <w:ind w:right="220" w:firstLine="222"/>
        <w:spacing w:after="0" w:line="288" w:lineRule="auto"/>
        <w:rPr>
          <w:sz w:val="20"/>
          <w:szCs w:val="20"/>
          <w:color w:val="auto"/>
        </w:rPr>
      </w:pPr>
      <w:r>
        <w:rPr>
          <w:rFonts w:ascii="Arial" w:cs="Arial" w:eastAsia="Arial" w:hAnsi="Arial"/>
          <w:sz w:val="16"/>
          <w:szCs w:val="16"/>
          <w:i w:val="1"/>
          <w:iCs w:val="1"/>
          <w:color w:val="auto"/>
        </w:rPr>
        <w:t xml:space="preserve">Acquisition of the LFG Underwriters. </w:t>
      </w:r>
      <w:r>
        <w:rPr>
          <w:rFonts w:ascii="Arial" w:cs="Arial" w:eastAsia="Arial" w:hAnsi="Arial"/>
          <w:sz w:val="16"/>
          <w:szCs w:val="16"/>
          <w:color w:val="auto"/>
        </w:rPr>
        <w:t>On December 22, 2008, we completed the acquisition of the LFG Underwriters. The total purchase price for</w:t>
      </w:r>
      <w:r>
        <w:rPr>
          <w:rFonts w:ascii="Arial" w:cs="Arial" w:eastAsia="Arial" w:hAnsi="Arial"/>
          <w:sz w:val="16"/>
          <w:szCs w:val="16"/>
          <w:i w:val="1"/>
          <w:iCs w:val="1"/>
          <w:color w:val="auto"/>
        </w:rPr>
        <w:t xml:space="preserve"> </w:t>
      </w:r>
      <w:r>
        <w:rPr>
          <w:rFonts w:ascii="Arial" w:cs="Arial" w:eastAsia="Arial" w:hAnsi="Arial"/>
          <w:sz w:val="16"/>
          <w:szCs w:val="16"/>
          <w:color w:val="auto"/>
        </w:rPr>
        <w:t>Commonwealth and Lawyers was $238.0 million, net of cash acquired of $8.8 million, and was comprised of $134.8 million paid in cash by two of our title insurance underwriters, Fidelity National Title Insurance Company and Chicago Title Insurance Company, a $50 million subordinated note due in 2013 (see note I of Notes to Consolidated Financial Statements), and $50 million in FNF common stock (3,176,620 shares valued at $15.74 per share at the time of closing). In addition, Fidelity National Title Insurance Company purchased United from an indirect subsidiary of LFG for a purchase price of approximately $12 million, equal to an estimate (subject to post-closing adjustment) of the statutory net worth of United at the time of closing.</w:t>
      </w:r>
    </w:p>
    <w:p>
      <w:pPr>
        <w:spacing w:after="0" w:line="62"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i w:val="1"/>
          <w:iCs w:val="1"/>
          <w:color w:val="auto"/>
        </w:rPr>
        <w:t xml:space="preserve">Acquisition of Equity Interest in Ceridian. </w:t>
      </w:r>
      <w:r>
        <w:rPr>
          <w:rFonts w:ascii="Arial" w:cs="Arial" w:eastAsia="Arial" w:hAnsi="Arial"/>
          <w:sz w:val="16"/>
          <w:szCs w:val="16"/>
          <w:color w:val="auto"/>
        </w:rPr>
        <w:t>On November 9, 2007, we and Thomas H. Lee Partners, L.P. (“THL”), along with certain co-investors, completed</w:t>
      </w:r>
      <w:r>
        <w:rPr>
          <w:rFonts w:ascii="Arial" w:cs="Arial" w:eastAsia="Arial" w:hAnsi="Arial"/>
          <w:sz w:val="16"/>
          <w:szCs w:val="16"/>
          <w:i w:val="1"/>
          <w:iCs w:val="1"/>
          <w:color w:val="auto"/>
        </w:rPr>
        <w:t xml:space="preserve"> </w:t>
      </w:r>
      <w:r>
        <w:rPr>
          <w:rFonts w:ascii="Arial" w:cs="Arial" w:eastAsia="Arial" w:hAnsi="Arial"/>
          <w:sz w:val="16"/>
          <w:szCs w:val="16"/>
          <w:color w:val="auto"/>
        </w:rPr>
        <w:t>the acquisition of Ceridian for $36 in cash per share of common stock, or approximately $5.3 billion. We contributed approximately $527 million of the total $1.6 billion equity funding for the acquisition of Ceridian, resulting in a 33% ownership interest by us, which we account for using the equity method of accounting for financial statement purposes. Ceridian is an information services company servicing the human resources, transportation, and retail industries. Specifically, Ceridian offers a range of human resources outsourcing solutions and is a payment processor and issuer of credit, debit, and stored-value cards.</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222"/>
        <w:spacing w:after="0" w:line="254" w:lineRule="auto"/>
        <w:rPr>
          <w:sz w:val="20"/>
          <w:szCs w:val="20"/>
          <w:color w:val="auto"/>
        </w:rPr>
      </w:pPr>
      <w:r>
        <w:rPr>
          <w:rFonts w:ascii="Arial" w:cs="Arial" w:eastAsia="Arial" w:hAnsi="Arial"/>
          <w:sz w:val="18"/>
          <w:szCs w:val="18"/>
          <w:i w:val="1"/>
          <w:iCs w:val="1"/>
          <w:color w:val="auto"/>
        </w:rPr>
        <w:t xml:space="preserve">Property Insight, LLC. </w:t>
      </w:r>
      <w:r>
        <w:rPr>
          <w:rFonts w:ascii="Arial" w:cs="Arial" w:eastAsia="Arial" w:hAnsi="Arial"/>
          <w:sz w:val="18"/>
          <w:szCs w:val="18"/>
          <w:color w:val="auto"/>
        </w:rPr>
        <w:t>On August 31, 2007, we completed the acquisition of Property Insight, LLC (“Property Insight”), a former FIS subsidiary, from FIS</w:t>
      </w:r>
      <w:r>
        <w:rPr>
          <w:rFonts w:ascii="Arial" w:cs="Arial" w:eastAsia="Arial" w:hAnsi="Arial"/>
          <w:sz w:val="18"/>
          <w:szCs w:val="18"/>
          <w:i w:val="1"/>
          <w:iCs w:val="1"/>
          <w:color w:val="auto"/>
        </w:rPr>
        <w:t xml:space="preserve"> </w:t>
      </w:r>
      <w:r>
        <w:rPr>
          <w:rFonts w:ascii="Arial" w:cs="Arial" w:eastAsia="Arial" w:hAnsi="Arial"/>
          <w:sz w:val="18"/>
          <w:szCs w:val="18"/>
          <w:color w:val="auto"/>
        </w:rPr>
        <w:t>for $95 million in cash. Property Insight is a leading provider of title plant services for us, as well as various national and regional underwriters. Property Insight primarily manages, maintains, and updates the title plants that are owned by us. Additionally, Property Insight manages potential title plant construction activities for us.</w:t>
      </w:r>
    </w:p>
    <w:p>
      <w:pPr>
        <w:spacing w:after="0" w:line="84" w:lineRule="exact"/>
        <w:rPr>
          <w:sz w:val="20"/>
          <w:szCs w:val="20"/>
          <w:color w:val="auto"/>
        </w:rPr>
      </w:pPr>
    </w:p>
    <w:p>
      <w:pPr>
        <w:ind w:right="200" w:firstLine="222"/>
        <w:spacing w:after="0" w:line="254" w:lineRule="auto"/>
        <w:rPr>
          <w:sz w:val="20"/>
          <w:szCs w:val="20"/>
          <w:color w:val="auto"/>
        </w:rPr>
      </w:pPr>
      <w:r>
        <w:rPr>
          <w:rFonts w:ascii="Arial" w:cs="Arial" w:eastAsia="Arial" w:hAnsi="Arial"/>
          <w:sz w:val="18"/>
          <w:szCs w:val="18"/>
          <w:i w:val="1"/>
          <w:iCs w:val="1"/>
          <w:color w:val="auto"/>
        </w:rPr>
        <w:t xml:space="preserve">ATM Holdings, Inc. </w:t>
      </w:r>
      <w:r>
        <w:rPr>
          <w:rFonts w:ascii="Arial" w:cs="Arial" w:eastAsia="Arial" w:hAnsi="Arial"/>
          <w:sz w:val="18"/>
          <w:szCs w:val="18"/>
          <w:color w:val="auto"/>
        </w:rPr>
        <w:t>On August 13, 2007, we completed the acquisition of ATM Holdings, Inc. (“ATM”), a provider of nationwide mortgage vendor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services to the loan origination industry, for $100 million in cash. ATM’s primary subsidiary is a licensed title insurance agency which provides centralized valuation and appraisal services, as well as title and closing services, to residential mortgage originators, banks and institutional mortgage lenders throughout the United States.</w:t>
      </w:r>
    </w:p>
    <w:p>
      <w:pPr>
        <w:spacing w:after="0" w:line="84" w:lineRule="exact"/>
        <w:rPr>
          <w:sz w:val="20"/>
          <w:szCs w:val="20"/>
          <w:color w:val="auto"/>
        </w:rPr>
      </w:pPr>
    </w:p>
    <w:p>
      <w:pPr>
        <w:ind w:right="40" w:firstLine="222"/>
        <w:spacing w:after="0" w:line="265" w:lineRule="auto"/>
        <w:rPr>
          <w:sz w:val="20"/>
          <w:szCs w:val="20"/>
          <w:color w:val="auto"/>
        </w:rPr>
      </w:pPr>
      <w:r>
        <w:rPr>
          <w:rFonts w:ascii="Arial" w:cs="Arial" w:eastAsia="Arial" w:hAnsi="Arial"/>
          <w:sz w:val="17"/>
          <w:szCs w:val="17"/>
          <w:i w:val="1"/>
          <w:iCs w:val="1"/>
          <w:color w:val="auto"/>
        </w:rPr>
        <w:t xml:space="preserve">Equity Interest in Remy. </w:t>
      </w:r>
      <w:r>
        <w:rPr>
          <w:rFonts w:ascii="Arial" w:cs="Arial" w:eastAsia="Arial" w:hAnsi="Arial"/>
          <w:sz w:val="17"/>
          <w:szCs w:val="17"/>
          <w:color w:val="auto"/>
        </w:rPr>
        <w:t>We held an investment in Remy’s Senior Subordinated Notes (the “Notes”) with a total fair value of $139.9 million until</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6, 2007, at which time Remy implemented a pre-packaged plan of bankruptcy under Chapter 11 of the Bankruptcy Code. Pursuant to the plan of bankruptcy, the Notes were converted into 4,935,065 shares of Remy common stock and rights to buy 19,909 shares of Remy Series B preferred stock. Upon execution of the plan of bankruptcy, the Company purchased all 19,909 shares of the preferred stock for $1,000 per share, or a total of $19.9 million, and then sold 1,000 of those shares to William P. Foley, II, the Company’s chairman of the board, for $1,000 per share, or a total of $1.0 million. The Company now holds a 47% ownership interest in Remy, made up of 4,935,065 shares of Remy common stock with a cost basis of $64.3 million and 18,909 shares of purchased Remy Series B preferred stock with a cost basis of $19.5 million. We account for our investment in Remy using the equity method. As a result of the exchange of the Notes for the shares of common and preferred stock, the Company reversed the unrealized gain of $75.0 million that had previously been recorded in accumulated other comprehensive earnings in relation to the Notes. Remy, headquartered in Anderson, Indiana, is a leading manufacturer, remanufacturer and distributor of Delco Remy brand heavy-duty systems and Remy brand starters and alternators, locomotive products and hybrid power technology.</w:t>
      </w:r>
    </w:p>
    <w:p>
      <w:pPr>
        <w:spacing w:after="0" w:line="79" w:lineRule="exact"/>
        <w:rPr>
          <w:sz w:val="20"/>
          <w:szCs w:val="20"/>
          <w:color w:val="auto"/>
        </w:rPr>
      </w:pPr>
    </w:p>
    <w:p>
      <w:pPr>
        <w:ind w:right="300" w:firstLine="222"/>
        <w:spacing w:after="0" w:line="291" w:lineRule="auto"/>
        <w:rPr>
          <w:sz w:val="20"/>
          <w:szCs w:val="20"/>
          <w:color w:val="auto"/>
        </w:rPr>
      </w:pPr>
      <w:r>
        <w:rPr>
          <w:rFonts w:ascii="Arial" w:cs="Arial" w:eastAsia="Arial" w:hAnsi="Arial"/>
          <w:sz w:val="16"/>
          <w:szCs w:val="16"/>
          <w:i w:val="1"/>
          <w:iCs w:val="1"/>
          <w:color w:val="auto"/>
        </w:rPr>
        <w:t xml:space="preserve">Cascade Timberlands LLC. </w:t>
      </w:r>
      <w:r>
        <w:rPr>
          <w:rFonts w:ascii="Arial" w:cs="Arial" w:eastAsia="Arial" w:hAnsi="Arial"/>
          <w:sz w:val="16"/>
          <w:szCs w:val="16"/>
          <w:color w:val="auto"/>
        </w:rPr>
        <w:t>During 2006, we purchased equity interests in Cascade Timberlands LLC (“Cascade Timberlands”) totaling 71% of Cascade</w:t>
      </w:r>
      <w:r>
        <w:rPr>
          <w:rFonts w:ascii="Arial" w:cs="Arial" w:eastAsia="Arial" w:hAnsi="Arial"/>
          <w:sz w:val="16"/>
          <w:szCs w:val="16"/>
          <w:i w:val="1"/>
          <w:iCs w:val="1"/>
          <w:color w:val="auto"/>
        </w:rPr>
        <w:t xml:space="preserve"> </w:t>
      </w:r>
      <w:r>
        <w:rPr>
          <w:rFonts w:ascii="Arial" w:cs="Arial" w:eastAsia="Arial" w:hAnsi="Arial"/>
          <w:sz w:val="16"/>
          <w:szCs w:val="16"/>
          <w:color w:val="auto"/>
        </w:rPr>
        <w:t>Timberlands. As of December 31, 2008, we owned approximately 70% of the outstanding interests of Cascade Timberlands which was purchased for $88.5 million. The primary assets of Cascade Timberlands are approximately 266,909 acres of productive timberlands located on the eastern side of the Cascade mountain range extending from Bend, Oregon south on State Highway 20 toward the California border. Cascade Timberlands was created by the secured creditors of Crown Pacific LP upon the conclusion of the bankruptcy case of Crown Pacific LP in December 2004.</w:t>
      </w:r>
    </w:p>
    <w:p>
      <w:pPr>
        <w:spacing w:after="0" w:line="58" w:lineRule="exact"/>
        <w:rPr>
          <w:sz w:val="20"/>
          <w:szCs w:val="20"/>
          <w:color w:val="auto"/>
        </w:rPr>
      </w:pPr>
    </w:p>
    <w:p>
      <w:pPr>
        <w:ind w:right="120" w:firstLine="222"/>
        <w:spacing w:after="0" w:line="270" w:lineRule="auto"/>
        <w:rPr>
          <w:sz w:val="20"/>
          <w:szCs w:val="20"/>
          <w:color w:val="auto"/>
        </w:rPr>
      </w:pPr>
      <w:r>
        <w:rPr>
          <w:rFonts w:ascii="Arial" w:cs="Arial" w:eastAsia="Arial" w:hAnsi="Arial"/>
          <w:sz w:val="17"/>
          <w:szCs w:val="17"/>
          <w:i w:val="1"/>
          <w:iCs w:val="1"/>
          <w:color w:val="auto"/>
        </w:rPr>
        <w:t xml:space="preserve">Acquisition of Equity Interest in Sedgwick. </w:t>
      </w:r>
      <w:r>
        <w:rPr>
          <w:rFonts w:ascii="Arial" w:cs="Arial" w:eastAsia="Arial" w:hAnsi="Arial"/>
          <w:sz w:val="17"/>
          <w:szCs w:val="17"/>
          <w:color w:val="auto"/>
        </w:rPr>
        <w:t>On January 31, 2006, we, along with our equity partners, THL and Evercore Capital Partners, completed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of Sedgwick, which resulted in FNF obtaining a 40% interest in Sedgwick for approximately $126 million. In September 2006, we invested an additional $6.8 million in Sedgwick, maintaining our 40% ownership interest. During 2008, we sold 20% of our interest in Sedgwick (reducing our interest in Sedgwick from 40% to 32%) for proceeds of $53.9 million, resulting in a gain of $24.8 million. Sedgwick, headquartered in Memphis, Tennessee, is a leading provider of outsourced insurance claims management services to large corporate and public sector entities.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Insurance</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 xml:space="preserve">Market for title insurance. </w:t>
      </w:r>
      <w:r>
        <w:rPr>
          <w:rFonts w:ascii="Arial" w:cs="Arial" w:eastAsia="Arial" w:hAnsi="Arial"/>
          <w:sz w:val="16"/>
          <w:szCs w:val="16"/>
          <w:color w:val="auto"/>
        </w:rPr>
        <w:t>While we have seen declines during 2007 and 2008 in the title insurance market in the United States, the market remains large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and grew significantly from 1995 until 2005. Demotech Inc. (“Demotech”), an independent firm providing services to the insurance industry, publishes an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annual compilation of financial information from the title insurance industry called </w:t>
      </w:r>
      <w:r>
        <w:rPr>
          <w:rFonts w:ascii="Arial" w:cs="Arial" w:eastAsia="Arial" w:hAnsi="Arial"/>
          <w:sz w:val="16"/>
          <w:szCs w:val="16"/>
          <w:i w:val="1"/>
          <w:iCs w:val="1"/>
          <w:color w:val="auto"/>
        </w:rPr>
        <w:t>Demotech Performance of Title Insurance Companies</w:t>
      </w:r>
      <w:r>
        <w:rPr>
          <w:rFonts w:ascii="Arial" w:cs="Arial" w:eastAsia="Arial" w:hAnsi="Arial"/>
          <w:sz w:val="16"/>
          <w:szCs w:val="16"/>
          <w:color w:val="auto"/>
        </w:rPr>
        <w:t>. According to this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publication, total operating income for the entire U.S. title insurance industry grew from $4.8 billion in 1995 to $17.8 billion in 2005 and then decreased to</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$17.6 billion in 2006 and to $15.2 billion in 2007. Growth in the industry is closely tied to various macroeconomic factors, including, but not limited to, growth</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in the gross domestic product, inflation, interest rates and sales of and prices for new and existing homes, as well as the volume of refinancing of previously</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issued mortgages.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in the overall value of the real estate market helps drive growth in total industry revenues. Industry revenues are also driven by factors affecting the volume of residential real estate closings, such as the state of the economy, the availability of mortgage funding, and changes in interest rates, which affect demand for new mortgage loans and refinancing transactions. Both the volume and the average price of residential real estate transactions have experienced significant declines in many parts of the country, and it is uncertain how long these trends will continue. In 2008, the sharply rising mortgage delinquency and default rates have caused negative operating results at a number of banks and financial institutions and, as a result, have significantly reduced the level of lending activity. Several banks have failed in recent months and others may fail in the short to medium term, further reducing the capacity of the mortgage industry to make loans. Our revenues in future periods will continue to be subject to these and other factors which are beyond our control and, as a result, are likely to fluctuate.</w:t>
      </w:r>
    </w:p>
    <w:p>
      <w:pPr>
        <w:spacing w:after="0" w:line="67" w:lineRule="exact"/>
        <w:rPr>
          <w:sz w:val="20"/>
          <w:szCs w:val="20"/>
          <w:color w:val="auto"/>
        </w:rPr>
      </w:pPr>
    </w:p>
    <w:p>
      <w:pPr>
        <w:ind w:right="160" w:firstLine="219"/>
        <w:spacing w:after="0" w:line="288" w:lineRule="auto"/>
        <w:rPr>
          <w:sz w:val="20"/>
          <w:szCs w:val="20"/>
          <w:color w:val="auto"/>
        </w:rPr>
      </w:pPr>
      <w:r>
        <w:rPr>
          <w:rFonts w:ascii="Arial" w:cs="Arial" w:eastAsia="Arial" w:hAnsi="Arial"/>
          <w:sz w:val="16"/>
          <w:szCs w:val="16"/>
          <w:color w:val="auto"/>
        </w:rPr>
        <w:t>The U.S. title insurance industry is concentrated among a handful of industry participants. According to Demotech the top five title insurance companies (which included FNF and LFG) accounted for 92.8% of net premiums collected in 2007. Over 40 independent title insurance companies accounted for the remaining 7.2% of net premiums collected in 2007. Over the years, the title insurance industry has been consolidating, beginning with the merger of Lawyers and Commonwealth in 1998 to create LFG, followed by our acquisition of Chicago Title in March 2000. Then, in December 2008, we acquired LFG’s two principal title insurance underwriters, Commonwealth and Lawyers, as well as United. Consolidation has created opportunities for increased financial and operating efficiencies for the industry’s largest participants and should continue to drive profitability and market share in the industry.</w:t>
      </w:r>
    </w:p>
    <w:p>
      <w:pPr>
        <w:spacing w:after="0" w:line="62" w:lineRule="exact"/>
        <w:rPr>
          <w:sz w:val="20"/>
          <w:szCs w:val="20"/>
          <w:color w:val="auto"/>
        </w:rPr>
      </w:pPr>
    </w:p>
    <w:p>
      <w:pPr>
        <w:ind w:right="280" w:firstLine="222"/>
        <w:spacing w:after="0" w:line="267" w:lineRule="auto"/>
        <w:rPr>
          <w:sz w:val="20"/>
          <w:szCs w:val="20"/>
          <w:color w:val="auto"/>
        </w:rPr>
      </w:pPr>
      <w:r>
        <w:rPr>
          <w:rFonts w:ascii="Arial" w:cs="Arial" w:eastAsia="Arial" w:hAnsi="Arial"/>
          <w:sz w:val="18"/>
          <w:szCs w:val="18"/>
          <w:i w:val="1"/>
          <w:iCs w:val="1"/>
          <w:color w:val="auto"/>
        </w:rPr>
        <w:t xml:space="preserve">Title Insurance Policies. </w:t>
      </w:r>
      <w:r>
        <w:rPr>
          <w:rFonts w:ascii="Arial" w:cs="Arial" w:eastAsia="Arial" w:hAnsi="Arial"/>
          <w:sz w:val="18"/>
          <w:szCs w:val="18"/>
          <w:color w:val="auto"/>
        </w:rPr>
        <w:t>Generally, real estate buyers and mortgage lenders purchase title insurance to insure good and marketable title to real estate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of lien. A brief generalized description of the process of issuing a title insurance policy is as follows:</w:t>
      </w:r>
    </w:p>
    <w:p>
      <w:pPr>
        <w:spacing w:after="0" w:line="73" w:lineRule="exact"/>
        <w:rPr>
          <w:sz w:val="20"/>
          <w:szCs w:val="20"/>
          <w:color w:val="auto"/>
        </w:rPr>
      </w:pPr>
    </w:p>
    <w:p>
      <w:pPr>
        <w:ind w:left="680" w:hanging="447"/>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customer, typically a real estate salesperson or broker, escrow agent, attorney or lender, places an order for a title policy.</w:t>
      </w:r>
    </w:p>
    <w:p>
      <w:pPr>
        <w:spacing w:after="0" w:line="126" w:lineRule="exact"/>
        <w:rPr>
          <w:rFonts w:ascii="Arial" w:cs="Arial" w:eastAsia="Arial" w:hAnsi="Arial"/>
          <w:sz w:val="18"/>
          <w:szCs w:val="18"/>
          <w:b w:val="1"/>
          <w:bCs w:val="1"/>
          <w:color w:val="auto"/>
        </w:rPr>
      </w:pPr>
    </w:p>
    <w:p>
      <w:pPr>
        <w:ind w:left="680" w:right="440" w:hanging="447"/>
        <w:spacing w:after="0" w:line="267" w:lineRule="auto"/>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Company personnel note the specifics of the title policy order and place a request with the title company or its agents for a preliminary report or commitment.</w:t>
      </w:r>
    </w:p>
    <w:p>
      <w:pPr>
        <w:spacing w:after="0" w:line="86" w:lineRule="exact"/>
        <w:rPr>
          <w:rFonts w:ascii="Arial" w:cs="Arial" w:eastAsia="Arial" w:hAnsi="Arial"/>
          <w:sz w:val="18"/>
          <w:szCs w:val="18"/>
          <w:b w:val="1"/>
          <w:bCs w:val="1"/>
          <w:color w:val="auto"/>
        </w:rPr>
      </w:pPr>
    </w:p>
    <w:p>
      <w:pPr>
        <w:ind w:left="680" w:right="60" w:hanging="447"/>
        <w:spacing w:after="0" w:line="257" w:lineRule="auto"/>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After the relevant historical data on the property is compiled, the title officer prepares a preliminary report that documents the current status of title to the property, any exclusions, exceptions and/or limitations that the title company might include in the policy, and specific issues that need to be addressed and resolved by the parties to the transaction before the title policy will be issued.</w:t>
      </w:r>
    </w:p>
    <w:p>
      <w:pPr>
        <w:spacing w:after="0" w:line="95" w:lineRule="exact"/>
        <w:rPr>
          <w:rFonts w:ascii="Arial" w:cs="Arial" w:eastAsia="Arial" w:hAnsi="Arial"/>
          <w:sz w:val="18"/>
          <w:szCs w:val="18"/>
          <w:b w:val="1"/>
          <w:bCs w:val="1"/>
          <w:color w:val="auto"/>
        </w:rPr>
      </w:pPr>
    </w:p>
    <w:p>
      <w:pPr>
        <w:ind w:left="680" w:hanging="447"/>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preliminary report is circulated to all the parties for satisfaction of any specific issues.</w:t>
      </w:r>
    </w:p>
    <w:p>
      <w:pPr>
        <w:spacing w:after="0" w:line="126" w:lineRule="exact"/>
        <w:rPr>
          <w:rFonts w:ascii="Arial" w:cs="Arial" w:eastAsia="Arial" w:hAnsi="Arial"/>
          <w:sz w:val="18"/>
          <w:szCs w:val="18"/>
          <w:b w:val="1"/>
          <w:bCs w:val="1"/>
          <w:color w:val="auto"/>
        </w:rPr>
      </w:pPr>
    </w:p>
    <w:p>
      <w:pPr>
        <w:ind w:left="680" w:right="60" w:hanging="447"/>
        <w:spacing w:after="0" w:line="267" w:lineRule="auto"/>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After the specific issues identified in the preliminary report are satisfied, an escrow agent closes the transaction in accordance with the instructions of the parties and the title company’s conditions.</w:t>
      </w:r>
    </w:p>
    <w:p>
      <w:pPr>
        <w:spacing w:after="0" w:line="86" w:lineRule="exact"/>
        <w:rPr>
          <w:rFonts w:ascii="Arial" w:cs="Arial" w:eastAsia="Arial" w:hAnsi="Arial"/>
          <w:sz w:val="18"/>
          <w:szCs w:val="18"/>
          <w:b w:val="1"/>
          <w:bCs w:val="1"/>
          <w:color w:val="auto"/>
        </w:rPr>
      </w:pPr>
    </w:p>
    <w:p>
      <w:pPr>
        <w:ind w:left="680" w:hanging="447"/>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Once the transaction is closed and all monies have been released, the title company issues a title insurance policy.</w:t>
      </w:r>
    </w:p>
    <w:p>
      <w:pPr>
        <w:spacing w:after="0" w:line="113"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In a real estate transaction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 refinancing transaction, only a lender’s policy is generally purchased because ownership of the property has not changed. In the case of an all-cash real estate purchase, no lender’s policy is issued but typically an owner’s title policy is issued.</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Title insurance premiums paid in connection with a title insurance policy are based on (and typically a percentage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 The lender’s policy generally terminates upon the refinancing or resale of the property.</w:t>
      </w:r>
    </w:p>
    <w:p>
      <w:pPr>
        <w:spacing w:after="0" w:line="82" w:lineRule="exact"/>
        <w:rPr>
          <w:sz w:val="20"/>
          <w:szCs w:val="20"/>
          <w:color w:val="auto"/>
        </w:rPr>
      </w:pPr>
    </w:p>
    <w:p>
      <w:pPr>
        <w:ind w:right="40" w:firstLine="219"/>
        <w:spacing w:after="0" w:line="251" w:lineRule="auto"/>
        <w:rPr>
          <w:sz w:val="20"/>
          <w:szCs w:val="20"/>
          <w:color w:val="auto"/>
        </w:rPr>
      </w:pPr>
      <w:r>
        <w:rPr>
          <w:rFonts w:ascii="Arial" w:cs="Arial" w:eastAsia="Arial" w:hAnsi="Arial"/>
          <w:sz w:val="18"/>
          <w:szCs w:val="18"/>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 of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88" w:lineRule="exact"/>
        <w:rPr>
          <w:sz w:val="20"/>
          <w:szCs w:val="20"/>
          <w:color w:val="auto"/>
        </w:rPr>
      </w:pPr>
    </w:p>
    <w:p>
      <w:pPr>
        <w:ind w:right="20" w:firstLine="219"/>
        <w:spacing w:after="0" w:line="266" w:lineRule="auto"/>
        <w:rPr>
          <w:sz w:val="20"/>
          <w:szCs w:val="20"/>
          <w:color w:val="auto"/>
        </w:rPr>
      </w:pPr>
      <w:r>
        <w:rPr>
          <w:rFonts w:ascii="Arial" w:cs="Arial" w:eastAsia="Arial" w:hAnsi="Arial"/>
          <w:sz w:val="17"/>
          <w:szCs w:val="17"/>
          <w:color w:val="auto"/>
        </w:rPr>
        <w:t>Title insurance companies typically issue title insurance policies directly through branch offices or through title agencies which are subsidiaries of the title insurance company, or indirectly through independent third party agencies unaffiliated with the title insurance company. Where the policy is issued through a branch or wholly- owned subsidiary agency operation, the title insurance company typically performs or directs the search, and the premiums collected are retained by the title company. Where the policy is issued through an independent agent, the agent generally performs the search (in some areas searches are performed by approved attorneys), examines the title, collects the premium and retains a majority of the premium. The remainder of the premium is remitted to the title insurance company as compensation, part of which is for bearing the risk of loss in the event a claim is made under the policy. The percentage of the premium retained by an agent varies from region to region and is sometimes regulated by the states. The title insurance company is obligated to pay title claims in accordance with the terms of its policies, regardless of whether the title insurance company issues policies through its direct operations or through independent agents.</w:t>
      </w:r>
    </w:p>
    <w:p>
      <w:pPr>
        <w:spacing w:after="0" w:line="77" w:lineRule="exact"/>
        <w:rPr>
          <w:sz w:val="20"/>
          <w:szCs w:val="20"/>
          <w:color w:val="auto"/>
        </w:rPr>
      </w:pPr>
    </w:p>
    <w:p>
      <w:pPr>
        <w:ind w:right="80" w:firstLine="222"/>
        <w:spacing w:after="0" w:line="270" w:lineRule="auto"/>
        <w:rPr>
          <w:sz w:val="20"/>
          <w:szCs w:val="20"/>
          <w:color w:val="auto"/>
        </w:rPr>
      </w:pPr>
      <w:r>
        <w:rPr>
          <w:rFonts w:ascii="Arial" w:cs="Arial" w:eastAsia="Arial" w:hAnsi="Arial"/>
          <w:sz w:val="17"/>
          <w:szCs w:val="17"/>
          <w:color w:val="auto"/>
        </w:rPr>
        <w:t>Prior to issuing policies, title insurers and their agents attempt to reduce the risk of future claim losses by accurately performing searches and examinations. A title insurance company’s predominant expense relates to such searches and examinations, the preparation of preliminary title reports, policies or commitments, the maintenance of title “plants,” which are indexed compilations of public records, maps and other relevant historical documents, and the facilitation and closing of real estate transactions. Claim losses generally result from errors made in the title search and examination process, from hidden defects such as fraud, forgery, incapacity, or missing heirs of the property, and from closing related errors.</w:t>
      </w:r>
    </w:p>
    <w:p>
      <w:pPr>
        <w:spacing w:after="0" w:line="74" w:lineRule="exact"/>
        <w:rPr>
          <w:sz w:val="20"/>
          <w:szCs w:val="20"/>
          <w:color w:val="auto"/>
        </w:rPr>
      </w:pPr>
    </w:p>
    <w:p>
      <w:pPr>
        <w:ind w:right="260" w:firstLine="222"/>
        <w:spacing w:after="0" w:line="252" w:lineRule="auto"/>
        <w:rPr>
          <w:sz w:val="20"/>
          <w:szCs w:val="20"/>
          <w:color w:val="auto"/>
        </w:rPr>
      </w:pPr>
      <w:r>
        <w:rPr>
          <w:rFonts w:ascii="Arial" w:cs="Arial" w:eastAsia="Arial" w:hAnsi="Arial"/>
          <w:sz w:val="18"/>
          <w:szCs w:val="18"/>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87" w:lineRule="exact"/>
        <w:rPr>
          <w:sz w:val="20"/>
          <w:szCs w:val="20"/>
          <w:color w:val="auto"/>
        </w:rPr>
      </w:pPr>
    </w:p>
    <w:p>
      <w:pPr>
        <w:jc w:val="both"/>
        <w:ind w:right="180" w:firstLine="222"/>
        <w:spacing w:after="0" w:line="257" w:lineRule="auto"/>
        <w:rPr>
          <w:sz w:val="20"/>
          <w:szCs w:val="20"/>
          <w:color w:val="auto"/>
        </w:rPr>
      </w:pPr>
      <w:r>
        <w:rPr>
          <w:rFonts w:ascii="Arial" w:cs="Arial" w:eastAsia="Arial" w:hAnsi="Arial"/>
          <w:sz w:val="18"/>
          <w:szCs w:val="18"/>
          <w:i w:val="1"/>
          <w:iCs w:val="1"/>
          <w:color w:val="auto"/>
        </w:rPr>
        <w:t xml:space="preserve">Direct and Agency Operations. </w:t>
      </w:r>
      <w:r>
        <w:rPr>
          <w:rFonts w:ascii="Arial" w:cs="Arial" w:eastAsia="Arial" w:hAnsi="Arial"/>
          <w:sz w:val="18"/>
          <w:szCs w:val="18"/>
          <w:color w:val="auto"/>
        </w:rPr>
        <w:t>We provide title insurance services through our direct operations and through independent title insurance agents who issue</w:t>
      </w:r>
      <w:r>
        <w:rPr>
          <w:rFonts w:ascii="Arial" w:cs="Arial" w:eastAsia="Arial" w:hAnsi="Arial"/>
          <w:sz w:val="18"/>
          <w:szCs w:val="18"/>
          <w:i w:val="1"/>
          <w:iCs w:val="1"/>
          <w:color w:val="auto"/>
        </w:rPr>
        <w:t xml:space="preserve"> </w:t>
      </w:r>
      <w:r>
        <w:rPr>
          <w:rFonts w:ascii="Arial" w:cs="Arial" w:eastAsia="Arial" w:hAnsi="Arial"/>
          <w:sz w:val="18"/>
          <w:szCs w:val="18"/>
          <w:color w:val="auto"/>
        </w:rPr>
        <w:t>title policies on behalf of our title insurance companies. Our title insurance companies determine the terms and conditions upon which they will insure title to the real property according to their underwriting standards, policies and procedures.</w:t>
      </w:r>
    </w:p>
    <w:p>
      <w:pPr>
        <w:spacing w:after="0" w:line="82" w:lineRule="exact"/>
        <w:rPr>
          <w:sz w:val="20"/>
          <w:szCs w:val="20"/>
          <w:color w:val="auto"/>
        </w:rPr>
      </w:pPr>
    </w:p>
    <w:p>
      <w:pPr>
        <w:ind w:right="480" w:firstLine="222"/>
        <w:spacing w:after="0" w:line="267" w:lineRule="auto"/>
        <w:rPr>
          <w:sz w:val="20"/>
          <w:szCs w:val="20"/>
          <w:color w:val="auto"/>
        </w:rPr>
      </w:pPr>
      <w:r>
        <w:rPr>
          <w:rFonts w:ascii="Arial" w:cs="Arial" w:eastAsia="Arial" w:hAnsi="Arial"/>
          <w:sz w:val="18"/>
          <w:szCs w:val="18"/>
          <w:i w:val="1"/>
          <w:iCs w:val="1"/>
          <w:color w:val="auto"/>
        </w:rPr>
        <w:t xml:space="preserve">Direct Operations. </w:t>
      </w:r>
      <w:r>
        <w:rPr>
          <w:rFonts w:ascii="Arial" w:cs="Arial" w:eastAsia="Arial" w:hAnsi="Arial"/>
          <w:sz w:val="18"/>
          <w:szCs w:val="18"/>
          <w:color w:val="auto"/>
        </w:rPr>
        <w:t>In our direct operations, the title insurer issues the title insurance policy and retains the entire premium paid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Our direct operations provide the following benefits:</w:t>
      </w:r>
    </w:p>
    <w:p>
      <w:pPr>
        <w:spacing w:after="0" w:line="73" w:lineRule="exact"/>
        <w:rPr>
          <w:sz w:val="20"/>
          <w:szCs w:val="20"/>
          <w:color w:val="auto"/>
        </w:rPr>
      </w:pPr>
    </w:p>
    <w:p>
      <w:pPr>
        <w:ind w:left="680" w:hanging="447"/>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higher margins because we retain the entire premium from each transaction instead of paying a commission to an independent agent;</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continuity of service levels to a broad range of customers; and</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additional sources of income through escrow and closing services.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222"/>
        <w:spacing w:after="0" w:line="288" w:lineRule="auto"/>
        <w:rPr>
          <w:sz w:val="20"/>
          <w:szCs w:val="20"/>
          <w:color w:val="auto"/>
        </w:rPr>
      </w:pPr>
      <w:r>
        <w:rPr>
          <w:rFonts w:ascii="Arial" w:cs="Arial" w:eastAsia="Arial" w:hAnsi="Arial"/>
          <w:sz w:val="16"/>
          <w:szCs w:val="16"/>
          <w:color w:val="auto"/>
        </w:rPr>
        <w:t>Prior to the acquisition of the LFG Underwriters, we had over 1,000 offices throughout the U.S. primarily providing residential real estate title insurance. With the acquisition of the LFG underwriters on December 22, 2008, we added approximately 500 direct offices, of which approximately 180 have been eliminated. Management is currently in the process of analyzing certain of these direct offices to determine how many additional offices may be eliminated. During 2008 and 2007, as title insurance activity has decreased, we have closed and consolidated a number of our offices. Our commercial real estate title insurance business is operated almost exclusively through our direct operations. We maintain direct operations for our commercial title insurance business in all the major real estate markets including New York, Los Angeles, Chicago, Atlanta, Dallas, Philadelphia, Phoenix, Seattle and Houston</w:t>
      </w:r>
      <w:r>
        <w:rPr>
          <w:rFonts w:ascii="Arial" w:cs="Arial" w:eastAsia="Arial" w:hAnsi="Arial"/>
          <w:sz w:val="16"/>
          <w:szCs w:val="16"/>
          <w:b w:val="1"/>
          <w:bCs w:val="1"/>
          <w:color w:val="auto"/>
        </w:rPr>
        <w:t>.</w:t>
      </w:r>
    </w:p>
    <w:p>
      <w:pPr>
        <w:spacing w:after="0" w:line="62" w:lineRule="exact"/>
        <w:rPr>
          <w:sz w:val="20"/>
          <w:szCs w:val="20"/>
          <w:color w:val="auto"/>
        </w:rPr>
      </w:pPr>
    </w:p>
    <w:p>
      <w:pPr>
        <w:ind w:right="120" w:firstLine="222"/>
        <w:spacing w:after="0" w:line="282" w:lineRule="auto"/>
        <w:rPr>
          <w:sz w:val="20"/>
          <w:szCs w:val="20"/>
          <w:color w:val="auto"/>
        </w:rPr>
      </w:pPr>
      <w:r>
        <w:rPr>
          <w:rFonts w:ascii="Arial" w:cs="Arial" w:eastAsia="Arial" w:hAnsi="Arial"/>
          <w:sz w:val="16"/>
          <w:szCs w:val="16"/>
          <w:i w:val="1"/>
          <w:iCs w:val="1"/>
          <w:color w:val="auto"/>
        </w:rPr>
        <w:t xml:space="preserve">Agency Operations. </w:t>
      </w:r>
      <w:r>
        <w:rPr>
          <w:rFonts w:ascii="Arial" w:cs="Arial" w:eastAsia="Arial" w:hAnsi="Arial"/>
          <w:sz w:val="16"/>
          <w:szCs w:val="16"/>
          <w:color w:val="auto"/>
        </w:rPr>
        <w:t>In our agency operations, the search and examination function is performed by an independent agent or the agent may purchase the</w:t>
      </w:r>
      <w:r>
        <w:rPr>
          <w:rFonts w:ascii="Arial" w:cs="Arial" w:eastAsia="Arial" w:hAnsi="Arial"/>
          <w:sz w:val="16"/>
          <w:szCs w:val="16"/>
          <w:i w:val="1"/>
          <w:iCs w:val="1"/>
          <w:color w:val="auto"/>
        </w:rPr>
        <w:t xml:space="preserve"> </w:t>
      </w:r>
      <w:r>
        <w:rPr>
          <w:rFonts w:ascii="Arial" w:cs="Arial" w:eastAsia="Arial" w:hAnsi="Arial"/>
          <w:sz w:val="16"/>
          <w:szCs w:val="16"/>
          <w:color w:val="auto"/>
        </w:rPr>
        <w:t>search and examination from us. In either case, the agent is responsible to ensure that the search and examination is completed. The agent thus retains the majority of the title premium collected, with the balance remitted to the title 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financial and loss experience records. We also conduct periodic audits of our agents and periodically decrease the number of agents with which we transact business in an effort to reduce future expenses and manage risks. During 2008, prior to the acquisition of the LFG Underwriters, we decreased the number of agents with which we transact business by approximately 1,300. With the acquisition of the LFG Underwriters on December 22, 2008, we added a total of approximately 7,000 agency relationships. Since that acquisition, we have terminated our agreements with approximately 3,000 of those agents and we expect to terminate our agreements with an additional 500 agents. During 2007, we reduced the number of agents with which we transact business by over 1,000.</w:t>
      </w:r>
    </w:p>
    <w:p>
      <w:pPr>
        <w:spacing w:after="0" w:line="64" w:lineRule="exact"/>
        <w:rPr>
          <w:sz w:val="20"/>
          <w:szCs w:val="20"/>
          <w:color w:val="auto"/>
        </w:rPr>
      </w:pPr>
    </w:p>
    <w:p>
      <w:pPr>
        <w:ind w:right="240" w:firstLine="222"/>
        <w:spacing w:after="0" w:line="267" w:lineRule="auto"/>
        <w:rPr>
          <w:sz w:val="20"/>
          <w:szCs w:val="20"/>
          <w:color w:val="auto"/>
        </w:rPr>
      </w:pPr>
      <w:r>
        <w:rPr>
          <w:rFonts w:ascii="Arial" w:cs="Arial" w:eastAsia="Arial" w:hAnsi="Arial"/>
          <w:sz w:val="18"/>
          <w:szCs w:val="18"/>
          <w:i w:val="1"/>
          <w:iCs w:val="1"/>
          <w:color w:val="auto"/>
        </w:rPr>
        <w:t xml:space="preserve">Fees and Premiums. </w:t>
      </w:r>
      <w:r>
        <w:rPr>
          <w:rFonts w:ascii="Arial" w:cs="Arial" w:eastAsia="Arial" w:hAnsi="Arial"/>
          <w:sz w:val="18"/>
          <w:szCs w:val="18"/>
          <w:color w:val="auto"/>
        </w:rPr>
        <w:t>One method of analyzing our business is to examine the level of premiums generated by direct and agency operations.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table presents the percentages of our title insurance premiums generated by direct and agency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0"/>
        </w:trPr>
        <w:tc>
          <w:tcPr>
            <w:tcW w:w="2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tcBorders>
              <w:bottom w:val="single" w:sz="8" w:color="auto"/>
            </w:tcBorders>
            <w:gridSpan w:val="2"/>
          </w:tcPr>
          <w:p>
            <w:pPr>
              <w:jc w:val="right"/>
              <w:ind w:right="260"/>
              <w:spacing w:after="0" w:line="140" w:lineRule="exact"/>
              <w:rPr>
                <w:sz w:val="20"/>
                <w:szCs w:val="20"/>
                <w:color w:val="auto"/>
              </w:rPr>
            </w:pPr>
            <w:r>
              <w:rPr>
                <w:rFonts w:ascii="Arial" w:cs="Arial" w:eastAsia="Arial" w:hAnsi="Arial"/>
                <w:sz w:val="14"/>
                <w:szCs w:val="14"/>
                <w:b w:val="1"/>
                <w:bCs w:val="1"/>
                <w:color w:val="auto"/>
              </w:rPr>
              <w:t>2008</w:t>
            </w:r>
          </w:p>
        </w:tc>
        <w:tc>
          <w:tcPr>
            <w:tcW w:w="66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100"/>
              <w:spacing w:after="0" w:line="140" w:lineRule="exact"/>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0" w:lineRule="exact"/>
              <w:rPr>
                <w:sz w:val="20"/>
                <w:szCs w:val="20"/>
                <w:color w:val="auto"/>
              </w:rPr>
            </w:pPr>
            <w:r>
              <w:rPr>
                <w:rFonts w:ascii="Arial" w:cs="Arial" w:eastAsia="Arial" w:hAnsi="Arial"/>
                <w:sz w:val="14"/>
                <w:szCs w:val="14"/>
                <w:b w:val="1"/>
                <w:bCs w:val="1"/>
                <w:color w:val="auto"/>
              </w:rPr>
              <w:t>2006</w:t>
            </w: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0"/>
        </w:trPr>
        <w:tc>
          <w:tcPr>
            <w:tcW w:w="2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Borders>
              <w:bottom w:val="single" w:sz="8" w:color="auto"/>
            </w:tcBorders>
          </w:tcPr>
          <w:p>
            <w:pPr>
              <w:jc w:val="right"/>
              <w:ind w:right="100"/>
              <w:spacing w:after="0" w:line="140" w:lineRule="exact"/>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2"/>
                <w:szCs w:val="12"/>
                <w:color w:val="auto"/>
              </w:rPr>
            </w:pPr>
          </w:p>
        </w:tc>
        <w:tc>
          <w:tcPr>
            <w:tcW w:w="660" w:type="dxa"/>
            <w:vAlign w:val="bottom"/>
            <w:tcBorders>
              <w:bottom w:val="single" w:sz="8" w:color="auto"/>
            </w:tcBorders>
          </w:tcPr>
          <w:p>
            <w:pPr>
              <w:jc w:val="right"/>
              <w:ind w:right="176"/>
              <w:spacing w:after="0" w:line="140"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bottom w:val="single" w:sz="8" w:color="auto"/>
            </w:tcBorders>
          </w:tcPr>
          <w:p>
            <w:pPr>
              <w:jc w:val="right"/>
              <w:ind w:right="84"/>
              <w:spacing w:after="0" w:line="140" w:lineRule="exact"/>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2"/>
                <w:szCs w:val="12"/>
                <w:color w:val="auto"/>
              </w:rPr>
            </w:pPr>
          </w:p>
        </w:tc>
        <w:tc>
          <w:tcPr>
            <w:tcW w:w="680" w:type="dxa"/>
            <w:vAlign w:val="bottom"/>
            <w:tcBorders>
              <w:bottom w:val="single" w:sz="8" w:color="auto"/>
            </w:tcBorders>
          </w:tcPr>
          <w:p>
            <w:pPr>
              <w:jc w:val="right"/>
              <w:ind w:right="180"/>
              <w:spacing w:after="0" w:line="140" w:lineRule="exact"/>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2"/>
                <w:szCs w:val="12"/>
                <w:color w:val="auto"/>
              </w:rPr>
            </w:pPr>
          </w:p>
        </w:tc>
        <w:tc>
          <w:tcPr>
            <w:tcW w:w="840" w:type="dxa"/>
            <w:vAlign w:val="bottom"/>
            <w:tcBorders>
              <w:bottom w:val="single" w:sz="8" w:color="auto"/>
            </w:tcBorders>
          </w:tcPr>
          <w:p>
            <w:pPr>
              <w:jc w:val="right"/>
              <w:ind w:right="96"/>
              <w:spacing w:after="0" w:line="140" w:lineRule="exact"/>
              <w:rPr>
                <w:sz w:val="20"/>
                <w:szCs w:val="20"/>
                <w:color w:val="auto"/>
              </w:rPr>
            </w:pPr>
            <w:r>
              <w:rPr>
                <w:rFonts w:ascii="Arial" w:cs="Arial" w:eastAsia="Arial" w:hAnsi="Arial"/>
                <w:sz w:val="14"/>
                <w:szCs w:val="14"/>
                <w:b w:val="1"/>
                <w:bCs w:val="1"/>
                <w:color w:val="auto"/>
              </w:rPr>
              <w:t>Amount</w:t>
            </w:r>
          </w:p>
        </w:tc>
        <w:tc>
          <w:tcPr>
            <w:tcW w:w="640" w:type="dxa"/>
            <w:vAlign w:val="bottom"/>
          </w:tcPr>
          <w:p>
            <w:pPr>
              <w:spacing w:after="0"/>
              <w:rPr>
                <w:sz w:val="12"/>
                <w:szCs w:val="12"/>
                <w:color w:val="auto"/>
              </w:rPr>
            </w:pPr>
          </w:p>
        </w:tc>
        <w:tc>
          <w:tcPr>
            <w:tcW w:w="660" w:type="dxa"/>
            <w:vAlign w:val="bottom"/>
            <w:tcBorders>
              <w:bottom w:val="single" w:sz="8" w:color="auto"/>
            </w:tcBorders>
          </w:tcPr>
          <w:p>
            <w:pPr>
              <w:jc w:val="right"/>
              <w:ind w:right="180"/>
              <w:spacing w:after="0" w:line="140"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0"/>
        </w:trPr>
        <w:tc>
          <w:tcPr>
            <w:tcW w:w="2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spacing w:after="0" w:line="140" w:lineRule="exact"/>
              <w:rPr>
                <w:sz w:val="20"/>
                <w:szCs w:val="20"/>
                <w:color w:val="auto"/>
              </w:rPr>
            </w:pPr>
            <w:r>
              <w:rPr>
                <w:rFonts w:ascii="Arial" w:cs="Arial" w:eastAsia="Arial" w:hAnsi="Arial"/>
                <w:sz w:val="14"/>
                <w:szCs w:val="14"/>
                <w:b w:val="1"/>
                <w:bCs w:val="1"/>
                <w:color w:val="auto"/>
              </w:rPr>
              <w:t>(Dollars</w:t>
            </w:r>
          </w:p>
        </w:tc>
        <w:tc>
          <w:tcPr>
            <w:tcW w:w="1300" w:type="dxa"/>
            <w:vAlign w:val="bottom"/>
            <w:gridSpan w:val="2"/>
          </w:tcPr>
          <w:p>
            <w:pPr>
              <w:ind w:left="100"/>
              <w:spacing w:after="0" w:line="140"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3"/>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$ 1,140,266</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$ 1,601,768</w:t>
            </w:r>
          </w:p>
        </w:tc>
        <w:tc>
          <w:tcPr>
            <w:tcW w:w="1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$ 1,957,064</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r>
      <w:tr>
        <w:trPr>
          <w:trHeight w:val="213"/>
        </w:trPr>
        <w:tc>
          <w:tcPr>
            <w:tcW w:w="2940" w:type="dxa"/>
            <w:vAlign w:val="bottom"/>
          </w:tcPr>
          <w:p>
            <w:pPr>
              <w:spacing w:after="0"/>
              <w:rPr>
                <w:sz w:val="20"/>
                <w:szCs w:val="20"/>
                <w:color w:val="auto"/>
              </w:rPr>
            </w:pPr>
            <w:r>
              <w:rPr>
                <w:rFonts w:ascii="Arial" w:cs="Arial" w:eastAsia="Arial" w:hAnsi="Arial"/>
                <w:sz w:val="18"/>
                <w:szCs w:val="18"/>
                <w:color w:val="auto"/>
              </w:rPr>
              <w:t>Agency</w:t>
            </w: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1,554,743</w:t>
            </w: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57.7</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2,198,690</w:t>
            </w: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57.9</w:t>
            </w:r>
          </w:p>
        </w:tc>
        <w:tc>
          <w:tcPr>
            <w:tcW w:w="6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2,649,136</w:t>
            </w:r>
          </w:p>
        </w:tc>
        <w:tc>
          <w:tcPr>
            <w:tcW w:w="6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57.5</w:t>
            </w:r>
          </w:p>
        </w:tc>
      </w:tr>
      <w:tr>
        <w:trPr>
          <w:trHeight w:val="27"/>
        </w:trPr>
        <w:tc>
          <w:tcPr>
            <w:tcW w:w="2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3"/>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title insurance premiums</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$ 2,695,009</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$ 3,800,458</w:t>
            </w:r>
          </w:p>
        </w:tc>
        <w:tc>
          <w:tcPr>
            <w:tcW w:w="1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$ 4,606,200</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2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8" w:lineRule="exact"/>
        <w:rPr>
          <w:sz w:val="20"/>
          <w:szCs w:val="20"/>
          <w:color w:val="auto"/>
        </w:rPr>
      </w:pPr>
    </w:p>
    <w:p>
      <w:pPr>
        <w:ind w:right="60" w:firstLine="219"/>
        <w:spacing w:after="0" w:line="252" w:lineRule="auto"/>
        <w:rPr>
          <w:sz w:val="20"/>
          <w:szCs w:val="20"/>
          <w:color w:val="auto"/>
        </w:rPr>
      </w:pPr>
      <w:r>
        <w:rPr>
          <w:rFonts w:ascii="Arial" w:cs="Arial" w:eastAsia="Arial" w:hAnsi="Arial"/>
          <w:sz w:val="18"/>
          <w:szCs w:val="18"/>
          <w:color w:val="auto"/>
        </w:rPr>
        <w:t>The premium for title insurance is due in full when the real estate transaction is closed. We recognize title insurance premium revenues from direct operations upon the closing of the transaction, whereas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87"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i w:val="1"/>
          <w:iCs w:val="1"/>
          <w:color w:val="auto"/>
        </w:rPr>
        <w:t xml:space="preserve">Geographic Operations. </w:t>
      </w:r>
      <w:r>
        <w:rPr>
          <w:rFonts w:ascii="Arial" w:cs="Arial" w:eastAsia="Arial" w:hAnsi="Arial"/>
          <w:sz w:val="17"/>
          <w:szCs w:val="17"/>
          <w:color w:val="auto"/>
        </w:rPr>
        <w:t>Prior to the acquisition of the LFG Underwriters, our direct operations were divided into approximately 170 profit centers.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of the LFG Underwriters, we added approximately 80 profit centers, approximately 30 of which have been eliminated or combined. Each profit center processes title insurance transactions within its geographical area, which is usually identified by a county, a group of counties forming a region, or a state, depending on the management structure in that part of the country. We also transact title insurance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0"/>
        <w:spacing w:after="0" w:line="267" w:lineRule="auto"/>
        <w:rPr>
          <w:sz w:val="20"/>
          <w:szCs w:val="20"/>
          <w:color w:val="auto"/>
        </w:rPr>
      </w:pPr>
      <w:r>
        <w:rPr>
          <w:rFonts w:ascii="Arial" w:cs="Arial" w:eastAsia="Arial" w:hAnsi="Arial"/>
          <w:sz w:val="18"/>
          <w:szCs w:val="18"/>
          <w:color w:val="auto"/>
        </w:rPr>
        <w:t>business through a network of approximately 9,000 agents, primarily in those areas in which agents are the more prevalent title insurance provider. This includes approximately 4,000 agents that were added through our acquisition of the LFG Underwriters.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approximate dollar and percentage volumes of our title insurance premium revenue by state.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0"/>
        </w:trPr>
        <w:tc>
          <w:tcPr>
            <w:tcW w:w="2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260"/>
              <w:spacing w:after="0" w:line="140" w:lineRule="exact"/>
              <w:rPr>
                <w:sz w:val="20"/>
                <w:szCs w:val="20"/>
                <w:color w:val="auto"/>
              </w:rPr>
            </w:pPr>
            <w:r>
              <w:rPr>
                <w:rFonts w:ascii="Arial" w:cs="Arial" w:eastAsia="Arial" w:hAnsi="Arial"/>
                <w:sz w:val="14"/>
                <w:szCs w:val="14"/>
                <w:b w:val="1"/>
                <w:bCs w:val="1"/>
                <w:color w:val="auto"/>
              </w:rPr>
              <w:t>2008</w:t>
            </w:r>
          </w:p>
        </w:tc>
        <w:tc>
          <w:tcPr>
            <w:tcW w:w="66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line="140" w:lineRule="exact"/>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0" w:lineRule="exact"/>
              <w:rPr>
                <w:sz w:val="20"/>
                <w:szCs w:val="20"/>
                <w:color w:val="auto"/>
              </w:rPr>
            </w:pPr>
            <w:r>
              <w:rPr>
                <w:rFonts w:ascii="Arial" w:cs="Arial" w:eastAsia="Arial" w:hAnsi="Arial"/>
                <w:sz w:val="14"/>
                <w:szCs w:val="14"/>
                <w:b w:val="1"/>
                <w:bCs w:val="1"/>
                <w:color w:val="auto"/>
              </w:rPr>
              <w:t>2006</w:t>
            </w: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0"/>
        </w:trPr>
        <w:tc>
          <w:tcPr>
            <w:tcW w:w="2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5"/>
              <w:spacing w:after="0" w:line="140" w:lineRule="exact"/>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2"/>
                <w:szCs w:val="12"/>
                <w:color w:val="auto"/>
              </w:rPr>
            </w:pPr>
          </w:p>
        </w:tc>
        <w:tc>
          <w:tcPr>
            <w:tcW w:w="660" w:type="dxa"/>
            <w:vAlign w:val="bottom"/>
            <w:tcBorders>
              <w:bottom w:val="single" w:sz="8" w:color="auto"/>
            </w:tcBorders>
          </w:tcPr>
          <w:p>
            <w:pPr>
              <w:jc w:val="right"/>
              <w:ind w:right="173"/>
              <w:spacing w:after="0" w:line="140"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60"/>
              <w:spacing w:after="0" w:line="140"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Borders>
              <w:bottom w:val="single" w:sz="8" w:color="auto"/>
            </w:tcBorders>
          </w:tcPr>
          <w:p>
            <w:pPr>
              <w:jc w:val="right"/>
              <w:ind w:right="189"/>
              <w:spacing w:after="0" w:line="140" w:lineRule="exact"/>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3"/>
              <w:spacing w:after="0" w:line="140" w:lineRule="exact"/>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bottom w:val="single" w:sz="8" w:color="auto"/>
            </w:tcBorders>
          </w:tcPr>
          <w:p>
            <w:pPr>
              <w:jc w:val="right"/>
              <w:ind w:right="189"/>
              <w:spacing w:after="0" w:line="140"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0"/>
        </w:trPr>
        <w:tc>
          <w:tcPr>
            <w:tcW w:w="2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300"/>
              <w:spacing w:after="0" w:line="140" w:lineRule="exact"/>
              <w:rPr>
                <w:sz w:val="20"/>
                <w:szCs w:val="20"/>
                <w:color w:val="auto"/>
              </w:rPr>
            </w:pPr>
            <w:r>
              <w:rPr>
                <w:rFonts w:ascii="Arial" w:cs="Arial" w:eastAsia="Arial" w:hAnsi="Arial"/>
                <w:sz w:val="14"/>
                <w:szCs w:val="14"/>
                <w:b w:val="1"/>
                <w:bCs w:val="1"/>
                <w:color w:val="auto"/>
                <w:w w:val="76"/>
              </w:rPr>
              <w:t>(Dollars</w:t>
            </w:r>
          </w:p>
        </w:tc>
        <w:tc>
          <w:tcPr>
            <w:tcW w:w="1320" w:type="dxa"/>
            <w:vAlign w:val="bottom"/>
            <w:gridSpan w:val="3"/>
          </w:tcPr>
          <w:p>
            <w:pPr>
              <w:ind w:left="100"/>
              <w:spacing w:after="0" w:line="140"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3"/>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473,768</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625,993</w:t>
            </w:r>
          </w:p>
        </w:tc>
        <w:tc>
          <w:tcPr>
            <w:tcW w:w="19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810,961</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r>
      <w:tr>
        <w:trPr>
          <w:trHeight w:val="213"/>
        </w:trPr>
        <w:tc>
          <w:tcPr>
            <w:tcW w:w="2120" w:type="dxa"/>
            <w:vAlign w:val="bottom"/>
          </w:tcPr>
          <w:p>
            <w:pPr>
              <w:spacing w:after="0"/>
              <w:rPr>
                <w:sz w:val="20"/>
                <w:szCs w:val="20"/>
                <w:color w:val="auto"/>
              </w:rPr>
            </w:pPr>
            <w:r>
              <w:rPr>
                <w:rFonts w:ascii="Arial" w:cs="Arial" w:eastAsia="Arial" w:hAnsi="Arial"/>
                <w:sz w:val="18"/>
                <w:szCs w:val="18"/>
                <w:color w:val="auto"/>
              </w:rPr>
              <w:t>Texas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337,907</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479,973</w:t>
            </w: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514,228</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11.2</w:t>
            </w:r>
          </w:p>
        </w:tc>
      </w:tr>
      <w:tr>
        <w:trPr>
          <w:trHeight w:val="213"/>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208,412</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412,313</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635,066</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r>
      <w:tr>
        <w:trPr>
          <w:trHeight w:val="213"/>
        </w:trPr>
        <w:tc>
          <w:tcPr>
            <w:tcW w:w="2120" w:type="dxa"/>
            <w:vAlign w:val="bottom"/>
          </w:tcPr>
          <w:p>
            <w:pPr>
              <w:spacing w:after="0"/>
              <w:rPr>
                <w:sz w:val="20"/>
                <w:szCs w:val="20"/>
                <w:color w:val="auto"/>
              </w:rPr>
            </w:pPr>
            <w:r>
              <w:rPr>
                <w:rFonts w:ascii="Arial" w:cs="Arial" w:eastAsia="Arial" w:hAnsi="Arial"/>
                <w:sz w:val="18"/>
                <w:szCs w:val="18"/>
                <w:color w:val="auto"/>
              </w:rPr>
              <w:t>New York</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199,240</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305,142</w:t>
            </w: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360,779</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7.8</w:t>
            </w:r>
          </w:p>
        </w:tc>
      </w:tr>
      <w:tr>
        <w:trPr>
          <w:trHeight w:val="213"/>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118,518</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161,936</w:t>
            </w:r>
          </w:p>
        </w:tc>
        <w:tc>
          <w:tcPr>
            <w:tcW w:w="19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199,936</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r>
      <w:tr>
        <w:trPr>
          <w:trHeight w:val="213"/>
        </w:trPr>
        <w:tc>
          <w:tcPr>
            <w:tcW w:w="2120" w:type="dxa"/>
            <w:vAlign w:val="bottom"/>
          </w:tcPr>
          <w:p>
            <w:pPr>
              <w:spacing w:after="0"/>
              <w:rPr>
                <w:sz w:val="20"/>
                <w:szCs w:val="20"/>
                <w:color w:val="auto"/>
              </w:rPr>
            </w:pPr>
            <w:r>
              <w:rPr>
                <w:rFonts w:ascii="Arial" w:cs="Arial" w:eastAsia="Arial" w:hAnsi="Arial"/>
                <w:sz w:val="18"/>
                <w:szCs w:val="18"/>
                <w:color w:val="auto"/>
              </w:rPr>
              <w:t>All others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1,357,164</w:t>
            </w:r>
          </w:p>
        </w:tc>
        <w:tc>
          <w:tcPr>
            <w:tcW w:w="62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7"/>
              </w:rPr>
              <w:t>1,815,101</w:t>
            </w:r>
          </w:p>
        </w:tc>
        <w:tc>
          <w:tcPr>
            <w:tcW w:w="1940" w:type="dxa"/>
            <w:vAlign w:val="bottom"/>
            <w:gridSpan w:val="3"/>
          </w:tcPr>
          <w:p>
            <w:pPr>
              <w:jc w:val="right"/>
              <w:ind w:right="68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2,085,230</w:t>
            </w:r>
          </w:p>
        </w:tc>
        <w:tc>
          <w:tcPr>
            <w:tcW w:w="40" w:type="dxa"/>
            <w:vAlign w:val="bottom"/>
          </w:tcPr>
          <w:p>
            <w:pPr>
              <w:spacing w:after="0"/>
              <w:rPr>
                <w:sz w:val="18"/>
                <w:szCs w:val="18"/>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45.3</w:t>
            </w:r>
          </w:p>
        </w:tc>
      </w:tr>
      <w:tr>
        <w:trPr>
          <w:trHeight w:val="27"/>
        </w:trPr>
        <w:tc>
          <w:tcPr>
            <w:tcW w:w="2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3"/>
        </w:trPr>
        <w:tc>
          <w:tcPr>
            <w:tcW w:w="2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2,695,041</w:t>
            </w:r>
          </w:p>
        </w:tc>
        <w:tc>
          <w:tcPr>
            <w:tcW w:w="6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3,800,458</w:t>
            </w:r>
          </w:p>
        </w:tc>
        <w:tc>
          <w:tcPr>
            <w:tcW w:w="19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4,606,200</w:t>
            </w:r>
          </w:p>
        </w:tc>
        <w:tc>
          <w:tcPr>
            <w:tcW w:w="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2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8" w:lineRule="exact"/>
        <w:rPr>
          <w:sz w:val="20"/>
          <w:szCs w:val="20"/>
          <w:color w:val="auto"/>
        </w:rPr>
      </w:pPr>
    </w:p>
    <w:p>
      <w:pPr>
        <w:ind w:right="140" w:firstLine="222"/>
        <w:spacing w:after="0" w:line="254" w:lineRule="auto"/>
        <w:rPr>
          <w:sz w:val="20"/>
          <w:szCs w:val="20"/>
          <w:color w:val="auto"/>
        </w:rPr>
      </w:pPr>
      <w:r>
        <w:rPr>
          <w:rFonts w:ascii="Arial" w:cs="Arial" w:eastAsia="Arial" w:hAnsi="Arial"/>
          <w:sz w:val="18"/>
          <w:szCs w:val="18"/>
          <w:i w:val="1"/>
          <w:iCs w:val="1"/>
          <w:color w:val="auto"/>
        </w:rPr>
        <w:t xml:space="preserve">Escrow, Title-Related and Other Fees. </w:t>
      </w:r>
      <w:r>
        <w:rPr>
          <w:rFonts w:ascii="Arial" w:cs="Arial" w:eastAsia="Arial" w:hAnsi="Arial"/>
          <w:sz w:val="18"/>
          <w:szCs w:val="18"/>
          <w:color w:val="auto"/>
        </w:rPr>
        <w:t>In addition to fees for underwriting title insurance policies, we derive a significant amount of our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escrow, title-related and other services, including closing services. The escrow and other services provided by us include all of those typically required in connection with residential and commercial real estate purchase and refinance activities. Escrow, title-related and other fees represented approximately 26.5%, 20.5%, and 11.8% of our revenues in 2008, 2007, and 2006, respectively.</w:t>
      </w:r>
    </w:p>
    <w:p>
      <w:pPr>
        <w:spacing w:after="0" w:line="84" w:lineRule="exact"/>
        <w:rPr>
          <w:sz w:val="20"/>
          <w:szCs w:val="20"/>
          <w:color w:val="auto"/>
        </w:rPr>
      </w:pPr>
    </w:p>
    <w:p>
      <w:pPr>
        <w:ind w:firstLine="222"/>
        <w:spacing w:after="0" w:line="252" w:lineRule="auto"/>
        <w:rPr>
          <w:sz w:val="20"/>
          <w:szCs w:val="20"/>
          <w:color w:val="auto"/>
        </w:rPr>
      </w:pPr>
      <w:r>
        <w:rPr>
          <w:rFonts w:ascii="Arial" w:cs="Arial" w:eastAsia="Arial" w:hAnsi="Arial"/>
          <w:sz w:val="18"/>
          <w:szCs w:val="18"/>
          <w:i w:val="1"/>
          <w:iCs w:val="1"/>
          <w:color w:val="auto"/>
        </w:rPr>
        <w:t xml:space="preserve">Reinsurance and Coinsurance. </w:t>
      </w:r>
      <w:r>
        <w:rPr>
          <w:rFonts w:ascii="Arial" w:cs="Arial" w:eastAsia="Arial" w:hAnsi="Arial"/>
          <w:sz w:val="18"/>
          <w:szCs w:val="18"/>
          <w:color w:val="auto"/>
        </w:rPr>
        <w:t>In a limited number of situations we limit our maximum loss exposure by reinsuring certain risks with other title insurers</w:t>
      </w:r>
      <w:r>
        <w:rPr>
          <w:rFonts w:ascii="Arial" w:cs="Arial" w:eastAsia="Arial" w:hAnsi="Arial"/>
          <w:sz w:val="18"/>
          <w:szCs w:val="18"/>
          <w:i w:val="1"/>
          <w:iCs w:val="1"/>
          <w:color w:val="auto"/>
        </w:rPr>
        <w:t xml:space="preserve"> </w:t>
      </w:r>
      <w:r>
        <w:rPr>
          <w:rFonts w:ascii="Arial" w:cs="Arial" w:eastAsia="Arial" w:hAnsi="Arial"/>
          <w:sz w:val="18"/>
          <w:szCs w:val="18"/>
          <w:color w:val="auto"/>
        </w:rPr>
        <w:t>under agent fidelity, excess of loss and case-by-case reinsurance agreements. We also earn a small amount of additional income, which is reflected in our direct premiums, by assuming reinsurance for certain risks of other title insurers. Reinsurance agreements provide generally that the reinsurer is liable for loss and loss adjustment expense payments exceeding the amount retained by the ceding company. However, the ceding company remains primarily liable in the event the reinsurer does not meet its contractual obligations.</w:t>
      </w:r>
    </w:p>
    <w:p>
      <w:pPr>
        <w:spacing w:after="0" w:line="87" w:lineRule="exact"/>
        <w:rPr>
          <w:sz w:val="20"/>
          <w:szCs w:val="20"/>
          <w:color w:val="auto"/>
        </w:rPr>
      </w:pPr>
    </w:p>
    <w:p>
      <w:pPr>
        <w:ind w:right="40" w:firstLine="219"/>
        <w:spacing w:after="0" w:line="257" w:lineRule="auto"/>
        <w:rPr>
          <w:sz w:val="20"/>
          <w:szCs w:val="20"/>
          <w:color w:val="auto"/>
        </w:rPr>
      </w:pPr>
      <w:r>
        <w:rPr>
          <w:rFonts w:ascii="Arial" w:cs="Arial" w:eastAsia="Arial" w:hAnsi="Arial"/>
          <w:sz w:val="18"/>
          <w:szCs w:val="18"/>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Insurance</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issue various insurance policies and contracts, which include the following:</w:t>
      </w:r>
    </w:p>
    <w:p>
      <w:pPr>
        <w:spacing w:after="0" w:line="113" w:lineRule="exact"/>
        <w:rPr>
          <w:sz w:val="20"/>
          <w:szCs w:val="20"/>
          <w:color w:val="auto"/>
        </w:rPr>
      </w:pPr>
    </w:p>
    <w:p>
      <w:pPr>
        <w:ind w:left="680" w:right="180" w:hanging="447"/>
        <w:spacing w:after="0" w:line="267" w:lineRule="auto"/>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Flood insurance. </w:t>
      </w:r>
      <w:r>
        <w:rPr>
          <w:rFonts w:ascii="Arial" w:cs="Arial" w:eastAsia="Arial" w:hAnsi="Arial"/>
          <w:sz w:val="18"/>
          <w:szCs w:val="18"/>
          <w:color w:val="auto"/>
        </w:rPr>
        <w:t>We issue new and renewal flood insurance policies in conjunction with the NFIP. The NFIP bears all insurance risk related to these</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w:t>
      </w:r>
    </w:p>
    <w:p>
      <w:pPr>
        <w:spacing w:after="0" w:line="86" w:lineRule="exact"/>
        <w:rPr>
          <w:rFonts w:ascii="Arial" w:cs="Arial" w:eastAsia="Arial" w:hAnsi="Arial"/>
          <w:sz w:val="18"/>
          <w:szCs w:val="18"/>
          <w:b w:val="1"/>
          <w:bCs w:val="1"/>
          <w:color w:val="auto"/>
        </w:rPr>
      </w:pPr>
    </w:p>
    <w:p>
      <w:pPr>
        <w:ind w:left="680" w:hanging="447"/>
        <w:spacing w:after="0"/>
        <w:tabs>
          <w:tab w:leader="none" w:pos="680" w:val="left"/>
        </w:tabs>
        <w:numPr>
          <w:ilvl w:val="0"/>
          <w:numId w:val="8"/>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Home warranty. </w:t>
      </w:r>
      <w:r>
        <w:rPr>
          <w:rFonts w:ascii="Arial" w:cs="Arial" w:eastAsia="Arial" w:hAnsi="Arial"/>
          <w:sz w:val="17"/>
          <w:szCs w:val="17"/>
          <w:color w:val="auto"/>
        </w:rPr>
        <w:t>We issue one-year, renewable contracts that protect homeowners against defects in household systems and appliances.</w:t>
      </w:r>
    </w:p>
    <w:p>
      <w:pPr>
        <w:spacing w:after="0" w:line="137" w:lineRule="exact"/>
        <w:rPr>
          <w:rFonts w:ascii="Arial" w:cs="Arial" w:eastAsia="Arial" w:hAnsi="Arial"/>
          <w:sz w:val="17"/>
          <w:szCs w:val="17"/>
          <w:b w:val="1"/>
          <w:bCs w:val="1"/>
          <w:color w:val="auto"/>
        </w:rPr>
      </w:pPr>
    </w:p>
    <w:p>
      <w:pPr>
        <w:ind w:left="680" w:right="20" w:hanging="447"/>
        <w:spacing w:after="0" w:line="279" w:lineRule="auto"/>
        <w:tabs>
          <w:tab w:leader="none" w:pos="680" w:val="left"/>
        </w:tabs>
        <w:numPr>
          <w:ilvl w:val="0"/>
          <w:numId w:val="8"/>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Personal lines insurance. </w:t>
      </w:r>
      <w:r>
        <w:rPr>
          <w:rFonts w:ascii="Arial" w:cs="Arial" w:eastAsia="Arial" w:hAnsi="Arial"/>
          <w:sz w:val="17"/>
          <w:szCs w:val="17"/>
          <w:color w:val="auto"/>
        </w:rPr>
        <w:t>We offer and underwrite homeowners insurance in 49 states. Automobile insurance is currently underwritten in 29 states. We</w:t>
      </w:r>
      <w:r>
        <w:rPr>
          <w:rFonts w:ascii="Arial" w:cs="Arial" w:eastAsia="Arial" w:hAnsi="Arial"/>
          <w:sz w:val="17"/>
          <w:szCs w:val="17"/>
          <w:i w:val="1"/>
          <w:iCs w:val="1"/>
          <w:color w:val="auto"/>
        </w:rPr>
        <w:t xml:space="preserve"> </w:t>
      </w:r>
      <w:r>
        <w:rPr>
          <w:rFonts w:ascii="Arial" w:cs="Arial" w:eastAsia="Arial" w:hAnsi="Arial"/>
          <w:sz w:val="17"/>
          <w:szCs w:val="17"/>
          <w:color w:val="auto"/>
        </w:rPr>
        <w:t>will expand into several additional states in 2009 where favorable underwriting potential exists. In addition, we underwrite personal umbrella, inland marine (boat and recreational watercraft), and other personal lines niche products in selected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sales and marketing efforts are primarily organized around our lines of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National Title Group</w:t>
      </w:r>
    </w:p>
    <w:p>
      <w:pPr>
        <w:spacing w:after="0" w:line="119" w:lineRule="exact"/>
        <w:rPr>
          <w:sz w:val="20"/>
          <w:szCs w:val="20"/>
          <w:color w:val="auto"/>
        </w:rPr>
      </w:pPr>
    </w:p>
    <w:p>
      <w:pPr>
        <w:ind w:right="60" w:firstLine="219"/>
        <w:spacing w:after="0" w:line="284" w:lineRule="auto"/>
        <w:rPr>
          <w:sz w:val="20"/>
          <w:szCs w:val="20"/>
          <w:color w:val="auto"/>
        </w:rPr>
      </w:pPr>
      <w:r>
        <w:rPr>
          <w:rFonts w:ascii="Arial" w:cs="Arial" w:eastAsia="Arial" w:hAnsi="Arial"/>
          <w:sz w:val="16"/>
          <w:szCs w:val="16"/>
          <w:color w:val="auto"/>
        </w:rPr>
        <w:t>We market and distribute our title and escrow products and services to customers in the residential and commercial market sectors of the real estate industry through customer solicitation by sales personnel. Although in many instances the individual homeowner is the beneficiary of a title insurance policy, we do not focus our marketing efforts on the homeowner. 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have become an increasingly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ability of service providers to meet their information systems requirements for electronic product delivery.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Insurance</w:t>
      </w:r>
    </w:p>
    <w:p>
      <w:pPr>
        <w:spacing w:after="0" w:line="119" w:lineRule="exact"/>
        <w:rPr>
          <w:sz w:val="20"/>
          <w:szCs w:val="20"/>
          <w:color w:val="auto"/>
        </w:rPr>
      </w:pPr>
    </w:p>
    <w:p>
      <w:pPr>
        <w:ind w:right="180" w:firstLine="222"/>
        <w:spacing w:after="0" w:line="267" w:lineRule="auto"/>
        <w:rPr>
          <w:sz w:val="20"/>
          <w:szCs w:val="20"/>
          <w:color w:val="auto"/>
        </w:rPr>
      </w:pPr>
      <w:r>
        <w:rPr>
          <w:rFonts w:ascii="Arial" w:cs="Arial" w:eastAsia="Arial" w:hAnsi="Arial"/>
          <w:sz w:val="17"/>
          <w:szCs w:val="17"/>
          <w:color w:val="auto"/>
        </w:rPr>
        <w:t>Specialty insurance is marketed through three distinct channels. We market our program through our in-house agency via direct mail to customers of our affiliated operations. This direct channel constituted approximately 15%, 15%, and 17% of our non-flood premium writings in 2008, 2007, and 2006, respectively. The second distribution channel is through independent agents and brokers nationwide. Approximately 83%, 79%, and 76% of our non-flood premium and the vast majority of our flood business was placed through this channel in 2008, 2007, and 2006, respectively. We currently have in excess of 17,000 independent agencies nationwide actively producing business on our behalf. The third distribution channel is through captive independent agents in California. This channel, comprised of 11 captive independent agents at the end of 2008, accounted for 2%, 6%, and 7% of the non-flood premium volume in 2008, 2007, and 2006,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Other Intellectual Property</w:t>
      </w:r>
    </w:p>
    <w:p>
      <w:pPr>
        <w:spacing w:after="0" w:line="119" w:lineRule="exact"/>
        <w:rPr>
          <w:sz w:val="20"/>
          <w:szCs w:val="20"/>
          <w:color w:val="auto"/>
        </w:rPr>
      </w:pPr>
    </w:p>
    <w:p>
      <w:pPr>
        <w:ind w:firstLine="219"/>
        <w:spacing w:after="0" w:line="250" w:lineRule="auto"/>
        <w:rPr>
          <w:sz w:val="20"/>
          <w:szCs w:val="20"/>
          <w:color w:val="auto"/>
        </w:rPr>
      </w:pPr>
      <w:r>
        <w:rPr>
          <w:rFonts w:ascii="Arial" w:cs="Arial" w:eastAsia="Arial" w:hAnsi="Arial"/>
          <w:sz w:val="18"/>
          <w:szCs w:val="18"/>
          <w:color w:val="auto"/>
        </w:rPr>
        <w:t>We rely on a combination of contractual restrictions, internal security practices, and copyright and trade secret law to establish and protect our software, technology, and expertise. Further, we have developed a number of brands that have accumulated substantial goodwill in the marketplace, and we rely on trademark law to protect our rights in that area. We 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 In general, we believe that we own most proprietary rights necessary for the conduct of our business, although we do license certain items, none of which is material, under arms-length agreements for varying terms.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Research and Development</w:t>
      </w:r>
    </w:p>
    <w:p>
      <w:pPr>
        <w:spacing w:after="0" w:line="119" w:lineRule="exact"/>
        <w:rPr>
          <w:sz w:val="20"/>
          <w:szCs w:val="20"/>
          <w:color w:val="auto"/>
        </w:rPr>
      </w:pPr>
    </w:p>
    <w:p>
      <w:pPr>
        <w:ind w:right="200" w:firstLine="212"/>
        <w:spacing w:after="0" w:line="252" w:lineRule="auto"/>
        <w:rPr>
          <w:sz w:val="20"/>
          <w:szCs w:val="20"/>
          <w:color w:val="auto"/>
        </w:rPr>
      </w:pPr>
      <w:r>
        <w:rPr>
          <w:rFonts w:ascii="Arial" w:cs="Arial" w:eastAsia="Arial" w:hAnsi="Arial"/>
          <w:sz w:val="18"/>
          <w:szCs w:val="18"/>
          <w:color w:val="auto"/>
        </w:rPr>
        <w:t>As a national provider of real estate transaction products and services, we participate in an industry that is subject to significant change,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improve the process of ordering title and escrow services and improve the delivery of our products to our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National Title Group</w:t>
      </w:r>
    </w:p>
    <w:p>
      <w:pPr>
        <w:spacing w:after="0" w:line="119" w:lineRule="exact"/>
        <w:rPr>
          <w:sz w:val="20"/>
          <w:szCs w:val="20"/>
          <w:color w:val="auto"/>
        </w:rPr>
      </w:pPr>
    </w:p>
    <w:p>
      <w:pPr>
        <w:ind w:firstLine="219"/>
        <w:spacing w:after="0" w:line="257" w:lineRule="auto"/>
        <w:rPr>
          <w:sz w:val="20"/>
          <w:szCs w:val="20"/>
          <w:color w:val="auto"/>
        </w:rPr>
      </w:pPr>
      <w:r>
        <w:rPr>
          <w:rFonts w:ascii="Arial" w:cs="Arial" w:eastAsia="Arial" w:hAnsi="Arial"/>
          <w:sz w:val="18"/>
          <w:szCs w:val="18"/>
          <w:color w:val="auto"/>
        </w:rPr>
        <w:t>The title insurance industry is highly competitive, with the top five insurance companies (which included FNF and LFG) accounting for 92.8% of net premiums collected in 2007 according to Demotech. The number and size of competing companies varies in the different geographic areas in which we conduct our business. In our principal</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firstLine="222"/>
        <w:spacing w:after="0" w:line="287" w:lineRule="auto"/>
        <w:rPr>
          <w:sz w:val="20"/>
          <w:szCs w:val="20"/>
          <w:color w:val="auto"/>
        </w:rPr>
      </w:pPr>
      <w:r>
        <w:rPr>
          <w:rFonts w:ascii="Arial" w:cs="Arial" w:eastAsia="Arial" w:hAnsi="Arial"/>
          <w:sz w:val="16"/>
          <w:szCs w:val="16"/>
          <w:color w:val="auto"/>
        </w:rPr>
        <w:t>markets, competitors include other major title underwriters such as The First American Corporation, Old Republic International Corporation and Stewart Information Services Corporation, as well as numerous smaller title insurance companies, underwritten title companies and independent agency operations at the regional and local level. These smaller companies may expand into other markets in which we compete. Several of these smaller competitors have closed their operations as a result of the significant decrease in activity in the residential real estate market. Also, the removal of regulatory barriers might result in new competitors entering the title insurance business, and those new competitors may include diversified financial services companies that have greater financial resources than we do and possess other competitive advantages. Competition among the major title insurance companies, expansion by smaller regional companies and any new entrants with alternative products could affect our business operations and financial condition.</w:t>
      </w:r>
    </w:p>
    <w:p>
      <w:pPr>
        <w:spacing w:after="0" w:line="60" w:lineRule="exact"/>
        <w:rPr>
          <w:sz w:val="20"/>
          <w:szCs w:val="20"/>
          <w:color w:val="auto"/>
        </w:rPr>
      </w:pPr>
    </w:p>
    <w:p>
      <w:pPr>
        <w:ind w:right="140" w:firstLine="222"/>
        <w:spacing w:after="0" w:line="279" w:lineRule="auto"/>
        <w:rPr>
          <w:sz w:val="20"/>
          <w:szCs w:val="20"/>
          <w:color w:val="auto"/>
        </w:rPr>
      </w:pPr>
      <w:r>
        <w:rPr>
          <w:rFonts w:ascii="Arial" w:cs="Arial" w:eastAsia="Arial" w:hAnsi="Arial"/>
          <w:sz w:val="17"/>
          <w:szCs w:val="17"/>
          <w:color w:val="auto"/>
        </w:rPr>
        <w:t>Competition in the title insurance industry is based primarily on expertise, service and price. In addition, the financial strength of the insurer has become an increasingly important factor in decisions relating to the purchase of title insurance, particularly in multi-state transactions and in situations involving real estate-related investment vehicles such as real estate investment trusts and real estate mortgage investment conduits.</w:t>
      </w:r>
    </w:p>
    <w:p>
      <w:pPr>
        <w:spacing w:after="0" w:line="65" w:lineRule="exact"/>
        <w:rPr>
          <w:sz w:val="20"/>
          <w:szCs w:val="20"/>
          <w:color w:val="auto"/>
        </w:rPr>
      </w:pPr>
    </w:p>
    <w:p>
      <w:pPr>
        <w:ind w:right="140" w:firstLine="219"/>
        <w:spacing w:after="0" w:line="304" w:lineRule="auto"/>
        <w:rPr>
          <w:sz w:val="20"/>
          <w:szCs w:val="20"/>
          <w:color w:val="auto"/>
        </w:rPr>
      </w:pPr>
      <w:r>
        <w:rPr>
          <w:rFonts w:ascii="Arial" w:cs="Arial" w:eastAsia="Arial" w:hAnsi="Arial"/>
          <w:sz w:val="16"/>
          <w:szCs w:val="16"/>
          <w:color w:val="auto"/>
        </w:rPr>
        <w:t>The title insurance industry has also experienced periods of consolidation. We expect that, from time to time, we may evaluate opportunities for the acquisition of books of business or of title insurance companies or other complementary businesses, for business combinations with other concerns and for the provision of insurance related advisory services to third parties. There can be no assurance, however, that any suitable business opportunity will arise.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Specialty Insurance</w:t>
      </w:r>
    </w:p>
    <w:p>
      <w:pPr>
        <w:spacing w:after="0" w:line="119" w:lineRule="exact"/>
        <w:rPr>
          <w:sz w:val="20"/>
          <w:szCs w:val="20"/>
          <w:color w:val="auto"/>
        </w:rPr>
      </w:pPr>
    </w:p>
    <w:p>
      <w:pPr>
        <w:jc w:val="both"/>
        <w:ind w:firstLine="222"/>
        <w:spacing w:after="0" w:line="295" w:lineRule="auto"/>
        <w:rPr>
          <w:sz w:val="20"/>
          <w:szCs w:val="20"/>
          <w:color w:val="auto"/>
        </w:rPr>
      </w:pPr>
      <w:r>
        <w:rPr>
          <w:rFonts w:ascii="Arial" w:cs="Arial" w:eastAsia="Arial" w:hAnsi="Arial"/>
          <w:sz w:val="16"/>
          <w:szCs w:val="16"/>
          <w:color w:val="auto"/>
        </w:rPr>
        <w:t>In our specialty insurance segment, we compete with the national, regional and local insurance carriers. Depending on geographic location, various personal lines carriers, such as State Farm, Allstate, Farmers, Travelers, Hartford, Nationwide and numerous other companies compete for this personal lines business. In our home warranty business, our competitors include American Home Shield and The First American Corporation. In addition to price, service and convenience are competitive factors. We strive to compete primarily through providing an efficient and streamlined product delivery platform.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19" w:lineRule="exact"/>
        <w:rPr>
          <w:sz w:val="20"/>
          <w:szCs w:val="20"/>
          <w:color w:val="auto"/>
        </w:rPr>
      </w:pPr>
    </w:p>
    <w:p>
      <w:pPr>
        <w:ind w:firstLine="222"/>
        <w:spacing w:after="0" w:line="267" w:lineRule="auto"/>
        <w:rPr>
          <w:sz w:val="20"/>
          <w:szCs w:val="20"/>
          <w:color w:val="auto"/>
        </w:rPr>
      </w:pPr>
      <w:r>
        <w:rPr>
          <w:rFonts w:ascii="Arial" w:cs="Arial" w:eastAsia="Arial" w:hAnsi="Arial"/>
          <w:sz w:val="17"/>
          <w:szCs w:val="17"/>
          <w:color w:val="auto"/>
        </w:rPr>
        <w:t>Our insurance subsidiaries, including title insurers, property and casualty insurers, underwritten title companies and insurance agencies, are subject to extensive regulation under applicable state laws. Each of the 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which set rates, to states where individual companies or associations of companies prepare rate filings which are submitted for approval, to a few states in which rate changes do not need to be filed for approval.</w:t>
      </w:r>
    </w:p>
    <w:p>
      <w:pPr>
        <w:spacing w:after="0" w:line="74" w:lineRule="exact"/>
        <w:rPr>
          <w:sz w:val="20"/>
          <w:szCs w:val="20"/>
          <w:color w:val="auto"/>
        </w:rPr>
      </w:pPr>
    </w:p>
    <w:p>
      <w:pPr>
        <w:ind w:right="100" w:firstLine="222"/>
        <w:spacing w:after="0" w:line="254" w:lineRule="auto"/>
        <w:rPr>
          <w:sz w:val="20"/>
          <w:szCs w:val="20"/>
          <w:color w:val="auto"/>
        </w:rPr>
      </w:pPr>
      <w:r>
        <w:rPr>
          <w:rFonts w:ascii="Arial" w:cs="Arial" w:eastAsia="Arial" w:hAnsi="Arial"/>
          <w:sz w:val="18"/>
          <w:szCs w:val="18"/>
          <w:color w:val="auto"/>
        </w:rPr>
        <w:t>Since we are governed by both state and federal governments and the applicable insurance laws and regulations are constantly subject to change, it is not possible to predict the potential effects on our insurance operations, particularly our Fidelity National Title Group segment, of any laws or regulations that may become more restrictive in the future or if new restrictive laws will be enacted. See “Item 3 Legal Proceedings” for a description of certain recent regulatory developments in California.</w:t>
      </w:r>
    </w:p>
    <w:p>
      <w:pPr>
        <w:spacing w:after="0" w:line="84" w:lineRule="exact"/>
        <w:rPr>
          <w:sz w:val="20"/>
          <w:szCs w:val="20"/>
          <w:color w:val="auto"/>
        </w:rPr>
      </w:pPr>
    </w:p>
    <w:p>
      <w:pPr>
        <w:jc w:val="both"/>
        <w:ind w:right="40" w:firstLine="222"/>
        <w:spacing w:after="0" w:line="254" w:lineRule="auto"/>
        <w:rPr>
          <w:sz w:val="20"/>
          <w:szCs w:val="20"/>
          <w:color w:val="auto"/>
        </w:rPr>
      </w:pPr>
      <w:r>
        <w:rPr>
          <w:rFonts w:ascii="Arial" w:cs="Arial" w:eastAsia="Arial" w:hAnsi="Arial"/>
          <w:sz w:val="18"/>
          <w:szCs w:val="18"/>
          <w:color w:val="auto"/>
        </w:rPr>
        <w:t>Pursuant to statutory accounting requirements of the various states in which our title insurers are domiciled, these insurers must defer a portion of premiums earned as an unearned premium reserve for the protection of policyholders (in addition to their reserves for known claims) and must maintain qualified assets in an amount equal to the statutory requirements. The level of unearned premium reserve required to be maintained at any time is determined by statutory formula based upon either the age, number of policies, and dollar amount of policy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liabilities underwritten, or the age and dollar amount of statutory premiums written. As of December 31, 2008, the combined statutory unearned premium reserve required and reported for our title insurers was $2,137.2 million. In addition to statutory unearned premium reserves and reserves for known claims, each of our insurers maintains surplus funds for policyholder protection and business operations.</w:t>
      </w:r>
    </w:p>
    <w:p>
      <w:pPr>
        <w:spacing w:after="0" w:line="82" w:lineRule="exact"/>
        <w:rPr>
          <w:sz w:val="20"/>
          <w:szCs w:val="20"/>
          <w:color w:val="auto"/>
        </w:rPr>
      </w:pPr>
    </w:p>
    <w:p>
      <w:pPr>
        <w:jc w:val="both"/>
        <w:ind w:firstLine="222"/>
        <w:spacing w:after="0" w:line="304" w:lineRule="auto"/>
        <w:rPr>
          <w:sz w:val="20"/>
          <w:szCs w:val="20"/>
          <w:color w:val="auto"/>
        </w:rPr>
      </w:pPr>
      <w:r>
        <w:rPr>
          <w:rFonts w:ascii="Arial" w:cs="Arial" w:eastAsia="Arial" w:hAnsi="Arial"/>
          <w:sz w:val="16"/>
          <w:szCs w:val="16"/>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insurance subsidiaries. Each of the insurers is subject to periodic regulatory financial examination by regulatory authorities, and certain of these examinations are currently ongoing.</w:t>
      </w:r>
    </w:p>
    <w:p>
      <w:pPr>
        <w:spacing w:after="0" w:line="48" w:lineRule="exact"/>
        <w:rPr>
          <w:sz w:val="20"/>
          <w:szCs w:val="20"/>
          <w:color w:val="auto"/>
        </w:rPr>
      </w:pPr>
    </w:p>
    <w:p>
      <w:pPr>
        <w:ind w:right="300" w:firstLine="222"/>
        <w:spacing w:after="0" w:line="304" w:lineRule="auto"/>
        <w:rPr>
          <w:sz w:val="20"/>
          <w:szCs w:val="20"/>
          <w:color w:val="auto"/>
        </w:rPr>
      </w:pPr>
      <w:r>
        <w:rPr>
          <w:rFonts w:ascii="Arial" w:cs="Arial" w:eastAsia="Arial" w:hAnsi="Arial"/>
          <w:sz w:val="16"/>
          <w:szCs w:val="16"/>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 day period.</w:t>
      </w:r>
    </w:p>
    <w:p>
      <w:pPr>
        <w:spacing w:after="0" w:line="48" w:lineRule="exact"/>
        <w:rPr>
          <w:sz w:val="20"/>
          <w:szCs w:val="20"/>
          <w:color w:val="auto"/>
        </w:rPr>
      </w:pPr>
    </w:p>
    <w:p>
      <w:pPr>
        <w:ind w:right="120" w:firstLine="212"/>
        <w:spacing w:after="0" w:line="267" w:lineRule="auto"/>
        <w:rPr>
          <w:sz w:val="20"/>
          <w:szCs w:val="20"/>
          <w:color w:val="auto"/>
        </w:rPr>
      </w:pPr>
      <w:r>
        <w:rPr>
          <w:rFonts w:ascii="Arial" w:cs="Arial" w:eastAsia="Arial" w:hAnsi="Arial"/>
          <w:sz w:val="17"/>
          <w:szCs w:val="17"/>
          <w:color w:val="auto"/>
        </w:rPr>
        <w:t>As a holding company with no significant business operations of our own, we depend on dividends or other distributions from our subsidiaries as the principal source of cash to meet our obligations, including the payment of interest on and repayment of principal of any debt obligations, and to pay any dividends to our stockholders. The payment of dividends or other distributions to us by our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78" w:lineRule="exact"/>
        <w:rPr>
          <w:sz w:val="20"/>
          <w:szCs w:val="20"/>
          <w:color w:val="auto"/>
        </w:rPr>
      </w:pPr>
    </w:p>
    <w:p>
      <w:pPr>
        <w:ind w:left="680" w:hanging="447"/>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10% of the insurer’s statutory surplus as of the immediately prior year end; or</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statutory net income of the insurer during the prior calendar year.</w:t>
      </w:r>
    </w:p>
    <w:p>
      <w:pPr>
        <w:spacing w:after="0" w:line="113" w:lineRule="exact"/>
        <w:rPr>
          <w:sz w:val="20"/>
          <w:szCs w:val="20"/>
          <w:color w:val="auto"/>
        </w:rPr>
      </w:pPr>
    </w:p>
    <w:p>
      <w:pPr>
        <w:ind w:right="220" w:firstLine="219"/>
        <w:spacing w:after="0" w:line="252" w:lineRule="auto"/>
        <w:rPr>
          <w:sz w:val="20"/>
          <w:szCs w:val="20"/>
          <w:color w:val="auto"/>
        </w:rPr>
      </w:pPr>
      <w:r>
        <w:rPr>
          <w:rFonts w:ascii="Arial" w:cs="Arial" w:eastAsia="Arial" w:hAnsi="Arial"/>
          <w:sz w:val="18"/>
          <w:szCs w:val="18"/>
          <w:color w:val="auto"/>
        </w:rPr>
        <w:t>The laws and regulations of some jurisdictions also prohibit an insurer from declaring or paying a dividend except out of its earned surplus or require the insurer to obtain prior regulatory approval. During 2009, our directly owned title insurers can pay dividends or make distributions to us of approximately $214.7 million without prior regulatory approval; however, insurance regulators have the authority to prohibit the payment of ordinary dividends or other payments by our title insurers to us (such as a payment under a tax sharing agreement or for employee or other services) if they determine that such payment could be adverse to our policyholders.</w:t>
      </w:r>
    </w:p>
    <w:p>
      <w:pPr>
        <w:spacing w:after="0" w:line="87" w:lineRule="exact"/>
        <w:rPr>
          <w:sz w:val="20"/>
          <w:szCs w:val="20"/>
          <w:color w:val="auto"/>
        </w:rPr>
      </w:pPr>
    </w:p>
    <w:p>
      <w:pPr>
        <w:jc w:val="both"/>
        <w:ind w:firstLine="219"/>
        <w:spacing w:after="0" w:line="257" w:lineRule="auto"/>
        <w:rPr>
          <w:sz w:val="20"/>
          <w:szCs w:val="20"/>
          <w:color w:val="auto"/>
        </w:rPr>
      </w:pPr>
      <w:r>
        <w:rPr>
          <w:rFonts w:ascii="Arial" w:cs="Arial" w:eastAsia="Arial" w:hAnsi="Arial"/>
          <w:sz w:val="18"/>
          <w:szCs w:val="18"/>
          <w:color w:val="auto"/>
        </w:rPr>
        <w:t>The combined statutory capital and surplus of our title insurers was $634.9 million and $652.6 million as of December 31, 2008 and 2007, respectively. The combined statutory earnings of our title insurers were $170.9 million (excluding the LFG Underwriters), $204.8 million, and $413.8 million for the years ended December 31, 2008, 2007, and 2006, respectively.</w:t>
      </w:r>
    </w:p>
    <w:p>
      <w:pPr>
        <w:spacing w:after="0" w:line="82" w:lineRule="exact"/>
        <w:rPr>
          <w:sz w:val="20"/>
          <w:szCs w:val="20"/>
          <w:color w:val="auto"/>
        </w:rPr>
      </w:pPr>
    </w:p>
    <w:p>
      <w:pPr>
        <w:ind w:right="200" w:firstLine="212"/>
        <w:spacing w:after="0" w:line="267" w:lineRule="auto"/>
        <w:rPr>
          <w:sz w:val="20"/>
          <w:szCs w:val="20"/>
          <w:color w:val="auto"/>
        </w:rPr>
      </w:pPr>
      <w:r>
        <w:rPr>
          <w:rFonts w:ascii="Arial" w:cs="Arial" w:eastAsia="Arial" w:hAnsi="Arial"/>
          <w:sz w:val="18"/>
          <w:szCs w:val="18"/>
          <w:color w:val="auto"/>
        </w:rPr>
        <w:t>As a condition to continued authority to underwrite policies in the states in which our insurers conduct their business, they are required to pay certain fees and file information regarding their officers, directors and financial condition.</w:t>
      </w:r>
    </w:p>
    <w:p>
      <w:pPr>
        <w:spacing w:after="0" w:line="73" w:lineRule="exact"/>
        <w:rPr>
          <w:sz w:val="20"/>
          <w:szCs w:val="20"/>
          <w:color w:val="auto"/>
        </w:rPr>
      </w:pPr>
    </w:p>
    <w:p>
      <w:pPr>
        <w:ind w:right="480" w:firstLine="222"/>
        <w:spacing w:after="0" w:line="267" w:lineRule="auto"/>
        <w:rPr>
          <w:sz w:val="20"/>
          <w:szCs w:val="20"/>
          <w:color w:val="auto"/>
        </w:rPr>
      </w:pPr>
      <w:r>
        <w:rPr>
          <w:rFonts w:ascii="Arial" w:cs="Arial" w:eastAsia="Arial" w:hAnsi="Arial"/>
          <w:sz w:val="18"/>
          <w:szCs w:val="18"/>
          <w:color w:val="auto"/>
        </w:rPr>
        <w:t>Pursuant to statutory requirements of the various states in which our insurers are domiciled, they must maintain certain levels of minimum capital and surplus. Each of our insurers has complied with the minimum statutory requirements as of December 31, 2008.</w:t>
      </w:r>
    </w:p>
    <w:p>
      <w:pPr>
        <w:spacing w:after="0" w:line="73" w:lineRule="exact"/>
        <w:rPr>
          <w:sz w:val="20"/>
          <w:szCs w:val="20"/>
          <w:color w:val="auto"/>
        </w:rPr>
      </w:pPr>
    </w:p>
    <w:p>
      <w:pPr>
        <w:ind w:right="140" w:firstLine="222"/>
        <w:spacing w:after="0" w:line="270" w:lineRule="auto"/>
        <w:rPr>
          <w:sz w:val="20"/>
          <w:szCs w:val="20"/>
          <w:color w:val="auto"/>
        </w:rPr>
      </w:pPr>
      <w:r>
        <w:rPr>
          <w:rFonts w:ascii="Arial" w:cs="Arial" w:eastAsia="Arial" w:hAnsi="Arial"/>
          <w:sz w:val="17"/>
          <w:szCs w:val="17"/>
          <w:color w:val="auto"/>
        </w:rPr>
        <w:t>Our underwritten title companies are also subject to certain regulation by insurance regulatory or banking authorities, primarily relating to minimum net worth. Minimum net worth requirements for each underwritten title company is as follows: $7.5 million for Fidelity National Title Company, $2.5 million for Fidelity National Title Company of California, $3.0 million for Chicago Title Company, $0.4 million for Ticor Title Company of California, Commonwealth Land Title Company, Lawyers Title Company, and Gateway Title Company, and $0.1 million for Napa Valley Title Company. All of our companies were in compliance with their respective minimum net worth requirements at December 31, 2008.</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firstLine="219"/>
        <w:spacing w:after="0" w:line="273" w:lineRule="auto"/>
        <w:rPr>
          <w:sz w:val="20"/>
          <w:szCs w:val="20"/>
          <w:color w:val="auto"/>
        </w:rPr>
      </w:pPr>
      <w:r>
        <w:rPr>
          <w:rFonts w:ascii="Arial" w:cs="Arial" w:eastAsia="Arial" w:hAnsi="Arial"/>
          <w:sz w:val="17"/>
          <w:szCs w:val="17"/>
          <w:color w:val="auto"/>
        </w:rPr>
        <w:t>We receive inquiries and requests for information from state insurance departments, attorneys general and other regulatory agencies from time to time 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 For a discussion of certain pending matters, see Item 3, Legal Proceedings.</w:t>
      </w:r>
    </w:p>
    <w:p>
      <w:pPr>
        <w:spacing w:after="0" w:line="71" w:lineRule="exact"/>
        <w:rPr>
          <w:sz w:val="20"/>
          <w:szCs w:val="20"/>
          <w:color w:val="auto"/>
        </w:rPr>
      </w:pPr>
    </w:p>
    <w:p>
      <w:pPr>
        <w:ind w:right="80" w:firstLine="222"/>
        <w:spacing w:after="0" w:line="284" w:lineRule="auto"/>
        <w:rPr>
          <w:sz w:val="20"/>
          <w:szCs w:val="20"/>
          <w:color w:val="auto"/>
        </w:rPr>
      </w:pPr>
      <w:r>
        <w:rPr>
          <w:rFonts w:ascii="Arial" w:cs="Arial" w:eastAsia="Arial" w:hAnsi="Arial"/>
          <w:sz w:val="16"/>
          <w:szCs w:val="16"/>
          <w:color w:val="auto"/>
        </w:rPr>
        <w:t>Before a person can acquire control of a U.S. insurance company, prior written approval must be obtained from the insurance commissioner of the state in which the insurer is domiciled. Prior to granting approval of an application to acquire control of a domestic insurer, the state insurance commissioner will consider such factors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(In the state of Florida, where one of our title insurers is commercially domiciled, control may be presumed to exist upon acquisition of 5% or more of the insurer’s voting securities.) Because a person acquiring 10% or more of our common shares would indirectly control the same percentage of the stock of our insurers, the insurance change of control laws would likely apply to such a transaction (and any acquisition of 5% or more would require filing a disclaimer of control with, or obtaining a change of control approval from, the State of Florida).</w:t>
      </w:r>
    </w:p>
    <w:p>
      <w:pPr>
        <w:spacing w:after="0" w:line="63" w:lineRule="exact"/>
        <w:rPr>
          <w:sz w:val="20"/>
          <w:szCs w:val="20"/>
          <w:color w:val="auto"/>
        </w:rPr>
      </w:pPr>
    </w:p>
    <w:p>
      <w:pPr>
        <w:ind w:right="320" w:firstLine="219"/>
        <w:spacing w:after="0" w:line="279" w:lineRule="auto"/>
        <w:rPr>
          <w:sz w:val="20"/>
          <w:szCs w:val="20"/>
          <w:color w:val="auto"/>
        </w:rPr>
      </w:pPr>
      <w:r>
        <w:rPr>
          <w:rFonts w:ascii="Arial" w:cs="Arial" w:eastAsia="Arial" w:hAnsi="Arial"/>
          <w:sz w:val="17"/>
          <w:szCs w:val="17"/>
          <w:color w:val="auto"/>
        </w:rPr>
        <w:t>The National Association of Insurance Commissioners (“NAIC”) has adopted an instruction requiring an annual certification of reserve adequacy by a qualified actuary. Because all of the states in which our title insurers are domiciled require adherence to NAIC filing procedures, each such insurer, unless it qualifies for an exemption, must file an actuarial opinion with respect to the adequacy of its reserves.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Ratings</w:t>
      </w:r>
    </w:p>
    <w:p>
      <w:pPr>
        <w:spacing w:after="0" w:line="119" w:lineRule="exact"/>
        <w:rPr>
          <w:sz w:val="20"/>
          <w:szCs w:val="20"/>
          <w:color w:val="auto"/>
        </w:rPr>
      </w:pPr>
    </w:p>
    <w:p>
      <w:pPr>
        <w:jc w:val="both"/>
        <w:ind w:right="240" w:firstLine="222"/>
        <w:spacing w:after="0" w:line="270" w:lineRule="auto"/>
        <w:rPr>
          <w:sz w:val="20"/>
          <w:szCs w:val="20"/>
          <w:color w:val="auto"/>
        </w:rPr>
      </w:pPr>
      <w:r>
        <w:rPr>
          <w:rFonts w:ascii="Arial" w:cs="Arial" w:eastAsia="Arial" w:hAnsi="Arial"/>
          <w:sz w:val="17"/>
          <w:szCs w:val="17"/>
          <w:color w:val="auto"/>
        </w:rPr>
        <w:t>Our title insurance underwriters are regularly assigned ratings by independent agencies designed to indicate their financial condition and/or claims paying ability. The rating agencies determine ratings by quantitatively and qualitatively analyzing financial data and other information. Our title subsidiaries include Alamo Title, Chicago Title, Commonwealth Land Title, Fidelity National Title, Lawyers Title, LandAmerica Title of New Jersey, Security Union Title, Ticor Title, and United Capital Title. Standard &amp; Poor’s Ratings Group (“S&amp;P”), Moody’s Investors Service (“Moody’s”), Fitch Ratings, Ltd. (“Fitch”), and A. M. Best Company (“A.M. Best”) provide ratings for the entire FNF family of companies as a whole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80" w:type="dxa"/>
            <w:vAlign w:val="bottom"/>
            <w:vMerge w:val="restart"/>
          </w:tcPr>
          <w:p>
            <w:pPr>
              <w:spacing w:after="0"/>
              <w:rPr>
                <w:sz w:val="20"/>
                <w:szCs w:val="20"/>
                <w:color w:val="auto"/>
              </w:rPr>
            </w:pPr>
            <w:r>
              <w:rPr>
                <w:rFonts w:ascii="Arial" w:cs="Arial" w:eastAsia="Arial" w:hAnsi="Arial"/>
                <w:sz w:val="18"/>
                <w:szCs w:val="18"/>
                <w:color w:val="auto"/>
              </w:rPr>
              <w:t>FNF family of companies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S&amp;P</w:t>
            </w:r>
          </w:p>
        </w:tc>
        <w:tc>
          <w:tcPr>
            <w:tcW w:w="5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Moody’s</w:t>
            </w:r>
          </w:p>
        </w:tc>
        <w:tc>
          <w:tcPr>
            <w:tcW w:w="5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Fitch (1)</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A.M. Best</w:t>
            </w:r>
          </w:p>
        </w:tc>
        <w:tc>
          <w:tcPr>
            <w:tcW w:w="0" w:type="dxa"/>
            <w:vAlign w:val="bottom"/>
          </w:tcPr>
          <w:p>
            <w:pPr>
              <w:spacing w:after="0"/>
              <w:rPr>
                <w:sz w:val="1"/>
                <w:szCs w:val="1"/>
                <w:color w:val="auto"/>
              </w:rPr>
            </w:pPr>
          </w:p>
        </w:tc>
      </w:tr>
      <w:tr>
        <w:trPr>
          <w:trHeight w:val="218"/>
        </w:trPr>
        <w:tc>
          <w:tcPr>
            <w:tcW w:w="6480" w:type="dxa"/>
            <w:vAlign w:val="bottom"/>
            <w:vMerge w:val="continue"/>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5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BBB</w:t>
            </w:r>
          </w:p>
        </w:tc>
        <w:tc>
          <w:tcPr>
            <w:tcW w:w="5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13042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(1) Fitch has also assigned a rating of BBB- to the LFG Underwriters.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Demotech provides financial strength/stability ratings for each of our principal title insurance underwriters individually,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Alamo Title Insurance</w:t>
            </w:r>
          </w:p>
        </w:tc>
        <w:tc>
          <w:tcPr>
            <w:tcW w:w="7080" w:type="dxa"/>
            <w:vAlign w:val="bottom"/>
            <w:shd w:val="clear" w:color="auto" w:fill="CCEEFF"/>
          </w:tcPr>
          <w:p>
            <w:pPr>
              <w:ind w:left="6540"/>
              <w:spacing w:after="0"/>
              <w:rPr>
                <w:sz w:val="20"/>
                <w:szCs w:val="20"/>
                <w:color w:val="auto"/>
              </w:rPr>
            </w:pPr>
            <w:r>
              <w:rPr>
                <w:rFonts w:ascii="Arial" w:cs="Arial" w:eastAsia="Arial" w:hAnsi="Arial"/>
                <w:sz w:val="18"/>
                <w:szCs w:val="18"/>
                <w:color w:val="auto"/>
              </w:rPr>
              <w:t>A’</w:t>
            </w:r>
          </w:p>
        </w:tc>
      </w:tr>
      <w:tr>
        <w:trPr>
          <w:trHeight w:val="213"/>
        </w:trPr>
        <w:tc>
          <w:tcPr>
            <w:tcW w:w="4340" w:type="dxa"/>
            <w:vAlign w:val="bottom"/>
          </w:tcPr>
          <w:p>
            <w:pPr>
              <w:spacing w:after="0"/>
              <w:rPr>
                <w:sz w:val="20"/>
                <w:szCs w:val="20"/>
                <w:color w:val="auto"/>
              </w:rPr>
            </w:pPr>
            <w:r>
              <w:rPr>
                <w:rFonts w:ascii="Arial" w:cs="Arial" w:eastAsia="Arial" w:hAnsi="Arial"/>
                <w:sz w:val="18"/>
                <w:szCs w:val="18"/>
                <w:color w:val="auto"/>
              </w:rPr>
              <w:t>Chicago Title Insurance Co.</w:t>
            </w:r>
          </w:p>
        </w:tc>
        <w:tc>
          <w:tcPr>
            <w:tcW w:w="7080" w:type="dxa"/>
            <w:vAlign w:val="bottom"/>
          </w:tcPr>
          <w:p>
            <w:pPr>
              <w:ind w:left="6540"/>
              <w:spacing w:after="0"/>
              <w:rPr>
                <w:sz w:val="20"/>
                <w:szCs w:val="20"/>
                <w:color w:val="auto"/>
              </w:rPr>
            </w:pPr>
            <w:r>
              <w:rPr>
                <w:rFonts w:ascii="Arial" w:cs="Arial" w:eastAsia="Arial" w:hAnsi="Arial"/>
                <w:sz w:val="18"/>
                <w:szCs w:val="18"/>
                <w:color w:val="auto"/>
              </w:rPr>
              <w:t>A”</w:t>
            </w:r>
          </w:p>
        </w:tc>
      </w:tr>
      <w:tr>
        <w:trPr>
          <w:trHeight w:val="21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Chicago Title Insurance Co. of Oregon</w:t>
            </w:r>
          </w:p>
        </w:tc>
        <w:tc>
          <w:tcPr>
            <w:tcW w:w="7080" w:type="dxa"/>
            <w:vAlign w:val="bottom"/>
            <w:shd w:val="clear" w:color="auto" w:fill="CCEEFF"/>
          </w:tcPr>
          <w:p>
            <w:pPr>
              <w:ind w:left="6540"/>
              <w:spacing w:after="0"/>
              <w:rPr>
                <w:sz w:val="20"/>
                <w:szCs w:val="20"/>
                <w:color w:val="auto"/>
              </w:rPr>
            </w:pPr>
            <w:r>
              <w:rPr>
                <w:rFonts w:ascii="Arial" w:cs="Arial" w:eastAsia="Arial" w:hAnsi="Arial"/>
                <w:sz w:val="18"/>
                <w:szCs w:val="18"/>
                <w:color w:val="auto"/>
              </w:rPr>
              <w:t>A’</w:t>
            </w:r>
          </w:p>
        </w:tc>
      </w:tr>
      <w:tr>
        <w:trPr>
          <w:trHeight w:val="213"/>
        </w:trPr>
        <w:tc>
          <w:tcPr>
            <w:tcW w:w="4340" w:type="dxa"/>
            <w:vAlign w:val="bottom"/>
          </w:tcPr>
          <w:p>
            <w:pPr>
              <w:spacing w:after="0"/>
              <w:rPr>
                <w:sz w:val="20"/>
                <w:szCs w:val="20"/>
                <w:color w:val="auto"/>
              </w:rPr>
            </w:pPr>
            <w:r>
              <w:rPr>
                <w:rFonts w:ascii="Arial" w:cs="Arial" w:eastAsia="Arial" w:hAnsi="Arial"/>
                <w:sz w:val="18"/>
                <w:szCs w:val="18"/>
                <w:color w:val="auto"/>
              </w:rPr>
              <w:t>Commonwealth Land Title Insurance Co.</w:t>
            </w:r>
          </w:p>
        </w:tc>
        <w:tc>
          <w:tcPr>
            <w:tcW w:w="7080" w:type="dxa"/>
            <w:vAlign w:val="bottom"/>
          </w:tcPr>
          <w:p>
            <w:pPr>
              <w:ind w:left="6540"/>
              <w:spacing w:after="0"/>
              <w:rPr>
                <w:sz w:val="20"/>
                <w:szCs w:val="20"/>
                <w:color w:val="auto"/>
              </w:rPr>
            </w:pPr>
            <w:r>
              <w:rPr>
                <w:rFonts w:ascii="Arial" w:cs="Arial" w:eastAsia="Arial" w:hAnsi="Arial"/>
                <w:sz w:val="18"/>
                <w:szCs w:val="18"/>
                <w:color w:val="auto"/>
              </w:rPr>
              <w:t>A</w:t>
            </w:r>
          </w:p>
        </w:tc>
      </w:tr>
      <w:tr>
        <w:trPr>
          <w:trHeight w:val="21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Fidelity National Title Insurance Co.</w:t>
            </w:r>
          </w:p>
        </w:tc>
        <w:tc>
          <w:tcPr>
            <w:tcW w:w="7080" w:type="dxa"/>
            <w:vAlign w:val="bottom"/>
            <w:shd w:val="clear" w:color="auto" w:fill="CCEEFF"/>
          </w:tcPr>
          <w:p>
            <w:pPr>
              <w:ind w:left="6540"/>
              <w:spacing w:after="0"/>
              <w:rPr>
                <w:sz w:val="20"/>
                <w:szCs w:val="20"/>
                <w:color w:val="auto"/>
              </w:rPr>
            </w:pPr>
            <w:r>
              <w:rPr>
                <w:rFonts w:ascii="Arial" w:cs="Arial" w:eastAsia="Arial" w:hAnsi="Arial"/>
                <w:sz w:val="18"/>
                <w:szCs w:val="18"/>
                <w:color w:val="auto"/>
              </w:rPr>
              <w:t>A’</w:t>
            </w:r>
          </w:p>
        </w:tc>
      </w:tr>
      <w:tr>
        <w:trPr>
          <w:trHeight w:val="213"/>
        </w:trPr>
        <w:tc>
          <w:tcPr>
            <w:tcW w:w="4340" w:type="dxa"/>
            <w:vAlign w:val="bottom"/>
          </w:tcPr>
          <w:p>
            <w:pPr>
              <w:spacing w:after="0"/>
              <w:rPr>
                <w:sz w:val="20"/>
                <w:szCs w:val="20"/>
                <w:color w:val="auto"/>
              </w:rPr>
            </w:pPr>
            <w:r>
              <w:rPr>
                <w:rFonts w:ascii="Arial" w:cs="Arial" w:eastAsia="Arial" w:hAnsi="Arial"/>
                <w:sz w:val="18"/>
                <w:szCs w:val="18"/>
                <w:color w:val="auto"/>
              </w:rPr>
              <w:t>Lawyers Title Insurance Corporation</w:t>
            </w:r>
          </w:p>
        </w:tc>
        <w:tc>
          <w:tcPr>
            <w:tcW w:w="7080" w:type="dxa"/>
            <w:vAlign w:val="bottom"/>
          </w:tcPr>
          <w:p>
            <w:pPr>
              <w:ind w:left="6540"/>
              <w:spacing w:after="0"/>
              <w:rPr>
                <w:sz w:val="20"/>
                <w:szCs w:val="20"/>
                <w:color w:val="auto"/>
              </w:rPr>
            </w:pPr>
            <w:r>
              <w:rPr>
                <w:rFonts w:ascii="Arial" w:cs="Arial" w:eastAsia="Arial" w:hAnsi="Arial"/>
                <w:sz w:val="18"/>
                <w:szCs w:val="18"/>
                <w:color w:val="auto"/>
              </w:rPr>
              <w:t>A</w:t>
            </w:r>
          </w:p>
        </w:tc>
      </w:tr>
      <w:tr>
        <w:trPr>
          <w:trHeight w:val="21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LandAmerica NJ Title Insurance Company</w:t>
            </w:r>
          </w:p>
        </w:tc>
        <w:tc>
          <w:tcPr>
            <w:tcW w:w="7080" w:type="dxa"/>
            <w:vAlign w:val="bottom"/>
            <w:shd w:val="clear" w:color="auto" w:fill="CCEEFF"/>
          </w:tcPr>
          <w:p>
            <w:pPr>
              <w:ind w:left="6360"/>
              <w:spacing w:after="0"/>
              <w:rPr>
                <w:sz w:val="20"/>
                <w:szCs w:val="20"/>
                <w:color w:val="auto"/>
              </w:rPr>
            </w:pPr>
            <w:r>
              <w:rPr>
                <w:rFonts w:ascii="Arial" w:cs="Arial" w:eastAsia="Arial" w:hAnsi="Arial"/>
                <w:sz w:val="18"/>
                <w:szCs w:val="18"/>
                <w:color w:val="auto"/>
              </w:rPr>
              <w:t>N/A</w:t>
            </w:r>
          </w:p>
        </w:tc>
      </w:tr>
      <w:tr>
        <w:trPr>
          <w:trHeight w:val="213"/>
        </w:trPr>
        <w:tc>
          <w:tcPr>
            <w:tcW w:w="4340" w:type="dxa"/>
            <w:vAlign w:val="bottom"/>
          </w:tcPr>
          <w:p>
            <w:pPr>
              <w:spacing w:after="0"/>
              <w:rPr>
                <w:sz w:val="20"/>
                <w:szCs w:val="20"/>
                <w:color w:val="auto"/>
              </w:rPr>
            </w:pPr>
            <w:r>
              <w:rPr>
                <w:rFonts w:ascii="Arial" w:cs="Arial" w:eastAsia="Arial" w:hAnsi="Arial"/>
                <w:sz w:val="18"/>
                <w:szCs w:val="18"/>
                <w:color w:val="auto"/>
              </w:rPr>
              <w:t>Security Union Title Insurance Co.</w:t>
            </w:r>
          </w:p>
        </w:tc>
        <w:tc>
          <w:tcPr>
            <w:tcW w:w="7080" w:type="dxa"/>
            <w:vAlign w:val="bottom"/>
          </w:tcPr>
          <w:p>
            <w:pPr>
              <w:ind w:left="6540"/>
              <w:spacing w:after="0"/>
              <w:rPr>
                <w:sz w:val="20"/>
                <w:szCs w:val="20"/>
                <w:color w:val="auto"/>
              </w:rPr>
            </w:pPr>
            <w:r>
              <w:rPr>
                <w:rFonts w:ascii="Arial" w:cs="Arial" w:eastAsia="Arial" w:hAnsi="Arial"/>
                <w:sz w:val="18"/>
                <w:szCs w:val="18"/>
                <w:color w:val="auto"/>
              </w:rPr>
              <w:t>A’</w:t>
            </w:r>
          </w:p>
        </w:tc>
      </w:tr>
      <w:tr>
        <w:trPr>
          <w:trHeight w:val="21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Ticor Title Insurance Co.</w:t>
            </w:r>
          </w:p>
        </w:tc>
        <w:tc>
          <w:tcPr>
            <w:tcW w:w="7080" w:type="dxa"/>
            <w:vAlign w:val="bottom"/>
            <w:shd w:val="clear" w:color="auto" w:fill="CCEEFF"/>
          </w:tcPr>
          <w:p>
            <w:pPr>
              <w:ind w:left="6540"/>
              <w:spacing w:after="0"/>
              <w:rPr>
                <w:sz w:val="20"/>
                <w:szCs w:val="20"/>
                <w:color w:val="auto"/>
              </w:rPr>
            </w:pPr>
            <w:r>
              <w:rPr>
                <w:rFonts w:ascii="Arial" w:cs="Arial" w:eastAsia="Arial" w:hAnsi="Arial"/>
                <w:sz w:val="18"/>
                <w:szCs w:val="18"/>
                <w:color w:val="auto"/>
              </w:rPr>
              <w:t>A’</w:t>
            </w:r>
          </w:p>
        </w:tc>
      </w:tr>
      <w:tr>
        <w:trPr>
          <w:trHeight w:val="213"/>
        </w:trPr>
        <w:tc>
          <w:tcPr>
            <w:tcW w:w="4340" w:type="dxa"/>
            <w:vAlign w:val="bottom"/>
          </w:tcPr>
          <w:p>
            <w:pPr>
              <w:spacing w:after="0"/>
              <w:rPr>
                <w:sz w:val="20"/>
                <w:szCs w:val="20"/>
                <w:color w:val="auto"/>
              </w:rPr>
            </w:pPr>
            <w:r>
              <w:rPr>
                <w:rFonts w:ascii="Arial" w:cs="Arial" w:eastAsia="Arial" w:hAnsi="Arial"/>
                <w:sz w:val="18"/>
                <w:szCs w:val="18"/>
                <w:color w:val="auto"/>
              </w:rPr>
              <w:t>Ticor Title Insurance Co. of Florida</w:t>
            </w:r>
          </w:p>
        </w:tc>
        <w:tc>
          <w:tcPr>
            <w:tcW w:w="7080" w:type="dxa"/>
            <w:vAlign w:val="bottom"/>
          </w:tcPr>
          <w:p>
            <w:pPr>
              <w:ind w:left="6540"/>
              <w:spacing w:after="0"/>
              <w:rPr>
                <w:sz w:val="20"/>
                <w:szCs w:val="20"/>
                <w:color w:val="auto"/>
              </w:rPr>
            </w:pPr>
            <w:r>
              <w:rPr>
                <w:rFonts w:ascii="Arial" w:cs="Arial" w:eastAsia="Arial" w:hAnsi="Arial"/>
                <w:sz w:val="18"/>
                <w:szCs w:val="18"/>
                <w:color w:val="auto"/>
              </w:rPr>
              <w:t>A</w:t>
            </w:r>
          </w:p>
        </w:tc>
      </w:tr>
      <w:tr>
        <w:trPr>
          <w:trHeight w:val="213"/>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United Capital Title Insurance Co.</w:t>
            </w:r>
          </w:p>
        </w:tc>
        <w:tc>
          <w:tcPr>
            <w:tcW w:w="7080" w:type="dxa"/>
            <w:vAlign w:val="bottom"/>
            <w:shd w:val="clear" w:color="auto" w:fill="CCEEFF"/>
          </w:tcPr>
          <w:p>
            <w:pPr>
              <w:ind w:left="6540"/>
              <w:spacing w:after="0"/>
              <w:rPr>
                <w:sz w:val="20"/>
                <w:szCs w:val="20"/>
                <w:color w:val="auto"/>
              </w:rPr>
            </w:pPr>
            <w:r>
              <w:rPr>
                <w:rFonts w:ascii="Arial" w:cs="Arial" w:eastAsia="Arial" w:hAnsi="Arial"/>
                <w:sz w:val="18"/>
                <w:szCs w:val="18"/>
                <w:color w:val="auto"/>
              </w:rPr>
              <w:t>A’</w:t>
            </w:r>
          </w:p>
        </w:tc>
      </w:tr>
      <w:tr>
        <w:trPr>
          <w:trHeight w:val="385"/>
        </w:trPr>
        <w:tc>
          <w:tcPr>
            <w:tcW w:w="4340" w:type="dxa"/>
            <w:vAlign w:val="bottom"/>
          </w:tcPr>
          <w:p>
            <w:pPr>
              <w:spacing w:after="0"/>
              <w:rPr>
                <w:sz w:val="24"/>
                <w:szCs w:val="24"/>
                <w:color w:val="auto"/>
              </w:rPr>
            </w:pPr>
          </w:p>
        </w:tc>
        <w:tc>
          <w:tcPr>
            <w:tcW w:w="7080" w:type="dxa"/>
            <w:vAlign w:val="bottom"/>
          </w:tcPr>
          <w:p>
            <w:pPr>
              <w:ind w:left="1280"/>
              <w:spacing w:after="0"/>
              <w:rPr>
                <w:sz w:val="20"/>
                <w:szCs w:val="20"/>
                <w:color w:val="auto"/>
              </w:rPr>
            </w:pPr>
            <w:r>
              <w:rPr>
                <w:rFonts w:ascii="Arial" w:cs="Arial" w:eastAsia="Arial" w:hAnsi="Arial"/>
                <w:sz w:val="18"/>
                <w:szCs w:val="18"/>
                <w:color w:val="auto"/>
              </w:rPr>
              <w:t>13</w:t>
            </w:r>
          </w:p>
        </w:tc>
      </w:tr>
      <w:tr>
        <w:trPr>
          <w:trHeight w:val="225"/>
        </w:trPr>
        <w:tc>
          <w:tcPr>
            <w:tcW w:w="4340" w:type="dxa"/>
            <w:vAlign w:val="bottom"/>
            <w:tcBorders>
              <w:bottom w:val="single" w:sz="8" w:color="808080"/>
            </w:tcBorders>
          </w:tcPr>
          <w:p>
            <w:pPr>
              <w:spacing w:after="0"/>
              <w:rPr>
                <w:sz w:val="19"/>
                <w:szCs w:val="19"/>
                <w:color w:val="auto"/>
              </w:rPr>
            </w:pPr>
          </w:p>
        </w:tc>
        <w:tc>
          <w:tcPr>
            <w:tcW w:w="7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firstLine="219"/>
        <w:spacing w:after="0" w:line="285" w:lineRule="auto"/>
        <w:rPr>
          <w:sz w:val="20"/>
          <w:szCs w:val="20"/>
          <w:color w:val="auto"/>
        </w:rPr>
      </w:pPr>
      <w:r>
        <w:rPr>
          <w:rFonts w:ascii="Arial" w:cs="Arial" w:eastAsia="Arial" w:hAnsi="Arial"/>
          <w:sz w:val="16"/>
          <w:szCs w:val="16"/>
          <w:color w:val="auto"/>
        </w:rPr>
        <w:t>The ratings of S&amp;P, Moody’s, A.M. Best, Fitch, and Demotech described above are not designed to be, and do not serve as, measures of protection or valuation offered to investors. These financial strength ratings should not be relied on with respect to making an investment in our securities. See “Risk Factors</w:t>
      </w:r>
    </w:p>
    <w:p>
      <w:pPr>
        <w:spacing w:after="0" w:line="1"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 If the rating agencies downgrade our Company, our results of operations and competitive position in the title insurance industry may suffer” for further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Policies and Investment Portfolio</w:t>
      </w:r>
    </w:p>
    <w:p>
      <w:pPr>
        <w:spacing w:after="0" w:line="119" w:lineRule="exact"/>
        <w:rPr>
          <w:sz w:val="20"/>
          <w:szCs w:val="20"/>
          <w:color w:val="auto"/>
        </w:rPr>
      </w:pPr>
    </w:p>
    <w:p>
      <w:pPr>
        <w:ind w:right="40" w:firstLine="222"/>
        <w:spacing w:after="0" w:line="250" w:lineRule="auto"/>
        <w:rPr>
          <w:sz w:val="20"/>
          <w:szCs w:val="20"/>
          <w:color w:val="auto"/>
        </w:rPr>
      </w:pPr>
      <w:r>
        <w:rPr>
          <w:rFonts w:ascii="Arial" w:cs="Arial" w:eastAsia="Arial" w:hAnsi="Arial"/>
          <w:sz w:val="18"/>
          <w:szCs w:val="18"/>
          <w:color w:val="auto"/>
        </w:rPr>
        <w:t>Our investment policy is designed to maximize total return through investment income and capital appreciation consistent with moderate risk of principal, while providing adequate liquidity and complying with internal and regulatory guidelines. We also make investments in certain equity securities in order to take advantage of perceived value and for strategic purposes. Various states regulate what types of assets qualify for purposes of capital and surplus and statutory unearned premium reserves. We manage our investment portfolio and do not utilize third party investment managers. Due to the magnitude of our investment portfolio in relation to our claims loss reserves, we do not specifically match durations of our investments to the cash outflows required to pay claims, but do manage outflows on a shorter time frame. Maintaining shorter durations on our investment portfolio allows us to mitigate our interest rate risk and, in a rising interest rate environment, to increase our investment revenue, which may offset some of the decline in premiums and service revenues we would expect in such an environment.</w:t>
      </w:r>
    </w:p>
    <w:p>
      <w:pPr>
        <w:spacing w:after="0" w:line="89" w:lineRule="exact"/>
        <w:rPr>
          <w:sz w:val="20"/>
          <w:szCs w:val="20"/>
          <w:color w:val="auto"/>
        </w:rPr>
      </w:pPr>
    </w:p>
    <w:p>
      <w:pPr>
        <w:ind w:right="200" w:firstLine="212"/>
        <w:spacing w:after="0" w:line="267" w:lineRule="auto"/>
        <w:rPr>
          <w:sz w:val="20"/>
          <w:szCs w:val="20"/>
          <w:color w:val="auto"/>
        </w:rPr>
      </w:pPr>
      <w:r>
        <w:rPr>
          <w:rFonts w:ascii="Arial" w:cs="Arial" w:eastAsia="Arial" w:hAnsi="Arial"/>
          <w:sz w:val="18"/>
          <w:szCs w:val="18"/>
          <w:color w:val="auto"/>
        </w:rPr>
        <w:t>As of December 31, 2008 and 2007, the carrying amount, which approximates the fair value, of total investments excluding investments in unconsolidated affiliates was $3.7 billion and $3.4 billion, respectively.</w:t>
      </w:r>
    </w:p>
    <w:p>
      <w:pPr>
        <w:spacing w:after="0" w:line="73" w:lineRule="exact"/>
        <w:rPr>
          <w:sz w:val="20"/>
          <w:szCs w:val="20"/>
          <w:color w:val="auto"/>
        </w:rPr>
      </w:pPr>
    </w:p>
    <w:p>
      <w:pPr>
        <w:ind w:right="180" w:firstLine="219"/>
        <w:spacing w:after="0" w:line="252" w:lineRule="auto"/>
        <w:rPr>
          <w:sz w:val="20"/>
          <w:szCs w:val="20"/>
          <w:color w:val="auto"/>
        </w:rPr>
      </w:pPr>
      <w:r>
        <w:rPr>
          <w:rFonts w:ascii="Arial" w:cs="Arial" w:eastAsia="Arial" w:hAnsi="Arial"/>
          <w:sz w:val="18"/>
          <w:szCs w:val="18"/>
          <w:color w:val="auto"/>
        </w:rPr>
        <w:t>We purchase investment grade fixed maturity securities, selected non-investment grade fixed maturity securities and equity securities. The securities in our portfolio are subject to economic conditions and normal market risks and uncertainties. Our fixed maturities at December 31, 2008 include auction rate securities with a par value of $88.8 million and fair value of $32.1 million, which were included in the assets of the LFG Underwriters that we acquired on December 22, 2008. These auction rate securities make up one percent of our total portfolio and are our only securities classified as level 3 for valuation purposes.</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certain information regarding the investment ratings of our fixed maturity portfolio at December 31, 2008 and 2007.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40"/>
              <w:spacing w:after="0" w:line="140" w:lineRule="exact"/>
              <w:rPr>
                <w:sz w:val="20"/>
                <w:szCs w:val="20"/>
                <w:color w:val="auto"/>
              </w:rPr>
            </w:pPr>
            <w:r>
              <w:rPr>
                <w:rFonts w:ascii="Arial" w:cs="Arial" w:eastAsia="Arial" w:hAnsi="Arial"/>
                <w:sz w:val="14"/>
                <w:szCs w:val="14"/>
                <w:b w:val="1"/>
                <w:bCs w:val="1"/>
                <w:color w:val="auto"/>
              </w:rPr>
              <w:t>2008</w:t>
            </w:r>
          </w:p>
        </w:tc>
        <w:tc>
          <w:tcPr>
            <w:tcW w:w="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80"/>
              <w:spacing w:after="0" w:line="140" w:lineRule="exact"/>
              <w:rPr>
                <w:sz w:val="20"/>
                <w:szCs w:val="20"/>
                <w:color w:val="auto"/>
              </w:rPr>
            </w:pPr>
            <w:r>
              <w:rPr>
                <w:rFonts w:ascii="Arial" w:cs="Arial" w:eastAsia="Arial" w:hAnsi="Arial"/>
                <w:sz w:val="14"/>
                <w:szCs w:val="14"/>
                <w:b w:val="1"/>
                <w:bCs w:val="1"/>
                <w:color w:val="auto"/>
              </w:rPr>
              <w:t>2007</w:t>
            </w:r>
          </w:p>
        </w:tc>
        <w:tc>
          <w:tcPr>
            <w:tcW w:w="8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Rating(1)</w:t>
            </w:r>
          </w:p>
        </w:tc>
        <w:tc>
          <w:tcPr>
            <w:tcW w:w="300" w:type="dxa"/>
            <w:vAlign w:val="bottom"/>
          </w:tcPr>
          <w:p>
            <w:pPr>
              <w:spacing w:after="0"/>
              <w:rPr>
                <w:sz w:val="10"/>
                <w:szCs w:val="10"/>
                <w:color w:val="auto"/>
              </w:rPr>
            </w:pPr>
          </w:p>
        </w:tc>
        <w:tc>
          <w:tcPr>
            <w:tcW w:w="1220" w:type="dxa"/>
            <w:vAlign w:val="bottom"/>
            <w:gridSpan w:val="2"/>
          </w:tcPr>
          <w:p>
            <w:pPr>
              <w:jc w:val="center"/>
              <w:ind w:right="380"/>
              <w:spacing w:after="0" w:line="118" w:lineRule="exact"/>
              <w:rPr>
                <w:sz w:val="20"/>
                <w:szCs w:val="20"/>
                <w:color w:val="auto"/>
              </w:rPr>
            </w:pPr>
            <w:r>
              <w:rPr>
                <w:rFonts w:ascii="Arial" w:cs="Arial" w:eastAsia="Arial" w:hAnsi="Arial"/>
                <w:sz w:val="13"/>
                <w:szCs w:val="13"/>
                <w:b w:val="1"/>
                <w:bCs w:val="1"/>
                <w:color w:val="auto"/>
              </w:rPr>
              <w:t>Amortized</w:t>
            </w:r>
          </w:p>
        </w:tc>
        <w:tc>
          <w:tcPr>
            <w:tcW w:w="1080" w:type="dxa"/>
            <w:vAlign w:val="bottom"/>
            <w:gridSpan w:val="2"/>
          </w:tcPr>
          <w:p>
            <w:pPr>
              <w:ind w:left="180"/>
              <w:spacing w:after="0" w:line="118"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Fair Value</w:t>
            </w:r>
          </w:p>
        </w:tc>
        <w:tc>
          <w:tcPr>
            <w:tcW w:w="400" w:type="dxa"/>
            <w:vAlign w:val="bottom"/>
            <w:vMerge w:val="restart"/>
          </w:tcPr>
          <w:p>
            <w:pPr>
              <w:spacing w:after="0"/>
              <w:rPr>
                <w:sz w:val="10"/>
                <w:szCs w:val="10"/>
                <w:color w:val="auto"/>
              </w:rPr>
            </w:pPr>
          </w:p>
        </w:tc>
        <w:tc>
          <w:tcPr>
            <w:tcW w:w="660" w:type="dxa"/>
            <w:vAlign w:val="bottom"/>
          </w:tcPr>
          <w:p>
            <w:pPr>
              <w:ind w:left="180"/>
              <w:spacing w:after="0" w:line="118" w:lineRule="exact"/>
              <w:rPr>
                <w:sz w:val="20"/>
                <w:szCs w:val="20"/>
                <w:color w:val="auto"/>
              </w:rPr>
            </w:pPr>
            <w:r>
              <w:rPr>
                <w:rFonts w:ascii="Arial" w:cs="Arial" w:eastAsia="Arial" w:hAnsi="Arial"/>
                <w:sz w:val="13"/>
                <w:szCs w:val="13"/>
                <w:b w:val="1"/>
                <w:bCs w:val="1"/>
                <w:color w:val="auto"/>
              </w:rPr>
              <w:t>% of</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ind w:left="100"/>
              <w:spacing w:after="0" w:line="118" w:lineRule="exact"/>
              <w:rPr>
                <w:sz w:val="20"/>
                <w:szCs w:val="20"/>
                <w:color w:val="auto"/>
              </w:rPr>
            </w:pPr>
            <w:r>
              <w:rPr>
                <w:rFonts w:ascii="Arial" w:cs="Arial" w:eastAsia="Arial" w:hAnsi="Arial"/>
                <w:sz w:val="13"/>
                <w:szCs w:val="13"/>
                <w:b w:val="1"/>
                <w:bCs w:val="1"/>
                <w:color w:val="auto"/>
              </w:rPr>
              <w:t>Amortized</w:t>
            </w:r>
          </w:p>
        </w:tc>
        <w:tc>
          <w:tcPr>
            <w:tcW w:w="1120" w:type="dxa"/>
            <w:vAlign w:val="bottom"/>
            <w:gridSpan w:val="2"/>
          </w:tcPr>
          <w:p>
            <w:pPr>
              <w:jc w:val="right"/>
              <w:ind w:right="640"/>
              <w:spacing w:after="0" w:line="118" w:lineRule="exact"/>
              <w:rPr>
                <w:sz w:val="20"/>
                <w:szCs w:val="20"/>
                <w:color w:val="auto"/>
              </w:rPr>
            </w:pPr>
            <w:r>
              <w:rPr>
                <w:rFonts w:ascii="Arial" w:cs="Arial" w:eastAsia="Arial" w:hAnsi="Arial"/>
                <w:sz w:val="13"/>
                <w:szCs w:val="13"/>
                <w:b w:val="1"/>
                <w:bCs w:val="1"/>
                <w:color w:val="auto"/>
              </w:rPr>
              <w:t>% of</w:t>
            </w:r>
          </w:p>
        </w:tc>
        <w:tc>
          <w:tcPr>
            <w:tcW w:w="8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Fair Value</w:t>
            </w:r>
          </w:p>
        </w:tc>
        <w:tc>
          <w:tcPr>
            <w:tcW w:w="400" w:type="dxa"/>
            <w:vAlign w:val="bottom"/>
            <w:vMerge w:val="restart"/>
          </w:tcPr>
          <w:p>
            <w:pPr>
              <w:spacing w:after="0"/>
              <w:rPr>
                <w:sz w:val="10"/>
                <w:szCs w:val="10"/>
                <w:color w:val="auto"/>
              </w:rPr>
            </w:pPr>
          </w:p>
        </w:tc>
        <w:tc>
          <w:tcPr>
            <w:tcW w:w="660" w:type="dxa"/>
            <w:vAlign w:val="bottom"/>
          </w:tcPr>
          <w:p>
            <w:pPr>
              <w:ind w:left="180"/>
              <w:spacing w:after="0" w:line="118"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0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Pr>
          <w:p>
            <w:pPr>
              <w:spacing w:after="0"/>
              <w:rPr>
                <w:sz w:val="14"/>
                <w:szCs w:val="1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4"/>
                <w:szCs w:val="14"/>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ind w:left="220"/>
              <w:spacing w:after="0" w:line="140" w:lineRule="exact"/>
              <w:rPr>
                <w:sz w:val="20"/>
                <w:szCs w:val="20"/>
                <w:color w:val="auto"/>
              </w:rPr>
            </w:pPr>
            <w:r>
              <w:rPr>
                <w:rFonts w:ascii="Arial" w:cs="Arial" w:eastAsia="Arial" w:hAnsi="Arial"/>
                <w:sz w:val="14"/>
                <w:szCs w:val="14"/>
                <w:b w:val="1"/>
                <w:bCs w:val="1"/>
                <w:color w:val="auto"/>
                <w:w w:val="80"/>
              </w:rPr>
              <w:t>(Dollars</w:t>
            </w:r>
          </w:p>
        </w:tc>
        <w:tc>
          <w:tcPr>
            <w:tcW w:w="1300" w:type="dxa"/>
            <w:vAlign w:val="bottom"/>
            <w:gridSpan w:val="3"/>
          </w:tcPr>
          <w:p>
            <w:pPr>
              <w:jc w:val="right"/>
              <w:ind w:right="311"/>
              <w:spacing w:after="0" w:line="140" w:lineRule="exact"/>
              <w:rPr>
                <w:sz w:val="20"/>
                <w:szCs w:val="20"/>
                <w:color w:val="auto"/>
              </w:rPr>
            </w:pPr>
            <w:r>
              <w:rPr>
                <w:rFonts w:ascii="Arial" w:cs="Arial" w:eastAsia="Arial" w:hAnsi="Arial"/>
                <w:sz w:val="14"/>
                <w:szCs w:val="14"/>
                <w:b w:val="1"/>
                <w:bCs w:val="1"/>
                <w:color w:val="auto"/>
                <w:w w:val="98"/>
              </w:rPr>
              <w:t>in thousands)</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AAA</w:t>
            </w:r>
          </w:p>
        </w:tc>
        <w:tc>
          <w:tcPr>
            <w:tcW w:w="1120" w:type="dxa"/>
            <w:vAlign w:val="bottom"/>
            <w:gridSpan w:val="2"/>
            <w:shd w:val="clear" w:color="auto" w:fill="CCEEFF"/>
          </w:tcPr>
          <w:p>
            <w:pPr>
              <w:jc w:val="center"/>
              <w:ind w:left="211"/>
              <w:spacing w:after="0"/>
              <w:rPr>
                <w:sz w:val="20"/>
                <w:szCs w:val="20"/>
                <w:color w:val="auto"/>
              </w:rPr>
            </w:pPr>
            <w:r>
              <w:rPr>
                <w:rFonts w:ascii="Arial" w:cs="Arial" w:eastAsia="Arial" w:hAnsi="Arial"/>
                <w:sz w:val="18"/>
                <w:szCs w:val="18"/>
                <w:color w:val="auto"/>
                <w:w w:val="86"/>
              </w:rPr>
              <w:t>$ 1,154,868</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0"/>
              </w:rPr>
              <w:t>$ 1,194,028</w:t>
            </w:r>
          </w:p>
        </w:tc>
        <w:tc>
          <w:tcPr>
            <w:tcW w:w="96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41.8%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$ 1,681,547</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$ 1,706,834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Arial" w:cs="Arial" w:eastAsia="Arial" w:hAnsi="Arial"/>
                <w:sz w:val="18"/>
                <w:szCs w:val="18"/>
                <w:color w:val="auto"/>
              </w:rPr>
              <w:t>AA</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621,375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21.9</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627,731</w:t>
            </w:r>
          </w:p>
        </w:tc>
        <w:tc>
          <w:tcPr>
            <w:tcW w:w="960" w:type="dxa"/>
            <w:vAlign w:val="bottom"/>
            <w:gridSpan w:val="2"/>
          </w:tcPr>
          <w:p>
            <w:pPr>
              <w:jc w:val="right"/>
              <w:ind w:right="229"/>
              <w:spacing w:after="0"/>
              <w:rPr>
                <w:sz w:val="20"/>
                <w:szCs w:val="20"/>
                <w:color w:val="auto"/>
              </w:rPr>
            </w:pPr>
            <w:r>
              <w:rPr>
                <w:rFonts w:ascii="Arial" w:cs="Arial" w:eastAsia="Arial" w:hAnsi="Arial"/>
                <w:sz w:val="18"/>
                <w:szCs w:val="18"/>
                <w:color w:val="auto"/>
              </w:rPr>
              <w:t>22.0</w:t>
            </w:r>
          </w:p>
        </w:tc>
        <w:tc>
          <w:tcPr>
            <w:tcW w:w="1400" w:type="dxa"/>
            <w:vAlign w:val="bottom"/>
            <w:gridSpan w:val="3"/>
          </w:tcPr>
          <w:p>
            <w:pPr>
              <w:jc w:val="right"/>
              <w:ind w:right="400"/>
              <w:spacing w:after="0"/>
              <w:rPr>
                <w:sz w:val="20"/>
                <w:szCs w:val="20"/>
                <w:color w:val="auto"/>
              </w:rPr>
            </w:pPr>
            <w:r>
              <w:rPr>
                <w:rFonts w:ascii="Arial" w:cs="Arial" w:eastAsia="Arial" w:hAnsi="Arial"/>
                <w:sz w:val="18"/>
                <w:szCs w:val="18"/>
                <w:color w:val="auto"/>
              </w:rPr>
              <w:t>597,608</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21.3</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602,881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778,528</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27.5</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760,964</w:t>
            </w:r>
          </w:p>
        </w:tc>
        <w:tc>
          <w:tcPr>
            <w:tcW w:w="9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26.7</w:t>
            </w: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399,995</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14.3</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399,074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Arial" w:cs="Arial" w:eastAsia="Arial" w:hAnsi="Arial"/>
                <w:sz w:val="18"/>
                <w:szCs w:val="18"/>
                <w:color w:val="auto"/>
              </w:rPr>
              <w:t>BBB</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231,919</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8.2</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223,293</w:t>
            </w:r>
          </w:p>
        </w:tc>
        <w:tc>
          <w:tcPr>
            <w:tcW w:w="960" w:type="dxa"/>
            <w:vAlign w:val="bottom"/>
            <w:gridSpan w:val="2"/>
          </w:tcPr>
          <w:p>
            <w:pPr>
              <w:jc w:val="right"/>
              <w:ind w:right="229"/>
              <w:spacing w:after="0"/>
              <w:rPr>
                <w:sz w:val="20"/>
                <w:szCs w:val="20"/>
                <w:color w:val="auto"/>
              </w:rPr>
            </w:pPr>
            <w:r>
              <w:rPr>
                <w:rFonts w:ascii="Arial" w:cs="Arial" w:eastAsia="Arial" w:hAnsi="Arial"/>
                <w:sz w:val="18"/>
                <w:szCs w:val="18"/>
                <w:color w:val="auto"/>
              </w:rPr>
              <w:t>7.8</w:t>
            </w:r>
          </w:p>
        </w:tc>
        <w:tc>
          <w:tcPr>
            <w:tcW w:w="1400" w:type="dxa"/>
            <w:vAlign w:val="bottom"/>
            <w:gridSpan w:val="3"/>
          </w:tcPr>
          <w:p>
            <w:pPr>
              <w:jc w:val="right"/>
              <w:ind w:right="400"/>
              <w:spacing w:after="0"/>
              <w:rPr>
                <w:sz w:val="20"/>
                <w:szCs w:val="20"/>
                <w:color w:val="auto"/>
              </w:rPr>
            </w:pPr>
            <w:r>
              <w:rPr>
                <w:rFonts w:ascii="Arial" w:cs="Arial" w:eastAsia="Arial" w:hAnsi="Arial"/>
                <w:sz w:val="18"/>
                <w:szCs w:val="18"/>
                <w:color w:val="auto"/>
              </w:rPr>
              <w:t>100,784</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97,340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BB</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5,136</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4,448</w:t>
            </w:r>
          </w:p>
        </w:tc>
        <w:tc>
          <w:tcPr>
            <w:tcW w:w="96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0.2</w:t>
            </w:r>
          </w:p>
        </w:tc>
        <w:tc>
          <w:tcPr>
            <w:tcW w:w="14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3,913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3,827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42,383</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43,365</w:t>
            </w:r>
          </w:p>
        </w:tc>
        <w:tc>
          <w:tcPr>
            <w:tcW w:w="960" w:type="dxa"/>
            <w:vAlign w:val="bottom"/>
            <w:gridSpan w:val="2"/>
          </w:tcPr>
          <w:p>
            <w:pPr>
              <w:jc w:val="right"/>
              <w:ind w:right="229"/>
              <w:spacing w:after="0"/>
              <w:rPr>
                <w:sz w:val="20"/>
                <w:szCs w:val="20"/>
                <w:color w:val="auto"/>
              </w:rPr>
            </w:pPr>
            <w:r>
              <w:rPr>
                <w:rFonts w:ascii="Arial" w:cs="Arial" w:eastAsia="Arial" w:hAnsi="Arial"/>
                <w:sz w:val="18"/>
                <w:szCs w:val="18"/>
                <w:color w:val="auto"/>
              </w:rPr>
              <w:t>1.5</w:t>
            </w:r>
          </w:p>
        </w:tc>
        <w:tc>
          <w:tcPr>
            <w:tcW w:w="1400" w:type="dxa"/>
            <w:vAlign w:val="bottom"/>
            <w:gridSpan w:val="3"/>
          </w:tcPr>
          <w:p>
            <w:pPr>
              <w:jc w:val="right"/>
              <w:ind w:right="400"/>
              <w:spacing w:after="0"/>
              <w:rPr>
                <w:sz w:val="20"/>
                <w:szCs w:val="20"/>
                <w:color w:val="auto"/>
              </w:rPr>
            </w:pPr>
            <w:r>
              <w:rPr>
                <w:rFonts w:ascii="Arial" w:cs="Arial" w:eastAsia="Arial" w:hAnsi="Arial"/>
                <w:sz w:val="18"/>
                <w:szCs w:val="18"/>
                <w:color w:val="auto"/>
              </w:rPr>
              <w:t>19,785</w:t>
            </w: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4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14,616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$ 2,834,209</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0"/>
              </w:rPr>
              <w:t>$ 2,853,829</w:t>
            </w:r>
          </w:p>
        </w:tc>
        <w:tc>
          <w:tcPr>
            <w:tcW w:w="96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$ 2,803,632</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$ 2,824,572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13042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354" w:lineRule="exact"/>
        <w:rPr>
          <w:sz w:val="20"/>
          <w:szCs w:val="20"/>
          <w:color w:val="auto"/>
        </w:rPr>
      </w:pPr>
    </w:p>
    <w:p>
      <w:pPr>
        <w:ind w:left="440" w:hanging="433"/>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Ratings as assigned by Standard &amp; Poor’s Ratings Group and Moody’s Investors Services.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December 31, 2008: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jc w:val="right"/>
              <w:ind w:right="1260"/>
              <w:spacing w:after="0"/>
              <w:rPr>
                <w:sz w:val="20"/>
                <w:szCs w:val="20"/>
                <w:color w:val="auto"/>
              </w:rPr>
            </w:pPr>
            <w:r>
              <w:rPr>
                <w:rFonts w:ascii="Arial" w:cs="Arial" w:eastAsia="Arial" w:hAnsi="Arial"/>
                <w:sz w:val="14"/>
                <w:szCs w:val="14"/>
                <w:b w:val="1"/>
                <w:bCs w:val="1"/>
                <w:color w:val="auto"/>
              </w:rPr>
              <w:t>December 31, 2008</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Maturity</w:t>
            </w:r>
          </w:p>
        </w:tc>
        <w:tc>
          <w:tcPr>
            <w:tcW w:w="1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tcPr>
          <w:p>
            <w:pPr>
              <w:jc w:val="center"/>
              <w:ind w:right="740"/>
              <w:spacing w:after="0" w:line="118" w:lineRule="exact"/>
              <w:rPr>
                <w:sz w:val="20"/>
                <w:szCs w:val="20"/>
                <w:color w:val="auto"/>
              </w:rPr>
            </w:pPr>
            <w:r>
              <w:rPr>
                <w:rFonts w:ascii="Arial" w:cs="Arial" w:eastAsia="Arial" w:hAnsi="Arial"/>
                <w:sz w:val="13"/>
                <w:szCs w:val="13"/>
                <w:b w:val="1"/>
                <w:bCs w:val="1"/>
                <w:color w:val="auto"/>
              </w:rPr>
              <w:t>Amortized</w:t>
            </w:r>
          </w:p>
        </w:tc>
        <w:tc>
          <w:tcPr>
            <w:tcW w:w="1380" w:type="dxa"/>
            <w:vAlign w:val="bottom"/>
            <w:gridSpan w:val="2"/>
          </w:tcPr>
          <w:p>
            <w:pPr>
              <w:ind w:left="180"/>
              <w:spacing w:after="0" w:line="118"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0"/>
                <w:szCs w:val="10"/>
                <w:color w:val="auto"/>
              </w:rPr>
            </w:pPr>
          </w:p>
        </w:tc>
        <w:tc>
          <w:tcPr>
            <w:tcW w:w="7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2"/>
              </w:rPr>
              <w:t>Fair Value</w:t>
            </w:r>
          </w:p>
        </w:tc>
        <w:tc>
          <w:tcPr>
            <w:tcW w:w="660" w:type="dxa"/>
            <w:vAlign w:val="bottom"/>
            <w:vMerge w:val="restart"/>
          </w:tcPr>
          <w:p>
            <w:pPr>
              <w:spacing w:after="0"/>
              <w:rPr>
                <w:sz w:val="10"/>
                <w:szCs w:val="10"/>
                <w:color w:val="auto"/>
              </w:rPr>
            </w:pPr>
          </w:p>
        </w:tc>
        <w:tc>
          <w:tcPr>
            <w:tcW w:w="660" w:type="dxa"/>
            <w:vAlign w:val="bottom"/>
          </w:tcPr>
          <w:p>
            <w:pPr>
              <w:ind w:left="180"/>
              <w:spacing w:after="0" w:line="118"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020" w:type="dxa"/>
            <w:vAlign w:val="bottom"/>
            <w:tcBorders>
              <w:bottom w:val="single" w:sz="8" w:color="auto"/>
            </w:tcBorders>
            <w:vMerge w:val="continue"/>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tcPr>
          <w:p>
            <w:pPr>
              <w:spacing w:after="0"/>
              <w:rPr>
                <w:sz w:val="14"/>
                <w:szCs w:val="1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gridSpan w:val="5"/>
          </w:tcPr>
          <w:p>
            <w:pPr>
              <w:jc w:val="right"/>
              <w:ind w:right="1160"/>
              <w:spacing w:after="0" w:line="140" w:lineRule="exact"/>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2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313,583</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315,826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1,123,303</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1,129,429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3"/>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1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845,396</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848,144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8"/>
                <w:szCs w:val="18"/>
                <w:color w:val="auto"/>
              </w:rPr>
              <w:t>After ten years</w:t>
            </w:r>
          </w:p>
        </w:tc>
        <w:tc>
          <w:tcPr>
            <w:tcW w:w="1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288,220</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295,974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3"/>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263,707</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264,456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20" w:type="dxa"/>
            <w:vAlign w:val="bottom"/>
          </w:tcPr>
          <w:p>
            <w:pPr>
              <w:spacing w:after="0"/>
              <w:rPr>
                <w:sz w:val="19"/>
                <w:szCs w:val="19"/>
                <w:color w:val="auto"/>
              </w:rPr>
            </w:pPr>
          </w:p>
        </w:tc>
        <w:tc>
          <w:tcPr>
            <w:tcW w:w="224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2,834,209</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2,853,829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4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020" w:type="dxa"/>
            <w:vAlign w:val="bottom"/>
          </w:tcPr>
          <w:p>
            <w:pPr>
              <w:spacing w:after="0"/>
              <w:rPr>
                <w:sz w:val="24"/>
                <w:szCs w:val="24"/>
                <w:color w:val="auto"/>
              </w:rPr>
            </w:pPr>
          </w:p>
        </w:tc>
        <w:tc>
          <w:tcPr>
            <w:tcW w:w="2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60" w:firstLine="212"/>
        <w:spacing w:after="0" w:line="257" w:lineRule="auto"/>
        <w:rPr>
          <w:sz w:val="20"/>
          <w:szCs w:val="20"/>
          <w:color w:val="auto"/>
        </w:rPr>
      </w:pPr>
      <w:r>
        <w:rPr>
          <w:rFonts w:ascii="Arial" w:cs="Arial" w:eastAsia="Arial" w:hAnsi="Arial"/>
          <w:sz w:val="18"/>
          <w:szCs w:val="18"/>
          <w:color w:val="auto"/>
        </w:rPr>
        <w:t>At December 31, 2008, the majority of our mortgage-backed securities were acquired as a result of the acquisition of the LFG Underwriters. Of the total balance, 97% of these securities are rated AAA. They are made up of $150.5 million of agency mortgage-backed securities, $38.8 million of agency collateralized mortgage obligations, and $75.2 million of commercial mortgage-backed securities.</w:t>
      </w:r>
    </w:p>
    <w:p>
      <w:pPr>
        <w:spacing w:after="0" w:line="82" w:lineRule="exact"/>
        <w:rPr>
          <w:sz w:val="20"/>
          <w:szCs w:val="20"/>
          <w:color w:val="auto"/>
        </w:rPr>
      </w:pPr>
    </w:p>
    <w:p>
      <w:pPr>
        <w:ind w:right="20" w:firstLine="222"/>
        <w:spacing w:after="0" w:line="331" w:lineRule="auto"/>
        <w:rPr>
          <w:sz w:val="20"/>
          <w:szCs w:val="20"/>
          <w:color w:val="auto"/>
        </w:rPr>
      </w:pPr>
      <w:r>
        <w:rPr>
          <w:rFonts w:ascii="Arial" w:cs="Arial" w:eastAsia="Arial" w:hAnsi="Arial"/>
          <w:sz w:val="16"/>
          <w:szCs w:val="16"/>
          <w:color w:val="auto"/>
        </w:rPr>
        <w:t>Expected maturities may differ from contractual maturities because certain borrowers have the right to call or prepay obligations with or without call or prepayment penalties. Fixed maturity securities with an amortized cost of $440.1 million and a fair value of $448.6 million were callable at December 31, 2008.</w:t>
      </w:r>
    </w:p>
    <w:p>
      <w:pPr>
        <w:spacing w:after="0" w:line="26" w:lineRule="exact"/>
        <w:rPr>
          <w:sz w:val="20"/>
          <w:szCs w:val="20"/>
          <w:color w:val="auto"/>
        </w:rPr>
      </w:pPr>
    </w:p>
    <w:p>
      <w:pPr>
        <w:jc w:val="both"/>
        <w:ind w:right="120" w:firstLine="222"/>
        <w:spacing w:after="0" w:line="257" w:lineRule="auto"/>
        <w:rPr>
          <w:sz w:val="20"/>
          <w:szCs w:val="20"/>
          <w:color w:val="auto"/>
        </w:rPr>
      </w:pPr>
      <w:r>
        <w:rPr>
          <w:rFonts w:ascii="Arial" w:cs="Arial" w:eastAsia="Arial" w:hAnsi="Arial"/>
          <w:sz w:val="18"/>
          <w:szCs w:val="18"/>
          <w:color w:val="auto"/>
        </w:rPr>
        <w:t>Our equity securities at December 31, 2008 and 2007 consisted of investments in various industry groups at a cost basis of $79.8 million and $96.1 million, respectively, and fair value of $71.5 million and $93.3 million, respectively. There were no significant investments in banks, trust and insurance companies at December 31, 2008 or 2007.</w:t>
      </w:r>
    </w:p>
    <w:p>
      <w:pPr>
        <w:spacing w:after="0" w:line="82" w:lineRule="exact"/>
        <w:rPr>
          <w:sz w:val="20"/>
          <w:szCs w:val="20"/>
          <w:color w:val="auto"/>
        </w:rPr>
      </w:pPr>
    </w:p>
    <w:p>
      <w:pPr>
        <w:ind w:right="100" w:firstLine="222"/>
        <w:spacing w:after="0" w:line="267" w:lineRule="auto"/>
        <w:rPr>
          <w:sz w:val="20"/>
          <w:szCs w:val="20"/>
          <w:color w:val="auto"/>
        </w:rPr>
      </w:pPr>
      <w:r>
        <w:rPr>
          <w:rFonts w:ascii="Arial" w:cs="Arial" w:eastAsia="Arial" w:hAnsi="Arial"/>
          <w:sz w:val="18"/>
          <w:szCs w:val="18"/>
          <w:color w:val="auto"/>
        </w:rPr>
        <w:t>In addition, at December 31, 2008 and 2007, we held $644.5 million and $738.4 million, respectively, in investments that are accounted for using the equity method (see note D of Notes to Consolidated Financial Statements).</w:t>
      </w:r>
    </w:p>
    <w:p>
      <w:pPr>
        <w:spacing w:after="0" w:line="73"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Short-term investments, which consist primarily of securities purchased under agreements to resell, commercial paper and money market instruments which have an original maturity of one year or less, are carried at amortized cost, which approximates fair value. As of December 31, 2008 and 2007, short-term investments amounted to $788.4 million and $427.4 million, respectively.</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investment results for the years ended December 31, 2008, 2007 and 2006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0"/>
        </w:trPr>
        <w:tc>
          <w:tcPr>
            <w:tcW w:w="7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40"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40" w:lineRule="exact"/>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6"/>
              <w:spacing w:after="0" w:line="140"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r>
      <w:tr>
        <w:trPr>
          <w:trHeight w:val="140"/>
        </w:trPr>
        <w:tc>
          <w:tcPr>
            <w:tcW w:w="7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gridSpan w:val="4"/>
          </w:tcPr>
          <w:p>
            <w:pPr>
              <w:jc w:val="center"/>
              <w:ind w:right="300"/>
              <w:spacing w:after="0" w:line="140" w:lineRule="exact"/>
              <w:rPr>
                <w:sz w:val="20"/>
                <w:szCs w:val="20"/>
                <w:color w:val="auto"/>
              </w:rPr>
            </w:pPr>
            <w:r>
              <w:rPr>
                <w:rFonts w:ascii="Arial" w:cs="Arial" w:eastAsia="Arial" w:hAnsi="Arial"/>
                <w:sz w:val="14"/>
                <w:szCs w:val="14"/>
                <w:b w:val="1"/>
                <w:bCs w:val="1"/>
                <w:color w:val="auto"/>
                <w:w w:val="90"/>
              </w:rPr>
              <w:t>(Dollars in thousands)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3"/>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153,770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219,771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244,185</w:t>
            </w:r>
          </w:p>
        </w:tc>
      </w:tr>
      <w:tr>
        <w:trPr>
          <w:trHeight w:val="213"/>
        </w:trPr>
        <w:tc>
          <w:tcPr>
            <w:tcW w:w="7400" w:type="dxa"/>
            <w:vAlign w:val="bottom"/>
          </w:tcPr>
          <w:p>
            <w:pPr>
              <w:spacing w:after="0"/>
              <w:rPr>
                <w:sz w:val="20"/>
                <w:szCs w:val="20"/>
                <w:color w:val="auto"/>
              </w:rPr>
            </w:pPr>
            <w:r>
              <w:rPr>
                <w:rFonts w:ascii="Arial" w:cs="Arial" w:eastAsia="Arial" w:hAnsi="Arial"/>
                <w:sz w:val="18"/>
                <w:szCs w:val="18"/>
                <w:color w:val="auto"/>
              </w:rPr>
              <w:t>Average invested assets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3,545,490</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w w:val="87"/>
              </w:rPr>
              <w:t>4,414,951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5,088,863</w:t>
            </w:r>
          </w:p>
        </w:tc>
      </w:tr>
      <w:tr>
        <w:trPr>
          <w:trHeight w:val="213"/>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Effective return on average invested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186055</wp:posOffset>
            </wp:positionV>
            <wp:extent cx="13042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341" w:lineRule="exact"/>
        <w:rPr>
          <w:sz w:val="20"/>
          <w:szCs w:val="20"/>
          <w:color w:val="auto"/>
        </w:rPr>
      </w:pPr>
    </w:p>
    <w:p>
      <w:pPr>
        <w:ind w:left="440" w:right="160" w:hanging="433"/>
        <w:spacing w:after="0" w:line="267"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investment income as reported in our Consolidated Statements of Earnings has been adjusted in the presentation above to provide the tax equivalent yield on tax exempt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19" w:lineRule="exact"/>
        <w:rPr>
          <w:sz w:val="20"/>
          <w:szCs w:val="20"/>
          <w:color w:val="auto"/>
        </w:rPr>
      </w:pPr>
    </w:p>
    <w:p>
      <w:pPr>
        <w:ind w:right="20" w:firstLine="212"/>
        <w:spacing w:after="0" w:line="270" w:lineRule="auto"/>
        <w:rPr>
          <w:sz w:val="20"/>
          <w:szCs w:val="20"/>
          <w:color w:val="auto"/>
        </w:rPr>
      </w:pPr>
      <w:r>
        <w:rPr>
          <w:rFonts w:ascii="Arial" w:cs="Arial" w:eastAsia="Arial" w:hAnsi="Arial"/>
          <w:sz w:val="17"/>
          <w:szCs w:val="17"/>
          <w:color w:val="auto"/>
        </w:rPr>
        <w:t>As of January 31, 2009, we had approximately 13,700 full-time equivalent employees, excluding the employees that were added with the acquisition of the LFG Underwriters. With that acquisition, we added approximately 5,500 employees, including 1,600 employees that have been terminated since the acquisition. During the three years ended December 31, 2008, we sought to reduce our head count as activity in our Fidelity National Title Group segment declined. In that segment, we have reduced our full-time equivalent employees by about 2,100 during 2008, 3,100 during 2007 and 1,700 during 2006. We believe that our relations with employees are generally good. None of our employees are subject to collective bargaining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Forward-Looking Information</w:t>
      </w:r>
    </w:p>
    <w:p>
      <w:pPr>
        <w:spacing w:after="0" w:line="119" w:lineRule="exact"/>
        <w:rPr>
          <w:sz w:val="20"/>
          <w:szCs w:val="20"/>
          <w:color w:val="auto"/>
        </w:rPr>
      </w:pPr>
    </w:p>
    <w:p>
      <w:pPr>
        <w:ind w:right="200" w:firstLine="219"/>
        <w:spacing w:after="0" w:line="252" w:lineRule="auto"/>
        <w:rPr>
          <w:sz w:val="20"/>
          <w:szCs w:val="20"/>
          <w:color w:val="auto"/>
        </w:rPr>
      </w:pPr>
      <w:r>
        <w:rPr>
          <w:rFonts w:ascii="Arial" w:cs="Arial" w:eastAsia="Arial" w:hAnsi="Arial"/>
          <w:sz w:val="18"/>
          <w:szCs w:val="18"/>
          <w:color w:val="auto"/>
        </w:rPr>
        <w:t>The statements contained in this Form 10-K or in our other documents or in oral presentations or other statements made by our management that are not purely historical are forward-looking statements within the meaning of Section 27A of the Securities Act of 1933 and Section 21E of the Securities Exchange Act of 1934, including statements regarding our expectations, hopes, intentions, or strategies regarding the future. These statements relate to, among other things, future financial and operating results of Fidelity. In many cases, you can identify forward-looking statements by terminology such as “may,” “will,” “should,” “expect,” “plan,” “anticipate,” “believe,”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color w:val="auto"/>
        </w:rPr>
        <w:t>“estimate,” “predict,” “potential,” or “continue,” or the negative of these terms and other comparable terminology. Actual results could differ materially from those anticipated in these statements as a result of a number of factors, including, but not limited to:</w:t>
      </w:r>
    </w:p>
    <w:p>
      <w:pPr>
        <w:spacing w:after="0" w:line="73" w:lineRule="exact"/>
        <w:rPr>
          <w:sz w:val="20"/>
          <w:szCs w:val="20"/>
          <w:color w:val="auto"/>
        </w:rPr>
      </w:pPr>
    </w:p>
    <w:p>
      <w:pPr>
        <w:ind w:left="680" w:right="100" w:hanging="447"/>
        <w:spacing w:after="0" w:line="331" w:lineRule="auto"/>
        <w:tabs>
          <w:tab w:leader="none" w:pos="68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the possibility that revenues, cost savings, growth prospects, and any other synergies expected from our acquisition of the LFG Underwriters will not be realized (see “Recent Developments” in Item 7, Management’s Discussion and Analysis of Financial Condition and Results of Operations);</w:t>
      </w:r>
    </w:p>
    <w:p>
      <w:pPr>
        <w:spacing w:after="0" w:line="39" w:lineRule="exact"/>
        <w:rPr>
          <w:rFonts w:ascii="Arial" w:cs="Arial" w:eastAsia="Arial" w:hAnsi="Arial"/>
          <w:sz w:val="16"/>
          <w:szCs w:val="16"/>
          <w:b w:val="1"/>
          <w:bCs w:val="1"/>
          <w:color w:val="auto"/>
        </w:rPr>
      </w:pPr>
    </w:p>
    <w:p>
      <w:pPr>
        <w:ind w:left="680" w:hanging="447"/>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changes in general economic, business, and political conditions, including changes in the financial markets;</w:t>
      </w:r>
    </w:p>
    <w:p>
      <w:pPr>
        <w:spacing w:after="0" w:line="126" w:lineRule="exact"/>
        <w:rPr>
          <w:rFonts w:ascii="Arial" w:cs="Arial" w:eastAsia="Arial" w:hAnsi="Arial"/>
          <w:sz w:val="18"/>
          <w:szCs w:val="18"/>
          <w:b w:val="1"/>
          <w:bCs w:val="1"/>
          <w:color w:val="auto"/>
        </w:rPr>
      </w:pPr>
    </w:p>
    <w:p>
      <w:pPr>
        <w:ind w:left="680" w:right="300" w:hanging="447"/>
        <w:spacing w:after="0" w:line="267" w:lineRule="auto"/>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continued weakness or adverse changes in the level of real estate activity, which may be caused by, among other things, high or increasing interest rates, a limited supply of mortgage funding, or a weak U.S. economy;</w:t>
      </w:r>
    </w:p>
    <w:p>
      <w:pPr>
        <w:spacing w:after="0" w:line="86" w:lineRule="exact"/>
        <w:rPr>
          <w:rFonts w:ascii="Arial" w:cs="Arial" w:eastAsia="Arial" w:hAnsi="Arial"/>
          <w:sz w:val="18"/>
          <w:szCs w:val="18"/>
          <w:b w:val="1"/>
          <w:bCs w:val="1"/>
          <w:color w:val="auto"/>
        </w:rPr>
      </w:pPr>
    </w:p>
    <w:p>
      <w:pPr>
        <w:ind w:left="680" w:right="680" w:hanging="447"/>
        <w:spacing w:after="0" w:line="267" w:lineRule="auto"/>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spacing w:after="0" w:line="86" w:lineRule="exact"/>
        <w:rPr>
          <w:rFonts w:ascii="Arial" w:cs="Arial" w:eastAsia="Arial" w:hAnsi="Arial"/>
          <w:sz w:val="18"/>
          <w:szCs w:val="18"/>
          <w:b w:val="1"/>
          <w:bCs w:val="1"/>
          <w:color w:val="auto"/>
        </w:rPr>
      </w:pPr>
    </w:p>
    <w:p>
      <w:pPr>
        <w:ind w:left="680" w:hanging="447"/>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dependence on distributions from our title insurance underwriters as our main source of cash flow;</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significant competition that our operating subsidiaries face;</w:t>
      </w:r>
    </w:p>
    <w:p>
      <w:pPr>
        <w:spacing w:after="0" w:line="126" w:lineRule="exact"/>
        <w:rPr>
          <w:rFonts w:ascii="Arial" w:cs="Arial" w:eastAsia="Arial" w:hAnsi="Arial"/>
          <w:sz w:val="18"/>
          <w:szCs w:val="18"/>
          <w:b w:val="1"/>
          <w:bCs w:val="1"/>
          <w:color w:val="auto"/>
        </w:rPr>
      </w:pPr>
    </w:p>
    <w:p>
      <w:pPr>
        <w:ind w:left="680" w:right="480" w:hanging="447"/>
        <w:spacing w:after="0" w:line="267" w:lineRule="auto"/>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compliance with extensive government regulation of our operating subsidiaries and adverse changes in applicable laws or regulations or in their application by regulators;</w:t>
      </w:r>
    </w:p>
    <w:p>
      <w:pPr>
        <w:spacing w:after="0" w:line="86" w:lineRule="exact"/>
        <w:rPr>
          <w:rFonts w:ascii="Arial" w:cs="Arial" w:eastAsia="Arial" w:hAnsi="Arial"/>
          <w:sz w:val="18"/>
          <w:szCs w:val="18"/>
          <w:b w:val="1"/>
          <w:bCs w:val="1"/>
          <w:color w:val="auto"/>
        </w:rPr>
      </w:pPr>
    </w:p>
    <w:p>
      <w:pPr>
        <w:ind w:left="680" w:hanging="447"/>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regulatory investigations of the title insurance industry;</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business concentration in the State of California, the source of approximately 18% of our title insurance premiums; and</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other risks detailed elsewhere in this document and in our other filings with the SEC.</w:t>
      </w:r>
    </w:p>
    <w:p>
      <w:pPr>
        <w:spacing w:after="0" w:line="113" w:lineRule="exact"/>
        <w:rPr>
          <w:sz w:val="20"/>
          <w:szCs w:val="20"/>
          <w:color w:val="auto"/>
        </w:rPr>
      </w:pPr>
    </w:p>
    <w:p>
      <w:pPr>
        <w:ind w:right="160" w:firstLine="219"/>
        <w:spacing w:after="0" w:line="257" w:lineRule="auto"/>
        <w:rPr>
          <w:sz w:val="20"/>
          <w:szCs w:val="20"/>
          <w:color w:val="auto"/>
        </w:rPr>
      </w:pPr>
      <w:r>
        <w:rPr>
          <w:rFonts w:ascii="Arial" w:cs="Arial" w:eastAsia="Arial" w:hAnsi="Arial"/>
          <w:sz w:val="18"/>
          <w:szCs w:val="18"/>
          <w:color w:val="auto"/>
        </w:rPr>
        <w:t>We are not under any obligation (and expressly disclaim any such obligation) to update or alter our forward-looking statements, whether as a result of new information, future events or otherwise. You should carefully consider the possibility that actual results may differ materially from our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19" w:lineRule="exact"/>
        <w:rPr>
          <w:sz w:val="20"/>
          <w:szCs w:val="20"/>
          <w:color w:val="auto"/>
        </w:rPr>
      </w:pPr>
    </w:p>
    <w:p>
      <w:pPr>
        <w:ind w:right="80" w:firstLine="222"/>
        <w:spacing w:after="0" w:line="273" w:lineRule="auto"/>
        <w:rPr>
          <w:sz w:val="20"/>
          <w:szCs w:val="20"/>
          <w:color w:val="auto"/>
        </w:rPr>
      </w:pPr>
      <w:r>
        <w:rPr>
          <w:rFonts w:ascii="Arial" w:cs="Arial" w:eastAsia="Arial" w:hAnsi="Arial"/>
          <w:sz w:val="17"/>
          <w:szCs w:val="17"/>
          <w:color w:val="auto"/>
        </w:rPr>
        <w:t>Our website address is www.fnf.com. We make available free of charge on or through our website our Annual Report on Form 10-K, Quarterly Reports on Form 10-Q, Current Reports on Form 8-K and all amendments to those reports filed or furnished pursuant to Section 13(a) or 15(d) of the Securities Exchange Act of 1934, as amended, as soon as reasonably practicable after such material is electronically filed with or furnished to the Securities and Exchange Commission. However, the information found on our website is not part of this or any other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19"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In addition to the normal risks of business, we are subject to significant risks and uncertainties, including those listed below and others described elsewhere in this Annual Report on Form 10-K. Any of the risks described herein could result in a significant or material adverse effect on our results of operations or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If adverse changes in the levels of real estate activity occur, our revenues may decline.</w:t>
      </w:r>
    </w:p>
    <w:p>
      <w:pPr>
        <w:spacing w:after="0" w:line="113" w:lineRule="exact"/>
        <w:rPr>
          <w:sz w:val="20"/>
          <w:szCs w:val="20"/>
          <w:color w:val="auto"/>
        </w:rPr>
      </w:pPr>
    </w:p>
    <w:p>
      <w:pPr>
        <w:jc w:val="both"/>
        <w:ind w:firstLine="219"/>
        <w:spacing w:after="0" w:line="257" w:lineRule="auto"/>
        <w:rPr>
          <w:sz w:val="20"/>
          <w:szCs w:val="20"/>
          <w:color w:val="auto"/>
        </w:rPr>
      </w:pPr>
      <w:r>
        <w:rPr>
          <w:rFonts w:ascii="Arial" w:cs="Arial" w:eastAsia="Arial" w:hAnsi="Arial"/>
          <w:sz w:val="18"/>
          <w:szCs w:val="18"/>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 Both the volume and the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average price of residential real estate transactions have recently experienced declines in many parts of the country, and these trends appear likely to continue. The volume of refinancing transactions in particular and mortgage originations in general declined in the 2006 through 2008 period from 2005 and prior levels, resulting in reduction of revenues in some of our businesses.</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found that residential real estate activity generally decreases in the following situations:</w:t>
      </w:r>
    </w:p>
    <w:p>
      <w:pPr>
        <w:spacing w:after="0" w:line="113" w:lineRule="exact"/>
        <w:rPr>
          <w:sz w:val="20"/>
          <w:szCs w:val="20"/>
          <w:color w:val="auto"/>
        </w:rPr>
      </w:pPr>
    </w:p>
    <w:p>
      <w:pPr>
        <w:ind w:left="680" w:hanging="447"/>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when mortgage interest rates are high or increasing;</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when the mortgage funding supply is limited; and</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when the United States economy is weak.</w:t>
      </w:r>
    </w:p>
    <w:p>
      <w:pPr>
        <w:spacing w:after="0" w:line="113" w:lineRule="exact"/>
        <w:rPr>
          <w:sz w:val="20"/>
          <w:szCs w:val="20"/>
          <w:color w:val="auto"/>
        </w:rPr>
      </w:pPr>
    </w:p>
    <w:p>
      <w:pPr>
        <w:ind w:firstLine="222"/>
        <w:spacing w:after="0" w:line="267" w:lineRule="auto"/>
        <w:rPr>
          <w:sz w:val="20"/>
          <w:szCs w:val="20"/>
          <w:color w:val="auto"/>
        </w:rPr>
      </w:pPr>
      <w:r>
        <w:rPr>
          <w:rFonts w:ascii="Arial" w:cs="Arial" w:eastAsia="Arial" w:hAnsi="Arial"/>
          <w:sz w:val="17"/>
          <w:szCs w:val="17"/>
          <w:color w:val="auto"/>
        </w:rPr>
        <w:t>Declines in the level of real estate activity or the average price of real estate sales are likely to adversely affect our title insurance revenues. In 2008, the sharply rising mortgage delinquency and default rates caused negative operating results at a number of banks and financial institutions and, as a result, have significantly reduced the level of lending activity. The current Mortgage Bankers Association forecast is for approximately $2.0 trillion of mortgage originations in 2009 compared to $1.7 trillion in 2008. In December 2008 and continuing into February 2009, our open order volumes for refinancing transactions have increased, reflecting lower interest rates. However, it is too soon to tell if the portion of these open orders that actually closes will be consistent with our closing percentages in prior periods or how long this increased activity will last. Several banks have failed in recent months and others may fail in the short to medium term, further reducing the capacity of the mortgage industry to make loans. Our revenues in future periods will continue to be subject to these and other factors which are beyond our control and, as a result, are likely to fluctuate.</w:t>
      </w:r>
    </w:p>
    <w:p>
      <w:pPr>
        <w:spacing w:after="0" w:line="181" w:lineRule="exact"/>
        <w:rPr>
          <w:sz w:val="20"/>
          <w:szCs w:val="20"/>
          <w:color w:val="auto"/>
        </w:rPr>
      </w:pPr>
    </w:p>
    <w:p>
      <w:pPr>
        <w:ind w:right="200" w:firstLine="89"/>
        <w:spacing w:after="0" w:line="267" w:lineRule="auto"/>
        <w:rPr>
          <w:sz w:val="20"/>
          <w:szCs w:val="20"/>
          <w:color w:val="auto"/>
        </w:rPr>
      </w:pPr>
      <w:r>
        <w:rPr>
          <w:rFonts w:ascii="Arial" w:cs="Arial" w:eastAsia="Arial" w:hAnsi="Arial"/>
          <w:sz w:val="18"/>
          <w:szCs w:val="18"/>
          <w:b w:val="1"/>
          <w:bCs w:val="1"/>
          <w:i w:val="1"/>
          <w:iCs w:val="1"/>
          <w:color w:val="auto"/>
        </w:rPr>
        <w:t>We have recorded goodwill as a result of prior acquisitions, and an economic downturn could cause these balances to become impaired, requiring write-downs that would reduce our operating income.</w:t>
      </w:r>
    </w:p>
    <w:p>
      <w:pPr>
        <w:spacing w:after="0" w:line="73" w:lineRule="exact"/>
        <w:rPr>
          <w:sz w:val="20"/>
          <w:szCs w:val="20"/>
          <w:color w:val="auto"/>
        </w:rPr>
      </w:pPr>
    </w:p>
    <w:p>
      <w:pPr>
        <w:ind w:firstLine="222"/>
        <w:spacing w:after="0" w:line="267" w:lineRule="auto"/>
        <w:rPr>
          <w:sz w:val="20"/>
          <w:szCs w:val="20"/>
          <w:color w:val="auto"/>
        </w:rPr>
      </w:pPr>
      <w:r>
        <w:rPr>
          <w:rFonts w:ascii="Arial" w:cs="Arial" w:eastAsia="Arial" w:hAnsi="Arial"/>
          <w:sz w:val="17"/>
          <w:szCs w:val="17"/>
          <w:color w:val="auto"/>
        </w:rPr>
        <w:t>Goodwill aggregated approximately $1,581.7 million, or 18.9% of our total assets, as of December 31, 2008. Current accounting rules require that goodwill be assessed for impairment at least annually or whenever changes in circumstances indicate that the carrying amount may not be recoverable from estimated future cash flows. Factors that may be considered a change in circumstance indicating the carrying value of our intangible assets, including goodwill, may not be recoverable include, but are not limited to, significant underperformance relative to historical or projected future operating results, a significant decline in our stock price and market capitalization, and negative industry or economic trends. However, if the current worldwide economic downturn continues, the carrying amount of our goodwill may no longer be recoverable, and we may be required to record an impairment charge, which would have a negative impact on our results of operations and financial condition. We will continue to monitor our market capitalization and the impact of the current economic downturn on our business to determine if there is an impairment of goodwill in future periods.</w:t>
      </w:r>
    </w:p>
    <w:p>
      <w:pPr>
        <w:spacing w:after="0" w:line="181" w:lineRule="exact"/>
        <w:rPr>
          <w:sz w:val="20"/>
          <w:szCs w:val="20"/>
          <w:color w:val="auto"/>
        </w:rPr>
      </w:pPr>
    </w:p>
    <w:p>
      <w:pPr>
        <w:ind w:right="540" w:firstLine="89"/>
        <w:spacing w:after="0" w:line="267" w:lineRule="auto"/>
        <w:rPr>
          <w:sz w:val="20"/>
          <w:szCs w:val="20"/>
          <w:color w:val="auto"/>
        </w:rPr>
      </w:pPr>
      <w:r>
        <w:rPr>
          <w:rFonts w:ascii="Arial" w:cs="Arial" w:eastAsia="Arial" w:hAnsi="Arial"/>
          <w:sz w:val="18"/>
          <w:szCs w:val="18"/>
          <w:b w:val="1"/>
          <w:bCs w:val="1"/>
          <w:i w:val="1"/>
          <w:iCs w:val="1"/>
          <w:color w:val="auto"/>
        </w:rPr>
        <w:t>If the recent worsening of economic and credit market conditions continues or increases, it could have a material adverse impact on our investment portfolio.</w:t>
      </w:r>
    </w:p>
    <w:p>
      <w:pPr>
        <w:spacing w:after="0" w:line="73" w:lineRule="exact"/>
        <w:rPr>
          <w:sz w:val="20"/>
          <w:szCs w:val="20"/>
          <w:color w:val="auto"/>
        </w:rPr>
      </w:pPr>
    </w:p>
    <w:p>
      <w:pPr>
        <w:ind w:right="160" w:firstLine="222"/>
        <w:spacing w:after="0" w:line="285" w:lineRule="auto"/>
        <w:rPr>
          <w:sz w:val="20"/>
          <w:szCs w:val="20"/>
          <w:color w:val="auto"/>
        </w:rPr>
      </w:pPr>
      <w:r>
        <w:rPr>
          <w:rFonts w:ascii="Arial" w:cs="Arial" w:eastAsia="Arial" w:hAnsi="Arial"/>
          <w:sz w:val="16"/>
          <w:szCs w:val="16"/>
          <w:color w:val="auto"/>
        </w:rPr>
        <w:t>Our investment portfolio is exposed to economic and financial market risks, including changes in interest rates, credit markets and prices of marketable equity and fixed-income securities. Our investment policy is designed to maximize total return through investment income and capital appreciation consistent with moderate risk of principal, while providing adequate liquidity and complying with internal and regulatory guidelines. To achieve this objective, our marketable debt investments are primarily investment grade, liquid, fixed-income securities and money market instruments denominated in U.S. dollars. We also make investments in certain equity securities in order to take advantage of perceived value and for strategic purposes. Recent economic and credit market conditions have adversely affected the ability of some issuers of investment securities to repay their obligations and have affected and may further affect the values of investment securities. If the carrying value of our investments exceeds the fair value, and the decline in fair value is deemed to be other-than-temporary, we will be required to write down the value of our investments, which could materially harm our results of operations and financial condition.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0" w:firstLine="89"/>
        <w:spacing w:after="0" w:line="267" w:lineRule="auto"/>
        <w:rPr>
          <w:sz w:val="20"/>
          <w:szCs w:val="20"/>
          <w:color w:val="auto"/>
        </w:rPr>
      </w:pPr>
      <w:r>
        <w:rPr>
          <w:rFonts w:ascii="Arial" w:cs="Arial" w:eastAsia="Arial" w:hAnsi="Arial"/>
          <w:sz w:val="18"/>
          <w:szCs w:val="18"/>
          <w:b w:val="1"/>
          <w:bCs w:val="1"/>
          <w:i w:val="1"/>
          <w:iCs w:val="1"/>
          <w:color w:val="auto"/>
        </w:rPr>
        <w:t>If we observe changes in the rate of title insurance claims, it may be necessary for us to record additional charges to our claim loss reserve. This may result in lower net earnings and the potential for earnings volatility.</w:t>
      </w:r>
    </w:p>
    <w:p>
      <w:pPr>
        <w:spacing w:after="0" w:line="73" w:lineRule="exact"/>
        <w:rPr>
          <w:sz w:val="20"/>
          <w:szCs w:val="20"/>
          <w:color w:val="auto"/>
        </w:rPr>
      </w:pPr>
    </w:p>
    <w:p>
      <w:pPr>
        <w:ind w:right="40" w:firstLine="212"/>
        <w:spacing w:after="0" w:line="284" w:lineRule="auto"/>
        <w:rPr>
          <w:sz w:val="20"/>
          <w:szCs w:val="20"/>
          <w:color w:val="auto"/>
        </w:rPr>
      </w:pPr>
      <w:r>
        <w:rPr>
          <w:rFonts w:ascii="Arial" w:cs="Arial" w:eastAsia="Arial" w:hAnsi="Arial"/>
          <w:sz w:val="16"/>
          <w:szCs w:val="16"/>
          <w:color w:val="auto"/>
        </w:rPr>
        <w:t>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the actuarial point estimate provided in the actuarial calculation. Due to the uncertainty and judgment used by both management and our actuary, our ultimate liability may be greater or less than our current reserves and/or our actuary’s calculation. If the recorded amount is within a reasonable range of the actuary’s point estimate, but not at the point estimate, management assesses other factors in order to be comfortable with the position of the recorded reserve within a range. These factors, which are more qualitative than quantitative, can change from period to period and include items such as current trends in the real estate industry (which management can assess, but for which there is a time lag in the development of the data used by our actuary), the stratification of certain claims (large vs. small), improvements in our claims management processes, and other cost saving measures. If the recorded amount is not within a reasonable range of the actuary’s point estimate, we would record a charge and reassess the long-term provision on a go forward basis.</w:t>
      </w:r>
    </w:p>
    <w:p>
      <w:pPr>
        <w:spacing w:after="0" w:line="67" w:lineRule="exact"/>
        <w:rPr>
          <w:sz w:val="20"/>
          <w:szCs w:val="20"/>
          <w:color w:val="auto"/>
        </w:rPr>
      </w:pPr>
    </w:p>
    <w:p>
      <w:pPr>
        <w:ind w:right="20" w:firstLine="212"/>
        <w:spacing w:after="0" w:line="252" w:lineRule="auto"/>
        <w:rPr>
          <w:sz w:val="20"/>
          <w:szCs w:val="20"/>
          <w:color w:val="auto"/>
        </w:rPr>
      </w:pPr>
      <w:r>
        <w:rPr>
          <w:rFonts w:ascii="Arial" w:cs="Arial" w:eastAsia="Arial" w:hAnsi="Arial"/>
          <w:sz w:val="18"/>
          <w:szCs w:val="18"/>
          <w:color w:val="auto"/>
        </w:rPr>
        <w:t>As a result of adverse claim loss development on prior policy years, we recorded charges in 2008 and 2007 totaling $261.6 million ($157.0 million net of income taxes) and $217.2 million ($159.5 million net of income taxes) in our provision for claim losses. These charges were recorded in addition to our provision for claim losses of 8.5% and 7.5%, respectively. These charges brought our reserve position to a level that represents our best estimate of our ultimate liability. We will reassess the provision to be recorded in future periods consistent with this methodology and can make no assurance that we will not need to record charges in the future to increase reserves in respect of prior periods.</w:t>
      </w:r>
    </w:p>
    <w:p>
      <w:pPr>
        <w:spacing w:after="0" w:line="193" w:lineRule="exact"/>
        <w:rPr>
          <w:sz w:val="20"/>
          <w:szCs w:val="20"/>
          <w:color w:val="auto"/>
        </w:rPr>
      </w:pPr>
    </w:p>
    <w:p>
      <w:pPr>
        <w:ind w:firstLine="89"/>
        <w:spacing w:after="0" w:line="267" w:lineRule="auto"/>
        <w:rPr>
          <w:sz w:val="20"/>
          <w:szCs w:val="20"/>
          <w:color w:val="auto"/>
        </w:rPr>
      </w:pPr>
      <w:r>
        <w:rPr>
          <w:rFonts w:ascii="Arial" w:cs="Arial" w:eastAsia="Arial" w:hAnsi="Arial"/>
          <w:sz w:val="18"/>
          <w:szCs w:val="18"/>
          <w:b w:val="1"/>
          <w:bCs w:val="1"/>
          <w:i w:val="1"/>
          <w:iCs w:val="1"/>
          <w:color w:val="auto"/>
        </w:rPr>
        <w:t>Our insurance subsidiaries must comply with extensive regulations. These regulations may increase our costs or impede or impose burdensome conditions on actions that we might seek to take to increase the revenues of those subsidiaries.</w:t>
      </w:r>
    </w:p>
    <w:p>
      <w:pPr>
        <w:spacing w:after="0" w:line="73" w:lineRule="exact"/>
        <w:rPr>
          <w:sz w:val="20"/>
          <w:szCs w:val="20"/>
          <w:color w:val="auto"/>
        </w:rPr>
      </w:pPr>
    </w:p>
    <w:p>
      <w:pPr>
        <w:ind w:right="260" w:firstLine="222"/>
        <w:spacing w:after="0" w:line="267" w:lineRule="auto"/>
        <w:rPr>
          <w:sz w:val="20"/>
          <w:szCs w:val="20"/>
          <w:color w:val="auto"/>
        </w:rPr>
      </w:pPr>
      <w:r>
        <w:rPr>
          <w:rFonts w:ascii="Arial" w:cs="Arial" w:eastAsia="Arial" w:hAnsi="Arial"/>
          <w:sz w:val="18"/>
          <w:szCs w:val="18"/>
          <w:color w:val="auto"/>
        </w:rPr>
        <w:t>Our insurance businesses are subject to extensive regulation by state insurance authorities in each state in which they operate. These agencies have broad administrative and supervisory power relating to the following, among other matters:</w:t>
      </w:r>
    </w:p>
    <w:p>
      <w:pPr>
        <w:spacing w:after="0" w:line="73" w:lineRule="exact"/>
        <w:rPr>
          <w:sz w:val="20"/>
          <w:szCs w:val="20"/>
          <w:color w:val="auto"/>
        </w:rPr>
      </w:pPr>
    </w:p>
    <w:p>
      <w:pPr>
        <w:ind w:left="680" w:hanging="447"/>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licensing requirements;</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trade and marketing practices;</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accounting and financing practices;</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capital and surplus requirements;</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amount of dividends and other payments made by insurance subsidiaries;</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investment practices;</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rate schedules;</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deposits of securities for the benefit of policyholders;</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establishing reserves; and</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regulation of reinsurance.</w:t>
      </w:r>
    </w:p>
    <w:p>
      <w:pPr>
        <w:spacing w:after="0" w:line="113" w:lineRule="exact"/>
        <w:rPr>
          <w:sz w:val="20"/>
          <w:szCs w:val="20"/>
          <w:color w:val="auto"/>
        </w:rPr>
      </w:pPr>
    </w:p>
    <w:p>
      <w:pPr>
        <w:ind w:firstLine="222"/>
        <w:spacing w:after="0" w:line="304" w:lineRule="auto"/>
        <w:rPr>
          <w:sz w:val="20"/>
          <w:szCs w:val="20"/>
          <w:color w:val="auto"/>
        </w:rPr>
      </w:pPr>
      <w:r>
        <w:rPr>
          <w:rFonts w:ascii="Arial" w:cs="Arial" w:eastAsia="Arial" w:hAnsi="Arial"/>
          <w:sz w:val="16"/>
          <w:szCs w:val="16"/>
          <w:color w:val="auto"/>
        </w:rPr>
        <w:t>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We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cannot assure you that future legislative or regulatory changes will not adversely affect our business operations. See “Business — Regulation.”</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State regulation of the rates we charge for title insurance could adversely affect our results of operations.</w:t>
      </w:r>
    </w:p>
    <w:p>
      <w:pPr>
        <w:spacing w:after="0" w:line="113" w:lineRule="exact"/>
        <w:rPr>
          <w:sz w:val="20"/>
          <w:szCs w:val="20"/>
          <w:color w:val="auto"/>
        </w:rPr>
      </w:pPr>
    </w:p>
    <w:p>
      <w:pPr>
        <w:ind w:right="220" w:firstLine="222"/>
        <w:spacing w:after="0" w:line="295" w:lineRule="auto"/>
        <w:rPr>
          <w:sz w:val="20"/>
          <w:szCs w:val="20"/>
          <w:color w:val="auto"/>
        </w:rPr>
      </w:pPr>
      <w:r>
        <w:rPr>
          <w:rFonts w:ascii="Arial" w:cs="Arial" w:eastAsia="Arial" w:hAnsi="Arial"/>
          <w:sz w:val="16"/>
          <w:szCs w:val="16"/>
          <w:color w:val="auto"/>
        </w:rPr>
        <w:t>Our title insurance subsidiaries are subject to extensive rate regulation by the applicable state agencies in the jurisdictions in which they operate. Title insurance rates are regulated differently in the various states, with some states requiring the subsidiaries to file and receive approval of rates before such rates become effective and some states promulgating the rates that can be charged. In almost all states in which our title subsidiaries operate, our rates must not be excessive, inadequate or unfairly discriminatory. See also the risk factor below relating to regulatory conditions in California.</w:t>
      </w:r>
    </w:p>
    <w:p>
      <w:pPr>
        <w:spacing w:after="0" w:line="162" w:lineRule="exact"/>
        <w:rPr>
          <w:sz w:val="20"/>
          <w:szCs w:val="20"/>
          <w:color w:val="auto"/>
        </w:rPr>
      </w:pPr>
    </w:p>
    <w:p>
      <w:pPr>
        <w:ind w:right="200" w:firstLine="89"/>
        <w:spacing w:after="0" w:line="267" w:lineRule="auto"/>
        <w:rPr>
          <w:sz w:val="20"/>
          <w:szCs w:val="20"/>
          <w:color w:val="auto"/>
        </w:rPr>
      </w:pPr>
      <w:r>
        <w:rPr>
          <w:rFonts w:ascii="Arial" w:cs="Arial" w:eastAsia="Arial" w:hAnsi="Arial"/>
          <w:sz w:val="18"/>
          <w:szCs w:val="18"/>
          <w:b w:val="1"/>
          <w:bCs w:val="1"/>
          <w:i w:val="1"/>
          <w:iCs w:val="1"/>
          <w:color w:val="auto"/>
        </w:rPr>
        <w:t>Regulatory investigations of the insurance industry may lead to fines, settlements, new regulation or legal uncertainty, which could negatively affect our results of operations.</w:t>
      </w:r>
    </w:p>
    <w:p>
      <w:pPr>
        <w:spacing w:after="0" w:line="73" w:lineRule="exact"/>
        <w:rPr>
          <w:sz w:val="20"/>
          <w:szCs w:val="20"/>
          <w:color w:val="auto"/>
        </w:rPr>
      </w:pPr>
    </w:p>
    <w:p>
      <w:pPr>
        <w:ind w:right="60" w:firstLine="219"/>
        <w:spacing w:after="0" w:line="295" w:lineRule="auto"/>
        <w:rPr>
          <w:sz w:val="20"/>
          <w:szCs w:val="20"/>
          <w:color w:val="auto"/>
        </w:rPr>
      </w:pPr>
      <w:r>
        <w:rPr>
          <w:rFonts w:ascii="Arial" w:cs="Arial" w:eastAsia="Arial" w:hAnsi="Arial"/>
          <w:sz w:val="16"/>
          <w:szCs w:val="16"/>
          <w:color w:val="auto"/>
        </w:rPr>
        <w:t>We receive inquiries and requests for information from state insurance departments, attorneys general and other regulatory agencies from time to time 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 These fines may be significant and actions we are required to take may adversely affect our business.</w:t>
      </w:r>
    </w:p>
    <w:p>
      <w:pPr>
        <w:spacing w:after="0" w:line="162" w:lineRule="exact"/>
        <w:rPr>
          <w:sz w:val="20"/>
          <w:szCs w:val="20"/>
          <w:color w:val="auto"/>
        </w:rPr>
      </w:pPr>
    </w:p>
    <w:p>
      <w:pPr>
        <w:ind w:right="500" w:firstLine="89"/>
        <w:spacing w:after="0" w:line="267" w:lineRule="auto"/>
        <w:rPr>
          <w:sz w:val="20"/>
          <w:szCs w:val="20"/>
          <w:color w:val="auto"/>
        </w:rPr>
      </w:pPr>
      <w:r>
        <w:rPr>
          <w:rFonts w:ascii="Arial" w:cs="Arial" w:eastAsia="Arial" w:hAnsi="Arial"/>
          <w:sz w:val="18"/>
          <w:szCs w:val="18"/>
          <w:b w:val="1"/>
          <w:bCs w:val="1"/>
          <w:i w:val="1"/>
          <w:iCs w:val="1"/>
          <w:color w:val="auto"/>
        </w:rPr>
        <w:t>Because we are dependent upon California for approximately 18 percent of our title insurance premiums, our business may be adversely affected by regulatory conditions in California.</w:t>
      </w:r>
    </w:p>
    <w:p>
      <w:pPr>
        <w:spacing w:after="0" w:line="73"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California is the largest source of revenue for the title insurance industry and, in 2008, California-based premiums accounted for 32% of premiums earned by our direct operations and 8% of our agency premium revenues. In the aggregate, California accounted for approximately 17.6% of our total title insurance premiums for 2008. A significant part of our revenues and profitability are therefore subject to our operations in California and to the prevailing regulatory conditions in California. Adverse regulatory developments in California, which could include reductions in the maximum rates permitted to be charged, inadequate rate increases or more fundamental changes in the design or implementation of the California title insurance regulatory framework, could have a material adverse effect on our results of operations and financial condition.</w:t>
      </w:r>
    </w:p>
    <w:p>
      <w:pPr>
        <w:spacing w:after="0" w:line="72" w:lineRule="exact"/>
        <w:rPr>
          <w:sz w:val="20"/>
          <w:szCs w:val="20"/>
          <w:color w:val="auto"/>
        </w:rPr>
      </w:pPr>
    </w:p>
    <w:p>
      <w:pPr>
        <w:ind w:right="20" w:firstLine="222"/>
        <w:spacing w:after="0" w:line="251" w:lineRule="auto"/>
        <w:rPr>
          <w:sz w:val="20"/>
          <w:szCs w:val="20"/>
          <w:color w:val="auto"/>
        </w:rPr>
      </w:pPr>
      <w:r>
        <w:rPr>
          <w:rFonts w:ascii="Arial" w:cs="Arial" w:eastAsia="Arial" w:hAnsi="Arial"/>
          <w:sz w:val="18"/>
          <w:szCs w:val="18"/>
          <w:color w:val="auto"/>
        </w:rPr>
        <w:t>In January 2007, the State of California adopted regulations that would have significant effects on the title insurance industry in California. The Company, as well as others, has been engaged in discussions with the California Department of Insurance (the “CDI”) regarding possible industry reforms that may result in the CDI’s decision to modify or repeal the regulations prior to their implementation. On June 17, 2008, the CDI filed with the Office of Administrative Law revised title insurance regulations containing substantial changes to the existing regulations. Hearings on revised regulations were held in August. We, through the California Land Title Association, continue to work with the CDI to refine certain aspects of the proposed regulations, including the statistical reporting provisions.</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If the rating agencies downgrade our Company, our results of operations and competitive position in the title insurance industry may suffer.</w:t>
      </w:r>
    </w:p>
    <w:p>
      <w:pPr>
        <w:spacing w:after="0" w:line="125" w:lineRule="exact"/>
        <w:rPr>
          <w:sz w:val="20"/>
          <w:szCs w:val="20"/>
          <w:color w:val="auto"/>
        </w:rPr>
      </w:pPr>
    </w:p>
    <w:p>
      <w:pPr>
        <w:ind w:right="100" w:firstLine="222"/>
        <w:spacing w:after="0" w:line="285" w:lineRule="auto"/>
        <w:rPr>
          <w:sz w:val="20"/>
          <w:szCs w:val="20"/>
          <w:color w:val="auto"/>
        </w:rPr>
      </w:pPr>
      <w:r>
        <w:rPr>
          <w:rFonts w:ascii="Arial" w:cs="Arial" w:eastAsia="Arial" w:hAnsi="Arial"/>
          <w:sz w:val="16"/>
          <w:szCs w:val="16"/>
          <w:color w:val="auto"/>
        </w:rPr>
        <w:t>Ratings have always been an important factor in establishing the competitive position of insurance companies. Our title insurance subsidiaries are rated by S&amp;P, Moody’s, Fitch, A.M. Best, and Demotech. Ratings reflect the opinion of a rating agency with regard to an insurance company’s or insurance holding company’s financial strength, operating performance and ability to meet its obligations to policyholders and are not evaluations directed to investors. On December 23, 2008, Fitch downgraded FNF’s financial strength ratings from A- to BBB. The following announcements have been made by the rating agencies regarding the current status of our ratings: S&amp;P — CreditWatch with negative implications, Fitch — Rating Watch Negative, A.M. Best — under review with negative implications, and Moody’s — stable. In addition, Fitch has announced that the ratings of the underwriters that we recently acquired from LFG are on Rating Watch Evolving. Our ratings are subject to continued periodic review by rating agencies and the continued retention of those ratings cannot be assured. If our ratings are reduced from their current levels by those entities, our results of operations could be adversely affected.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Our rate of growth could be adversely affected if we are unable to acquire suitable acquisition candidates.</w:t>
      </w:r>
    </w:p>
    <w:p>
      <w:pPr>
        <w:spacing w:after="0" w:line="113" w:lineRule="exact"/>
        <w:rPr>
          <w:sz w:val="20"/>
          <w:szCs w:val="20"/>
          <w:color w:val="auto"/>
        </w:rPr>
      </w:pPr>
    </w:p>
    <w:p>
      <w:pPr>
        <w:ind w:right="60" w:firstLine="212"/>
        <w:spacing w:after="0" w:line="269" w:lineRule="auto"/>
        <w:rPr>
          <w:sz w:val="20"/>
          <w:szCs w:val="20"/>
          <w:color w:val="auto"/>
        </w:rPr>
      </w:pPr>
      <w:r>
        <w:rPr>
          <w:rFonts w:ascii="Arial" w:cs="Arial" w:eastAsia="Arial" w:hAnsi="Arial"/>
          <w:sz w:val="17"/>
          <w:szCs w:val="17"/>
          <w:color w:val="auto"/>
        </w:rPr>
        <w:t>As part of our growth strategy, we have made numerous acquisitions and we plan to continue to acquire complementary businesses, products and services. This strategy depends on our ability to identify suitable acquisition candidates and, assuming we find them, to finance such acquisitions on acceptable terms. We have historically used, and in the future may continue to use, a variety of sources of financing to fund our acquisitions, including cash from operations, debt and equity. Our ability to finance our acquisitions is subject to a number of risks, including the availability of adequate cash reserves from operations or of acceptable financing terms and variability in our stock price. These factors may inhibit our ability to pursue attractive acquisition targets. If we are unable to acquire suitable acquisition candidates, we may experience slower growth.</w:t>
      </w:r>
    </w:p>
    <w:p>
      <w:pPr>
        <w:spacing w:after="0" w:line="179" w:lineRule="exact"/>
        <w:rPr>
          <w:sz w:val="20"/>
          <w:szCs w:val="20"/>
          <w:color w:val="auto"/>
        </w:rPr>
      </w:pPr>
    </w:p>
    <w:p>
      <w:pPr>
        <w:ind w:right="560" w:firstLine="89"/>
        <w:spacing w:after="0" w:line="304" w:lineRule="auto"/>
        <w:rPr>
          <w:sz w:val="20"/>
          <w:szCs w:val="20"/>
          <w:color w:val="auto"/>
        </w:rPr>
      </w:pPr>
      <w:r>
        <w:rPr>
          <w:rFonts w:ascii="Arial" w:cs="Arial" w:eastAsia="Arial" w:hAnsi="Arial"/>
          <w:sz w:val="16"/>
          <w:szCs w:val="16"/>
          <w:b w:val="1"/>
          <w:bCs w:val="1"/>
          <w:i w:val="1"/>
          <w:iCs w:val="1"/>
          <w:color w:val="auto"/>
        </w:rPr>
        <w:t>Our management has articulated a willingness to seek growth through acquisitions in lines of business that will not necessarily be limited to our traditional areas of focus or geographic areas. This expansion of our business subjects us to associated risks, such as the diversion of management’s attention and lack of experience in operating such businesses, and may affect our credit and ability to repay our debt.</w:t>
      </w:r>
    </w:p>
    <w:p>
      <w:pPr>
        <w:spacing w:after="0" w:line="48" w:lineRule="exact"/>
        <w:rPr>
          <w:sz w:val="20"/>
          <w:szCs w:val="20"/>
          <w:color w:val="auto"/>
        </w:rPr>
      </w:pPr>
    </w:p>
    <w:p>
      <w:pPr>
        <w:ind w:right="20" w:firstLine="222"/>
        <w:spacing w:after="0" w:line="341" w:lineRule="auto"/>
        <w:rPr>
          <w:sz w:val="20"/>
          <w:szCs w:val="20"/>
          <w:color w:val="auto"/>
        </w:rPr>
      </w:pPr>
      <w:r>
        <w:rPr>
          <w:rFonts w:ascii="Arial" w:cs="Arial" w:eastAsia="Arial" w:hAnsi="Arial"/>
          <w:sz w:val="14"/>
          <w:szCs w:val="14"/>
          <w:color w:val="auto"/>
        </w:rPr>
        <w:t>Our management has stated that we may make acquisitions in lines of business that are not directly tied to or synergistic with our core operating segments. Accordingly, we have in the past year acquired, and may in the future acquire, businesses in industries or geographic areas with which management is less familiar than we are with our core businesses. These activities involve risks that could adversely affect our operating results, such as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b w:val="1"/>
          <w:bCs w:val="1"/>
          <w:i w:val="1"/>
          <w:iCs w:val="1"/>
          <w:color w:val="auto"/>
        </w:rPr>
        <w:t>We may encounter difficulties managing our growth and successfully integrating new businesses, which could adversely affect our results of operations.</w:t>
      </w:r>
    </w:p>
    <w:p>
      <w:pPr>
        <w:spacing w:after="0" w:line="159" w:lineRule="exact"/>
        <w:rPr>
          <w:sz w:val="20"/>
          <w:szCs w:val="20"/>
          <w:color w:val="auto"/>
        </w:rPr>
      </w:pPr>
    </w:p>
    <w:p>
      <w:pPr>
        <w:ind w:firstLine="219"/>
        <w:spacing w:after="0" w:line="257" w:lineRule="auto"/>
        <w:rPr>
          <w:sz w:val="20"/>
          <w:szCs w:val="20"/>
          <w:color w:val="auto"/>
        </w:rPr>
      </w:pPr>
      <w:r>
        <w:rPr>
          <w:rFonts w:ascii="Arial" w:cs="Arial" w:eastAsia="Arial" w:hAnsi="Arial"/>
          <w:sz w:val="18"/>
          <w:szCs w:val="18"/>
          <w:color w:val="auto"/>
        </w:rPr>
        <w:t>We have historically achieved growth through a combination of developing new products and services, increasing our market share for existing products, and making acquisitions. Part of our strategy is to pursue opportunities to diversify and expand our operations by acquiring or making investments in other companies. The success of each acquisition will depend upon:</w:t>
      </w:r>
    </w:p>
    <w:p>
      <w:pPr>
        <w:spacing w:after="0" w:line="82" w:lineRule="exact"/>
        <w:rPr>
          <w:sz w:val="20"/>
          <w:szCs w:val="20"/>
          <w:color w:val="auto"/>
        </w:rPr>
      </w:pPr>
    </w:p>
    <w:p>
      <w:pPr>
        <w:ind w:left="680" w:hanging="447"/>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ability to integrate the acquired business’ operations, products and personnel;</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ability to retain key personnel of the acquired business;</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ability to expand our financial and management controls and reporting systems and procedures;</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ability to maintain the customers and goodwill of the acquired business; and</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any unexpected costs or unforeseen liabilities associated with the acquired business.</w:t>
      </w:r>
    </w:p>
    <w:p>
      <w:pPr>
        <w:spacing w:after="0" w:line="113" w:lineRule="exact"/>
        <w:rPr>
          <w:sz w:val="20"/>
          <w:szCs w:val="20"/>
          <w:color w:val="auto"/>
        </w:rPr>
      </w:pPr>
    </w:p>
    <w:p>
      <w:pPr>
        <w:ind w:right="140" w:firstLine="219"/>
        <w:spacing w:after="0" w:line="252" w:lineRule="auto"/>
        <w:rPr>
          <w:sz w:val="20"/>
          <w:szCs w:val="20"/>
          <w:color w:val="auto"/>
        </w:rPr>
      </w:pPr>
      <w:r>
        <w:rPr>
          <w:rFonts w:ascii="Arial" w:cs="Arial" w:eastAsia="Arial" w:hAnsi="Arial"/>
          <w:sz w:val="18"/>
          <w:szCs w:val="18"/>
          <w:color w:val="auto"/>
        </w:rPr>
        <w:t>The integration of two previously separate companies is a challenging, time-consuming and costly process. It is possible that the integration process could result in the loss of key employees, the disruption of each company’s ongoing businesses or inconsistencies in standards, controls, procedures and policies that adversely affect each company’s ability to maintain relationships with suppliers, customers and employees or to achieve the anticipated benefits of the combination. In addition, any successful integration of companies will require the dedication of significant management resources, which will temporarily detract attention from our day-to-day businesses.</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Our recent acquisition of subsidiaries of LandAmerica Financial Group, Inc. (“LFG”) may expose us to certain risks.</w:t>
      </w:r>
    </w:p>
    <w:p>
      <w:pPr>
        <w:spacing w:after="0" w:line="113" w:lineRule="exact"/>
        <w:rPr>
          <w:sz w:val="20"/>
          <w:szCs w:val="20"/>
          <w:color w:val="auto"/>
        </w:rPr>
      </w:pPr>
    </w:p>
    <w:p>
      <w:pPr>
        <w:ind w:right="680" w:firstLine="222"/>
        <w:spacing w:after="0" w:line="331" w:lineRule="auto"/>
        <w:rPr>
          <w:sz w:val="20"/>
          <w:szCs w:val="20"/>
          <w:color w:val="auto"/>
        </w:rPr>
      </w:pPr>
      <w:r>
        <w:rPr>
          <w:rFonts w:ascii="Arial" w:cs="Arial" w:eastAsia="Arial" w:hAnsi="Arial"/>
          <w:sz w:val="16"/>
          <w:szCs w:val="16"/>
          <w:color w:val="auto"/>
        </w:rPr>
        <w:t>On December 22, 2008, we completed the acquisition of LFG’s two principal title insurance underwriters, Lawyers Title Insurance Corporation and Commonwealth Land Title Insurance Company, as well as United Capital Title Insurance Company (collectively, the “LFG Subsidiaries”).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firstLine="219"/>
        <w:spacing w:after="0" w:line="269" w:lineRule="auto"/>
        <w:rPr>
          <w:sz w:val="20"/>
          <w:szCs w:val="20"/>
          <w:color w:val="auto"/>
        </w:rPr>
      </w:pPr>
      <w:r>
        <w:rPr>
          <w:rFonts w:ascii="Arial" w:cs="Arial" w:eastAsia="Arial" w:hAnsi="Arial"/>
          <w:sz w:val="17"/>
          <w:szCs w:val="17"/>
          <w:color w:val="auto"/>
        </w:rPr>
        <w:t>The LFG Subsidiaries have experienced financial difficulties in recent quarters. The acquisition may have unforeseen negative effects on our company, including potentially if there are significant undisclosed liabilities that we did not discover in our due diligence review or otherwise prior to closing. Further, we face challenges in integrating the LFG Subsidiaries. These challenges include eliminating redundant operations, facilities and systems, coordinating management and personnel, retaining key employees, managing different corporate cultures, and achieving cost reductions. There can be no assurance that we will be able to fully integrate all aspects of the acquired business successfully or achieve the level of cost reductions we hope to achieve, and the process of integrating this acquisition may disrupt our business and divert our resources.</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We are a holding company and depend on distributions from our subsidiaries for cash.</w:t>
      </w:r>
    </w:p>
    <w:p>
      <w:pPr>
        <w:spacing w:after="0" w:line="113" w:lineRule="exact"/>
        <w:rPr>
          <w:sz w:val="20"/>
          <w:szCs w:val="20"/>
          <w:color w:val="auto"/>
        </w:rPr>
      </w:pPr>
    </w:p>
    <w:p>
      <w:pPr>
        <w:ind w:right="180" w:firstLine="219"/>
        <w:spacing w:after="0" w:line="254" w:lineRule="auto"/>
        <w:rPr>
          <w:sz w:val="20"/>
          <w:szCs w:val="20"/>
          <w:color w:val="auto"/>
        </w:rPr>
      </w:pPr>
      <w:r>
        <w:rPr>
          <w:rFonts w:ascii="Arial" w:cs="Arial" w:eastAsia="Arial" w:hAnsi="Arial"/>
          <w:sz w:val="18"/>
          <w:szCs w:val="18"/>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Our subsidiaries are not obligated to make funds available to us. If our operating subsidiaries are not able to pay dividends to us, we may not be able to meet our obligations or pay dividends on our common stock.</w:t>
      </w:r>
    </w:p>
    <w:p>
      <w:pPr>
        <w:spacing w:after="0" w:line="84" w:lineRule="exact"/>
        <w:rPr>
          <w:sz w:val="20"/>
          <w:szCs w:val="20"/>
          <w:color w:val="auto"/>
        </w:rPr>
      </w:pPr>
    </w:p>
    <w:p>
      <w:pPr>
        <w:ind w:right="140" w:firstLine="222"/>
        <w:spacing w:after="0" w:line="254" w:lineRule="auto"/>
        <w:rPr>
          <w:sz w:val="20"/>
          <w:szCs w:val="20"/>
          <w:color w:val="auto"/>
        </w:rPr>
      </w:pPr>
      <w:r>
        <w:rPr>
          <w:rFonts w:ascii="Arial" w:cs="Arial" w:eastAsia="Arial" w:hAnsi="Arial"/>
          <w:sz w:val="18"/>
          <w:szCs w:val="18"/>
          <w:color w:val="auto"/>
        </w:rPr>
        <w:t>Our title insurance and specialty insurance subsidiaries must comply with state laws which require them to maintain minimum amounts of working capital, surplus and reserves, and place restrictions on the amount of dividends that they can distribute to us. Compliance with these laws will limit the amounts our regulated subsidiaries can dividend to us. During 2009, our title insurers will be able to pay dividends or make distributions to us without prior regulatory approval of approximately $214.7 million.</w:t>
      </w:r>
    </w:p>
    <w:p>
      <w:pPr>
        <w:spacing w:after="0" w:line="84" w:lineRule="exact"/>
        <w:rPr>
          <w:sz w:val="20"/>
          <w:szCs w:val="20"/>
          <w:color w:val="auto"/>
        </w:rPr>
      </w:pPr>
    </w:p>
    <w:p>
      <w:pPr>
        <w:ind w:right="140" w:firstLine="219"/>
        <w:spacing w:after="0" w:line="267" w:lineRule="auto"/>
        <w:rPr>
          <w:sz w:val="20"/>
          <w:szCs w:val="20"/>
          <w:color w:val="auto"/>
        </w:rPr>
      </w:pPr>
      <w:r>
        <w:rPr>
          <w:rFonts w:ascii="Arial" w:cs="Arial" w:eastAsia="Arial" w:hAnsi="Arial"/>
          <w:sz w:val="17"/>
          <w:szCs w:val="17"/>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 Further, the LFG Underwriters recently acquired by us could have unexpected liabilities or asset exposures that only become apparent over time which adversely affect their surplus.</w:t>
      </w:r>
    </w:p>
    <w:p>
      <w:pPr>
        <w:spacing w:after="0" w:line="78" w:lineRule="exact"/>
        <w:rPr>
          <w:sz w:val="20"/>
          <w:szCs w:val="20"/>
          <w:color w:val="auto"/>
        </w:rPr>
      </w:pPr>
    </w:p>
    <w:p>
      <w:pPr>
        <w:ind w:right="120" w:firstLine="222"/>
        <w:spacing w:after="0" w:line="267" w:lineRule="auto"/>
        <w:rPr>
          <w:sz w:val="20"/>
          <w:szCs w:val="20"/>
          <w:color w:val="auto"/>
        </w:rPr>
      </w:pPr>
      <w:r>
        <w:rPr>
          <w:rFonts w:ascii="Arial" w:cs="Arial" w:eastAsia="Arial" w:hAnsi="Arial"/>
          <w:sz w:val="18"/>
          <w:szCs w:val="18"/>
          <w:color w:val="auto"/>
        </w:rPr>
        <w:t>Our specialty insurance segment is a smaller operation with respect to which we have announced that we are considering our strategic alternatives and, as a result, it is unlikely to be a significant source of dividends to us in 2009.</w:t>
      </w:r>
    </w:p>
    <w:p>
      <w:pPr>
        <w:spacing w:after="0" w:line="180" w:lineRule="exact"/>
        <w:rPr>
          <w:sz w:val="20"/>
          <w:szCs w:val="20"/>
          <w:color w:val="auto"/>
        </w:rPr>
      </w:pPr>
    </w:p>
    <w:p>
      <w:pPr>
        <w:ind w:firstLine="89"/>
        <w:spacing w:after="0" w:line="267" w:lineRule="auto"/>
        <w:rPr>
          <w:sz w:val="20"/>
          <w:szCs w:val="20"/>
          <w:color w:val="auto"/>
        </w:rPr>
      </w:pPr>
      <w:r>
        <w:rPr>
          <w:rFonts w:ascii="Arial" w:cs="Arial" w:eastAsia="Arial" w:hAnsi="Arial"/>
          <w:sz w:val="18"/>
          <w:szCs w:val="18"/>
          <w:b w:val="1"/>
          <w:bCs w:val="1"/>
          <w:i w:val="1"/>
          <w:iCs w:val="1"/>
          <w:color w:val="auto"/>
        </w:rPr>
        <w:t>We could have conflicts with FIS and LPS, and our chairman of our board of directors and other officers and directors could have conflicts of interest due to their relationships with FIS or LPS.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FIS and we were under common ownership by another publicly traded company, also called Fidelity National Financial, Inc. (“Old FNF”) until</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October 2006, when Old FNF distributed all of its FNF shares to the stockholders of Old FNF. In November 2006, Old FNF then merged into FIS. On July 2,</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2008, FIS completed the spin-off of its former Lender Processing Services operating segment into a separate publicly traded company, referred to as LPS, by</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distributing all of its shares of LPS to FIS shareholders through a stock dividend.</w:t>
      </w:r>
    </w:p>
    <w:p>
      <w:pPr>
        <w:spacing w:after="0" w:line="102" w:lineRule="exact"/>
        <w:rPr>
          <w:sz w:val="20"/>
          <w:szCs w:val="20"/>
          <w:color w:val="auto"/>
        </w:rPr>
      </w:pPr>
    </w:p>
    <w:p>
      <w:pPr>
        <w:ind w:right="60" w:firstLine="222"/>
        <w:spacing w:after="0" w:line="252" w:lineRule="auto"/>
        <w:rPr>
          <w:sz w:val="20"/>
          <w:szCs w:val="20"/>
          <w:color w:val="auto"/>
        </w:rPr>
      </w:pPr>
      <w:r>
        <w:rPr>
          <w:rFonts w:ascii="Arial" w:cs="Arial" w:eastAsia="Arial" w:hAnsi="Arial"/>
          <w:sz w:val="18"/>
          <w:szCs w:val="18"/>
          <w:color w:val="auto"/>
        </w:rPr>
        <w:t>Conflicts may arise between FIS and us, or LPS and us, in each case as a result of our ongoing agreements and the nature of our respective businesses. Among other things, following the merger between Old FNF and FIS, FIS and we have remained parties to a variety of agreements, some of which were assigned to LPS by FIS in the spin-off. We also became a party to a variety of agreements with FIS and LPS in connection with the spin-off, and we may enter into further agreements with FIS or LPS. Certain of our executive officers and directors could be subject to conflicts of interest with respect to such agreements and other matters due to their relationships with FIS or LPS.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340" w:firstLine="222"/>
        <w:spacing w:after="0" w:line="331" w:lineRule="auto"/>
        <w:rPr>
          <w:sz w:val="20"/>
          <w:szCs w:val="20"/>
          <w:color w:val="auto"/>
        </w:rPr>
      </w:pPr>
      <w:r>
        <w:rPr>
          <w:rFonts w:ascii="Arial" w:cs="Arial" w:eastAsia="Arial" w:hAnsi="Arial"/>
          <w:sz w:val="16"/>
          <w:szCs w:val="16"/>
          <w:color w:val="auto"/>
        </w:rPr>
        <w:t>Some of our executive officers and directors own substantial amounts of FIS and LPS stock and stock options. Such ownership could create or appear to create potential conflicts of interest when our directors and officers are faced with decisions that involve FIS or LPS or any of their respective subsidiaries.</w:t>
      </w:r>
    </w:p>
    <w:p>
      <w:pPr>
        <w:spacing w:after="0" w:line="26" w:lineRule="exact"/>
        <w:rPr>
          <w:sz w:val="20"/>
          <w:szCs w:val="20"/>
          <w:color w:val="auto"/>
        </w:rPr>
      </w:pPr>
    </w:p>
    <w:p>
      <w:pPr>
        <w:ind w:firstLine="219"/>
        <w:spacing w:after="0" w:line="252" w:lineRule="auto"/>
        <w:rPr>
          <w:sz w:val="20"/>
          <w:szCs w:val="20"/>
          <w:color w:val="auto"/>
        </w:rPr>
      </w:pPr>
      <w:r>
        <w:rPr>
          <w:rFonts w:ascii="Arial" w:cs="Arial" w:eastAsia="Arial" w:hAnsi="Arial"/>
          <w:sz w:val="18"/>
          <w:szCs w:val="18"/>
          <w:color w:val="auto"/>
        </w:rPr>
        <w:t>William P. Foley, II, is the chairman of our board of directors, the executive chairman of the board of FIS and the chairman of the board of LPS. As a result of his roles, he has obligations to us, FIS and LPS and may have conflicts of interest with respect to matters potentially or actually involving or affecting our and FIS’s or LPS’s respective businesses. In addition, Mr. Foley may also have conflicts of time with respect to his multiple responsibilities. If his duties to each of these companies require more time than Mr. Foley is able to allot, then his oversight of that company’s activities could be diminished. Finally, FIS, LPS and we have overlapping directors and officers.</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Matters that could give rise to conflicts between us and FIS or LPS include, among other things:</w:t>
      </w:r>
    </w:p>
    <w:p>
      <w:pPr>
        <w:spacing w:after="0" w:line="113" w:lineRule="exact"/>
        <w:rPr>
          <w:sz w:val="20"/>
          <w:szCs w:val="20"/>
          <w:color w:val="auto"/>
        </w:rPr>
      </w:pPr>
    </w:p>
    <w:p>
      <w:pPr>
        <w:ind w:left="680" w:right="60" w:hanging="447"/>
        <w:spacing w:after="0" w:line="267" w:lineRule="auto"/>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ongoing and future relationships with FIS or LPS, including related party agreements and other arrangements with respect to the administration of tax matters, employee benefits, indemnification, claims administration and handling, and other matters; and</w:t>
      </w:r>
    </w:p>
    <w:p>
      <w:pPr>
        <w:spacing w:after="0" w:line="86" w:lineRule="exact"/>
        <w:rPr>
          <w:rFonts w:ascii="Arial" w:cs="Arial" w:eastAsia="Arial" w:hAnsi="Arial"/>
          <w:sz w:val="18"/>
          <w:szCs w:val="18"/>
          <w:b w:val="1"/>
          <w:bCs w:val="1"/>
          <w:color w:val="auto"/>
        </w:rPr>
      </w:pPr>
    </w:p>
    <w:p>
      <w:pPr>
        <w:ind w:left="680" w:hanging="447"/>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quality and pricing of services that we have agreed to provide to FIS or LPS or that it has agreed to provide to us.</w:t>
      </w:r>
    </w:p>
    <w:p>
      <w:pPr>
        <w:spacing w:after="0" w:line="113" w:lineRule="exact"/>
        <w:rPr>
          <w:sz w:val="20"/>
          <w:szCs w:val="20"/>
          <w:color w:val="auto"/>
        </w:rPr>
      </w:pPr>
    </w:p>
    <w:p>
      <w:pPr>
        <w:jc w:val="both"/>
        <w:ind w:right="200" w:firstLine="219"/>
        <w:spacing w:after="0" w:line="304" w:lineRule="auto"/>
        <w:rPr>
          <w:sz w:val="20"/>
          <w:szCs w:val="20"/>
          <w:color w:val="auto"/>
        </w:rPr>
      </w:pPr>
      <w:r>
        <w:rPr>
          <w:rFonts w:ascii="Arial" w:cs="Arial" w:eastAsia="Arial" w:hAnsi="Arial"/>
          <w:sz w:val="16"/>
          <w:szCs w:val="16"/>
          <w:color w:val="auto"/>
        </w:rPr>
        <w:t>We seek to manage these potential conflicts through dispute resolution and other provisions of our agreements with FIS and LPS and through oversight by independent members of our board of directors. However, there can be no assurance that such measures will be effective or that we will be able to resolve all potential conflicts with FIS and LPS, or that the resolution of any such conflicts will be no less favorable to us than if we were dealing with a third party.</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Provisions of our certificate of incorporation may prevent us from receiving the benefit of certain corporate opportunities.</w:t>
      </w:r>
    </w:p>
    <w:p>
      <w:pPr>
        <w:spacing w:after="0" w:line="113" w:lineRule="exact"/>
        <w:rPr>
          <w:sz w:val="20"/>
          <w:szCs w:val="20"/>
          <w:color w:val="auto"/>
        </w:rPr>
      </w:pPr>
    </w:p>
    <w:p>
      <w:pPr>
        <w:ind w:right="220" w:firstLine="222"/>
        <w:spacing w:after="0" w:line="270" w:lineRule="auto"/>
        <w:rPr>
          <w:sz w:val="20"/>
          <w:szCs w:val="20"/>
          <w:color w:val="auto"/>
        </w:rPr>
      </w:pPr>
      <w:r>
        <w:rPr>
          <w:rFonts w:ascii="Arial" w:cs="Arial" w:eastAsia="Arial" w:hAnsi="Arial"/>
          <w:sz w:val="17"/>
          <w:szCs w:val="17"/>
          <w:color w:val="auto"/>
        </w:rPr>
        <w:t>Because FIS may engage in some of the same activities in which we engage, there is a risk that we may be in direct competition with FIS over business activities and corporate opportunities. To address these potential conflicts, a corporate opportunity policy is incorporated into our certificate of incorporation. Among other things, this policy provides that FIS has no duty not to compete with us. The policy also limits the situations in which one of our directors or officers, if also a director or officer of FIS, must offer corporate opportunities to us of which such individual becomes aware. These provisions may limit the corporate opportunities of which we are made aware or which are offered to us.</w:t>
      </w:r>
    </w:p>
    <w:p>
      <w:pPr>
        <w:spacing w:after="0" w:line="181" w:lineRule="exact"/>
        <w:rPr>
          <w:sz w:val="20"/>
          <w:szCs w:val="20"/>
          <w:color w:val="auto"/>
        </w:rPr>
      </w:pPr>
    </w:p>
    <w:p>
      <w:pPr>
        <w:ind w:right="140" w:firstLine="89"/>
        <w:spacing w:after="0" w:line="267" w:lineRule="auto"/>
        <w:rPr>
          <w:sz w:val="20"/>
          <w:szCs w:val="20"/>
          <w:color w:val="auto"/>
        </w:rPr>
      </w:pPr>
      <w:r>
        <w:rPr>
          <w:rFonts w:ascii="Arial" w:cs="Arial" w:eastAsia="Arial" w:hAnsi="Arial"/>
          <w:sz w:val="18"/>
          <w:szCs w:val="18"/>
          <w:b w:val="1"/>
          <w:bCs w:val="1"/>
          <w:i w:val="1"/>
          <w:iCs w:val="1"/>
          <w:color w:val="auto"/>
        </w:rPr>
        <w:t>The markets in which our principal operating subsidiaries operate are highly competitive. Some of our potential competitors have greater resources than we do, and we may face competition from new entrants with alternative products or services.</w:t>
      </w:r>
    </w:p>
    <w:p>
      <w:pPr>
        <w:spacing w:after="0" w:line="73" w:lineRule="exact"/>
        <w:rPr>
          <w:sz w:val="20"/>
          <w:szCs w:val="20"/>
          <w:color w:val="auto"/>
        </w:rPr>
      </w:pPr>
    </w:p>
    <w:p>
      <w:pPr>
        <w:ind w:right="60" w:firstLine="219"/>
        <w:spacing w:after="0" w:line="269" w:lineRule="auto"/>
        <w:rPr>
          <w:sz w:val="20"/>
          <w:szCs w:val="20"/>
          <w:color w:val="auto"/>
        </w:rPr>
      </w:pPr>
      <w:r>
        <w:rPr>
          <w:rFonts w:ascii="Arial" w:cs="Arial" w:eastAsia="Arial" w:hAnsi="Arial"/>
          <w:sz w:val="17"/>
          <w:szCs w:val="17"/>
          <w:color w:val="auto"/>
        </w:rPr>
        <w:t>The title insurance industry is highly competitive. According to Demotech, the top five title insurance companies (which included FNF and LFG) accounted for 92.8% of net premiums collected in 2007. Over 40 independent title insurance companies accounted for the remaining 7.2% of the market. The number and size of competing companies varies in the different geographic areas in which we conduct our title insurance business. In our principal markets, competitors include other major title underwriters such as The First American Corporation, Old Republic International Corporation and Stewart Information Services Corporation, as well as numerous smaller title insurance companies, underwritten title companies, and independent agency operations at the regional and local level. These smaller companies may expand into other markets in which we compete.</w:t>
      </w:r>
    </w:p>
    <w:p>
      <w:pPr>
        <w:spacing w:after="0" w:line="72" w:lineRule="exact"/>
        <w:rPr>
          <w:sz w:val="20"/>
          <w:szCs w:val="20"/>
          <w:color w:val="auto"/>
        </w:rPr>
      </w:pPr>
    </w:p>
    <w:p>
      <w:pPr>
        <w:ind w:right="80" w:firstLine="212"/>
        <w:spacing w:after="0" w:line="365" w:lineRule="auto"/>
        <w:rPr>
          <w:sz w:val="20"/>
          <w:szCs w:val="20"/>
          <w:color w:val="auto"/>
        </w:rPr>
      </w:pPr>
      <w:r>
        <w:rPr>
          <w:rFonts w:ascii="Arial" w:cs="Arial" w:eastAsia="Arial" w:hAnsi="Arial"/>
          <w:sz w:val="14"/>
          <w:szCs w:val="14"/>
          <w:color w:val="auto"/>
        </w:rPr>
        <w:t>Also, the removal of regulatory barriers might result in new competitors entering the title insurance business, and those new competitors may include companies that have greater financial resources than we do and possess other competitive advantages. Competition among the major title insurance companies, expansion by smaller regional companies and any new entrants with alternative products could affect our business operations and financial condition.</w:t>
      </w:r>
    </w:p>
    <w:p>
      <w:pPr>
        <w:spacing w:after="0" w:line="12" w:lineRule="exact"/>
        <w:rPr>
          <w:sz w:val="20"/>
          <w:szCs w:val="20"/>
          <w:color w:val="auto"/>
        </w:rPr>
      </w:pPr>
    </w:p>
    <w:p>
      <w:pPr>
        <w:ind w:right="60" w:firstLine="222"/>
        <w:spacing w:after="0" w:line="267" w:lineRule="auto"/>
        <w:rPr>
          <w:sz w:val="20"/>
          <w:szCs w:val="20"/>
          <w:color w:val="auto"/>
        </w:rPr>
      </w:pPr>
      <w:r>
        <w:rPr>
          <w:rFonts w:ascii="Arial" w:cs="Arial" w:eastAsia="Arial" w:hAnsi="Arial"/>
          <w:sz w:val="18"/>
          <w:szCs w:val="18"/>
          <w:color w:val="auto"/>
        </w:rPr>
        <w:t>From time to time, we adjust the title insurance rates we charge in a particular state as a result of competitive conditions in that state. Changes in price could have an adverse impact on our results of operations, although its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ultimate impact will depend, among other things, on the volume and mix of our future business in that state and within various portions of the state.</w:t>
      </w:r>
    </w:p>
    <w:p>
      <w:pPr>
        <w:spacing w:after="0" w:line="125" w:lineRule="exact"/>
        <w:rPr>
          <w:sz w:val="20"/>
          <w:szCs w:val="20"/>
          <w:color w:val="auto"/>
        </w:rPr>
      </w:pPr>
    </w:p>
    <w:p>
      <w:pPr>
        <w:ind w:right="240" w:firstLine="219"/>
        <w:spacing w:after="0" w:line="331" w:lineRule="auto"/>
        <w:rPr>
          <w:sz w:val="20"/>
          <w:szCs w:val="20"/>
          <w:color w:val="auto"/>
        </w:rPr>
      </w:pPr>
      <w:r>
        <w:rPr>
          <w:rFonts w:ascii="Arial" w:cs="Arial" w:eastAsia="Arial" w:hAnsi="Arial"/>
          <w:sz w:val="16"/>
          <w:szCs w:val="16"/>
          <w:color w:val="auto"/>
        </w:rPr>
        <w:t>The markets for our other products and services are also very competitive, and we expect the markets for all of our products and services to remain highly competitive. Our failure to remain competitive may have a material adverse effect on our business, financial condition and results of operations.</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4"/>
          <w:szCs w:val="14"/>
          <w:b w:val="1"/>
          <w:bCs w:val="1"/>
          <w:i w:val="1"/>
          <w:iCs w:val="1"/>
          <w:color w:val="auto"/>
        </w:rPr>
        <w:t>Our 1031 exchange business may be adversely affected by proposed regulations under Section 468B and Section 7872 of the Internal Revenue Code.</w:t>
      </w:r>
    </w:p>
    <w:p>
      <w:pPr>
        <w:spacing w:after="0" w:line="159" w:lineRule="exact"/>
        <w:rPr>
          <w:sz w:val="20"/>
          <w:szCs w:val="20"/>
          <w:color w:val="auto"/>
        </w:rPr>
      </w:pPr>
    </w:p>
    <w:p>
      <w:pPr>
        <w:ind w:right="200" w:firstLine="263"/>
        <w:spacing w:after="0" w:line="273" w:lineRule="auto"/>
        <w:rPr>
          <w:sz w:val="20"/>
          <w:szCs w:val="20"/>
          <w:color w:val="auto"/>
        </w:rPr>
      </w:pPr>
      <w:r>
        <w:rPr>
          <w:rFonts w:ascii="Arial" w:cs="Arial" w:eastAsia="Arial" w:hAnsi="Arial"/>
          <w:sz w:val="17"/>
          <w:szCs w:val="17"/>
          <w:color w:val="auto"/>
        </w:rPr>
        <w:t>The IRS has proposed regulations under Section 468B regarding the taxation of the income earned on escrow accounts, trusts and other funds used during deferred exchanges of like-kind property and under Section 7872 regarding below-market loans to facilitators of these exchanges. The proposed regulations affect taxpayers that engage in like-kind exchanges and escrow holders, trustees, qualified intermediaries, and others that hold funds during like-kind exchanges. We currently do not know what effect these changes will have on our 1031 exchange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19" w:lineRule="exact"/>
        <w:rPr>
          <w:sz w:val="20"/>
          <w:szCs w:val="20"/>
          <w:color w:val="auto"/>
        </w:rPr>
      </w:pPr>
    </w:p>
    <w:p>
      <w:pPr>
        <w:ind w:right="20" w:firstLine="219"/>
        <w:spacing w:after="0" w:line="257" w:lineRule="auto"/>
        <w:rPr>
          <w:sz w:val="20"/>
          <w:szCs w:val="20"/>
          <w:color w:val="auto"/>
        </w:rPr>
      </w:pPr>
      <w:r>
        <w:rPr>
          <w:rFonts w:ascii="Arial" w:cs="Arial" w:eastAsia="Arial" w:hAnsi="Arial"/>
          <w:sz w:val="18"/>
          <w:szCs w:val="18"/>
          <w:color w:val="auto"/>
        </w:rPr>
        <w:t>The Company has its corporate headquarters on its campus in Jacksonville, Florida, which it leases from its former affiliate, LPS. The majority of our branch offices are leased from third parties (see note L to Notes to Consolidated Financial Statements). Our subsidiaries conduct their business operations primarily in leased office space in 44 states, Washington, DC, Puerto Rico, Canada, and Mexico.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19"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In the ordinary course of business, we are involved in various pending and threatened litigation matters related to our operations, some of which include claims for punitive or exemplary damages. We believe that no actions, other than those listed below, depart from customary litigation incidental to our business. As background to the disclosure below, please note the following:</w:t>
      </w:r>
    </w:p>
    <w:p>
      <w:pPr>
        <w:spacing w:after="0" w:line="82" w:lineRule="exact"/>
        <w:rPr>
          <w:sz w:val="20"/>
          <w:szCs w:val="20"/>
          <w:color w:val="auto"/>
        </w:rPr>
      </w:pPr>
    </w:p>
    <w:p>
      <w:pPr>
        <w:ind w:left="680" w:hanging="447"/>
        <w:spacing w:after="0" w:line="267" w:lineRule="auto"/>
        <w:tabs>
          <w:tab w:leader="none" w:pos="68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91" w:lineRule="exact"/>
        <w:rPr>
          <w:rFonts w:ascii="Arial" w:cs="Arial" w:eastAsia="Arial" w:hAnsi="Arial"/>
          <w:sz w:val="17"/>
          <w:szCs w:val="17"/>
          <w:b w:val="1"/>
          <w:bCs w:val="1"/>
          <w:color w:val="auto"/>
        </w:rPr>
      </w:pPr>
    </w:p>
    <w:p>
      <w:pPr>
        <w:ind w:left="680" w:right="60" w:hanging="447"/>
        <w:spacing w:after="0" w:line="266" w:lineRule="auto"/>
        <w:tabs>
          <w:tab w:leader="none" w:pos="68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addition, the dollar amount of damages sought is frequently not stated with specificity. In those cases where plaintiffs have made a statement with regard to monetary damages, they often specify damages either just above or below a jurisdictional limit regardless of the facts of the case. These limits represent either the jurisdictional threshold for bringing a case in federal court or the maximum they can seek without risking removal from state court to federal court. In our experience, monetary demands in plaintiffs’ court pleadings bear little relation to the ultimate loss, if any, that we may experience. None of the cases described below includes a statement as to the dollar amount of damages demanded. Instead, each of the cases includes a demand in an amount to be proved at trial.</w:t>
      </w:r>
    </w:p>
    <w:p>
      <w:pPr>
        <w:spacing w:after="0" w:line="90" w:lineRule="exact"/>
        <w:rPr>
          <w:rFonts w:ascii="Arial" w:cs="Arial" w:eastAsia="Arial" w:hAnsi="Arial"/>
          <w:sz w:val="17"/>
          <w:szCs w:val="17"/>
          <w:b w:val="1"/>
          <w:bCs w:val="1"/>
          <w:color w:val="auto"/>
        </w:rPr>
      </w:pPr>
    </w:p>
    <w:p>
      <w:pPr>
        <w:ind w:left="680" w:right="180" w:hanging="447"/>
        <w:spacing w:after="0" w:line="273" w:lineRule="auto"/>
        <w:tabs>
          <w:tab w:leader="none" w:pos="68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For the reasons specified above, it is not possible to make meaningful estimates of the amount or range of loss that could result from these matters at this time. We review these matters on an ongoing basis and follow the provisions of Statement of Financial Accounting Standards (“SFAS”) No. 5, “Accounting for Contingencies” when making accrual and disclosure decisions. When assessing reasonably possible and probable outcomes, management bases its decision on its assessment of the ultimate outcome following all appeals.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80" w:right="340" w:hanging="447"/>
        <w:spacing w:after="0" w:line="331" w:lineRule="auto"/>
        <w:tabs>
          <w:tab w:leader="none" w:pos="68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We intend to vigorously defend each of these matters. In our opinion, while some of these matters may be material to our operating results for any particular period if an unfavorable outcome results, none will have a material adverse effect on our overall financial condition.</w:t>
      </w:r>
    </w:p>
    <w:p>
      <w:pPr>
        <w:spacing w:after="0" w:line="26" w:lineRule="exact"/>
        <w:rPr>
          <w:sz w:val="20"/>
          <w:szCs w:val="20"/>
          <w:color w:val="auto"/>
        </w:rPr>
      </w:pPr>
    </w:p>
    <w:p>
      <w:pPr>
        <w:ind w:firstLine="219"/>
        <w:spacing w:after="0" w:line="280" w:lineRule="auto"/>
        <w:rPr>
          <w:sz w:val="20"/>
          <w:szCs w:val="20"/>
          <w:color w:val="auto"/>
        </w:rPr>
      </w:pPr>
      <w:r>
        <w:rPr>
          <w:rFonts w:ascii="Arial" w:cs="Arial" w:eastAsia="Arial" w:hAnsi="Arial"/>
          <w:sz w:val="16"/>
          <w:szCs w:val="16"/>
          <w:color w:val="auto"/>
        </w:rPr>
        <w:t>There are class actions (Dubin v. Security Union Title Insurance Company, filed on March 12, 2003, in the Court of Common Pleas, Cuyahoga County, Ohio and Randleman v. Fidelity National Title Insurance Company, filed on February 15, 2006 in the U.S. District Court for the Northern District of Ohio, Western Division; Patterson v. Fidelity National Title Insurance Company of New York, filed on October 27, 2003 in the Court of Common Pleas of Allegheny County, Pennsylvania; O’Day v. Ticor Title Insurance Company of Florida, filed on October 18, 2006 in the U.S. District Court for the Eastern District of Pennsylvania; Cohen v. Chicago Title Insurance Company, filed on January 27, 2006 in the Court of Common Pleas of Philadelphia County, Pennsylvania; Guizarri v. Ticor Title Insurance Company, filed on October 17, 2006 in the U.S. District Court for the Eastern District of Pennsylvania; Alberton v. Commonwealth Land Title Insurance Company filed on July 24, 2006 in the United States District Court of the Eastern District of Pennsylvania; Henderson, Miles, individually and on behalf of all others similarly situated v. Lawyers Title Insurance Corporation, filed on January 25, 2002, in the Common Pleas Court of Cuyahoga County, Ohio; Simon, Rodney P. and Tracy L. v. Commonwealth Land Title Insurance Company, filed on March 5, 2003, in the Court of Common Pleas for Cuyahoga County, Ohio; Macula v. Lawyers Title Insurance Corporation, filed on May 25, 2007 in the U.S. District Court for the Northern District of Ohio, Eastern Division; Higgins, Kenneth and Deete, individually and on behalf of others similarly situated v. Commonwealth Land Title Insurance Company, filed on September 20, 2004, in the Circuit Court of Nassau County, State of Florida; DeCooman, Shariee L., individually and on behalf of all others similarly situated v. Lawyers Title Insurance Corporation, filed on August 12, 2005 in the Court of Common Pleas of Allegheny County, Pennsylvania; Hancock v. Chicago Title Insurance Company, filed on August 22, 2007; Villafranca v. Ticor Title Insurance Company, filed on January 25, 2008; Chapman v. Commonwealth Land Title Insurance Company, filed on January 29, 2009; filed in the United States District Court for the Northern District of Texas; Leslie v. Fidelity National Title Insurance Company, filed on August 22, 2008; Kingsberry v. Chicago Title Insurance Company, filed on January 8, 2008, in the United States District Court for the Western District of Washington; Tenhundfeld v. Chicago Title Insurance Company, filed on February 15, 2007, in the United States District Court for the Eastern District of Kentucky; Lind v. Fidelity National Title Insurance Company, filed on April 24, 2008, in the United States District Court for the District of Oregon) pending against several title insurance companies, including Security Union Title Insurance Company, Fidelity National Title Insurance Company, Chicago Title Insurance Company, Ticor Title Insurance Company of Florida, Commonwealth Land Title Insurance Company, Lawyers Title Insurance Corporation, and Ticor Title Insurance Company, alleging improper premiums were charged for title insurance. These cases allege that the named defendant companies failed to provide notice of premium discounts to consumers refinancing their mortgages, and failed to give discounts in refinancing transactions in violation of the filed rates.</w:t>
      </w:r>
    </w:p>
    <w:p>
      <w:pPr>
        <w:spacing w:after="0" w:line="292" w:lineRule="exact"/>
        <w:rPr>
          <w:sz w:val="20"/>
          <w:szCs w:val="20"/>
          <w:color w:val="auto"/>
        </w:rPr>
      </w:pPr>
    </w:p>
    <w:p>
      <w:pPr>
        <w:ind w:firstLine="222"/>
        <w:spacing w:after="0" w:line="282" w:lineRule="auto"/>
        <w:rPr>
          <w:sz w:val="20"/>
          <w:szCs w:val="20"/>
          <w:color w:val="auto"/>
        </w:rPr>
      </w:pPr>
      <w:r>
        <w:rPr>
          <w:rFonts w:ascii="Arial" w:cs="Arial" w:eastAsia="Arial" w:hAnsi="Arial"/>
          <w:sz w:val="16"/>
          <w:szCs w:val="16"/>
          <w:color w:val="auto"/>
        </w:rPr>
        <w:t>In February 2008, thirteen putative class actions were commenced against several title insurance companies, including Fidelity National Title Insurance Company, Chicago Title Insurance Company, Security Union Title Insurance Company and Ticor Title Insurance Company (collectively, the “Fidelity Affiliates”). The complaints also name FNF (together with the Fidelity Affiliates, the “Fidelity Defendants”) as a defendant based on its ownership of the Fidelity Affiliates. The complaints, which are brought on behalf of a putative class of consumers who purchased title insurance in New York, allege that the defendants conspired to inflate rates for title insurance through the Title Insurance Rate Service Association, Inc. (“TIRSA”), a New York State-approved rate service organization which is also named as a defendant. Each of the complaints asserts a cause of action under the Sherman Act and several of the complaints include claims under the Real Estate Settlement Procedures Act as well as New York State statutory and common law claims. The complaints seek monetary damages, including treble damages, as well as injunctive relief. Subsequently, similar complaints were filed in many federal courts. There are now approximately 65 complaints pending alleging that the Fidelity Defendants conspired with their competitors to unlawfully inflate rates for title insurance in every major market in the United States. A motion was filed before the Multidistrict Litigation Panel to consolidate and or coordinate these actions in the United States District Court in the Southern District of New York. However, that motion was denied. The cases are generally being consolidated before one district court judge in each state and scheduled for the filing of consolidated complaints and motion practice. (These cases are Dolan, et al. v. Fidelity Nat’l Title Ins. Co., et al. (Consolidated New York Actions), filed on February 1, 2008 in the Eastern District of New York; In re California Title Insurance Litigation, filed on March 10, 2008 in the Northern District of California; In re Washington Title Insurance Litigation, filed on March 10, 2008 in the Western District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Washington; In re Pennsylvania Title Insurance Litigation, filed on March 11, 2008 in the Eastern District of Pennsylvania; Gougeon, et al. v. Chicago Title Ins. Co., et al. filed on March 12, 2008 in D. Massachusetts; In Re Title Insurance Antitrust Cases, filed March 18, 2008 in the Northern District of Ohio; Classic Homes and Development v. Fidelity Nat’l Title Ins. Co., et al. filed on March 19, 2008 in the Eastern District of Arkansas; In re New Jersey Title Insurance Litigation filed on March 19, 2008 in D. New Jersey; Backel, et al. v. Fidelity Nat’l Title Ins. Co., et al., filed on March 20, 2008 in the Southern District of West Virginia; Winn, et al v. Alamo Title Ins. Co., et al., filed on April 3, 2008 in the Eastern District of Texas; McCray, et al. v. Fidelity Nat’l Title Ins. Co., et al filed on October 15, 2008 in the District of Delaware).</w:t>
      </w:r>
    </w:p>
    <w:p>
      <w:pPr>
        <w:spacing w:after="0" w:line="88" w:lineRule="exact"/>
        <w:rPr>
          <w:sz w:val="20"/>
          <w:szCs w:val="20"/>
          <w:color w:val="auto"/>
        </w:rPr>
      </w:pPr>
    </w:p>
    <w:p>
      <w:pPr>
        <w:ind w:right="20" w:firstLine="222"/>
        <w:spacing w:after="0" w:line="282" w:lineRule="auto"/>
        <w:rPr>
          <w:sz w:val="20"/>
          <w:szCs w:val="20"/>
          <w:color w:val="auto"/>
        </w:rPr>
      </w:pPr>
      <w:r>
        <w:rPr>
          <w:rFonts w:ascii="Arial" w:cs="Arial" w:eastAsia="Arial" w:hAnsi="Arial"/>
          <w:sz w:val="16"/>
          <w:szCs w:val="16"/>
          <w:color w:val="auto"/>
        </w:rPr>
        <w:t>On September 24, 2007 a third party complaint was filed in the In Re Ameriquest Mortgage Lending Practices Litigation in the United States District Court for the Northern District of Illinois by Ameriquest Mortgage Company (“Ameriquest”) and Argent Mortgage Company (“Argent”) against numerous title insurers and agents including Chicago Title Company, Fidelity National Title Company, Fidelity National Title Insurance Company, American Pioneer Title Insurance Company (now known as Ticor Title Insurance Company of Florida), Chicago Title of Michigan, Fidelity National Title Insurance Company of New York, Transnation Title Insurance Company (now known as Lawyers Title Insurance Corporation), Commonwealth Land Title Company, and Ticor Title Insurance Company (collectively, the “FNF Affiliates”). The third party complaint alleges that Ameriquest and Argent have been sued by a class of borrowers alleging that they violated the Truth in Lending Act (“TILA”) by failing to comply with the notice of right to cancel provisions and making misrepresentations in lending to the borrowers, who now seek money damages. Ameriquest and Argent allege that the FNF Affiliates contracted and warranted to close these loans in conformity with the lender’s instructions which correctly followed the requirements of TILA and contained no misrepresentations; therefore, if Ameriquest and Argent are liable to the class, then the FNF Affiliates are liable to them for failing to close the lending transactions as agreed. Ameriquest and Argent seek to recover the cost of resolving the class action against them including their attorney’s fees and costs in the action. The title defendants are organizing to form a defense group and, as requested by the court, are exploring the possibility of filing a single collective response. Recently, the Seventh Circuit, in which these matters are pending, ruled that TILA violations as alleged in these complaints could not be the subject of a class action.</w:t>
      </w:r>
    </w:p>
    <w:p>
      <w:pPr>
        <w:spacing w:after="0" w:line="70" w:lineRule="exact"/>
        <w:rPr>
          <w:sz w:val="20"/>
          <w:szCs w:val="20"/>
          <w:color w:val="auto"/>
        </w:rPr>
      </w:pPr>
    </w:p>
    <w:p>
      <w:pPr>
        <w:ind w:firstLine="219"/>
        <w:spacing w:after="0" w:line="264" w:lineRule="auto"/>
        <w:rPr>
          <w:sz w:val="20"/>
          <w:szCs w:val="20"/>
          <w:color w:val="auto"/>
        </w:rPr>
      </w:pPr>
      <w:r>
        <w:rPr>
          <w:rFonts w:ascii="Arial" w:cs="Arial" w:eastAsia="Arial" w:hAnsi="Arial"/>
          <w:sz w:val="17"/>
          <w:szCs w:val="17"/>
          <w:color w:val="auto"/>
        </w:rPr>
        <w:t>There are class actions pending against FNF, Fidelity National Title Group and several title insurance companies, including Fidelity National Title Insurance Company, Chicago Title Insurance Company, United Title, Inc. (Halpin v. United Title, Inc. filed on January 25, 2008 in the Boulder County District Court, Colorado, Case No. 2008CV99), and Ticor Title Insurance Company, alleging overcharges for government recording fees. These cases allege that the named defendant companies charged fees in excess of the fees charged by government entities in closing transactions and seek various remedies including compensatory damages, prejudgment interest, punitive damages and attorney’s fees. One case recently filed in Kansas seeks to certify a national class against Chicago Title Insurance Company (Hartis v. CTIC filed on August 21, 2008 in the U.S. District Court for the Western District of Missouri, Case No. 08-CV-0607-W-DW). Although the Federal District Court in Kansas refused to certify a national class previously filed by the same plaintiff’s attorneys, this suit seeks to overcome that Court’s objections to certification (Doll v. Chicago Title Insurance Company, filed on September 28, 2006 in the U.S. District Court for the District of Kansas). And, although a similar case filed in Indiana was decertified by the appellate court (Gresh v CTIC filed on April 29, 2003 in the Lake Superior Court, Hammond, Indiana, Case No. 45D01-0304-PL-0064), and we have moved to decertify a companion case there (Roark v Ticor filed on April 29, 2003 in Lake Superior Court, Hammond, Indiana), the Missouri courts have refused to decertify a case now pending and set for trial June 1, 2009 (Krause v. CTIC filed on September 2, 2005 in Circuit Court of Jackson County, Kansas City, Missouri). On January 30, 2009, the court granted the Fidelity defendants’ motion for summary judgment in the recording fee class action in the Federal District Court in Texas, which alleged recording fee overcharges in five states (Arevalo v. Chicago Title Insurance Company and Ticor Title Insurance Company, filed on March 24, 2006 in the U.S. District Court for the Western District of Texas, San Antonio Division, Case No. SA 06CA0265 0G). On January 26, 2009 a recording fee class action was filed in New Jersey. (Arthur Chassen individually and on behalf of all others similarly situated v Fidelity National Financial, filed in the U. S. District Court for New Jersey, Case Number 09-291 (PGS).</w:t>
      </w:r>
    </w:p>
    <w:p>
      <w:pPr>
        <w:spacing w:after="0" w:line="78" w:lineRule="exact"/>
        <w:rPr>
          <w:sz w:val="20"/>
          <w:szCs w:val="20"/>
          <w:color w:val="auto"/>
        </w:rPr>
      </w:pPr>
    </w:p>
    <w:p>
      <w:pPr>
        <w:ind w:right="40" w:firstLine="219"/>
        <w:spacing w:after="0" w:line="304" w:lineRule="auto"/>
        <w:rPr>
          <w:sz w:val="20"/>
          <w:szCs w:val="20"/>
          <w:color w:val="auto"/>
        </w:rPr>
      </w:pPr>
      <w:r>
        <w:rPr>
          <w:rFonts w:ascii="Arial" w:cs="Arial" w:eastAsia="Arial" w:hAnsi="Arial"/>
          <w:sz w:val="16"/>
          <w:szCs w:val="16"/>
          <w:color w:val="auto"/>
        </w:rPr>
        <w:t>There are class actions (Cornelius et al. individually and on behalf of all others similarly situated, v. Fidelity National Title Company et al., W.D.Wash. Case No. 2:08-cv-00754-MJP, filed on May 14, 2008, in the U.S. District Court for the Western District of Washington; Bushbeck, individually and on behalf of all others similarly situated, v. Chicago Title Insurance Co., W.D.Wash. Case No. 2:08-CV-00755-JLR filed on May 14, 2008, in the U.S.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140"/>
        <w:spacing w:after="0" w:line="287" w:lineRule="auto"/>
        <w:rPr>
          <w:sz w:val="20"/>
          <w:szCs w:val="20"/>
          <w:color w:val="auto"/>
        </w:rPr>
      </w:pPr>
      <w:r>
        <w:rPr>
          <w:rFonts w:ascii="Arial" w:cs="Arial" w:eastAsia="Arial" w:hAnsi="Arial"/>
          <w:sz w:val="16"/>
          <w:szCs w:val="16"/>
          <w:color w:val="auto"/>
        </w:rPr>
        <w:t>District Court for the Western District of Washington; Hanka, individually and on behalf of all others similarly situated, v. Chicago Title Insurance Company, W.D. Wash. Case No. 2:08-cv-00984-JLR filed on June 26, 2008, in the U.S. District Court for the Western District of Washington) pending against Fidelity National Title Company, Fidelity National Title Company of Washington, Inc., and Chicago Title Insurance Company, alleging that the named defendants in each case charged unnecessary reconveyance fees (Cornelius, Bushbeck) and unnecessary “junk” fees (wire fees; document download fees) (Hanka) without performing any separate service for those fees which was not already included as a service for the “escrow fee”. Additionally, two of the cases (Cornelius and Hanka) allege that the named defendants wrongfully earned interest or other benefits on escrowed funds from the time funds were deposited into escrow until any disbursement checks cleared the account. Motions for class certification have not yet been filed in any of these cases.</w:t>
      </w:r>
    </w:p>
    <w:p>
      <w:pPr>
        <w:spacing w:after="0" w:line="60" w:lineRule="exact"/>
        <w:rPr>
          <w:sz w:val="20"/>
          <w:szCs w:val="20"/>
          <w:color w:val="auto"/>
        </w:rPr>
      </w:pPr>
    </w:p>
    <w:p>
      <w:pPr>
        <w:ind w:firstLine="222"/>
        <w:spacing w:after="0" w:line="282" w:lineRule="auto"/>
        <w:rPr>
          <w:sz w:val="20"/>
          <w:szCs w:val="20"/>
          <w:color w:val="auto"/>
        </w:rPr>
      </w:pPr>
      <w:r>
        <w:rPr>
          <w:rFonts w:ascii="Arial" w:cs="Arial" w:eastAsia="Arial" w:hAnsi="Arial"/>
          <w:sz w:val="16"/>
          <w:szCs w:val="16"/>
          <w:color w:val="auto"/>
        </w:rPr>
        <w:t>On December 3, 2007, a former title officer for Lawyers Title Insurance Corporation in California filed a putative class action suit against Lawyers and LandAmerica Financial Group, Inc. (“LFG”) (together, the “Defendants”) in the Superior Court of California for Los Angeles County (Chaffin v. Lawyers Title Company and LandAmerica Financial Group, Inc.</w:t>
      </w:r>
      <w:r>
        <w:rPr>
          <w:rFonts w:ascii="Arial" w:cs="Arial" w:eastAsia="Arial" w:hAnsi="Arial"/>
          <w:sz w:val="16"/>
          <w:szCs w:val="16"/>
          <w:i w:val="1"/>
          <w:iCs w:val="1"/>
          <w:color w:val="auto"/>
        </w:rPr>
        <w:t>,</w:t>
      </w:r>
      <w:r>
        <w:rPr>
          <w:rFonts w:ascii="Arial" w:cs="Arial" w:eastAsia="Arial" w:hAnsi="Arial"/>
          <w:sz w:val="16"/>
          <w:szCs w:val="16"/>
          <w:color w:val="auto"/>
        </w:rPr>
        <w:t xml:space="preserve"> filed on December 3, 2007 in the Superior Court for Los Angeles County). A similar putative class action was filed against the Defendants by former Lawyers escrow officers in California, in the same court on December 12, 2007 </w:t>
      </w:r>
      <w:r>
        <w:rPr>
          <w:rFonts w:ascii="Arial" w:cs="Arial" w:eastAsia="Arial" w:hAnsi="Arial"/>
          <w:sz w:val="16"/>
          <w:szCs w:val="16"/>
          <w:i w:val="1"/>
          <w:iCs w:val="1"/>
          <w:color w:val="auto"/>
        </w:rPr>
        <w:t>(</w:t>
      </w:r>
      <w:r>
        <w:rPr>
          <w:rFonts w:ascii="Arial" w:cs="Arial" w:eastAsia="Arial" w:hAnsi="Arial"/>
          <w:sz w:val="16"/>
          <w:szCs w:val="16"/>
          <w:color w:val="auto"/>
        </w:rPr>
        <w:t>Hay et al. v. Lawyers Title Company and LandAmerica Financial Group, Inc.</w:t>
      </w:r>
      <w:r>
        <w:rPr>
          <w:rFonts w:ascii="Arial" w:cs="Arial" w:eastAsia="Arial" w:hAnsi="Arial"/>
          <w:sz w:val="16"/>
          <w:szCs w:val="16"/>
          <w:i w:val="1"/>
          <w:iCs w:val="1"/>
          <w:color w:val="auto"/>
        </w:rPr>
        <w:t>,</w:t>
      </w:r>
      <w:r>
        <w:rPr>
          <w:rFonts w:ascii="Arial" w:cs="Arial" w:eastAsia="Arial" w:hAnsi="Arial"/>
          <w:sz w:val="16"/>
          <w:szCs w:val="16"/>
          <w:color w:val="auto"/>
        </w:rPr>
        <w:t xml:space="preserve"> filed on December 12, 2007 in the Superior Court for Los Angeles County). The plaintiffs’ complaints in both lawsuits allege failure to pay overtime and other related violations of the California Labor Code, as well as unfair business practices under the California Business and Professions Code § 17200 on behalf of all current and former California title and escrow officers. The underlying basis for both lawsuits is an alleged misclassification of title and escrow officers as “exempt” employees for purposes of the California Labor Code, which resulted in a failure to pay overtime and provide for required meal and rest breaks. Although such employees were reclassified as “non-exempt” beginning on January 1, 2006, the complaints allege similar violations of the California Labor Code even after that date for alleged “off-the-clock” work. The plaintiffs’ complaints in both cases demand an unspecified amount of back wages, statutory penalties, declaratory and injunctive relief, punitive damages, interest, and attorneys’ fees and costs. The plaintiffs have yet to file a motion for class certification, as the parties have agreed to mediation in May 2009. Should further litigation prove necessary following the mediation, we believe we have meritorious defenses both to class certification and to liability.</w:t>
      </w:r>
    </w:p>
    <w:p>
      <w:pPr>
        <w:spacing w:after="0" w:line="70" w:lineRule="exact"/>
        <w:rPr>
          <w:sz w:val="20"/>
          <w:szCs w:val="20"/>
          <w:color w:val="auto"/>
        </w:rPr>
      </w:pPr>
    </w:p>
    <w:p>
      <w:pPr>
        <w:ind w:firstLine="219"/>
        <w:spacing w:after="0" w:line="291" w:lineRule="auto"/>
        <w:rPr>
          <w:sz w:val="20"/>
          <w:szCs w:val="20"/>
          <w:color w:val="auto"/>
        </w:rPr>
      </w:pPr>
      <w:r>
        <w:rPr>
          <w:rFonts w:ascii="Arial" w:cs="Arial" w:eastAsia="Arial" w:hAnsi="Arial"/>
          <w:sz w:val="16"/>
          <w:szCs w:val="16"/>
          <w:color w:val="auto"/>
        </w:rPr>
        <w:t>Various governmental entities are studying the title insurance product, market, pricing, business practices, and potential regulatory and legislative changes. We receive inquiries and requests for information from state insurance departments, attorneys general and other regulatory agencies from time to time 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 For a description of certain pending regulatory matters in California, see Item 1A, Risk Factors.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and Related Stockholder Matters and Issuer Purchases of Equity Securities</w:t>
      </w:r>
    </w:p>
    <w:p>
      <w:pPr>
        <w:spacing w:after="0" w:line="119" w:lineRule="exact"/>
        <w:rPr>
          <w:sz w:val="20"/>
          <w:szCs w:val="20"/>
          <w:color w:val="auto"/>
        </w:rPr>
      </w:pPr>
    </w:p>
    <w:p>
      <w:pPr>
        <w:ind w:right="160" w:firstLine="222"/>
        <w:spacing w:after="0" w:line="331" w:lineRule="auto"/>
        <w:rPr>
          <w:sz w:val="20"/>
          <w:szCs w:val="20"/>
          <w:color w:val="auto"/>
        </w:rPr>
      </w:pPr>
      <w:r>
        <w:rPr>
          <w:rFonts w:ascii="Arial" w:cs="Arial" w:eastAsia="Arial" w:hAnsi="Arial"/>
          <w:sz w:val="16"/>
          <w:szCs w:val="16"/>
          <w:color w:val="auto"/>
        </w:rPr>
        <w:t>Our common stock is traded on the New York Stock Exchange under the symbol “FNF”. The following table shows, for the periods indicated, the high and low sales prices of our common stock, as reported by the New York Stock Exchange, and the amounts of dividends per share declared on our common stock.</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rPr>
              <w:t>Low</w:t>
            </w:r>
          </w:p>
        </w:tc>
        <w:tc>
          <w:tcPr>
            <w:tcW w:w="10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Cash Dividends</w:t>
            </w: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7"/>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2008</w:t>
            </w: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20.96</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12.60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12.56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3"/>
        </w:trPr>
        <w:tc>
          <w:tcPr>
            <w:tcW w:w="768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18.19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11.93</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Fourth quarter</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3"/>
        </w:trPr>
        <w:tc>
          <w:tcPr>
            <w:tcW w:w="7680" w:type="dxa"/>
            <w:vAlign w:val="bottom"/>
          </w:tcPr>
          <w:p>
            <w:pPr>
              <w:spacing w:after="0"/>
              <w:rPr>
                <w:sz w:val="20"/>
                <w:szCs w:val="20"/>
                <w:color w:val="auto"/>
              </w:rPr>
            </w:pPr>
            <w:r>
              <w:rPr>
                <w:rFonts w:ascii="Arial" w:cs="Arial" w:eastAsia="Arial" w:hAnsi="Arial"/>
                <w:sz w:val="18"/>
                <w:szCs w:val="18"/>
                <w:color w:val="auto"/>
              </w:rPr>
              <w:t>Year ended December 31, 2007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26.21</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22.92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3"/>
        </w:trPr>
        <w:tc>
          <w:tcPr>
            <w:tcW w:w="768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28.62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22.92</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16.46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24"/>
        </w:trPr>
        <w:tc>
          <w:tcPr>
            <w:tcW w:w="768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14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17.81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13.10</w:t>
            </w:r>
          </w:p>
        </w:tc>
        <w:tc>
          <w:tcPr>
            <w:tcW w:w="1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right="200" w:firstLine="222"/>
        <w:spacing w:after="0" w:line="267" w:lineRule="auto"/>
        <w:rPr>
          <w:sz w:val="20"/>
          <w:szCs w:val="20"/>
          <w:color w:val="auto"/>
        </w:rPr>
      </w:pPr>
      <w:r>
        <w:rPr>
          <w:rFonts w:ascii="Arial" w:cs="Arial" w:eastAsia="Arial" w:hAnsi="Arial"/>
          <w:sz w:val="18"/>
          <w:szCs w:val="18"/>
          <w:color w:val="auto"/>
        </w:rPr>
        <w:t>On January 30, 2009 the last reported sale price of our common stock on the New York Stock Exchange was $14.62 per share. As of January 30, 2009, we had approximately 5,487 stockholders of record.</w:t>
      </w:r>
    </w:p>
    <w:p>
      <w:pPr>
        <w:spacing w:after="0" w:line="73" w:lineRule="exact"/>
        <w:rPr>
          <w:sz w:val="20"/>
          <w:szCs w:val="20"/>
          <w:color w:val="auto"/>
        </w:rPr>
      </w:pPr>
    </w:p>
    <w:p>
      <w:pPr>
        <w:ind w:right="140" w:firstLine="222"/>
        <w:spacing w:after="0" w:line="267" w:lineRule="auto"/>
        <w:rPr>
          <w:sz w:val="20"/>
          <w:szCs w:val="20"/>
          <w:color w:val="auto"/>
        </w:rPr>
      </w:pPr>
      <w:r>
        <w:rPr>
          <w:rFonts w:ascii="Arial" w:cs="Arial" w:eastAsia="Arial" w:hAnsi="Arial"/>
          <w:sz w:val="18"/>
          <w:szCs w:val="18"/>
          <w:color w:val="auto"/>
        </w:rPr>
        <w:t>On February 3, 2009, our Board of Directors formally declared a $0.15 per share cash dividend that is payable on March 31, 2009 to stockholders of record as of March 17, 2009.</w:t>
      </w:r>
    </w:p>
    <w:p>
      <w:pPr>
        <w:spacing w:after="0" w:line="73" w:lineRule="exact"/>
        <w:rPr>
          <w:sz w:val="20"/>
          <w:szCs w:val="20"/>
          <w:color w:val="auto"/>
        </w:rPr>
      </w:pPr>
    </w:p>
    <w:p>
      <w:pPr>
        <w:ind w:right="160" w:firstLine="222"/>
        <w:spacing w:after="0" w:line="254" w:lineRule="auto"/>
        <w:rPr>
          <w:sz w:val="20"/>
          <w:szCs w:val="20"/>
          <w:color w:val="auto"/>
        </w:rPr>
      </w:pPr>
      <w:r>
        <w:rPr>
          <w:rFonts w:ascii="Arial" w:cs="Arial" w:eastAsia="Arial" w:hAnsi="Arial"/>
          <w:sz w:val="18"/>
          <w:szCs w:val="18"/>
          <w:color w:val="auto"/>
        </w:rPr>
        <w:t>Our current dividend policy anticipates the payment of quarterly dividends in the future. The declaration and payment of dividends will be at the discretion of our Board of Directors and will be dependent upon our future earnings, financial condition and capital requirements. Our ability to declare dividends is subject to restrictions under our existing credit agreement. We do not believe the restrictions contained in our credit agreement will, in the foreseeable future, adversely affect our ability to pay cash dividends at the current dividend rate.</w:t>
      </w:r>
    </w:p>
    <w:p>
      <w:pPr>
        <w:spacing w:after="0" w:line="84" w:lineRule="exact"/>
        <w:rPr>
          <w:sz w:val="20"/>
          <w:szCs w:val="20"/>
          <w:color w:val="auto"/>
        </w:rPr>
      </w:pPr>
    </w:p>
    <w:p>
      <w:pPr>
        <w:ind w:right="140" w:firstLine="222"/>
        <w:spacing w:after="0" w:line="291" w:lineRule="auto"/>
        <w:rPr>
          <w:sz w:val="20"/>
          <w:szCs w:val="20"/>
          <w:color w:val="auto"/>
        </w:rPr>
      </w:pPr>
      <w:r>
        <w:rPr>
          <w:rFonts w:ascii="Arial" w:cs="Arial" w:eastAsia="Arial" w:hAnsi="Arial"/>
          <w:sz w:val="16"/>
          <w:szCs w:val="16"/>
          <w:color w:val="auto"/>
        </w:rPr>
        <w:t>Since we are a holding company, our ability to pay dividends will depend largely on the ability of our subsidiaries to pay dividends to us, and the ability of our title insurance subsidiaries to do so is subject to, among other factors, their compliance with applicable insurance regulations. As of December 31, 2008, $1,547.5 million of the Company’s net assets are restricted from dividend payments without prior approval from the Departments of Insurance in the States where our title insurance subsidiaries are domiciled. During 2009, our directly owned title insurance subsidiaries can pay dividends or make distributions to us of approximately $214.7 million without prior approval. The limits placed on such subsidiaries’ abilities to pay dividends affect our ability to pay dividends.</w:t>
      </w:r>
    </w:p>
    <w:p>
      <w:pPr>
        <w:spacing w:after="0" w:line="58" w:lineRule="exact"/>
        <w:rPr>
          <w:sz w:val="20"/>
          <w:szCs w:val="20"/>
          <w:color w:val="auto"/>
        </w:rPr>
      </w:pPr>
    </w:p>
    <w:p>
      <w:pPr>
        <w:ind w:right="20" w:firstLine="222"/>
        <w:spacing w:after="0" w:line="251" w:lineRule="auto"/>
        <w:rPr>
          <w:sz w:val="20"/>
          <w:szCs w:val="20"/>
          <w:color w:val="auto"/>
        </w:rPr>
      </w:pPr>
      <w:r>
        <w:rPr>
          <w:rFonts w:ascii="Arial" w:cs="Arial" w:eastAsia="Arial" w:hAnsi="Arial"/>
          <w:sz w:val="18"/>
          <w:szCs w:val="18"/>
          <w:color w:val="auto"/>
        </w:rPr>
        <w:t>On October 25, 2006, our Board of Directors approved a three-year stock repurchase program under which we can repurchase up to 25 million shares of our common stock. We may make purchases from time to time in the open market, in block purchases or in privately negotiated transactions, depending on market conditions and other factors. We began purchasing shares under this program on a regular basis on April 30, 2007, and, through December 31, 2008, we had repurchased a total of 12,840,470 shares for $229.1 million, or an average of $17.84 per share, none of which were purchased in the three months ended December 31, 2008. We have not repurchased any shares under this program since December 31, 2008. For more information, please see “Liquidity and Capital Resources” in Item 7 of this Form 10-K.</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19" w:lineRule="exact"/>
        <w:rPr>
          <w:sz w:val="20"/>
          <w:szCs w:val="20"/>
          <w:color w:val="auto"/>
        </w:rPr>
      </w:pPr>
    </w:p>
    <w:p>
      <w:pPr>
        <w:ind w:right="200" w:firstLine="219"/>
        <w:spacing w:after="0" w:line="257" w:lineRule="auto"/>
        <w:rPr>
          <w:sz w:val="20"/>
          <w:szCs w:val="20"/>
          <w:color w:val="auto"/>
        </w:rPr>
      </w:pPr>
      <w:r>
        <w:rPr>
          <w:rFonts w:ascii="Arial" w:cs="Arial" w:eastAsia="Arial" w:hAnsi="Arial"/>
          <w:sz w:val="18"/>
          <w:szCs w:val="18"/>
          <w:color w:val="auto"/>
        </w:rPr>
        <w:t>The information set forth below should be read in conjunction with the consolidated financial statements and related notes and “Management’s Discussion and Analysis of Financial Condition and Results of Operations” included elsewhere in this Form 10-K. Certain reclassifications have been made to the prior year amounts to conform with the 2008 presentation.</w:t>
      </w:r>
    </w:p>
    <w:p>
      <w:pPr>
        <w:spacing w:after="0" w:line="82" w:lineRule="exact"/>
        <w:rPr>
          <w:sz w:val="20"/>
          <w:szCs w:val="20"/>
          <w:color w:val="auto"/>
        </w:rPr>
      </w:pPr>
    </w:p>
    <w:p>
      <w:pPr>
        <w:ind w:firstLine="212"/>
        <w:spacing w:after="0" w:line="284" w:lineRule="auto"/>
        <w:rPr>
          <w:sz w:val="20"/>
          <w:szCs w:val="20"/>
          <w:color w:val="auto"/>
        </w:rPr>
      </w:pPr>
      <w:r>
        <w:rPr>
          <w:rFonts w:ascii="Arial" w:cs="Arial" w:eastAsia="Arial" w:hAnsi="Arial"/>
          <w:sz w:val="16"/>
          <w:szCs w:val="16"/>
          <w:color w:val="auto"/>
        </w:rPr>
        <w:t>Acquisitions among entities under common control such as Old FNF’s 2006 contribution of assets to us in connection with the 2006 Distribution are not considered business combinations and are to be accounted for at historical cost in accordance with Emerging Issues Task Force (“EITF”) 90-5, “Exchanges of Ownership Interests between Enterprises under Common Control.” Furthermore, the substance of that asset contribution, the 2006 Distribution and the Old FNF-FIS merger is effectively a reverse spin-off of FIS by Old FNF in accordance with EITF 02-11, “Accounting for Reverse Spinoffs.” Accordingly, the historical financial statements of Old FNF became those of FNF. As a result, the data shown below for periods or dates prior to October 24, 2006, the date the 2006 Distribution was completed, are the data of Old FNF, including the results of both FIS and us (referred to as FNT) as subsidiaries of Old FNF. Following completion of the 2006 Distribution, however, the criteria to account for FIS as discontinued operations as prescribed by SFAS No. 144, “Accounting for the Impairment or Disposal of Long-Lived Assets,” were not met. This is primarily due to our continuing involvement with and significant influence over FIS subsequent to the merger of Old FNF and FIS through common board members, common senior management and continuing business relationships. As a result, for periods prior to October 24, 2006, FIS continues to be included in our consolidated financial statements.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0" w:lineRule="exact"/>
              <w:rPr>
                <w:sz w:val="20"/>
                <w:szCs w:val="20"/>
                <w:color w:val="auto"/>
              </w:rPr>
            </w:pPr>
            <w:r>
              <w:rPr>
                <w:rFonts w:ascii="Arial" w:cs="Arial" w:eastAsia="Arial" w:hAnsi="Arial"/>
                <w:sz w:val="14"/>
                <w:szCs w:val="14"/>
                <w:b w:val="1"/>
                <w:bCs w:val="1"/>
                <w:color w:val="auto"/>
              </w:rPr>
              <w:t>2008(1)</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0" w:lineRule="exact"/>
              <w:rPr>
                <w:sz w:val="20"/>
                <w:szCs w:val="20"/>
                <w:color w:val="auto"/>
              </w:rPr>
            </w:pPr>
            <w:r>
              <w:rPr>
                <w:rFonts w:ascii="Arial" w:cs="Arial" w:eastAsia="Arial" w:hAnsi="Arial"/>
                <w:sz w:val="14"/>
                <w:szCs w:val="14"/>
                <w:b w:val="1"/>
                <w:bCs w:val="1"/>
                <w:color w:val="auto"/>
              </w:rPr>
              <w:t>2007(2)</w:t>
            </w: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77"/>
              </w:rPr>
              <w:t>thousands,</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2"/>
              <w:spacing w:after="0" w:line="140" w:lineRule="exact"/>
              <w:rPr>
                <w:sz w:val="20"/>
                <w:szCs w:val="20"/>
                <w:color w:val="auto"/>
              </w:rPr>
            </w:pPr>
            <w:r>
              <w:rPr>
                <w:rFonts w:ascii="Arial" w:cs="Arial" w:eastAsia="Arial" w:hAnsi="Arial"/>
                <w:sz w:val="14"/>
                <w:szCs w:val="14"/>
                <w:b w:val="1"/>
                <w:bCs w:val="1"/>
                <w:color w:val="auto"/>
              </w:rPr>
              <w:t>2006(3)</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52"/>
              <w:spacing w:after="0" w:line="140" w:lineRule="exact"/>
              <w:rPr>
                <w:sz w:val="20"/>
                <w:szCs w:val="20"/>
                <w:color w:val="auto"/>
              </w:rPr>
            </w:pPr>
            <w:r>
              <w:rPr>
                <w:rFonts w:ascii="Arial" w:cs="Arial" w:eastAsia="Arial" w:hAnsi="Arial"/>
                <w:sz w:val="14"/>
                <w:szCs w:val="14"/>
                <w:b w:val="1"/>
                <w:bCs w:val="1"/>
                <w:color w:val="auto"/>
              </w:rPr>
              <w:t>2005(4)</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2"/>
              <w:spacing w:after="0" w:line="140" w:lineRule="exact"/>
              <w:rPr>
                <w:sz w:val="20"/>
                <w:szCs w:val="20"/>
                <w:color w:val="auto"/>
              </w:rPr>
            </w:pPr>
            <w:r>
              <w:rPr>
                <w:rFonts w:ascii="Arial" w:cs="Arial" w:eastAsia="Arial" w:hAnsi="Arial"/>
                <w:sz w:val="14"/>
                <w:szCs w:val="14"/>
                <w:b w:val="1"/>
                <w:bCs w:val="1"/>
                <w:color w:val="auto"/>
              </w:rPr>
              <w:t>2004(5)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112"/>
              <w:spacing w:after="0" w:line="140"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2"/>
            <w:vMerge w:val="continue"/>
          </w:tcPr>
          <w:p>
            <w:pPr>
              <w:spacing w:after="0"/>
              <w:rPr>
                <w:sz w:val="12"/>
                <w:szCs w:val="12"/>
                <w:color w:val="auto"/>
              </w:rPr>
            </w:pPr>
          </w:p>
        </w:tc>
        <w:tc>
          <w:tcPr>
            <w:tcW w:w="2660" w:type="dxa"/>
            <w:vAlign w:val="bottom"/>
            <w:gridSpan w:val="6"/>
          </w:tcPr>
          <w:p>
            <w:pPr>
              <w:spacing w:after="0" w:line="140" w:lineRule="exact"/>
              <w:rPr>
                <w:sz w:val="20"/>
                <w:szCs w:val="20"/>
                <w:color w:val="auto"/>
              </w:rPr>
            </w:pPr>
            <w:r>
              <w:rPr>
                <w:rFonts w:ascii="Arial" w:cs="Arial" w:eastAsia="Arial" w:hAnsi="Arial"/>
                <w:sz w:val="14"/>
                <w:szCs w:val="14"/>
                <w:b w:val="1"/>
                <w:bCs w:val="1"/>
                <w:color w:val="auto"/>
              </w:rPr>
              <w:t>except per share and other data)</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Revenue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4,329,095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9"/>
              <w:spacing w:after="0"/>
              <w:rPr>
                <w:sz w:val="20"/>
                <w:szCs w:val="20"/>
                <w:color w:val="auto"/>
              </w:rPr>
            </w:pPr>
            <w:r>
              <w:rPr>
                <w:rFonts w:ascii="Arial" w:cs="Arial" w:eastAsia="Arial" w:hAnsi="Arial"/>
                <w:sz w:val="18"/>
                <w:szCs w:val="18"/>
                <w:color w:val="auto"/>
                <w:w w:val="89"/>
              </w:rPr>
              <w:t>5,523,175</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9,434,399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9,654,226</w:t>
            </w:r>
          </w:p>
        </w:tc>
        <w:tc>
          <w:tcPr>
            <w:tcW w:w="3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8,293,623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Personnel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1,355,845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9"/>
              <w:spacing w:after="0"/>
              <w:rPr>
                <w:sz w:val="20"/>
                <w:szCs w:val="20"/>
                <w:color w:val="auto"/>
              </w:rPr>
            </w:pPr>
            <w:r>
              <w:rPr>
                <w:rFonts w:ascii="Arial" w:cs="Arial" w:eastAsia="Arial" w:hAnsi="Arial"/>
                <w:sz w:val="18"/>
                <w:szCs w:val="18"/>
                <w:color w:val="auto"/>
                <w:w w:val="89"/>
              </w:rPr>
              <w:t>1,700,935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3,225,319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3,224,678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2,786,297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1,208,647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w w:val="89"/>
              </w:rPr>
              <w:t>1,109,438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2,075,101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1,702,353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1,598,942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Agent commissions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1,218,044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9"/>
              <w:spacing w:after="0"/>
              <w:rPr>
                <w:sz w:val="20"/>
                <w:szCs w:val="20"/>
                <w:color w:val="auto"/>
              </w:rPr>
            </w:pPr>
            <w:r>
              <w:rPr>
                <w:rFonts w:ascii="Arial" w:cs="Arial" w:eastAsia="Arial" w:hAnsi="Arial"/>
                <w:sz w:val="18"/>
                <w:szCs w:val="18"/>
                <w:color w:val="auto"/>
                <w:w w:val="89"/>
              </w:rPr>
              <w:t>1,698,215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2,035,423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2,060,467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2,028,926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130,092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460,750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406,259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Provision for claim losses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630,404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9"/>
              <w:spacing w:after="0"/>
              <w:rPr>
                <w:sz w:val="20"/>
                <w:szCs w:val="20"/>
                <w:color w:val="auto"/>
              </w:rPr>
            </w:pPr>
            <w:r>
              <w:rPr>
                <w:rFonts w:ascii="Arial" w:cs="Arial" w:eastAsia="Arial" w:hAnsi="Arial"/>
                <w:sz w:val="18"/>
                <w:szCs w:val="18"/>
                <w:color w:val="auto"/>
              </w:rPr>
              <w:t>653,876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486,334</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480,556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311,916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68,789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209,972</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172,327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4,624,488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89"/>
              <w:spacing w:after="0"/>
              <w:rPr>
                <w:sz w:val="20"/>
                <w:szCs w:val="20"/>
                <w:color w:val="auto"/>
              </w:rPr>
            </w:pPr>
            <w:r>
              <w:rPr>
                <w:rFonts w:ascii="Arial" w:cs="Arial" w:eastAsia="Arial" w:hAnsi="Arial"/>
                <w:sz w:val="18"/>
                <w:szCs w:val="18"/>
                <w:color w:val="auto"/>
                <w:w w:val="89"/>
              </w:rPr>
              <w:t>5,347,497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8,492,899</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8,046,640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7,111,729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earnings before income taxes, equity in</w:t>
            </w: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earnings of unconsolidated affiliates, and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minority interest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(295,393)</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175,678</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941,500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1,607,586</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1,181,894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(125,542)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89"/>
              <w:spacing w:after="0"/>
              <w:rPr>
                <w:sz w:val="20"/>
                <w:szCs w:val="20"/>
                <w:color w:val="auto"/>
              </w:rPr>
            </w:pPr>
            <w:r>
              <w:rPr>
                <w:rFonts w:ascii="Arial" w:cs="Arial" w:eastAsia="Arial" w:hAnsi="Arial"/>
                <w:sz w:val="18"/>
                <w:szCs w:val="18"/>
                <w:color w:val="auto"/>
              </w:rPr>
              <w:t>46,776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350,871</w:t>
            </w:r>
          </w:p>
        </w:tc>
        <w:tc>
          <w:tcPr>
            <w:tcW w:w="1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573,391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438,114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before equity in (loss) earnings of</w:t>
            </w: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unconsolidated affiliates and minority interest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(169,851)</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128,902</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590,629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1,034,195</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743,780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Equity in (loss) earnings of unconsolidated affiliates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(13,375)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9"/>
              <w:spacing w:after="0"/>
              <w:rPr>
                <w:sz w:val="20"/>
                <w:szCs w:val="20"/>
                <w:color w:val="auto"/>
              </w:rPr>
            </w:pPr>
            <w:r>
              <w:rPr>
                <w:rFonts w:ascii="Arial" w:cs="Arial" w:eastAsia="Arial" w:hAnsi="Arial"/>
                <w:sz w:val="18"/>
                <w:szCs w:val="18"/>
                <w:color w:val="auto"/>
              </w:rPr>
              <w:t>835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(Loss) earnings before minority interest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(183,226)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129,737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592,331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1,034,549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745,977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Minority interest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9"/>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154,570</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70,443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earnings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(179,016)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129,769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437,761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964,106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740,962</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 Share Data(6):</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3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net (loss) earnings per share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0.60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basic basis</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3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line="206" w:lineRule="exact"/>
              <w:rPr>
                <w:sz w:val="20"/>
                <w:szCs w:val="20"/>
                <w:color w:val="auto"/>
              </w:rPr>
            </w:pPr>
            <w:r>
              <w:rPr>
                <w:rFonts w:ascii="Arial" w:cs="Arial" w:eastAsia="Arial" w:hAnsi="Arial"/>
                <w:sz w:val="18"/>
                <w:szCs w:val="18"/>
                <w:color w:val="auto"/>
              </w:rPr>
              <w:t>209,974</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9"/>
              <w:spacing w:after="0" w:line="206" w:lineRule="exact"/>
              <w:rPr>
                <w:sz w:val="20"/>
                <w:szCs w:val="20"/>
                <w:color w:val="auto"/>
              </w:rPr>
            </w:pPr>
            <w:r>
              <w:rPr>
                <w:rFonts w:ascii="Arial" w:cs="Arial" w:eastAsia="Arial" w:hAnsi="Arial"/>
                <w:sz w:val="18"/>
                <w:szCs w:val="18"/>
                <w:color w:val="auto"/>
              </w:rPr>
              <w:t>216,583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00"/>
              <w:spacing w:after="0" w:line="206" w:lineRule="exact"/>
              <w:rPr>
                <w:sz w:val="20"/>
                <w:szCs w:val="20"/>
                <w:color w:val="auto"/>
              </w:rPr>
            </w:pPr>
            <w:r>
              <w:rPr>
                <w:rFonts w:ascii="Arial" w:cs="Arial" w:eastAsia="Arial" w:hAnsi="Arial"/>
                <w:sz w:val="18"/>
                <w:szCs w:val="18"/>
                <w:color w:val="auto"/>
              </w:rPr>
              <w:t>182,031</w:t>
            </w: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6" w:lineRule="exact"/>
              <w:rPr>
                <w:sz w:val="20"/>
                <w:szCs w:val="20"/>
                <w:color w:val="auto"/>
              </w:rPr>
            </w:pPr>
            <w:r>
              <w:rPr>
                <w:rFonts w:ascii="Arial" w:cs="Arial" w:eastAsia="Arial" w:hAnsi="Arial"/>
                <w:sz w:val="18"/>
                <w:szCs w:val="18"/>
                <w:color w:val="auto"/>
              </w:rPr>
              <w:t>173,463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earnings per share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0.59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diluted basis</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3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line="206" w:lineRule="exact"/>
              <w:rPr>
                <w:sz w:val="20"/>
                <w:szCs w:val="20"/>
                <w:color w:val="auto"/>
              </w:rPr>
            </w:pPr>
            <w:r>
              <w:rPr>
                <w:rFonts w:ascii="Arial" w:cs="Arial" w:eastAsia="Arial" w:hAnsi="Arial"/>
                <w:sz w:val="18"/>
                <w:szCs w:val="18"/>
                <w:color w:val="auto"/>
              </w:rPr>
              <w:t>209,974</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9"/>
              <w:spacing w:after="0" w:line="206" w:lineRule="exact"/>
              <w:rPr>
                <w:sz w:val="20"/>
                <w:szCs w:val="20"/>
                <w:color w:val="auto"/>
              </w:rPr>
            </w:pPr>
            <w:r>
              <w:rPr>
                <w:rFonts w:ascii="Arial" w:cs="Arial" w:eastAsia="Arial" w:hAnsi="Arial"/>
                <w:sz w:val="18"/>
                <w:szCs w:val="18"/>
                <w:color w:val="auto"/>
              </w:rPr>
              <w:t>219,989</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600"/>
              <w:spacing w:after="0" w:line="206" w:lineRule="exact"/>
              <w:rPr>
                <w:sz w:val="20"/>
                <w:szCs w:val="20"/>
                <w:color w:val="auto"/>
              </w:rPr>
            </w:pPr>
            <w:r>
              <w:rPr>
                <w:rFonts w:ascii="Arial" w:cs="Arial" w:eastAsia="Arial" w:hAnsi="Arial"/>
                <w:sz w:val="18"/>
                <w:szCs w:val="18"/>
                <w:color w:val="auto"/>
              </w:rPr>
              <w:t>182,861</w:t>
            </w: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6" w:lineRule="exact"/>
              <w:rPr>
                <w:sz w:val="20"/>
                <w:szCs w:val="20"/>
                <w:color w:val="auto"/>
              </w:rPr>
            </w:pPr>
            <w:r>
              <w:rPr>
                <w:rFonts w:ascii="Arial" w:cs="Arial" w:eastAsia="Arial" w:hAnsi="Arial"/>
                <w:sz w:val="18"/>
                <w:szCs w:val="18"/>
                <w:color w:val="auto"/>
              </w:rPr>
              <w:t>173,575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4"/>
              </w:rPr>
              <w:t>Unaudited pro forma net earnings per share — basic and</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diluted(7)</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w w:val="98"/>
              </w:rPr>
              <w:t>Unaudited pro forma weighted average shares — basic</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3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and diluted(7)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172,951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1.20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Investments(8)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4,376,493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w w:val="89"/>
              </w:rPr>
              <w:t>4,101,821</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4,121,751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4,564,189</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3,346,276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Cash and cash equivalents(9)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315,297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9"/>
              <w:spacing w:after="0"/>
              <w:rPr>
                <w:sz w:val="20"/>
                <w:szCs w:val="20"/>
                <w:color w:val="auto"/>
              </w:rPr>
            </w:pPr>
            <w:r>
              <w:rPr>
                <w:rFonts w:ascii="Arial" w:cs="Arial" w:eastAsia="Arial" w:hAnsi="Arial"/>
                <w:sz w:val="18"/>
                <w:szCs w:val="18"/>
                <w:color w:val="auto"/>
              </w:rPr>
              <w:t>569,562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676,444</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513,394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331,222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8,368,240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w w:val="89"/>
              </w:rPr>
              <w:t>7,587,853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7,259,559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11,104,617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9,270,535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Notes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1,350,849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9"/>
              <w:spacing w:after="0"/>
              <w:rPr>
                <w:sz w:val="20"/>
                <w:szCs w:val="20"/>
                <w:color w:val="auto"/>
              </w:rPr>
            </w:pPr>
            <w:r>
              <w:rPr>
                <w:rFonts w:ascii="Arial" w:cs="Arial" w:eastAsia="Arial" w:hAnsi="Arial"/>
                <w:sz w:val="18"/>
                <w:szCs w:val="18"/>
                <w:color w:val="auto"/>
                <w:w w:val="89"/>
              </w:rPr>
              <w:t>1,167,739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491,167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3,217,019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1,370,556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Reserve for claim losses(10)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2,738,625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w w:val="89"/>
              </w:rPr>
              <w:t>1,419,910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1,220,636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1,113,506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Minority interests and preferred stock of subsidiary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51,199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9"/>
              <w:spacing w:after="0"/>
              <w:rPr>
                <w:sz w:val="20"/>
                <w:szCs w:val="20"/>
                <w:color w:val="auto"/>
              </w:rPr>
            </w:pPr>
            <w:r>
              <w:rPr>
                <w:rFonts w:ascii="Arial" w:cs="Arial" w:eastAsia="Arial" w:hAnsi="Arial"/>
                <w:sz w:val="18"/>
                <w:szCs w:val="18"/>
                <w:color w:val="auto"/>
              </w:rPr>
              <w:t>53,868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56,044</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636,304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18,874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2,805,573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w w:val="89"/>
              </w:rPr>
              <w:t>3,244,088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3,474,368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3,279,775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4,700,091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Book value per share(11)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13.05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9"/>
              <w:spacing w:after="0"/>
              <w:rPr>
                <w:sz w:val="20"/>
                <w:szCs w:val="20"/>
                <w:color w:val="auto"/>
              </w:rPr>
            </w:pPr>
            <w:r>
              <w:rPr>
                <w:rFonts w:ascii="Arial" w:cs="Arial" w:eastAsia="Arial" w:hAnsi="Arial"/>
                <w:sz w:val="18"/>
                <w:szCs w:val="18"/>
                <w:color w:val="auto"/>
              </w:rPr>
              <w:t>15.23</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18.81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191"/>
              <w:spacing w:after="0"/>
              <w:rPr>
                <w:sz w:val="20"/>
                <w:szCs w:val="20"/>
                <w:color w:val="auto"/>
              </w:rPr>
            </w:pPr>
            <w:r>
              <w:rPr>
                <w:rFonts w:ascii="Arial" w:cs="Arial" w:eastAsia="Arial" w:hAnsi="Arial"/>
                <w:sz w:val="18"/>
                <w:szCs w:val="18"/>
                <w:color w:val="auto"/>
                <w:w w:val="99"/>
              </w:rPr>
              <w:t>29</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right="149"/>
              <w:spacing w:after="0"/>
              <w:rPr>
                <w:sz w:val="20"/>
                <w:szCs w:val="20"/>
                <w:color w:val="auto"/>
              </w:rPr>
            </w:pPr>
            <w:r>
              <w:rPr>
                <w:rFonts w:ascii="Arial" w:cs="Arial" w:eastAsia="Arial" w:hAnsi="Arial"/>
                <w:sz w:val="14"/>
                <w:szCs w:val="14"/>
                <w:b w:val="1"/>
                <w:bCs w:val="1"/>
                <w:color w:val="auto"/>
                <w:w w:val="91"/>
              </w:rPr>
              <w:t>Year Ended December 31,</w:t>
            </w: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0"/>
        </w:trPr>
        <w:tc>
          <w:tcPr>
            <w:tcW w:w="4520" w:type="dxa"/>
            <w:vAlign w:val="bottom"/>
          </w:tcPr>
          <w:p>
            <w:pPr>
              <w:spacing w:after="0"/>
              <w:rPr>
                <w:sz w:val="12"/>
                <w:szCs w:val="12"/>
                <w:color w:val="auto"/>
              </w:rPr>
            </w:pPr>
          </w:p>
        </w:tc>
        <w:tc>
          <w:tcPr>
            <w:tcW w:w="820" w:type="dxa"/>
            <w:vAlign w:val="bottom"/>
            <w:tcBorders>
              <w:bottom w:val="single" w:sz="8" w:color="auto"/>
            </w:tcBorders>
          </w:tcPr>
          <w:p>
            <w:pPr>
              <w:jc w:val="right"/>
              <w:ind w:right="94"/>
              <w:spacing w:after="0" w:line="140" w:lineRule="exact"/>
              <w:rPr>
                <w:sz w:val="20"/>
                <w:szCs w:val="20"/>
                <w:color w:val="auto"/>
              </w:rPr>
            </w:pPr>
            <w:r>
              <w:rPr>
                <w:rFonts w:ascii="Arial" w:cs="Arial" w:eastAsia="Arial" w:hAnsi="Arial"/>
                <w:sz w:val="14"/>
                <w:szCs w:val="14"/>
                <w:b w:val="1"/>
                <w:bCs w:val="1"/>
                <w:color w:val="auto"/>
              </w:rPr>
              <w:t>2008(1)</w:t>
            </w:r>
          </w:p>
        </w:tc>
        <w:tc>
          <w:tcPr>
            <w:tcW w:w="660" w:type="dxa"/>
            <w:vAlign w:val="bottom"/>
          </w:tcPr>
          <w:p>
            <w:pPr>
              <w:spacing w:after="0"/>
              <w:rPr>
                <w:sz w:val="12"/>
                <w:szCs w:val="12"/>
                <w:color w:val="auto"/>
              </w:rPr>
            </w:pPr>
          </w:p>
        </w:tc>
        <w:tc>
          <w:tcPr>
            <w:tcW w:w="820" w:type="dxa"/>
            <w:vAlign w:val="bottom"/>
            <w:tcBorders>
              <w:bottom w:val="single" w:sz="8" w:color="auto"/>
            </w:tcBorders>
          </w:tcPr>
          <w:p>
            <w:pPr>
              <w:jc w:val="right"/>
              <w:ind w:right="96"/>
              <w:spacing w:after="0" w:line="140" w:lineRule="exact"/>
              <w:rPr>
                <w:sz w:val="20"/>
                <w:szCs w:val="20"/>
                <w:color w:val="auto"/>
              </w:rPr>
            </w:pPr>
            <w:r>
              <w:rPr>
                <w:rFonts w:ascii="Arial" w:cs="Arial" w:eastAsia="Arial" w:hAnsi="Arial"/>
                <w:sz w:val="14"/>
                <w:szCs w:val="14"/>
                <w:b w:val="1"/>
                <w:bCs w:val="1"/>
                <w:color w:val="auto"/>
              </w:rPr>
              <w:t>2007(2)</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Borders>
              <w:bottom w:val="single" w:sz="8" w:color="auto"/>
            </w:tcBorders>
          </w:tcPr>
          <w:p>
            <w:pPr>
              <w:jc w:val="right"/>
              <w:ind w:right="109"/>
              <w:spacing w:after="0" w:line="140" w:lineRule="exact"/>
              <w:rPr>
                <w:sz w:val="20"/>
                <w:szCs w:val="20"/>
                <w:color w:val="auto"/>
              </w:rPr>
            </w:pPr>
            <w:r>
              <w:rPr>
                <w:rFonts w:ascii="Arial" w:cs="Arial" w:eastAsia="Arial" w:hAnsi="Arial"/>
                <w:sz w:val="14"/>
                <w:szCs w:val="14"/>
                <w:b w:val="1"/>
                <w:bCs w:val="1"/>
                <w:color w:val="auto"/>
              </w:rPr>
              <w:t>2006(3)</w:t>
            </w:r>
          </w:p>
        </w:tc>
        <w:tc>
          <w:tcPr>
            <w:tcW w:w="660" w:type="dxa"/>
            <w:vAlign w:val="bottom"/>
          </w:tcPr>
          <w:p>
            <w:pPr>
              <w:spacing w:after="0"/>
              <w:rPr>
                <w:sz w:val="12"/>
                <w:szCs w:val="12"/>
                <w:color w:val="auto"/>
              </w:rPr>
            </w:pPr>
          </w:p>
        </w:tc>
        <w:tc>
          <w:tcPr>
            <w:tcW w:w="820" w:type="dxa"/>
            <w:vAlign w:val="bottom"/>
            <w:tcBorders>
              <w:bottom w:val="single" w:sz="8" w:color="auto"/>
            </w:tcBorders>
          </w:tcPr>
          <w:p>
            <w:pPr>
              <w:jc w:val="right"/>
              <w:ind w:right="94"/>
              <w:spacing w:after="0" w:line="140" w:lineRule="exact"/>
              <w:rPr>
                <w:sz w:val="20"/>
                <w:szCs w:val="20"/>
                <w:color w:val="auto"/>
              </w:rPr>
            </w:pPr>
            <w:r>
              <w:rPr>
                <w:rFonts w:ascii="Arial" w:cs="Arial" w:eastAsia="Arial" w:hAnsi="Arial"/>
                <w:sz w:val="14"/>
                <w:szCs w:val="14"/>
                <w:b w:val="1"/>
                <w:bCs w:val="1"/>
                <w:color w:val="auto"/>
              </w:rPr>
              <w:t>2005(4)</w:t>
            </w:r>
          </w:p>
        </w:tc>
        <w:tc>
          <w:tcPr>
            <w:tcW w:w="660" w:type="dxa"/>
            <w:vAlign w:val="bottom"/>
          </w:tcPr>
          <w:p>
            <w:pPr>
              <w:spacing w:after="0"/>
              <w:rPr>
                <w:sz w:val="12"/>
                <w:szCs w:val="12"/>
                <w:color w:val="auto"/>
              </w:rPr>
            </w:pPr>
          </w:p>
        </w:tc>
        <w:tc>
          <w:tcPr>
            <w:tcW w:w="820" w:type="dxa"/>
            <w:vAlign w:val="bottom"/>
            <w:tcBorders>
              <w:bottom w:val="single" w:sz="8" w:color="auto"/>
            </w:tcBorders>
          </w:tcPr>
          <w:p>
            <w:pPr>
              <w:jc w:val="right"/>
              <w:ind w:right="94"/>
              <w:spacing w:after="0" w:line="140" w:lineRule="exact"/>
              <w:rPr>
                <w:sz w:val="20"/>
                <w:szCs w:val="20"/>
                <w:color w:val="auto"/>
              </w:rPr>
            </w:pPr>
            <w:r>
              <w:rPr>
                <w:rFonts w:ascii="Arial" w:cs="Arial" w:eastAsia="Arial" w:hAnsi="Arial"/>
                <w:sz w:val="14"/>
                <w:szCs w:val="14"/>
                <w:b w:val="1"/>
                <w:bCs w:val="1"/>
                <w:color w:val="auto"/>
              </w:rPr>
              <w:t>2004(5)</w:t>
            </w:r>
          </w:p>
        </w:tc>
        <w:tc>
          <w:tcPr>
            <w:tcW w:w="160" w:type="dxa"/>
            <w:vAlign w:val="bottom"/>
          </w:tcPr>
          <w:p>
            <w:pPr>
              <w:spacing w:after="0"/>
              <w:rPr>
                <w:sz w:val="12"/>
                <w:szCs w:val="12"/>
                <w:color w:val="auto"/>
              </w:rPr>
            </w:pPr>
          </w:p>
        </w:tc>
      </w:tr>
      <w:tr>
        <w:trPr>
          <w:trHeight w:val="140"/>
        </w:trPr>
        <w:tc>
          <w:tcPr>
            <w:tcW w:w="4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jc w:val="right"/>
              <w:ind w:right="96"/>
              <w:spacing w:after="0" w:line="140" w:lineRule="exact"/>
              <w:rPr>
                <w:sz w:val="20"/>
                <w:szCs w:val="20"/>
                <w:color w:val="auto"/>
              </w:rPr>
            </w:pPr>
            <w:r>
              <w:rPr>
                <w:rFonts w:ascii="Arial" w:cs="Arial" w:eastAsia="Arial" w:hAnsi="Arial"/>
                <w:sz w:val="14"/>
                <w:szCs w:val="14"/>
                <w:b w:val="1"/>
                <w:bCs w:val="1"/>
                <w:color w:val="auto"/>
              </w:rPr>
              <w:t>(In</w:t>
            </w:r>
          </w:p>
        </w:tc>
        <w:tc>
          <w:tcPr>
            <w:tcW w:w="148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w w:val="76"/>
              </w:rPr>
              <w:t>thousands, except per share</w:t>
            </w:r>
          </w:p>
        </w:tc>
        <w:tc>
          <w:tcPr>
            <w:tcW w:w="2140" w:type="dxa"/>
            <w:vAlign w:val="bottom"/>
            <w:gridSpan w:val="3"/>
          </w:tcPr>
          <w:p>
            <w:pPr>
              <w:jc w:val="right"/>
              <w:ind w:right="1120"/>
              <w:spacing w:after="0" w:line="140" w:lineRule="exact"/>
              <w:rPr>
                <w:sz w:val="20"/>
                <w:szCs w:val="20"/>
                <w:color w:val="auto"/>
              </w:rPr>
            </w:pPr>
            <w:r>
              <w:rPr>
                <w:rFonts w:ascii="Arial" w:cs="Arial" w:eastAsia="Arial" w:hAnsi="Arial"/>
                <w:sz w:val="14"/>
                <w:szCs w:val="14"/>
                <w:b w:val="1"/>
                <w:bCs w:val="1"/>
                <w:color w:val="auto"/>
                <w:w w:val="98"/>
              </w:rPr>
              <w:t>and other data)</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3"/>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Orders opened by direct title operations</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1,860,400</w:t>
            </w:r>
          </w:p>
        </w:tc>
        <w:tc>
          <w:tcPr>
            <w:tcW w:w="660" w:type="dxa"/>
            <w:vAlign w:val="bottom"/>
          </w:tcPr>
          <w:p>
            <w:pPr>
              <w:spacing w:after="0"/>
              <w:rPr>
                <w:sz w:val="18"/>
                <w:szCs w:val="18"/>
                <w:color w:val="auto"/>
              </w:rPr>
            </w:pPr>
          </w:p>
        </w:tc>
        <w:tc>
          <w:tcPr>
            <w:tcW w:w="1040" w:type="dxa"/>
            <w:vAlign w:val="bottom"/>
            <w:gridSpan w:val="2"/>
          </w:tcPr>
          <w:p>
            <w:pPr>
              <w:jc w:val="right"/>
              <w:ind w:right="149"/>
              <w:spacing w:after="0"/>
              <w:rPr>
                <w:sz w:val="20"/>
                <w:szCs w:val="20"/>
                <w:color w:val="auto"/>
              </w:rPr>
            </w:pPr>
            <w:r>
              <w:rPr>
                <w:rFonts w:ascii="Arial" w:cs="Arial" w:eastAsia="Arial" w:hAnsi="Arial"/>
                <w:sz w:val="18"/>
                <w:szCs w:val="18"/>
                <w:color w:val="auto"/>
                <w:w w:val="99"/>
              </w:rPr>
              <w:t>2,259,800</w:t>
            </w:r>
          </w:p>
        </w:tc>
        <w:tc>
          <w:tcPr>
            <w:tcW w:w="1920" w:type="dxa"/>
            <w:vAlign w:val="bottom"/>
            <w:gridSpan w:val="3"/>
          </w:tcPr>
          <w:p>
            <w:pPr>
              <w:jc w:val="right"/>
              <w:ind w:right="589"/>
              <w:spacing w:after="0"/>
              <w:rPr>
                <w:sz w:val="20"/>
                <w:szCs w:val="20"/>
                <w:color w:val="auto"/>
              </w:rPr>
            </w:pPr>
            <w:r>
              <w:rPr>
                <w:rFonts w:ascii="Arial" w:cs="Arial" w:eastAsia="Arial" w:hAnsi="Arial"/>
                <w:sz w:val="18"/>
                <w:szCs w:val="18"/>
                <w:color w:val="auto"/>
              </w:rPr>
              <w:t>3,146,200</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3,615,400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3,680,200</w:t>
            </w:r>
          </w:p>
        </w:tc>
      </w:tr>
      <w:tr>
        <w:trPr>
          <w:trHeight w:val="21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Orders closed by direct title operations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1,121,200</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9"/>
              <w:spacing w:after="0"/>
              <w:rPr>
                <w:sz w:val="20"/>
                <w:szCs w:val="20"/>
                <w:color w:val="auto"/>
              </w:rPr>
            </w:pPr>
            <w:r>
              <w:rPr>
                <w:rFonts w:ascii="Arial" w:cs="Arial" w:eastAsia="Arial" w:hAnsi="Arial"/>
                <w:sz w:val="18"/>
                <w:szCs w:val="18"/>
                <w:color w:val="auto"/>
                <w:w w:val="99"/>
              </w:rPr>
              <w:t>1,434,800</w:t>
            </w:r>
          </w:p>
        </w:tc>
        <w:tc>
          <w:tcPr>
            <w:tcW w:w="1920" w:type="dxa"/>
            <w:vAlign w:val="bottom"/>
            <w:gridSpan w:val="3"/>
            <w:shd w:val="clear" w:color="auto" w:fill="CCEEFF"/>
          </w:tcPr>
          <w:p>
            <w:pPr>
              <w:jc w:val="right"/>
              <w:ind w:right="589"/>
              <w:spacing w:after="0"/>
              <w:rPr>
                <w:sz w:val="20"/>
                <w:szCs w:val="20"/>
                <w:color w:val="auto"/>
              </w:rPr>
            </w:pPr>
            <w:r>
              <w:rPr>
                <w:rFonts w:ascii="Arial" w:cs="Arial" w:eastAsia="Arial" w:hAnsi="Arial"/>
                <w:sz w:val="18"/>
                <w:szCs w:val="18"/>
                <w:color w:val="auto"/>
              </w:rPr>
              <w:t>2,051,500</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2,487,000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2,636,300</w:t>
            </w:r>
          </w:p>
        </w:tc>
      </w:tr>
      <w:tr>
        <w:trPr>
          <w:trHeight w:val="201"/>
        </w:trPr>
        <w:tc>
          <w:tcPr>
            <w:tcW w:w="4520" w:type="dxa"/>
            <w:vAlign w:val="bottom"/>
          </w:tcPr>
          <w:p>
            <w:pPr>
              <w:spacing w:after="0" w:line="201" w:lineRule="exact"/>
              <w:rPr>
                <w:sz w:val="20"/>
                <w:szCs w:val="20"/>
                <w:color w:val="auto"/>
              </w:rPr>
            </w:pPr>
            <w:r>
              <w:rPr>
                <w:rFonts w:ascii="Arial" w:cs="Arial" w:eastAsia="Arial" w:hAnsi="Arial"/>
                <w:sz w:val="18"/>
                <w:szCs w:val="18"/>
                <w:color w:val="auto"/>
              </w:rPr>
              <w:t>Provision for title insurance claim losses to title</w:t>
            </w: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4"/>
        </w:trPr>
        <w:tc>
          <w:tcPr>
            <w:tcW w:w="4520" w:type="dxa"/>
            <w:vAlign w:val="bottom"/>
          </w:tcPr>
          <w:p>
            <w:pPr>
              <w:ind w:left="200"/>
              <w:spacing w:after="0"/>
              <w:rPr>
                <w:sz w:val="20"/>
                <w:szCs w:val="20"/>
                <w:color w:val="auto"/>
              </w:rPr>
            </w:pPr>
            <w:r>
              <w:rPr>
                <w:rFonts w:ascii="Arial" w:cs="Arial" w:eastAsia="Arial" w:hAnsi="Arial"/>
                <w:sz w:val="18"/>
                <w:szCs w:val="18"/>
                <w:color w:val="auto"/>
              </w:rPr>
              <w:t>insurance premiums(10)</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18.2%</w:t>
            </w:r>
          </w:p>
        </w:tc>
        <w:tc>
          <w:tcPr>
            <w:tcW w:w="1040" w:type="dxa"/>
            <w:vAlign w:val="bottom"/>
            <w:gridSpan w:val="2"/>
          </w:tcPr>
          <w:p>
            <w:pPr>
              <w:jc w:val="right"/>
              <w:ind w:right="9"/>
              <w:spacing w:after="0"/>
              <w:rPr>
                <w:sz w:val="20"/>
                <w:szCs w:val="20"/>
                <w:color w:val="auto"/>
              </w:rPr>
            </w:pPr>
            <w:r>
              <w:rPr>
                <w:rFonts w:ascii="Arial" w:cs="Arial" w:eastAsia="Arial" w:hAnsi="Arial"/>
                <w:sz w:val="18"/>
                <w:szCs w:val="18"/>
                <w:color w:val="auto"/>
              </w:rPr>
              <w:t>13.2%</w:t>
            </w:r>
          </w:p>
        </w:tc>
        <w:tc>
          <w:tcPr>
            <w:tcW w:w="1920" w:type="dxa"/>
            <w:vAlign w:val="bottom"/>
            <w:gridSpan w:val="3"/>
          </w:tcPr>
          <w:p>
            <w:pPr>
              <w:jc w:val="right"/>
              <w:ind w:right="449"/>
              <w:spacing w:after="0"/>
              <w:rPr>
                <w:sz w:val="20"/>
                <w:szCs w:val="20"/>
                <w:color w:val="auto"/>
              </w:rPr>
            </w:pPr>
            <w:r>
              <w:rPr>
                <w:rFonts w:ascii="Arial" w:cs="Arial" w:eastAsia="Arial" w:hAnsi="Arial"/>
                <w:sz w:val="18"/>
                <w:szCs w:val="18"/>
                <w:color w:val="auto"/>
              </w:rPr>
              <w:t>7.5%</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7.2%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15"/>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Title related revenue(12):</w:t>
            </w: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4520" w:type="dxa"/>
            <w:vAlign w:val="bottom"/>
          </w:tcPr>
          <w:p>
            <w:pPr>
              <w:spacing w:after="0"/>
              <w:rPr>
                <w:sz w:val="20"/>
                <w:szCs w:val="20"/>
                <w:color w:val="auto"/>
              </w:rPr>
            </w:pPr>
            <w:r>
              <w:rPr>
                <w:rFonts w:ascii="Arial" w:cs="Arial" w:eastAsia="Arial" w:hAnsi="Arial"/>
                <w:sz w:val="18"/>
                <w:szCs w:val="18"/>
                <w:color w:val="auto"/>
              </w:rPr>
              <w:t>Percentage direct operations</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59.5%</w:t>
            </w:r>
          </w:p>
        </w:tc>
        <w:tc>
          <w:tcPr>
            <w:tcW w:w="1040" w:type="dxa"/>
            <w:vAlign w:val="bottom"/>
            <w:gridSpan w:val="2"/>
          </w:tcPr>
          <w:p>
            <w:pPr>
              <w:jc w:val="right"/>
              <w:ind w:right="9"/>
              <w:spacing w:after="0"/>
              <w:rPr>
                <w:sz w:val="20"/>
                <w:szCs w:val="20"/>
                <w:color w:val="auto"/>
              </w:rPr>
            </w:pPr>
            <w:r>
              <w:rPr>
                <w:rFonts w:ascii="Arial" w:cs="Arial" w:eastAsia="Arial" w:hAnsi="Arial"/>
                <w:sz w:val="18"/>
                <w:szCs w:val="18"/>
                <w:color w:val="auto"/>
              </w:rPr>
              <w:t>55.4%</w:t>
            </w:r>
          </w:p>
        </w:tc>
        <w:tc>
          <w:tcPr>
            <w:tcW w:w="1920" w:type="dxa"/>
            <w:vAlign w:val="bottom"/>
            <w:gridSpan w:val="3"/>
          </w:tcPr>
          <w:p>
            <w:pPr>
              <w:jc w:val="right"/>
              <w:ind w:right="449"/>
              <w:spacing w:after="0"/>
              <w:rPr>
                <w:sz w:val="20"/>
                <w:szCs w:val="20"/>
                <w:color w:val="auto"/>
              </w:rPr>
            </w:pPr>
            <w:r>
              <w:rPr>
                <w:rFonts w:ascii="Arial" w:cs="Arial" w:eastAsia="Arial" w:hAnsi="Arial"/>
                <w:sz w:val="18"/>
                <w:szCs w:val="18"/>
                <w:color w:val="auto"/>
              </w:rPr>
              <w:t>53.7%</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56.4%</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55.2%</w:t>
            </w:r>
          </w:p>
        </w:tc>
      </w:tr>
      <w:tr>
        <w:trPr>
          <w:trHeight w:val="213"/>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Percentage agency operations</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40.5%</w:t>
            </w:r>
          </w:p>
        </w:tc>
        <w:tc>
          <w:tcPr>
            <w:tcW w:w="104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44.6%</w:t>
            </w:r>
          </w:p>
        </w:tc>
        <w:tc>
          <w:tcPr>
            <w:tcW w:w="1920" w:type="dxa"/>
            <w:vAlign w:val="bottom"/>
            <w:gridSpan w:val="3"/>
            <w:shd w:val="clear" w:color="auto" w:fill="CCEEFF"/>
          </w:tcPr>
          <w:p>
            <w:pPr>
              <w:jc w:val="right"/>
              <w:ind w:right="449"/>
              <w:spacing w:after="0"/>
              <w:rPr>
                <w:sz w:val="20"/>
                <w:szCs w:val="20"/>
                <w:color w:val="auto"/>
              </w:rPr>
            </w:pPr>
            <w:r>
              <w:rPr>
                <w:rFonts w:ascii="Arial" w:cs="Arial" w:eastAsia="Arial" w:hAnsi="Arial"/>
                <w:sz w:val="18"/>
                <w:szCs w:val="18"/>
                <w:color w:val="auto"/>
              </w:rPr>
              <w:t>46.3%</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186055</wp:posOffset>
            </wp:positionV>
            <wp:extent cx="13042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341" w:lineRule="exact"/>
        <w:rPr>
          <w:sz w:val="20"/>
          <w:szCs w:val="20"/>
          <w:color w:val="auto"/>
        </w:rPr>
      </w:pPr>
    </w:p>
    <w:p>
      <w:pPr>
        <w:ind w:left="440" w:right="280" w:hanging="433"/>
        <w:spacing w:after="0" w:line="25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financial results for the year ended December 31, 2008, include a charge to our provision for claim losses of $261.6 million ($157.0 million net of income taxes) which we recorded as a result of adverse claim loss development on prior policy years and the results of various entities acquired on various dates during 2008.</w:t>
      </w:r>
    </w:p>
    <w:p>
      <w:pPr>
        <w:spacing w:after="0" w:line="41" w:lineRule="exact"/>
        <w:rPr>
          <w:rFonts w:ascii="Arial" w:cs="Arial" w:eastAsia="Arial" w:hAnsi="Arial"/>
          <w:sz w:val="18"/>
          <w:szCs w:val="18"/>
          <w:color w:val="auto"/>
        </w:rPr>
      </w:pPr>
    </w:p>
    <w:p>
      <w:pPr>
        <w:ind w:left="440" w:right="120" w:hanging="433"/>
        <w:spacing w:after="0" w:line="25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financial results for the year ended December 31, 2007, include charges to our provision for claim losses totaling $217.2 million ($159.5 million net of income taxes) which we recorded as a result of adverse claim loss development on prior policy years and the results of various entities acquired on various dates during 2007.</w:t>
      </w:r>
    </w:p>
    <w:p>
      <w:pPr>
        <w:spacing w:after="0" w:line="41" w:lineRule="exact"/>
        <w:rPr>
          <w:rFonts w:ascii="Arial" w:cs="Arial" w:eastAsia="Arial" w:hAnsi="Arial"/>
          <w:sz w:val="18"/>
          <w:szCs w:val="18"/>
          <w:color w:val="auto"/>
        </w:rPr>
      </w:pPr>
    </w:p>
    <w:p>
      <w:pPr>
        <w:ind w:left="440" w:right="400" w:hanging="433"/>
        <w:spacing w:after="0" w:line="254"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Beginning October 24, 2006, the date on which the 2006 Distribution was completed, our financial results no longer include the results of FIS. The operations of FIS continue to be included in our results for periods prior to October 24, 2006. In addition, FIS’s financial results for 2006 include the results of operations of Certegy Inc. (“Certegy”) since February 1, 2006, the date on which Certegy was acquired by FIS (see note B of Notes to Consolidated Financial Statements).</w:t>
      </w:r>
    </w:p>
    <w:p>
      <w:pPr>
        <w:spacing w:after="0" w:line="43" w:lineRule="exact"/>
        <w:rPr>
          <w:rFonts w:ascii="Arial" w:cs="Arial" w:eastAsia="Arial" w:hAnsi="Arial"/>
          <w:sz w:val="18"/>
          <w:szCs w:val="18"/>
          <w:color w:val="auto"/>
        </w:rPr>
      </w:pPr>
    </w:p>
    <w:p>
      <w:pPr>
        <w:ind w:left="440" w:right="100" w:hanging="433"/>
        <w:spacing w:after="0" w:line="254"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financial results for the year ended December 31, 2005 include in revenue and net earnings a $318.2 million gain on sale relating to the issuance of subsidiary stock, approximately $100.0 million in additional income tax expense relating to the distribution to our shareholders of a 17.5% interest of FNT and additional minority interest expense related to the minority interests issued in FNT and FIS. (See note A of the Notes to Consolidated Financial Statements).</w:t>
      </w:r>
    </w:p>
    <w:p>
      <w:pPr>
        <w:spacing w:after="0" w:line="43" w:lineRule="exact"/>
        <w:rPr>
          <w:rFonts w:ascii="Arial" w:cs="Arial" w:eastAsia="Arial" w:hAnsi="Arial"/>
          <w:sz w:val="18"/>
          <w:szCs w:val="18"/>
          <w:color w:val="auto"/>
        </w:rPr>
      </w:pPr>
    </w:p>
    <w:p>
      <w:pPr>
        <w:ind w:left="440" w:hanging="433"/>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financial results for the year ended December 31, 2004 include the results of various entities acquired on various dates during 2004.</w:t>
      </w:r>
    </w:p>
    <w:p>
      <w:pPr>
        <w:spacing w:after="0" w:line="73" w:lineRule="exact"/>
        <w:rPr>
          <w:rFonts w:ascii="Arial" w:cs="Arial" w:eastAsia="Arial" w:hAnsi="Arial"/>
          <w:sz w:val="18"/>
          <w:szCs w:val="18"/>
          <w:color w:val="auto"/>
        </w:rPr>
      </w:pPr>
    </w:p>
    <w:p>
      <w:pPr>
        <w:ind w:left="440" w:right="560" w:hanging="433"/>
        <w:spacing w:after="0" w:line="26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historical basic and diluted earnings per share for 2006 and 2005 have been calculated using FNT’s basic and diluted weighted average shares outstanding.</w:t>
      </w:r>
    </w:p>
    <w:p>
      <w:pPr>
        <w:spacing w:after="0" w:line="32" w:lineRule="exact"/>
        <w:rPr>
          <w:rFonts w:ascii="Arial" w:cs="Arial" w:eastAsia="Arial" w:hAnsi="Arial"/>
          <w:sz w:val="18"/>
          <w:szCs w:val="18"/>
          <w:color w:val="auto"/>
        </w:rPr>
      </w:pPr>
    </w:p>
    <w:p>
      <w:pPr>
        <w:ind w:left="440" w:right="20" w:hanging="433"/>
        <w:spacing w:after="0" w:line="26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Unaudited pro forma net earnings per share for 2004 is calculated using the number of outstanding shares of Old FNF on a date prior to the distribution of FNT shares to Old FNF shareholders in 2005.</w:t>
      </w:r>
    </w:p>
    <w:p>
      <w:pPr>
        <w:spacing w:after="0" w:line="32" w:lineRule="exact"/>
        <w:rPr>
          <w:rFonts w:ascii="Arial" w:cs="Arial" w:eastAsia="Arial" w:hAnsi="Arial"/>
          <w:sz w:val="18"/>
          <w:szCs w:val="18"/>
          <w:color w:val="auto"/>
        </w:rPr>
      </w:pPr>
    </w:p>
    <w:p>
      <w:pPr>
        <w:ind w:left="440" w:right="120" w:hanging="433"/>
        <w:spacing w:after="0" w:line="279" w:lineRule="auto"/>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Investments as of December 31, 2008, 2007, 2006, 2005, and 2004 include securities pledged to secure trust deposits of $382.5 million, $513.8 million, $696.8 million, $656.0 million, and $546.0 million, respectively. Investments as of December 31, 2008, 2007, 2006, and 2005 include securities pledged relating to our securities lending program of $103.6 million, $264.2 million, $305.3 million and $138.7 million, respectively.</w:t>
      </w:r>
    </w:p>
    <w:p>
      <w:pPr>
        <w:spacing w:after="0" w:line="25" w:lineRule="exact"/>
        <w:rPr>
          <w:rFonts w:ascii="Arial" w:cs="Arial" w:eastAsia="Arial" w:hAnsi="Arial"/>
          <w:sz w:val="17"/>
          <w:szCs w:val="17"/>
          <w:color w:val="auto"/>
        </w:rPr>
      </w:pPr>
    </w:p>
    <w:p>
      <w:pPr>
        <w:ind w:left="440" w:hanging="433"/>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Cash and cash equivalents as of December 31, 2008, 2007, 2006, 2005, and 2004 include cash pledged to secure trust deposits of $109.6 million,</w:t>
      </w:r>
    </w:p>
    <w:p>
      <w:pPr>
        <w:spacing w:after="0" w:line="40" w:lineRule="exact"/>
        <w:rPr>
          <w:rFonts w:ascii="Arial" w:cs="Arial" w:eastAsia="Arial" w:hAnsi="Arial"/>
          <w:sz w:val="16"/>
          <w:szCs w:val="16"/>
          <w:color w:val="auto"/>
        </w:rPr>
      </w:pPr>
    </w:p>
    <w:p>
      <w:pPr>
        <w:ind w:left="440" w:right="120"/>
        <w:spacing w:after="0" w:line="314" w:lineRule="auto"/>
        <w:rPr>
          <w:rFonts w:ascii="Arial" w:cs="Arial" w:eastAsia="Arial" w:hAnsi="Arial"/>
          <w:sz w:val="16"/>
          <w:szCs w:val="16"/>
          <w:color w:val="auto"/>
        </w:rPr>
      </w:pPr>
      <w:r>
        <w:rPr>
          <w:rFonts w:ascii="Arial" w:cs="Arial" w:eastAsia="Arial" w:hAnsi="Arial"/>
          <w:sz w:val="16"/>
          <w:szCs w:val="16"/>
          <w:color w:val="auto"/>
        </w:rPr>
        <w:t>$193.5 million, $228.5 million, $234.7 million, and $195.2 million, respectively. Cash and cash equivalents as of December 31, 2008, 2007, 2006 and 2005 include cash pledged relating to our securities lending program of $107.6 million, $271.8 million, $316.0 million, and $143.4 million, respectively.</w:t>
      </w:r>
    </w:p>
    <w:p>
      <w:pPr>
        <w:ind w:left="440" w:hanging="433"/>
        <w:spacing w:after="0" w:line="304" w:lineRule="auto"/>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a result of adverse title insurance claim loss development on prior policy years, we recorded charges in 2008 totaling $261.6 million, or $157.0 million net of income taxes, and in 2007 totaling $217.2 million, or $159.5 million net of income taxes, to our provision for claim losses. These charges were recorded in addition to our provision for claim losses of 8.5% and 7.5% for the years ended December 31, 2008 and 2007, respectively.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40" w:right="60" w:hanging="433"/>
        <w:spacing w:after="0" w:line="267"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Book value per share is calculated as stockholders’ equity at December 31 of each year presented divided by actual shares outstanding at December 31 of each year presented.</w:t>
      </w:r>
    </w:p>
    <w:p>
      <w:pPr>
        <w:spacing w:after="0" w:line="32" w:lineRule="exact"/>
        <w:rPr>
          <w:rFonts w:ascii="Arial" w:cs="Arial" w:eastAsia="Arial" w:hAnsi="Arial"/>
          <w:sz w:val="18"/>
          <w:szCs w:val="18"/>
          <w:color w:val="auto"/>
        </w:rPr>
      </w:pPr>
    </w:p>
    <w:p>
      <w:pPr>
        <w:ind w:left="440" w:hanging="433"/>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title insurance premiums and escrow, title-related and other fees.</w:t>
      </w:r>
    </w:p>
    <w:p>
      <w:pPr>
        <w:spacing w:after="0" w:line="214" w:lineRule="exact"/>
        <w:rPr>
          <w:sz w:val="20"/>
          <w:szCs w:val="20"/>
          <w:color w:val="auto"/>
        </w:rPr>
      </w:pPr>
    </w:p>
    <w:p>
      <w:pPr>
        <w:jc w:val="right"/>
        <w:ind w:right="7860"/>
        <w:spacing w:after="0"/>
        <w:rPr>
          <w:sz w:val="20"/>
          <w:szCs w:val="20"/>
          <w:color w:val="auto"/>
        </w:rPr>
      </w:pPr>
      <w:r>
        <w:rPr>
          <w:rFonts w:ascii="Arial" w:cs="Arial" w:eastAsia="Arial" w:hAnsi="Arial"/>
          <w:sz w:val="16"/>
          <w:szCs w:val="16"/>
          <w:b w:val="1"/>
          <w:bCs w:val="1"/>
          <w:color w:val="auto"/>
        </w:rPr>
        <w:t>Selected Quarterly Financial Data (Unaudited)</w:t>
      </w:r>
    </w:p>
    <w:p>
      <w:pPr>
        <w:spacing w:after="0" w:line="142" w:lineRule="exact"/>
        <w:rPr>
          <w:sz w:val="20"/>
          <w:szCs w:val="20"/>
          <w:color w:val="auto"/>
        </w:rPr>
      </w:pPr>
    </w:p>
    <w:p>
      <w:pPr>
        <w:jc w:val="right"/>
        <w:ind w:right="7920"/>
        <w:spacing w:after="0"/>
        <w:rPr>
          <w:sz w:val="20"/>
          <w:szCs w:val="20"/>
          <w:color w:val="auto"/>
        </w:rPr>
      </w:pPr>
      <w:r>
        <w:rPr>
          <w:rFonts w:ascii="Arial" w:cs="Arial" w:eastAsia="Arial" w:hAnsi="Arial"/>
          <w:sz w:val="17"/>
          <w:szCs w:val="17"/>
          <w:color w:val="auto"/>
        </w:rPr>
        <w:t>Selected quarterly financial data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w w:val="94"/>
              </w:rPr>
              <w:t>Quarter Ended</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5800" w:type="dxa"/>
            <w:vAlign w:val="bottom"/>
          </w:tcPr>
          <w:p>
            <w:pPr>
              <w:spacing w:after="0"/>
              <w:rPr>
                <w:sz w:val="12"/>
                <w:szCs w:val="12"/>
                <w:color w:val="auto"/>
              </w:rPr>
            </w:pPr>
          </w:p>
        </w:tc>
        <w:tc>
          <w:tcPr>
            <w:tcW w:w="840" w:type="dxa"/>
            <w:vAlign w:val="bottom"/>
            <w:tcBorders>
              <w:bottom w:val="single" w:sz="8" w:color="auto"/>
            </w:tcBorders>
          </w:tcPr>
          <w:p>
            <w:pPr>
              <w:jc w:val="right"/>
              <w:ind w:right="12"/>
              <w:spacing w:after="0" w:line="140" w:lineRule="exact"/>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2"/>
                <w:szCs w:val="12"/>
                <w:color w:val="auto"/>
              </w:rPr>
            </w:pPr>
          </w:p>
        </w:tc>
        <w:tc>
          <w:tcPr>
            <w:tcW w:w="820" w:type="dxa"/>
            <w:vAlign w:val="bottom"/>
            <w:tcBorders>
              <w:bottom w:val="single" w:sz="8" w:color="auto"/>
            </w:tcBorders>
          </w:tcPr>
          <w:p>
            <w:pPr>
              <w:ind w:left="160"/>
              <w:spacing w:after="0" w:line="140"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Borders>
              <w:bottom w:val="single" w:sz="8" w:color="auto"/>
            </w:tcBorders>
            <w:gridSpan w:val="2"/>
          </w:tcPr>
          <w:p>
            <w:pPr>
              <w:spacing w:after="0" w:line="140" w:lineRule="exact"/>
              <w:rPr>
                <w:sz w:val="20"/>
                <w:szCs w:val="20"/>
                <w:color w:val="auto"/>
              </w:rPr>
            </w:pPr>
            <w:r>
              <w:rPr>
                <w:rFonts w:ascii="Arial" w:cs="Arial" w:eastAsia="Arial" w:hAnsi="Arial"/>
                <w:sz w:val="14"/>
                <w:szCs w:val="14"/>
                <w:b w:val="1"/>
                <w:bCs w:val="1"/>
                <w:color w:val="auto"/>
                <w:w w:val="90"/>
              </w:rPr>
              <w:t>September 30,(1)</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0" w:lineRule="exact"/>
              <w:rPr>
                <w:sz w:val="20"/>
                <w:szCs w:val="20"/>
                <w:color w:val="auto"/>
              </w:rPr>
            </w:pPr>
            <w:r>
              <w:rPr>
                <w:rFonts w:ascii="Arial" w:cs="Arial" w:eastAsia="Arial" w:hAnsi="Arial"/>
                <w:sz w:val="14"/>
                <w:szCs w:val="14"/>
                <w:b w:val="1"/>
                <w:bCs w:val="1"/>
                <w:color w:val="auto"/>
                <w:w w:val="90"/>
              </w:rPr>
              <w:t>December 31,(2)</w:t>
            </w:r>
          </w:p>
        </w:tc>
        <w:tc>
          <w:tcPr>
            <w:tcW w:w="100" w:type="dxa"/>
            <w:vAlign w:val="bottom"/>
          </w:tcPr>
          <w:p>
            <w:pPr>
              <w:spacing w:after="0"/>
              <w:rPr>
                <w:sz w:val="12"/>
                <w:szCs w:val="12"/>
                <w:color w:val="auto"/>
              </w:rPr>
            </w:pPr>
          </w:p>
        </w:tc>
      </w:tr>
      <w:tr>
        <w:trPr>
          <w:trHeight w:val="140"/>
        </w:trPr>
        <w:tc>
          <w:tcPr>
            <w:tcW w:w="5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20" w:type="dxa"/>
            <w:vAlign w:val="bottom"/>
            <w:gridSpan w:val="6"/>
          </w:tcPr>
          <w:p>
            <w:pPr>
              <w:jc w:val="right"/>
              <w:ind w:right="380"/>
              <w:spacing w:after="0" w:line="140" w:lineRule="exact"/>
              <w:rPr>
                <w:sz w:val="20"/>
                <w:szCs w:val="20"/>
                <w:color w:val="auto"/>
              </w:rPr>
            </w:pPr>
            <w:r>
              <w:rPr>
                <w:rFonts w:ascii="Arial" w:cs="Arial" w:eastAsia="Arial" w:hAnsi="Arial"/>
                <w:sz w:val="14"/>
                <w:szCs w:val="14"/>
                <w:b w:val="1"/>
                <w:bCs w:val="1"/>
                <w:color w:val="auto"/>
                <w:w w:val="97"/>
              </w:rPr>
              <w:t>(In thousands, except per share data)</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800" w:type="dxa"/>
            <w:vAlign w:val="bottom"/>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$ 1,137,160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$ 1,179,798</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989,683</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1,022,454</w:t>
            </w:r>
          </w:p>
        </w:tc>
        <w:tc>
          <w:tcPr>
            <w:tcW w:w="100" w:type="dxa"/>
            <w:vAlign w:val="bottom"/>
          </w:tcPr>
          <w:p>
            <w:pPr>
              <w:spacing w:after="0"/>
              <w:rPr>
                <w:sz w:val="18"/>
                <w:szCs w:val="18"/>
                <w:color w:val="auto"/>
              </w:rPr>
            </w:pPr>
          </w:p>
        </w:tc>
      </w:tr>
      <w:tr>
        <w:trPr>
          <w:trHeight w:val="201"/>
        </w:trPr>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(loss) before income taxes, equity in income of unconsolidated</w:t>
            </w: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6"/>
        </w:trPr>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affiliates, and minority interest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36,367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13,527</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(322,874)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(22,413)</w:t>
            </w:r>
          </w:p>
        </w:tc>
      </w:tr>
      <w:tr>
        <w:trPr>
          <w:trHeight w:val="213"/>
        </w:trPr>
        <w:tc>
          <w:tcPr>
            <w:tcW w:w="5800" w:type="dxa"/>
            <w:vAlign w:val="bottom"/>
          </w:tcPr>
          <w:p>
            <w:pPr>
              <w:spacing w:after="0"/>
              <w:rPr>
                <w:sz w:val="20"/>
                <w:szCs w:val="20"/>
                <w:color w:val="auto"/>
              </w:rPr>
            </w:pPr>
            <w:r>
              <w:rPr>
                <w:rFonts w:ascii="Arial" w:cs="Arial" w:eastAsia="Arial" w:hAnsi="Arial"/>
                <w:sz w:val="18"/>
                <w:szCs w:val="18"/>
                <w:color w:val="auto"/>
              </w:rPr>
              <w:t>Net earnings (loss)</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27,245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6,925</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(198,302)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(14,884)</w:t>
            </w:r>
          </w:p>
        </w:tc>
      </w:tr>
      <w:tr>
        <w:trPr>
          <w:trHeight w:val="213"/>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r>
      <w:tr>
        <w:trPr>
          <w:trHeight w:val="213"/>
        </w:trPr>
        <w:tc>
          <w:tcPr>
            <w:tcW w:w="580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0.13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(0.95)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r>
      <w:tr>
        <w:trPr>
          <w:trHeight w:val="213"/>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per share</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r>
      <w:tr>
        <w:trPr>
          <w:trHeight w:val="425"/>
        </w:trPr>
        <w:tc>
          <w:tcPr>
            <w:tcW w:w="580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$ 1,366,880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$ 1,495,000</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1,361,408</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1,299,887</w:t>
            </w:r>
          </w:p>
        </w:tc>
        <w:tc>
          <w:tcPr>
            <w:tcW w:w="100" w:type="dxa"/>
            <w:vAlign w:val="bottom"/>
            <w:shd w:val="clear" w:color="auto" w:fill="CCEEFF"/>
          </w:tcPr>
          <w:p>
            <w:pPr>
              <w:spacing w:after="0"/>
              <w:rPr>
                <w:sz w:val="18"/>
                <w:szCs w:val="18"/>
                <w:color w:val="auto"/>
              </w:rPr>
            </w:pPr>
          </w:p>
        </w:tc>
      </w:tr>
      <w:tr>
        <w:trPr>
          <w:trHeight w:val="201"/>
        </w:trPr>
        <w:tc>
          <w:tcPr>
            <w:tcW w:w="5800" w:type="dxa"/>
            <w:vAlign w:val="bottom"/>
          </w:tcPr>
          <w:p>
            <w:pPr>
              <w:spacing w:after="0" w:line="201" w:lineRule="exact"/>
              <w:rPr>
                <w:sz w:val="20"/>
                <w:szCs w:val="20"/>
                <w:color w:val="auto"/>
              </w:rPr>
            </w:pPr>
            <w:r>
              <w:rPr>
                <w:rFonts w:ascii="Arial" w:cs="Arial" w:eastAsia="Arial" w:hAnsi="Arial"/>
                <w:sz w:val="18"/>
                <w:szCs w:val="18"/>
                <w:color w:val="auto"/>
              </w:rPr>
              <w:t>Earnings (loss) before income taxes, equity in income of unconsolidated</w:t>
            </w: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5800" w:type="dxa"/>
            <w:vAlign w:val="bottom"/>
          </w:tcPr>
          <w:p>
            <w:pPr>
              <w:ind w:left="200"/>
              <w:spacing w:after="0"/>
              <w:rPr>
                <w:sz w:val="20"/>
                <w:szCs w:val="20"/>
                <w:color w:val="auto"/>
              </w:rPr>
            </w:pPr>
            <w:r>
              <w:rPr>
                <w:rFonts w:ascii="Arial" w:cs="Arial" w:eastAsia="Arial" w:hAnsi="Arial"/>
                <w:sz w:val="18"/>
                <w:szCs w:val="18"/>
                <w:color w:val="auto"/>
              </w:rPr>
              <w:t>affiliates, and minority interest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124,705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126,441</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(75,402)</w:t>
            </w:r>
          </w:p>
        </w:tc>
      </w:tr>
      <w:tr>
        <w:trPr>
          <w:trHeight w:val="215"/>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83,399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84,835</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6,472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(44,937)</w:t>
            </w:r>
          </w:p>
        </w:tc>
      </w:tr>
      <w:tr>
        <w:trPr>
          <w:trHeight w:val="213"/>
        </w:trPr>
        <w:tc>
          <w:tcPr>
            <w:tcW w:w="5800" w:type="dxa"/>
            <w:vAlign w:val="bottom"/>
          </w:tcPr>
          <w:p>
            <w:pPr>
              <w:spacing w:after="0"/>
              <w:rPr>
                <w:sz w:val="20"/>
                <w:szCs w:val="20"/>
                <w:color w:val="auto"/>
              </w:rPr>
            </w:pPr>
            <w:r>
              <w:rPr>
                <w:rFonts w:ascii="Arial" w:cs="Arial" w:eastAsia="Arial" w:hAnsi="Arial"/>
                <w:sz w:val="18"/>
                <w:szCs w:val="18"/>
                <w:color w:val="auto"/>
              </w:rPr>
              <w:t>Basic earnings (loss)per share</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0.38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r>
      <w:tr>
        <w:trPr>
          <w:trHeight w:val="213"/>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0.38</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r>
      <w:tr>
        <w:trPr>
          <w:trHeight w:val="224"/>
        </w:trPr>
        <w:tc>
          <w:tcPr>
            <w:tcW w:w="5800" w:type="dxa"/>
            <w:vAlign w:val="bottom"/>
          </w:tcPr>
          <w:p>
            <w:pPr>
              <w:spacing w:after="0"/>
              <w:rPr>
                <w:sz w:val="20"/>
                <w:szCs w:val="20"/>
                <w:color w:val="auto"/>
              </w:rPr>
            </w:pPr>
            <w:r>
              <w:rPr>
                <w:rFonts w:ascii="Arial" w:cs="Arial" w:eastAsia="Arial" w:hAnsi="Arial"/>
                <w:sz w:val="18"/>
                <w:szCs w:val="18"/>
                <w:color w:val="auto"/>
              </w:rPr>
              <w:t>Dividends paid per share</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0.30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13042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330" w:lineRule="exact"/>
        <w:rPr>
          <w:sz w:val="20"/>
          <w:szCs w:val="20"/>
          <w:color w:val="auto"/>
        </w:rPr>
      </w:pPr>
    </w:p>
    <w:p>
      <w:pPr>
        <w:ind w:left="440" w:right="140" w:hanging="433"/>
        <w:spacing w:after="0" w:line="267"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loss provision charge of $261.6 million, or $157.0 million net of income taxes, in 2008 and $81.5 million, or $55.5 million net of income taxes, in 2007.</w:t>
      </w:r>
    </w:p>
    <w:p>
      <w:pPr>
        <w:spacing w:after="0" w:line="32" w:lineRule="exact"/>
        <w:rPr>
          <w:rFonts w:ascii="Arial" w:cs="Arial" w:eastAsia="Arial" w:hAnsi="Arial"/>
          <w:sz w:val="18"/>
          <w:szCs w:val="18"/>
          <w:color w:val="auto"/>
        </w:rPr>
      </w:pPr>
    </w:p>
    <w:p>
      <w:pPr>
        <w:ind w:left="440" w:hanging="433"/>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loss provision charge of $135.7 million, or $104.0 million net of income taxes, in 2007.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ind w:right="520" w:firstLine="219"/>
        <w:spacing w:after="0" w:line="26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Notes thereto and Selected Financial Data included elsewhere in this Form 10-K.</w:t>
      </w:r>
    </w:p>
    <w:p>
      <w:pPr>
        <w:spacing w:after="0" w:line="73" w:lineRule="exact"/>
        <w:rPr>
          <w:sz w:val="20"/>
          <w:szCs w:val="20"/>
          <w:color w:val="auto"/>
        </w:rPr>
      </w:pPr>
    </w:p>
    <w:p>
      <w:pPr>
        <w:ind w:right="100" w:firstLine="219"/>
        <w:spacing w:after="0" w:line="291" w:lineRule="auto"/>
        <w:rPr>
          <w:sz w:val="20"/>
          <w:szCs w:val="20"/>
          <w:color w:val="auto"/>
        </w:rPr>
      </w:pPr>
      <w:r>
        <w:rPr>
          <w:rFonts w:ascii="Arial" w:cs="Arial" w:eastAsia="Arial" w:hAnsi="Arial"/>
          <w:sz w:val="16"/>
          <w:szCs w:val="16"/>
          <w:color w:val="auto"/>
        </w:rPr>
        <w:t>The results of operations and statement of financial position reported on this Form 10-K have been adjusted for certain items and reclassifications determined subsequent to our earnings release on February 4, 2009. These adjustments primarily relate to purchase accounting reclassifications on the balance sheet that arose as we continued to analyze balances in conjunction with the acquisition of the LFG Underwriters on December 22, 2008 and other adjustments arising during the completion of the audit of our reported results. These adjustments reduced our 2008 year to date earnings approximately $21.7 million pre-tax, $ 13.2 million after-tax, or $0.06 per share, as compared with the amounts reported in our earnings release on February 4, 2009.</w:t>
      </w:r>
    </w:p>
    <w:p>
      <w:pPr>
        <w:spacing w:after="0" w:line="58"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these transactions and the reporting of these policies to us by the agent. During the third quarter of 2008, we re-evaluated and refined the method that we use to estimate this accrual, which resulted in a reduction in revenue from agency title insurance premiums of $138.5 million compared to the revenues that would have been accrued under our prior method. The impact of this adjustment was a decrease of $11.8 million in pre-tax earnings and $7.6 million in net income, or approximately $0.04 per share, compared to the amounts that would have been recorded under our prior method. We believe that this adjustment is properly reflected as a change in accounting estimate in the third quarter of 2008.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19" w:lineRule="exact"/>
        <w:rPr>
          <w:sz w:val="20"/>
          <w:szCs w:val="20"/>
          <w:color w:val="auto"/>
        </w:rPr>
      </w:pPr>
    </w:p>
    <w:p>
      <w:pPr>
        <w:ind w:right="100" w:firstLine="222"/>
        <w:spacing w:after="0" w:line="266" w:lineRule="auto"/>
        <w:rPr>
          <w:sz w:val="20"/>
          <w:szCs w:val="20"/>
          <w:color w:val="auto"/>
        </w:rPr>
      </w:pPr>
      <w:r>
        <w:rPr>
          <w:rFonts w:ascii="Arial" w:cs="Arial" w:eastAsia="Arial" w:hAnsi="Arial"/>
          <w:sz w:val="17"/>
          <w:szCs w:val="17"/>
          <w:color w:val="auto"/>
        </w:rPr>
        <w:t>On December 22, 2008, we completed the acquisition of LandAmerica Financial Group, Inc.’s (“LFG”) two principal title insurance underwriters, Commowealth Land Title Insurance Company (“Commonwealth”) and Lawyers Title Insurance Corporation (“Lawyers”), as well as United Capital Title Insurance Company (“United”). The total purchase price for Commonwealth and Lawyers was $238.0 million, net of cash acquired of $8.8 million, and was comprised of $134.8 million paid in cash by two of our title insurance underwriters, Fidelity National Title Insurance Company and Chicago Title Insurance Company, a $50 million subordinated note due in 2013 (see note I of Notes to Consolidated Financial Statements), and $50 million in FNF common stock (3,176,620 shares valued at $15.74 per share at the time of closing). In addition, Fidelity National Title Insurance Company purchased United from an indirect subsidiary of LFG for a purchase price of approximately $12 million, equal to an estimate (subject to post-closing adjustment) of the statutory net worth of United at the time of closing. The operations of these companies are included in the Fidelity National Title Group segment from their acquisition date of December 22, 2008.</w:t>
      </w:r>
    </w:p>
    <w:p>
      <w:pPr>
        <w:spacing w:after="0" w:line="184" w:lineRule="exact"/>
        <w:rPr>
          <w:sz w:val="20"/>
          <w:szCs w:val="20"/>
          <w:color w:val="auto"/>
        </w:rPr>
      </w:pPr>
    </w:p>
    <w:p>
      <w:pPr>
        <w:ind w:right="60" w:firstLine="267"/>
        <w:spacing w:after="0" w:line="285" w:lineRule="auto"/>
        <w:rPr>
          <w:sz w:val="20"/>
          <w:szCs w:val="20"/>
          <w:color w:val="auto"/>
        </w:rPr>
      </w:pPr>
      <w:r>
        <w:rPr>
          <w:rFonts w:ascii="Arial" w:cs="Arial" w:eastAsia="Arial" w:hAnsi="Arial"/>
          <w:sz w:val="16"/>
          <w:szCs w:val="16"/>
          <w:color w:val="auto"/>
        </w:rPr>
        <w:t>During 2008, prior to the acquisition, the LFG Underwriters generated significant revenue but had substantial losses from operations. Since the acquisition, FNF has been engaged in an effort to reduce overhead at the LFG Underwriters and restore them to profitability. Through the end of January, FNF had eliminated approximately 1,500 of the 5,500 employees and closed approximately 125 of the offices acquired in the transaction. Agent relationships are also being evaluated and reductions in the agency base have also occurred and are continuing. As a result of these measures, and due in part to the loss of business momentum at the LFG Underwriters prior to the acquisition resulting from the Chapter 11 case of LFG and other causes, it seems likely that the operations of the LFG Underwriters will, at least initially, be somewhat less sizable than they were historically. For the months of January and February 2009, the direct operations of the LFG Underwriters contributed an average of approximately 16% of the total direct orders opened by the Company. Therefore, the reported results of the LFG Underwriters for prior periods are not necessarily indicative of the results to be expected for any future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firstLine="219"/>
        <w:spacing w:after="0" w:line="267" w:lineRule="auto"/>
        <w:rPr>
          <w:sz w:val="20"/>
          <w:szCs w:val="20"/>
          <w:color w:val="auto"/>
        </w:rPr>
      </w:pPr>
      <w:r>
        <w:rPr>
          <w:rFonts w:ascii="Arial" w:cs="Arial" w:eastAsia="Arial" w:hAnsi="Arial"/>
          <w:sz w:val="17"/>
          <w:szCs w:val="17"/>
          <w:color w:val="auto"/>
        </w:rPr>
        <w:t>We are a holding company that is a provider, through our subsidiaries, of title insurance, specialty insurance, claims management services, and information services. We are the nation’s largest title insurance company through our title insurance underwriters — Fidelity National Title, Chicago Title, Commonwealth Land Title, Lawyers Title, Ticor Title, Security Union Title, and Alamo Title — which collectively issued more title insurance policies in 2007 than any other title company in the United States. We also provide flood insurance, personal lines insurance, and home warranty insurance through our specialty insurance subsidiaries. We are also a leading provider of outsourced claims management services to large corporate and public sector entities through our minority-owned affiliate, Sedgwick CMS Holdings (“Sedgwick”) and a provider of information services in the human resources, retail, and transportation markets through another minority-owned affiliate, Ceridian Corporation (“Ceridian”).</w:t>
      </w:r>
    </w:p>
    <w:p>
      <w:pPr>
        <w:spacing w:after="0" w:line="78" w:lineRule="exact"/>
        <w:rPr>
          <w:sz w:val="20"/>
          <w:szCs w:val="20"/>
          <w:color w:val="auto"/>
        </w:rPr>
      </w:pPr>
    </w:p>
    <w:p>
      <w:pPr>
        <w:ind w:right="20" w:firstLine="222"/>
        <w:spacing w:after="0" w:line="282" w:lineRule="auto"/>
        <w:rPr>
          <w:sz w:val="20"/>
          <w:szCs w:val="20"/>
          <w:color w:val="auto"/>
        </w:rPr>
      </w:pPr>
      <w:r>
        <w:rPr>
          <w:rFonts w:ascii="Arial" w:cs="Arial" w:eastAsia="Arial" w:hAnsi="Arial"/>
          <w:sz w:val="16"/>
          <w:szCs w:val="16"/>
          <w:color w:val="auto"/>
        </w:rPr>
        <w:t>Prior to October 24, 2006, we were known as Fidelity National Title Group, Inc. (“FNT”) and were a majority-owned subsidiary of another publicly traded company, also called Fidelity National Financial, Inc. (“Old FNF”). On October 24, 2006, Old FNF transferred certain assets to us in return for the issuance of 45,265,956 shares of our common stock to Old FNF. Old FNF then distributed to its shareholders all of its shares of our common stock, making FNT a stand alone public company (the “2006 Distribution”). On November 9, 2006, Old FNF was then merged with and into another of its subsidiaries, Fidelity National Information Services, Inc. (“FIS”), after which we changed our name to Fidelity National Financial, Inc. (“FNF” or the “Company”). On November 10, 2006, our common stock began trading on the New York Stock Exchange under the trading symbol “FNF.” On July 2, 2008, FIS completed the spin-off of its former Lender Processing Services operating segment into a separate publicly traded company, referred to as LPS, by distributing all of its shares of LPS to FIS shareholders through a stock dividend. Old FNF’s chairman of the board and chief executive officer is now our chairman of the board, the executive chairman of the board of FIS, and the chairman of the board of LPS. Other key members of Old FNF’s senior management have also continued their involvement at FNF, FIS, and LPS in executive capacities. Under applicable accounting principles, following these transactions, Old FNF’s historical financial statements, with the exception of equity and earnings per share, became our historical financial statements, including the results of FIS through the date of our spin-off from Old FNF. For periods prior to October 24, 2006 our equity has been derived from FNT’s historical equity and our historical basic and diluted earnings per share have been calculated using FNT’s basic and diluted weighted average shares outstanding.</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currently have three reporting segments as follows:</w:t>
      </w:r>
    </w:p>
    <w:p>
      <w:pPr>
        <w:spacing w:after="0" w:line="113" w:lineRule="exact"/>
        <w:rPr>
          <w:sz w:val="20"/>
          <w:szCs w:val="20"/>
          <w:color w:val="auto"/>
        </w:rPr>
      </w:pPr>
    </w:p>
    <w:p>
      <w:pPr>
        <w:ind w:left="680" w:right="20" w:hanging="447"/>
        <w:spacing w:after="0" w:line="257" w:lineRule="auto"/>
        <w:tabs>
          <w:tab w:leader="none" w:pos="680" w:val="left"/>
        </w:tabs>
        <w:numPr>
          <w:ilvl w:val="0"/>
          <w:numId w:val="2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Fidelity National Title Group. </w:t>
      </w:r>
      <w:r>
        <w:rPr>
          <w:rFonts w:ascii="Arial" w:cs="Arial" w:eastAsia="Arial" w:hAnsi="Arial"/>
          <w:sz w:val="18"/>
          <w:szCs w:val="18"/>
          <w:color w:val="auto"/>
        </w:rPr>
        <w:t>This segment consists of the operation of our title insurance underwriters and related businesses. This segment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core title insurance and escrow and other title-related services including collection and trust activities, trustee’s sales guarantees, recordings and reconveyances.</w:t>
      </w:r>
    </w:p>
    <w:p>
      <w:pPr>
        <w:spacing w:after="0" w:line="95" w:lineRule="exact"/>
        <w:rPr>
          <w:rFonts w:ascii="Arial" w:cs="Arial" w:eastAsia="Arial" w:hAnsi="Arial"/>
          <w:sz w:val="18"/>
          <w:szCs w:val="18"/>
          <w:b w:val="1"/>
          <w:bCs w:val="1"/>
          <w:color w:val="auto"/>
        </w:rPr>
      </w:pPr>
    </w:p>
    <w:p>
      <w:pPr>
        <w:ind w:left="680" w:right="220" w:hanging="447"/>
        <w:spacing w:after="0" w:line="273" w:lineRule="auto"/>
        <w:tabs>
          <w:tab w:leader="none" w:pos="680" w:val="left"/>
        </w:tabs>
        <w:numPr>
          <w:ilvl w:val="0"/>
          <w:numId w:val="23"/>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Specialty Insurance. </w:t>
      </w:r>
      <w:r>
        <w:rPr>
          <w:rFonts w:ascii="Arial" w:cs="Arial" w:eastAsia="Arial" w:hAnsi="Arial"/>
          <w:sz w:val="17"/>
          <w:szCs w:val="17"/>
          <w:color w:val="auto"/>
        </w:rPr>
        <w:t>The specialty insurance segment consists of certain subsidiaries that issue flood, home warranty, homeowners, automobile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personal lines insurance policies. Our Board of Directors has authorized us to investigate strategic alternatives for certain of our specialty insurance businesses. The assets to be evaluated include the flood insurance and personal lines insurance businesses, but not the home warranty business. However, there can be no assurance that any transaction will be completed.</w:t>
      </w:r>
    </w:p>
    <w:p>
      <w:pPr>
        <w:spacing w:after="0" w:line="84" w:lineRule="exact"/>
        <w:rPr>
          <w:rFonts w:ascii="Arial" w:cs="Arial" w:eastAsia="Arial" w:hAnsi="Arial"/>
          <w:sz w:val="17"/>
          <w:szCs w:val="17"/>
          <w:b w:val="1"/>
          <w:bCs w:val="1"/>
          <w:color w:val="auto"/>
        </w:rPr>
      </w:pPr>
    </w:p>
    <w:p>
      <w:pPr>
        <w:jc w:val="both"/>
        <w:ind w:left="680" w:right="160" w:hanging="447"/>
        <w:spacing w:after="0" w:line="257" w:lineRule="auto"/>
        <w:tabs>
          <w:tab w:leader="none" w:pos="680" w:val="left"/>
        </w:tabs>
        <w:numPr>
          <w:ilvl w:val="0"/>
          <w:numId w:val="23"/>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The corporate and other segment consists of the operations of the parent holding company, certain other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expenses, other smaller operations, and our share in the operations of certain equity investments, including Sedgwick, Ceridian and Remy International, Inc. (“Remy”).</w:t>
      </w:r>
    </w:p>
    <w:p>
      <w:pPr>
        <w:spacing w:after="0" w:line="82" w:lineRule="exact"/>
        <w:rPr>
          <w:sz w:val="20"/>
          <w:szCs w:val="20"/>
          <w:color w:val="auto"/>
        </w:rPr>
      </w:pPr>
    </w:p>
    <w:p>
      <w:pPr>
        <w:ind w:right="80" w:firstLine="219"/>
        <w:spacing w:after="0" w:line="269" w:lineRule="auto"/>
        <w:rPr>
          <w:sz w:val="20"/>
          <w:szCs w:val="20"/>
          <w:color w:val="auto"/>
        </w:rPr>
      </w:pPr>
      <w:r>
        <w:rPr>
          <w:rFonts w:ascii="Arial" w:cs="Arial" w:eastAsia="Arial" w:hAnsi="Arial"/>
          <w:sz w:val="17"/>
          <w:szCs w:val="17"/>
          <w:color w:val="auto"/>
        </w:rPr>
        <w:t>Through October 23, 2006, our results also included the operations of FIS as a separate segment. This segment provided transaction processing services, consisting principally of technology solutions for banks and other financial institutions, credit and debit card services and check risk management and related services for retailers and others. This segment also provided lender processing services, consisting principally of technology solutions for mortgage lenders, selected mortgage origination services such as title agency and closing services, default management and mortgage information services. FIS’s credit and debit card services and check risk management services were added through its merger with Certegy Inc. (“Certegy”). This merger closed in February 2006 and as a result these businesses are not included in FIS’s financial information prior to the closing.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19" w:lineRule="exact"/>
        <w:rPr>
          <w:sz w:val="20"/>
          <w:szCs w:val="20"/>
          <w:color w:val="auto"/>
        </w:rPr>
      </w:pPr>
    </w:p>
    <w:p>
      <w:pPr>
        <w:ind w:right="760" w:firstLine="222"/>
        <w:spacing w:after="0" w:line="267" w:lineRule="auto"/>
        <w:rPr>
          <w:sz w:val="20"/>
          <w:szCs w:val="20"/>
          <w:color w:val="auto"/>
        </w:rPr>
      </w:pPr>
      <w:r>
        <w:rPr>
          <w:rFonts w:ascii="Arial" w:cs="Arial" w:eastAsia="Arial" w:hAnsi="Arial"/>
          <w:sz w:val="18"/>
          <w:szCs w:val="18"/>
          <w:color w:val="auto"/>
        </w:rPr>
        <w:t>Our financial statements reflect transactions with FIS and LPS, which are related parties. Please see note A of the 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Fidelity National Title Group</w:t>
      </w:r>
    </w:p>
    <w:p>
      <w:pPr>
        <w:spacing w:after="0" w:line="113" w:lineRule="exact"/>
        <w:rPr>
          <w:sz w:val="20"/>
          <w:szCs w:val="20"/>
          <w:color w:val="auto"/>
        </w:rPr>
      </w:pPr>
    </w:p>
    <w:p>
      <w:pPr>
        <w:jc w:val="both"/>
        <w:ind w:firstLine="219"/>
        <w:spacing w:after="0" w:line="322" w:lineRule="auto"/>
        <w:rPr>
          <w:sz w:val="20"/>
          <w:szCs w:val="20"/>
          <w:color w:val="auto"/>
        </w:rPr>
      </w:pPr>
      <w:r>
        <w:rPr>
          <w:rFonts w:ascii="Arial" w:cs="Arial" w:eastAsia="Arial" w:hAnsi="Arial"/>
          <w:sz w:val="14"/>
          <w:szCs w:val="14"/>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 Both the volume and the average price of residential real estate transactions have recently experienced declines in many parts of the country, and these trends appear likely to continue. Declines in the level of real estate activity or the average price of real estate sales are likely to adversely affect our title insurance revenues.</w:t>
      </w:r>
    </w:p>
    <w:p>
      <w:pPr>
        <w:ind w:right="40"/>
        <w:spacing w:after="0" w:line="254" w:lineRule="auto"/>
        <w:rPr>
          <w:sz w:val="20"/>
          <w:szCs w:val="20"/>
          <w:color w:val="auto"/>
        </w:rPr>
      </w:pPr>
      <w:r>
        <w:rPr>
          <w:rFonts w:ascii="Arial" w:cs="Arial" w:eastAsia="Arial" w:hAnsi="Arial"/>
          <w:sz w:val="18"/>
          <w:szCs w:val="18"/>
          <w:color w:val="auto"/>
        </w:rPr>
        <w:t>The volume of refinancing transactions in particular and mortgage originations in general declined in the 2006 through 2008 period from 2005 and prior levels, resulting in reduction of revenues in some of our businesses.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found that residential real estate activity generally decreases in the following situations:</w:t>
      </w:r>
    </w:p>
    <w:p>
      <w:pPr>
        <w:spacing w:after="0" w:line="113" w:lineRule="exact"/>
        <w:rPr>
          <w:sz w:val="20"/>
          <w:szCs w:val="20"/>
          <w:color w:val="auto"/>
        </w:rPr>
      </w:pPr>
    </w:p>
    <w:p>
      <w:pPr>
        <w:ind w:left="680" w:hanging="447"/>
        <w:spacing w:after="0"/>
        <w:tabs>
          <w:tab w:leader="none" w:pos="6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when mortgage interest rates are high or increasing;</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when the mortgage funding supply is limited; and</w:t>
      </w:r>
    </w:p>
    <w:p>
      <w:pPr>
        <w:spacing w:after="0" w:line="126" w:lineRule="exact"/>
        <w:rPr>
          <w:rFonts w:ascii="Arial" w:cs="Arial" w:eastAsia="Arial" w:hAnsi="Arial"/>
          <w:sz w:val="18"/>
          <w:szCs w:val="18"/>
          <w:b w:val="1"/>
          <w:bCs w:val="1"/>
          <w:color w:val="auto"/>
        </w:rPr>
      </w:pPr>
    </w:p>
    <w:p>
      <w:pPr>
        <w:ind w:left="680" w:hanging="447"/>
        <w:spacing w:after="0"/>
        <w:tabs>
          <w:tab w:leader="none" w:pos="6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when the United States economy is weak.</w:t>
      </w:r>
    </w:p>
    <w:p>
      <w:pPr>
        <w:spacing w:after="0" w:line="113" w:lineRule="exact"/>
        <w:rPr>
          <w:sz w:val="20"/>
          <w:szCs w:val="20"/>
          <w:color w:val="auto"/>
        </w:rPr>
      </w:pPr>
    </w:p>
    <w:p>
      <w:pPr>
        <w:ind w:right="120" w:firstLine="222"/>
        <w:spacing w:after="0" w:line="273" w:lineRule="auto"/>
        <w:rPr>
          <w:sz w:val="20"/>
          <w:szCs w:val="20"/>
          <w:color w:val="auto"/>
        </w:rPr>
      </w:pPr>
      <w:r>
        <w:rPr>
          <w:rFonts w:ascii="Arial" w:cs="Arial" w:eastAsia="Arial" w:hAnsi="Arial"/>
          <w:sz w:val="17"/>
          <w:szCs w:val="17"/>
          <w:color w:val="auto"/>
        </w:rPr>
        <w:t>Because these factors can change dramatically, revenue levels in the title insurance industry can also change dramatically. For example, from January 2001 through June 2004, the Federal Reserve decreased interest rates by a total of 550 basis points, bringing interest rates down to a level not seen before in recent history and increasing the volume of residential real estate purchases and refinance activity. From June 2004 through September 2007, the Federal Reserve increased interest rates by a total of 425 basis points. In 2007, as interest rates on adjustable rate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mortgages reset to higher rates, foreclosures on subprime mortgage loans increased to record levels. This resulted in a significant decrease in levels of available mortgage funding as investors became wary of the risk associated with investing in subprime mortgage loans. In addition, tighter lending standards and a bearish outlook on the real estate environment caused potential home buyers to become reluctant to purchase homes. In 2008, the increase in foreclosure activity, which had previously been limited to the subprime mortgage market, became more widespread as borrowers encountered difficulties in attempting to refinance their adjustable rate mortgages. In 2008, the sharply rising mortgage delinquency and default rates caused negative operating results at a number of banks and financial institutions and, as a result, significantly reduced the level of lending activity. Several banks have failed in recent months and others may fail in the short to medium term, further reducing the capacity of the mortgage industry to make loans. As a result of these factors, our title insurance order counts and revenues have decreased substantially. The Federal Reserve tried to alleviate investors’ concerns by reducing interest rates by a total of 75 basis points in late 2007, 325 basis points through October 2008, and another 75-100 basis points in December 2008. The federal funds rate is now 0.0%-0.25% compared to 5.25% in August 2007. A reduction in rates in the first quarter of 2008 resulted in a temporary increase in refinance order volumes that was not sustained. The further reduction in rates in the fourth quarter of 2008 has resulted in another increase in refinance order volumes in December 2008 and continuing into February 2009. However, it is too soon to tell if the portion of these open orders that actually closes will be consistent with our closing percentages in prior periods or how long this increased activity will last. According to the Mortgage Bankers Association’s (“MBA”) current mortgage finance forecast, U.S. mortgage originations (including refinancings) were approximately $1.7 trillion, $2.3 trillion, and $2.7 trillion in 2008, 2007, and 2006, respectively. The MBA’s Mortgage Finance Forecast estimates a $2.0 trillion mortgage origination market for 2009, which would be an increase of 12.1% from 2008. The MBA further forecasts that the 12.1% increase will result primarily from refinance transactions.</w:t>
      </w:r>
    </w:p>
    <w:p>
      <w:pPr>
        <w:spacing w:after="0" w:line="74" w:lineRule="exact"/>
        <w:rPr>
          <w:sz w:val="20"/>
          <w:szCs w:val="20"/>
          <w:color w:val="auto"/>
        </w:rPr>
      </w:pPr>
    </w:p>
    <w:p>
      <w:pPr>
        <w:ind w:left="220" w:right="240"/>
        <w:spacing w:after="0" w:line="355" w:lineRule="auto"/>
        <w:rPr>
          <w:sz w:val="20"/>
          <w:szCs w:val="20"/>
          <w:color w:val="auto"/>
        </w:rPr>
      </w:pPr>
      <w:r>
        <w:rPr>
          <w:rFonts w:ascii="Arial" w:cs="Arial" w:eastAsia="Arial" w:hAnsi="Arial"/>
          <w:sz w:val="16"/>
          <w:szCs w:val="16"/>
          <w:color w:val="auto"/>
        </w:rPr>
        <w:t>Our revenues in future periods will continue to be subject to these and other factors which are beyond our control and, as a result, are likely to fluctuate. In October 2008, we announced our plans to begin the process of reviewing and increasing our title insurance rates across the country. Since that time, we</w:t>
      </w:r>
    </w:p>
    <w:p>
      <w:pPr>
        <w:jc w:val="both"/>
        <w:ind w:right="40"/>
        <w:spacing w:after="0" w:line="251" w:lineRule="auto"/>
        <w:rPr>
          <w:sz w:val="20"/>
          <w:szCs w:val="20"/>
          <w:color w:val="auto"/>
        </w:rPr>
      </w:pPr>
      <w:r>
        <w:rPr>
          <w:rFonts w:ascii="Arial" w:cs="Arial" w:eastAsia="Arial" w:hAnsi="Arial"/>
          <w:sz w:val="18"/>
          <w:szCs w:val="18"/>
          <w:color w:val="auto"/>
        </w:rPr>
        <w:t>have instituted revised rates that are now effective in approximately 21 states, including a 10% increase in California. The pricing increases have been generally in the range 5-10%. Additional rate revisions are pending in a number of other states and we are also analyzing the filed rates of the LFG Underwriters to make them consistent with the rest of our underwriters.</w:t>
      </w:r>
    </w:p>
    <w:p>
      <w:pPr>
        <w:spacing w:after="0" w:line="86"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Because commercial real estate transactions tend to be driven more by supply and demand for commercial space and occupancy rates in a particular area rather than by macroeconomic events, our commercial real estate title insurance business can generate revenues which are not dependent on the industry cycles discussed above.</w:t>
      </w:r>
    </w:p>
    <w:p>
      <w:pPr>
        <w:spacing w:after="0" w:line="82" w:lineRule="exact"/>
        <w:rPr>
          <w:sz w:val="20"/>
          <w:szCs w:val="20"/>
          <w:color w:val="auto"/>
        </w:rPr>
      </w:pPr>
    </w:p>
    <w:p>
      <w:pPr>
        <w:ind w:firstLine="222"/>
        <w:spacing w:after="0" w:line="250" w:lineRule="auto"/>
        <w:rPr>
          <w:sz w:val="20"/>
          <w:szCs w:val="20"/>
          <w:color w:val="auto"/>
        </w:rPr>
      </w:pPr>
      <w:r>
        <w:rPr>
          <w:rFonts w:ascii="Arial" w:cs="Arial" w:eastAsia="Arial" w:hAnsi="Arial"/>
          <w:sz w:val="18"/>
          <w:szCs w:val="18"/>
          <w:color w:val="auto"/>
        </w:rPr>
        <w:t>Historically, real estate transactions have produced seasonal revenue levels for title insurers. The first 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In 2007 and 2008, we have seen a divergence from these historical trends as tighter lending standards, including a significant reduction in the availability of mortgage lending, combined with rising default levels and a bearish outlook on the real estate environment have caused potential home buyers to be more reluctant to buy homes and have suppressed refinance activity. In addition, we have experienced a significant decrease in our commercial fee per file, which we believe is due, in part, to delays in the closings of many larger deals resulting from difficulties or delays in obtaining financing.</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Specialty Insurance</w:t>
      </w:r>
    </w:p>
    <w:p>
      <w:pPr>
        <w:spacing w:after="0" w:line="113" w:lineRule="exact"/>
        <w:rPr>
          <w:sz w:val="20"/>
          <w:szCs w:val="20"/>
          <w:color w:val="auto"/>
        </w:rPr>
      </w:pPr>
    </w:p>
    <w:p>
      <w:pPr>
        <w:ind w:right="20" w:firstLine="222"/>
        <w:spacing w:after="0" w:line="291" w:lineRule="auto"/>
        <w:rPr>
          <w:sz w:val="20"/>
          <w:szCs w:val="20"/>
          <w:color w:val="auto"/>
        </w:rPr>
      </w:pPr>
      <w:r>
        <w:rPr>
          <w:rFonts w:ascii="Arial" w:cs="Arial" w:eastAsia="Arial" w:hAnsi="Arial"/>
          <w:sz w:val="16"/>
          <w:szCs w:val="16"/>
          <w:color w:val="auto"/>
        </w:rPr>
        <w:t>Our specialty insurance business participates in the NFIP. We earn fees under that program for settling flood claims and administering the program. We serve as administrator and processor in our flood insurance business, and bear none of the underwriting or claims risk. The U.S. federal government is guarantor of flood insurance coverage written under NFIP and bears the underwriting risk. Revenues from our flood insurance business are impacted by the volume and magnitude of claims processed as well as the volume and rates for policies written. For example, when a large number of claims are processed as a result of a natural disaster, such as a hurricane, we experience an increase in the fees that we receive for settling the claims.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firstLine="222"/>
        <w:spacing w:after="0" w:line="254" w:lineRule="auto"/>
        <w:rPr>
          <w:sz w:val="20"/>
          <w:szCs w:val="20"/>
          <w:color w:val="auto"/>
        </w:rPr>
      </w:pPr>
      <w:r>
        <w:rPr>
          <w:rFonts w:ascii="Arial" w:cs="Arial" w:eastAsia="Arial" w:hAnsi="Arial"/>
          <w:sz w:val="18"/>
          <w:szCs w:val="18"/>
          <w:color w:val="auto"/>
        </w:rPr>
        <w:t>Revenues from our homeowners’ insurance and home warranty businesses are impacted by the level of residential real estate purchase activity in the U.S. and the general state of the economy as well as our market share. Recently, revenues from our homeowners’ insurance business have decreased as a result of efforts to tighten our underwriting standards and eliminate unprofitable agents and territories, a strategy which we believe will benefit the Company in the long term.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9" w:lineRule="exact"/>
        <w:rPr>
          <w:sz w:val="20"/>
          <w:szCs w:val="20"/>
          <w:color w:val="auto"/>
        </w:rPr>
      </w:pPr>
    </w:p>
    <w:p>
      <w:pPr>
        <w:ind w:right="140" w:firstLine="219"/>
        <w:spacing w:after="0" w:line="270" w:lineRule="auto"/>
        <w:rPr>
          <w:sz w:val="20"/>
          <w:szCs w:val="20"/>
          <w:color w:val="auto"/>
        </w:rPr>
      </w:pPr>
      <w:r>
        <w:rPr>
          <w:rFonts w:ascii="Arial" w:cs="Arial" w:eastAsia="Arial" w:hAnsi="Arial"/>
          <w:sz w:val="17"/>
          <w:szCs w:val="17"/>
          <w:color w:val="auto"/>
        </w:rPr>
        <w:t>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of Notes to the Consolidated Financial Statements for a more detailed description of the significant accounting policies that have been followed in preparing our Consolidated Financial Statements.</w:t>
      </w:r>
    </w:p>
    <w:p>
      <w:pPr>
        <w:spacing w:after="0" w:line="74" w:lineRule="exact"/>
        <w:rPr>
          <w:sz w:val="20"/>
          <w:szCs w:val="20"/>
          <w:color w:val="auto"/>
        </w:rPr>
      </w:pPr>
    </w:p>
    <w:p>
      <w:pPr>
        <w:ind w:right="20" w:firstLine="222"/>
        <w:spacing w:after="0" w:line="267" w:lineRule="auto"/>
        <w:rPr>
          <w:sz w:val="20"/>
          <w:szCs w:val="20"/>
          <w:color w:val="auto"/>
        </w:rPr>
      </w:pPr>
      <w:r>
        <w:rPr>
          <w:rFonts w:ascii="Arial" w:cs="Arial" w:eastAsia="Arial" w:hAnsi="Arial"/>
          <w:sz w:val="17"/>
          <w:szCs w:val="17"/>
          <w:i w:val="1"/>
          <w:iCs w:val="1"/>
          <w:color w:val="auto"/>
        </w:rPr>
        <w:t xml:space="preserve">Reserve for Claim Losses. </w:t>
      </w:r>
      <w:r>
        <w:rPr>
          <w:rFonts w:ascii="Arial" w:cs="Arial" w:eastAsia="Arial" w:hAnsi="Arial"/>
          <w:sz w:val="17"/>
          <w:szCs w:val="17"/>
          <w:color w:val="auto"/>
        </w:rPr>
        <w:t>Title companies issue two types of policies since both the buyer and lender in real estate transactions want to know that their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While most non-title forms of insurance, including property and casualty, provide for the assumption of risk of loss arising out of unforeseen future events, title insurance serves to protect the policyholder from risk of loss from events that predate the issuance of the policy.</w:t>
      </w:r>
    </w:p>
    <w:p>
      <w:pPr>
        <w:spacing w:after="0" w:line="78" w:lineRule="exact"/>
        <w:rPr>
          <w:sz w:val="20"/>
          <w:szCs w:val="20"/>
          <w:color w:val="auto"/>
        </w:rPr>
      </w:pPr>
    </w:p>
    <w:p>
      <w:pPr>
        <w:ind w:right="160" w:firstLine="222"/>
        <w:spacing w:after="0" w:line="279" w:lineRule="auto"/>
        <w:rPr>
          <w:sz w:val="20"/>
          <w:szCs w:val="20"/>
          <w:color w:val="auto"/>
        </w:rPr>
      </w:pPr>
      <w:r>
        <w:rPr>
          <w:rFonts w:ascii="Arial" w:cs="Arial" w:eastAsia="Arial" w:hAnsi="Arial"/>
          <w:sz w:val="17"/>
          <w:szCs w:val="17"/>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65" w:lineRule="exact"/>
        <w:rPr>
          <w:sz w:val="20"/>
          <w:szCs w:val="20"/>
          <w:color w:val="auto"/>
        </w:rPr>
      </w:pPr>
    </w:p>
    <w:p>
      <w:pPr>
        <w:ind w:right="120" w:firstLine="222"/>
        <w:spacing w:after="0" w:line="270" w:lineRule="auto"/>
        <w:rPr>
          <w:sz w:val="20"/>
          <w:szCs w:val="20"/>
          <w:color w:val="auto"/>
        </w:rPr>
      </w:pPr>
      <w:r>
        <w:rPr>
          <w:rFonts w:ascii="Arial" w:cs="Arial" w:eastAsia="Arial" w:hAnsi="Arial"/>
          <w:sz w:val="17"/>
          <w:szCs w:val="17"/>
          <w:color w:val="auto"/>
        </w:rPr>
        <w:t>Our reserve for claim losses includes reserves for known claims (“PLR”)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escrow, closing and disbursement functions due to fraud or operational error.</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summarizes our reserves for known claims and incurred but not reported claims related to title insurance.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78"/>
              <w:spacing w:after="0"/>
              <w:rPr>
                <w:sz w:val="20"/>
                <w:szCs w:val="20"/>
                <w:color w:val="auto"/>
              </w:rPr>
            </w:pPr>
            <w:r>
              <w:rPr>
                <w:rFonts w:ascii="Arial" w:cs="Arial" w:eastAsia="Arial" w:hAnsi="Arial"/>
                <w:sz w:val="14"/>
                <w:szCs w:val="14"/>
                <w:b w:val="1"/>
                <w:bCs w:val="1"/>
                <w:color w:val="auto"/>
              </w:rPr>
              <w:t>As of</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As of</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660" w:type="dxa"/>
            <w:vAlign w:val="bottom"/>
            <w:vMerge w:val="restart"/>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2"/>
                <w:szCs w:val="12"/>
                <w:color w:val="auto"/>
              </w:rPr>
            </w:pPr>
          </w:p>
        </w:tc>
        <w:tc>
          <w:tcPr>
            <w:tcW w:w="1520" w:type="dxa"/>
            <w:vAlign w:val="bottom"/>
            <w:gridSpan w:val="3"/>
          </w:tcPr>
          <w:p>
            <w:pPr>
              <w:jc w:val="center"/>
              <w:ind w:right="66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6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2008</w:t>
            </w:r>
          </w:p>
        </w:tc>
        <w:tc>
          <w:tcPr>
            <w:tcW w:w="66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2007</w:t>
            </w:r>
          </w:p>
        </w:tc>
        <w:tc>
          <w:tcPr>
            <w:tcW w:w="66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gridSpan w:val="3"/>
          </w:tcPr>
          <w:p>
            <w:pPr>
              <w:jc w:val="right"/>
              <w:spacing w:after="0" w:line="140"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PLR</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369,085</w:t>
            </w:r>
          </w:p>
        </w:tc>
        <w:tc>
          <w:tcPr>
            <w:tcW w:w="20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214,243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IBNR</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2,309,902</w:t>
            </w:r>
          </w:p>
        </w:tc>
        <w:tc>
          <w:tcPr>
            <w:tcW w:w="66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1,108,379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Reserve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2,678,987</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1,322,622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firstLine="212"/>
        <w:spacing w:after="0" w:line="273" w:lineRule="auto"/>
        <w:rPr>
          <w:sz w:val="20"/>
          <w:szCs w:val="20"/>
          <w:color w:val="auto"/>
        </w:rPr>
      </w:pPr>
      <w:r>
        <w:rPr>
          <w:rFonts w:ascii="Arial" w:cs="Arial" w:eastAsia="Arial" w:hAnsi="Arial"/>
          <w:sz w:val="17"/>
          <w:szCs w:val="17"/>
          <w:color w:val="auto"/>
        </w:rPr>
        <w:t>Although most claims against title insurance policies are reported relatively soon after the policy has been issued, claims may be reported many years later. 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222"/>
        <w:spacing w:after="0" w:line="280" w:lineRule="auto"/>
        <w:rPr>
          <w:sz w:val="20"/>
          <w:szCs w:val="20"/>
          <w:color w:val="auto"/>
        </w:rPr>
      </w:pPr>
      <w:r>
        <w:rPr>
          <w:rFonts w:ascii="Arial" w:cs="Arial" w:eastAsia="Arial" w:hAnsi="Arial"/>
          <w:sz w:val="16"/>
          <w:szCs w:val="16"/>
          <w:color w:val="auto"/>
        </w:rPr>
        <w:t>Our process for recording our reserves for claim losses begins with analysis of our loss provision rate. Management forecasts ultimate losses for each policy year based upon examination of historical policy year loss emergence (development) and adjustment of the emergence patterns to reflect policy year differences in the effects of various influences on the timing, frequency and severity of claims. Management also uses a technique that relies on historical loss emergence and on a premium-based exposure measurement. The latter technique is particularly applicable 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management determines a loss provision rate, which it records as a percentage of current premiums. This loss provision rate is set to provide for losses on current year policies. We have been recording our loss provision at</w:t>
      </w:r>
    </w:p>
    <w:p>
      <w:pPr>
        <w:spacing w:after="0" w:line="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8.5% and 7.5% of premiums during 2008 and 2007, respectively. 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the actuarial point estimate provided in the actuarial calculation.</w:t>
      </w:r>
    </w:p>
    <w:p>
      <w:pPr>
        <w:spacing w:after="0" w:line="86" w:lineRule="exact"/>
        <w:rPr>
          <w:sz w:val="20"/>
          <w:szCs w:val="20"/>
          <w:color w:val="auto"/>
        </w:rPr>
      </w:pPr>
    </w:p>
    <w:p>
      <w:pPr>
        <w:ind w:firstLine="222"/>
        <w:spacing w:after="0" w:line="267" w:lineRule="auto"/>
        <w:rPr>
          <w:sz w:val="20"/>
          <w:szCs w:val="20"/>
          <w:color w:val="auto"/>
        </w:rPr>
      </w:pPr>
      <w:r>
        <w:rPr>
          <w:rFonts w:ascii="Arial" w:cs="Arial" w:eastAsia="Arial" w:hAnsi="Arial"/>
          <w:sz w:val="17"/>
          <w:szCs w:val="17"/>
          <w:color w:val="auto"/>
        </w:rPr>
        <w:t>Due to the uncertainty inherent in the process and to the judgment used by both management and our actuary, our ultimate liability may be greater or less than our current reserves and/or our actuary’s calculation. If the recorded amount is within a reasonable range of the actuary’s point estimate, but not at the point estimate, management assesses other factors in order to be comfortable with the position of the recorded reserve within a range. These factors, which are more qualitative than quantitative, can change from period to period, and include items such as current trends in the real estate industry (which management can assess, but for which there is a time lag in the development of the data used by our internal actuary), the stratification of certain claims (large vs. small), improvements in the Company’s claims management processes, and other cost saving measures. If the recorded amount is not within a reasonable range of our internal actuary’s point estimate, we would record a charge and reassess the loss provision rate on a go forward basis. We will continue to reassess the provision to be recorded in future periods consistent with this methodology.</w:t>
      </w:r>
    </w:p>
    <w:p>
      <w:pPr>
        <w:spacing w:after="0" w:line="74" w:lineRule="exact"/>
        <w:rPr>
          <w:sz w:val="20"/>
          <w:szCs w:val="20"/>
          <w:color w:val="auto"/>
        </w:rPr>
      </w:pPr>
    </w:p>
    <w:p>
      <w:pPr>
        <w:ind w:firstLine="212"/>
        <w:spacing w:after="0" w:line="283" w:lineRule="auto"/>
        <w:rPr>
          <w:sz w:val="20"/>
          <w:szCs w:val="20"/>
          <w:color w:val="auto"/>
        </w:rPr>
      </w:pPr>
      <w:r>
        <w:rPr>
          <w:rFonts w:ascii="Arial" w:cs="Arial" w:eastAsia="Arial" w:hAnsi="Arial"/>
          <w:sz w:val="16"/>
          <w:szCs w:val="16"/>
          <w:color w:val="auto"/>
        </w:rPr>
        <w:t>At December 31, 2008, our initial reserve for claim losses, excluding the reserve for claim losses included in the net assets that we purchased from LFG, was $1.563 billion, which was $16.1 million, or 1.0%, higher than our internal actuary’s point estimate of $1.547 billion. We believe our recorded position is adequate as of December 31, 2008. As of September 30, 2008, our initial recorded reserve for claim losses was $1.303 billion, $261.6 million lower than our internal actuary’s point estimate of $1.565 billion. As a result, at September 30, 2008, management determined that our initial recorded amount was outside of a reasonable range from our internal actuary’s estimate and we recorded a charge of $261.6 million in addition to our 8.5% provision for claim losses. This charge resulted in a balance of $1.565 billion in our title insurance claim loss reserve, which was in agreement with our actuary’s point estimate at September 30, 2008. The significant development during the quarter ended September 30, 2008, was due to changes in our actuarial model resulting, in part, from adverse claim loss development on prior policy years. Because of continued adverse reported and paid claim trends over the previous six quarters, our actuarial model in the third quarter of 2008 was modified to more heavily weight the three most recent full years’ data on loss experience and to incorporate that data into the assumptions and factors that determine ultimate expected loss experience for all prior calendar years. We also had an external actuary perform an independent review of our reserve position at September 30, 2008, and the conclusion reached by the external actuary was consistent with that of our internal actuarial model.</w:t>
      </w:r>
    </w:p>
    <w:p>
      <w:pPr>
        <w:spacing w:after="0" w:line="67" w:lineRule="exact"/>
        <w:rPr>
          <w:sz w:val="20"/>
          <w:szCs w:val="20"/>
          <w:color w:val="auto"/>
        </w:rPr>
      </w:pPr>
    </w:p>
    <w:p>
      <w:pPr>
        <w:ind w:right="220" w:firstLine="222"/>
        <w:spacing w:after="0" w:line="291" w:lineRule="auto"/>
        <w:rPr>
          <w:sz w:val="20"/>
          <w:szCs w:val="20"/>
          <w:color w:val="auto"/>
        </w:rPr>
      </w:pPr>
      <w:r>
        <w:rPr>
          <w:rFonts w:ascii="Arial" w:cs="Arial" w:eastAsia="Arial" w:hAnsi="Arial"/>
          <w:sz w:val="16"/>
          <w:szCs w:val="16"/>
          <w:color w:val="auto"/>
        </w:rPr>
        <w:t>In connection with the acquisition of the LFG Underwriters on December 22, 2008, we have recorded a reserve for claim losses of $1.116 billion. The acquired reserves were computed by performing an actuarial analysis which utilized a process similar to FNF’s process described above and then applying an adjustment to the actuarial balance to record the acquired reserves at their estimated fair value as of December 31, 2008. The fair value adjustments were calculated by taking the estimated payment stream of the actuarial reserves and discounting them utilizing the U.S. Treasury Yield Curve. We then applied a discounted risk and profit load to the discounted reserves to estimate the fair value of the claim loss reserves at December 31, 2008.</w:t>
      </w:r>
    </w:p>
    <w:p>
      <w:pPr>
        <w:spacing w:after="0" w:line="58" w:lineRule="exact"/>
        <w:rPr>
          <w:sz w:val="20"/>
          <w:szCs w:val="20"/>
          <w:color w:val="auto"/>
        </w:rPr>
      </w:pPr>
    </w:p>
    <w:p>
      <w:pPr>
        <w:ind w:right="200" w:firstLine="212"/>
        <w:spacing w:after="0" w:line="267" w:lineRule="auto"/>
        <w:rPr>
          <w:sz w:val="20"/>
          <w:szCs w:val="20"/>
          <w:color w:val="auto"/>
        </w:rPr>
      </w:pPr>
      <w:r>
        <w:rPr>
          <w:rFonts w:ascii="Arial" w:cs="Arial" w:eastAsia="Arial" w:hAnsi="Arial"/>
          <w:sz w:val="18"/>
          <w:szCs w:val="18"/>
          <w:color w:val="auto"/>
        </w:rPr>
        <w:t>As of December 31, 2007, our initial recorded reserve for claim losses was $1.187 billion, $97.3 million lower than our internal actuary’s point estimate of $1.284 billion. As of September 30, 2007, our initial recorded reserve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for claim losses was $1.152 billion, $81.5 million lower than our internal actuary’s estimate of $1.233 billion. As a result, at December 31, 2007 and at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2007, management determined that our initial recorded amounts were outside of a reasonable range from our internal actuary’s estimates and we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recorded total charges in 2007 of $217.2 million (made up of $81.5 million in the third quarter and $135.7 million in the fourth quarter) in addition to our 7.5%</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provision for claim losses. These charges resulted in a balance of $1.323 billion in our title insurance claim loss reserve at December 31, 2007, which was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$39 million, or 3%, higher than the actuary’s point estimate but still within a reasonable range. Management believed the appropriate reserve was higher than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actuary’s point estimate because, in our judgment, as a result of the actuarial models and assumptions used, the full extent of adverse development in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trend of paid claims had not yet been fully reflected in the actuary’s estimate at December 31, 2007. We believed that such adverse paid development would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result in an increase in ultimate losses for prior years over and above those projected by our internal actuary’s point estimate, thus we provided for ultimate loss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in excess of such estimate. Please see Item IA, Risk Factors, “If we observe changes in the rate of title insurance claims, it may be necessary for us to record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additional charges to our claim loss reserve. This may result in lower net earnings and the potential for earnings volatility.”</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presents our title insurance loss development experience for the past three years.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840" w:type="dxa"/>
            <w:vAlign w:val="bottom"/>
            <w:gridSpan w:val="2"/>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3"/>
          </w:tcPr>
          <w:p>
            <w:pPr>
              <w:jc w:val="right"/>
              <w:ind w:right="149"/>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0" w:lineRule="exact"/>
              <w:rPr>
                <w:sz w:val="20"/>
                <w:szCs w:val="20"/>
                <w:color w:val="auto"/>
              </w:rPr>
            </w:pPr>
            <w:r>
              <w:rPr>
                <w:rFonts w:ascii="Arial" w:cs="Arial" w:eastAsia="Arial" w:hAnsi="Arial"/>
                <w:sz w:val="14"/>
                <w:szCs w:val="14"/>
                <w:b w:val="1"/>
                <w:bCs w:val="1"/>
                <w:color w:val="auto"/>
                <w:w w:val="84"/>
              </w:rPr>
              <w:t>(In thousands)</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$ 1,354,061</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$ 1,154,872</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$ 1,068,072</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Reserve assumed/(transferred)(a)</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1,115,803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(8,515)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Claims loss provision related to:</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229,076</w:t>
            </w:r>
          </w:p>
        </w:tc>
        <w:tc>
          <w:tcPr>
            <w:tcW w:w="320" w:type="dxa"/>
            <w:vAlign w:val="bottom"/>
          </w:tcPr>
          <w:p>
            <w:pPr>
              <w:spacing w:after="0"/>
              <w:rPr>
                <w:sz w:val="18"/>
                <w:szCs w:val="18"/>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285,034</w:t>
            </w:r>
          </w:p>
        </w:tc>
        <w:tc>
          <w:tcPr>
            <w:tcW w:w="38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306,179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261,876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217,216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39,399</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00" w:type="dxa"/>
            <w:vAlign w:val="bottom"/>
          </w:tcPr>
          <w:p>
            <w:pPr>
              <w:ind w:left="380"/>
              <w:spacing w:after="0"/>
              <w:rPr>
                <w:sz w:val="20"/>
                <w:szCs w:val="20"/>
                <w:color w:val="auto"/>
              </w:rPr>
            </w:pPr>
            <w:r>
              <w:rPr>
                <w:rFonts w:ascii="Arial" w:cs="Arial" w:eastAsia="Arial" w:hAnsi="Arial"/>
                <w:sz w:val="18"/>
                <w:szCs w:val="18"/>
                <w:color w:val="auto"/>
              </w:rPr>
              <w:t>Total claims loss provision</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490,952</w:t>
            </w:r>
          </w:p>
        </w:tc>
        <w:tc>
          <w:tcPr>
            <w:tcW w:w="320" w:type="dxa"/>
            <w:vAlign w:val="bottom"/>
          </w:tcPr>
          <w:p>
            <w:pPr>
              <w:spacing w:after="0"/>
              <w:rPr>
                <w:sz w:val="19"/>
                <w:szCs w:val="19"/>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502,250</w:t>
            </w:r>
          </w:p>
        </w:tc>
        <w:tc>
          <w:tcPr>
            <w:tcW w:w="380" w:type="dxa"/>
            <w:vAlign w:val="bottom"/>
          </w:tcPr>
          <w:p>
            <w:pPr>
              <w:spacing w:after="0"/>
              <w:rPr>
                <w:sz w:val="19"/>
                <w:szCs w:val="19"/>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345,578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Claims paid, net of recoupments related to:</w:t>
            </w:r>
          </w:p>
        </w:tc>
        <w:tc>
          <w:tcPr>
            <w:tcW w:w="3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(12,865)</w:t>
            </w:r>
          </w:p>
        </w:tc>
        <w:tc>
          <w:tcPr>
            <w:tcW w:w="320" w:type="dxa"/>
            <w:vAlign w:val="bottom"/>
          </w:tcPr>
          <w:p>
            <w:pPr>
              <w:spacing w:after="0"/>
              <w:rPr>
                <w:sz w:val="18"/>
                <w:szCs w:val="18"/>
                <w:color w:val="auto"/>
              </w:rPr>
            </w:pPr>
          </w:p>
        </w:tc>
        <w:tc>
          <w:tcPr>
            <w:tcW w:w="1460" w:type="dxa"/>
            <w:vAlign w:val="bottom"/>
            <w:gridSpan w:val="5"/>
          </w:tcPr>
          <w:p>
            <w:pPr>
              <w:jc w:val="right"/>
              <w:ind w:right="360"/>
              <w:spacing w:after="0"/>
              <w:rPr>
                <w:sz w:val="20"/>
                <w:szCs w:val="20"/>
                <w:color w:val="auto"/>
              </w:rPr>
            </w:pPr>
            <w:r>
              <w:rPr>
                <w:rFonts w:ascii="Arial" w:cs="Arial" w:eastAsia="Arial" w:hAnsi="Arial"/>
                <w:sz w:val="18"/>
                <w:szCs w:val="18"/>
                <w:color w:val="auto"/>
              </w:rPr>
              <w:t>(16,982)</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(18,815)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(268,964)</w:t>
            </w:r>
          </w:p>
        </w:tc>
        <w:tc>
          <w:tcPr>
            <w:tcW w:w="320" w:type="dxa"/>
            <w:vAlign w:val="bottom"/>
            <w:shd w:val="clear" w:color="auto" w:fill="CCEEFF"/>
          </w:tcPr>
          <w:p>
            <w:pPr>
              <w:spacing w:after="0"/>
              <w:rPr>
                <w:sz w:val="18"/>
                <w:szCs w:val="18"/>
                <w:color w:val="auto"/>
              </w:rPr>
            </w:pPr>
          </w:p>
        </w:tc>
        <w:tc>
          <w:tcPr>
            <w:tcW w:w="146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(286,079)</w:t>
            </w: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(231,448)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380"/>
              <w:spacing w:after="0"/>
              <w:rPr>
                <w:sz w:val="20"/>
                <w:szCs w:val="20"/>
                <w:color w:val="auto"/>
              </w:rPr>
            </w:pPr>
            <w:r>
              <w:rPr>
                <w:rFonts w:ascii="Arial" w:cs="Arial" w:eastAsia="Arial" w:hAnsi="Arial"/>
                <w:sz w:val="18"/>
                <w:szCs w:val="18"/>
                <w:color w:val="auto"/>
              </w:rPr>
              <w:t>Total claims paid, net of recoupments</w:t>
            </w: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7500" w:type="dxa"/>
            <w:vAlign w:val="bottom"/>
            <w:vMerge w:val="continue"/>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(281,829)</w:t>
            </w:r>
          </w:p>
        </w:tc>
        <w:tc>
          <w:tcPr>
            <w:tcW w:w="320" w:type="dxa"/>
            <w:vAlign w:val="bottom"/>
          </w:tcPr>
          <w:p>
            <w:pPr>
              <w:spacing w:after="0"/>
              <w:rPr>
                <w:sz w:val="19"/>
                <w:szCs w:val="19"/>
                <w:color w:val="auto"/>
              </w:rPr>
            </w:pPr>
          </w:p>
        </w:tc>
        <w:tc>
          <w:tcPr>
            <w:tcW w:w="1460" w:type="dxa"/>
            <w:vAlign w:val="bottom"/>
            <w:gridSpan w:val="5"/>
          </w:tcPr>
          <w:p>
            <w:pPr>
              <w:jc w:val="right"/>
              <w:ind w:right="360"/>
              <w:spacing w:after="0"/>
              <w:rPr>
                <w:sz w:val="20"/>
                <w:szCs w:val="20"/>
                <w:color w:val="auto"/>
              </w:rPr>
            </w:pPr>
            <w:r>
              <w:rPr>
                <w:rFonts w:ascii="Arial" w:cs="Arial" w:eastAsia="Arial" w:hAnsi="Arial"/>
                <w:sz w:val="18"/>
                <w:szCs w:val="18"/>
                <w:color w:val="auto"/>
              </w:rPr>
              <w:t>(303,061)</w:t>
            </w: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(250,263)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$ 2,678,987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$ 1,354,061</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$ 1,154,872</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Title premiums</w:t>
            </w: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520" w:type="dxa"/>
            <w:vAlign w:val="bottom"/>
            <w:gridSpan w:val="2"/>
            <w:vMerge w:val="continue"/>
          </w:tcPr>
          <w:p>
            <w:pPr>
              <w:spacing w:after="0"/>
              <w:rPr>
                <w:sz w:val="17"/>
                <w:szCs w:val="17"/>
                <w:color w:val="auto"/>
              </w:rPr>
            </w:pPr>
          </w:p>
        </w:tc>
        <w:tc>
          <w:tcPr>
            <w:tcW w:w="960" w:type="dxa"/>
            <w:vAlign w:val="bottom"/>
            <w:gridSpan w:val="3"/>
          </w:tcPr>
          <w:p>
            <w:pPr>
              <w:jc w:val="right"/>
              <w:ind w:right="120"/>
              <w:spacing w:after="0" w:line="206" w:lineRule="exact"/>
              <w:rPr>
                <w:sz w:val="20"/>
                <w:szCs w:val="20"/>
                <w:color w:val="auto"/>
              </w:rPr>
            </w:pPr>
            <w:r>
              <w:rPr>
                <w:rFonts w:ascii="Arial" w:cs="Arial" w:eastAsia="Arial" w:hAnsi="Arial"/>
                <w:sz w:val="18"/>
                <w:szCs w:val="18"/>
                <w:color w:val="auto"/>
                <w:w w:val="86"/>
              </w:rPr>
              <w:t>$ 2,695,009</w:t>
            </w:r>
          </w:p>
        </w:tc>
        <w:tc>
          <w:tcPr>
            <w:tcW w:w="320" w:type="dxa"/>
            <w:vAlign w:val="bottom"/>
          </w:tcPr>
          <w:p>
            <w:pPr>
              <w:spacing w:after="0"/>
              <w:rPr>
                <w:sz w:val="17"/>
                <w:szCs w:val="17"/>
                <w:color w:val="auto"/>
              </w:rPr>
            </w:pPr>
          </w:p>
        </w:tc>
        <w:tc>
          <w:tcPr>
            <w:tcW w:w="1040" w:type="dxa"/>
            <w:vAlign w:val="bottom"/>
            <w:gridSpan w:val="3"/>
          </w:tcPr>
          <w:p>
            <w:pPr>
              <w:jc w:val="right"/>
              <w:spacing w:after="0" w:line="206" w:lineRule="exact"/>
              <w:rPr>
                <w:sz w:val="20"/>
                <w:szCs w:val="20"/>
                <w:color w:val="auto"/>
              </w:rPr>
            </w:pPr>
            <w:r>
              <w:rPr>
                <w:rFonts w:ascii="Arial" w:cs="Arial" w:eastAsia="Arial" w:hAnsi="Arial"/>
                <w:sz w:val="18"/>
                <w:szCs w:val="18"/>
                <w:color w:val="auto"/>
              </w:rPr>
              <w:t>$ 3,800,458</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3"/>
          </w:tcPr>
          <w:p>
            <w:pPr>
              <w:jc w:val="right"/>
              <w:spacing w:after="0" w:line="206" w:lineRule="exact"/>
              <w:rPr>
                <w:sz w:val="20"/>
                <w:szCs w:val="20"/>
                <w:color w:val="auto"/>
              </w:rPr>
            </w:pPr>
            <w:r>
              <w:rPr>
                <w:rFonts w:ascii="Arial" w:cs="Arial" w:eastAsia="Arial" w:hAnsi="Arial"/>
                <w:sz w:val="18"/>
                <w:szCs w:val="18"/>
                <w:color w:val="auto"/>
              </w:rPr>
              <w:t>$ 4,608,329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2007</w:t>
            </w:r>
          </w:p>
        </w:tc>
        <w:tc>
          <w:tcPr>
            <w:tcW w:w="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6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ind w:left="100"/>
              <w:spacing w:after="0" w:line="140" w:lineRule="exact"/>
              <w:rPr>
                <w:sz w:val="20"/>
                <w:szCs w:val="20"/>
                <w:color w:val="auto"/>
              </w:rPr>
            </w:pPr>
            <w:r>
              <w:rPr>
                <w:rFonts w:ascii="Arial" w:cs="Arial" w:eastAsia="Arial" w:hAnsi="Arial"/>
                <w:sz w:val="14"/>
                <w:szCs w:val="14"/>
                <w:b w:val="1"/>
                <w:bCs w:val="1"/>
                <w:color w:val="auto"/>
                <w:w w:val="78"/>
              </w:rPr>
              <w:t>(In thousands)</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claim losses as a percentage of title insurance premiums:</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1280" w:type="dxa"/>
            <w:vAlign w:val="bottom"/>
            <w:gridSpan w:val="4"/>
          </w:tcPr>
          <w:p>
            <w:pPr>
              <w:jc w:val="right"/>
              <w:ind w:right="160"/>
              <w:spacing w:after="0"/>
              <w:rPr>
                <w:sz w:val="20"/>
                <w:szCs w:val="20"/>
                <w:color w:val="auto"/>
              </w:rPr>
            </w:pPr>
            <w:r>
              <w:rPr>
                <w:rFonts w:ascii="Arial" w:cs="Arial" w:eastAsia="Arial" w:hAnsi="Arial"/>
                <w:sz w:val="18"/>
                <w:szCs w:val="18"/>
                <w:color w:val="auto"/>
              </w:rPr>
              <w:t>8.5%</w:t>
            </w:r>
          </w:p>
        </w:tc>
        <w:tc>
          <w:tcPr>
            <w:tcW w:w="1460" w:type="dxa"/>
            <w:vAlign w:val="bottom"/>
            <w:gridSpan w:val="5"/>
          </w:tcPr>
          <w:p>
            <w:pPr>
              <w:jc w:val="right"/>
              <w:ind w:right="240"/>
              <w:spacing w:after="0"/>
              <w:rPr>
                <w:sz w:val="20"/>
                <w:szCs w:val="20"/>
                <w:color w:val="auto"/>
              </w:rPr>
            </w:pPr>
            <w:r>
              <w:rPr>
                <w:rFonts w:ascii="Arial" w:cs="Arial" w:eastAsia="Arial" w:hAnsi="Arial"/>
                <w:sz w:val="18"/>
                <w:szCs w:val="18"/>
                <w:color w:val="auto"/>
              </w:rPr>
              <w:t>7.5%</w:t>
            </w: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14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380"/>
              <w:spacing w:after="0"/>
              <w:rPr>
                <w:sz w:val="20"/>
                <w:szCs w:val="20"/>
                <w:color w:val="auto"/>
              </w:rPr>
            </w:pPr>
            <w:r>
              <w:rPr>
                <w:rFonts w:ascii="Arial" w:cs="Arial" w:eastAsia="Arial" w:hAnsi="Arial"/>
                <w:sz w:val="18"/>
                <w:szCs w:val="18"/>
                <w:color w:val="auto"/>
              </w:rPr>
              <w:t>Total provision</w:t>
            </w:r>
          </w:p>
        </w:tc>
        <w:tc>
          <w:tcPr>
            <w:tcW w:w="3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5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18.2%</w:t>
            </w:r>
          </w:p>
        </w:tc>
        <w:tc>
          <w:tcPr>
            <w:tcW w:w="1460" w:type="dxa"/>
            <w:vAlign w:val="bottom"/>
            <w:gridSpan w:val="5"/>
          </w:tcPr>
          <w:p>
            <w:pPr>
              <w:jc w:val="right"/>
              <w:ind w:right="240"/>
              <w:spacing w:after="0"/>
              <w:rPr>
                <w:sz w:val="20"/>
                <w:szCs w:val="20"/>
                <w:color w:val="auto"/>
              </w:rPr>
            </w:pPr>
            <w:r>
              <w:rPr>
                <w:rFonts w:ascii="Arial" w:cs="Arial" w:eastAsia="Arial" w:hAnsi="Arial"/>
                <w:sz w:val="18"/>
                <w:szCs w:val="18"/>
                <w:color w:val="auto"/>
              </w:rPr>
              <w:t>13.2%</w:t>
            </w: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13042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354" w:lineRule="exact"/>
        <w:rPr>
          <w:sz w:val="20"/>
          <w:szCs w:val="20"/>
          <w:color w:val="auto"/>
        </w:rPr>
      </w:pPr>
    </w:p>
    <w:p>
      <w:pPr>
        <w:ind w:left="440" w:hanging="433"/>
        <w:spacing w:after="0"/>
        <w:tabs>
          <w:tab w:leader="none" w:pos="4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Reserves assumed in 2008 were assumed in the purchase of the LFG Underwriters.</w:t>
      </w:r>
    </w:p>
    <w:p>
      <w:pPr>
        <w:spacing w:after="0" w:line="113" w:lineRule="exact"/>
        <w:rPr>
          <w:sz w:val="20"/>
          <w:szCs w:val="20"/>
          <w:color w:val="auto"/>
        </w:rPr>
      </w:pPr>
    </w:p>
    <w:p>
      <w:pPr>
        <w:ind w:firstLine="212"/>
        <w:spacing w:after="0" w:line="257" w:lineRule="auto"/>
        <w:rPr>
          <w:sz w:val="20"/>
          <w:szCs w:val="20"/>
          <w:color w:val="auto"/>
        </w:rPr>
      </w:pPr>
      <w:r>
        <w:rPr>
          <w:rFonts w:ascii="Arial" w:cs="Arial" w:eastAsia="Arial" w:hAnsi="Arial"/>
          <w:sz w:val="18"/>
          <w:szCs w:val="18"/>
          <w:color w:val="auto"/>
        </w:rPr>
        <w:t>An approximate $27.0 million increase (decrease) in our annualized provision for claim losses would occur if our loss provision rate were 1% higher (lower), based on 2008 title premiums of $2,695.0 million. A 5% increase (decrease) in our estimate of the reserve for claim losses would result in an increase (decrease) in our provision for claim losses of approximately $133.9 million.</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Additionally, for our specialty insurance businesses, we had claims reserves of $59.6 million and $65.8 million as of December 31, 2008 and 2007.</w:t>
      </w:r>
    </w:p>
    <w:p>
      <w:pPr>
        <w:spacing w:after="0" w:line="125" w:lineRule="exact"/>
        <w:rPr>
          <w:sz w:val="20"/>
          <w:szCs w:val="20"/>
          <w:color w:val="auto"/>
        </w:rPr>
      </w:pPr>
    </w:p>
    <w:p>
      <w:pPr>
        <w:ind w:right="140" w:firstLine="222"/>
        <w:spacing w:after="0" w:line="283" w:lineRule="auto"/>
        <w:rPr>
          <w:sz w:val="20"/>
          <w:szCs w:val="20"/>
          <w:color w:val="auto"/>
        </w:rPr>
      </w:pPr>
      <w:r>
        <w:rPr>
          <w:rFonts w:ascii="Arial" w:cs="Arial" w:eastAsia="Arial" w:hAnsi="Arial"/>
          <w:sz w:val="16"/>
          <w:szCs w:val="16"/>
          <w:i w:val="1"/>
          <w:iCs w:val="1"/>
          <w:color w:val="auto"/>
        </w:rPr>
        <w:t xml:space="preserve">Valuation of Investments. </w:t>
      </w:r>
      <w:r>
        <w:rPr>
          <w:rFonts w:ascii="Arial" w:cs="Arial" w:eastAsia="Arial" w:hAnsi="Arial"/>
          <w:sz w:val="16"/>
          <w:szCs w:val="16"/>
          <w:color w:val="auto"/>
        </w:rPr>
        <w:t>We regularly review our investment portfolio for factors that may indicate that a decline in fair value of an investment is other-than-temporary. Some factors considered in evaluating whether or not a decline in fair value is other-than-temporary include: (i) our ability and intent to retain the investment for a period of time sufficient to allow for a recovery in value; (ii) the duration and extent to which the fair value has been less than cost; and</w:t>
      </w:r>
    </w:p>
    <w:p>
      <w:pPr>
        <w:ind w:right="420" w:firstLine="7"/>
        <w:spacing w:after="0" w:line="254" w:lineRule="auto"/>
        <w:tabs>
          <w:tab w:leader="none" w:pos="3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financial condition and prospects of the issuer. Such reviews are inherently uncertain and the value of the investment may not fully recover or may decline in future periods resulting in a realized loss.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Investments are selected for analysis whenever an unrealized loss is greater than a certain threshold that we determine based on the size of our portfolio. Fixed maturity investments that have unrealized losses caused by interest rate movements are not at risk as we have the ability and intent to hold them to maturity. Unrealized losses on investments in equity securities and fixed maturity instruments that are susceptible to credit related declines are evaluated based on the aforementioned factors. Currently available market data is considered and estimates are made as to the duration and prospects for recovery, and the ability to retain the investment until such recovery takes place. These estimates are revisited quarterly and any material degradation in the prospect for recovery will be considered in the other than temporary impairment analysis. We believe that our monitoring and analysis has allowed for the proper recognition of other than temporary impairments over the past three year period. Any change in estimate in this area will have an impact on the results of operations of the period in which a charge is taken. Our investment portfolio exposure to sub-prime mortgage backed securities is immaterial.</w:t>
      </w:r>
    </w:p>
    <w:p>
      <w:pPr>
        <w:spacing w:after="0" w:line="66" w:lineRule="exact"/>
        <w:rPr>
          <w:sz w:val="20"/>
          <w:szCs w:val="20"/>
          <w:color w:val="auto"/>
        </w:rPr>
      </w:pPr>
    </w:p>
    <w:p>
      <w:pPr>
        <w:ind w:right="500" w:firstLine="222"/>
        <w:spacing w:after="0" w:line="257" w:lineRule="auto"/>
        <w:rPr>
          <w:sz w:val="20"/>
          <w:szCs w:val="20"/>
          <w:color w:val="auto"/>
        </w:rPr>
      </w:pPr>
      <w:r>
        <w:rPr>
          <w:rFonts w:ascii="Arial" w:cs="Arial" w:eastAsia="Arial" w:hAnsi="Arial"/>
          <w:sz w:val="18"/>
          <w:szCs w:val="18"/>
          <w:color w:val="auto"/>
        </w:rPr>
        <w:t>In September 2006, the Financial Accounting Standards Board (“FASB”) issued SFAS No. 157, “Fair Value Measurements” (“SFAS 157”). SFAS 157 defines fair value, establishes a framework for measuring fair value, and expands disclosures about fair value measurements by establishing a fair value hierarchy based on the quality of inputs used to measure fair value.</w:t>
      </w:r>
    </w:p>
    <w:p>
      <w:pPr>
        <w:spacing w:after="0" w:line="82" w:lineRule="exact"/>
        <w:rPr>
          <w:sz w:val="20"/>
          <w:szCs w:val="20"/>
          <w:color w:val="auto"/>
        </w:rPr>
      </w:pPr>
    </w:p>
    <w:p>
      <w:pPr>
        <w:ind w:right="60" w:firstLine="222"/>
        <w:spacing w:after="0" w:line="269" w:lineRule="auto"/>
        <w:rPr>
          <w:sz w:val="20"/>
          <w:szCs w:val="20"/>
          <w:color w:val="auto"/>
        </w:rPr>
      </w:pPr>
      <w:r>
        <w:rPr>
          <w:rFonts w:ascii="Arial" w:cs="Arial" w:eastAsia="Arial" w:hAnsi="Arial"/>
          <w:sz w:val="17"/>
          <w:szCs w:val="17"/>
          <w:color w:val="auto"/>
        </w:rPr>
        <w:t>SFAS 157 does not require any new fair value measurements, but applies under other accounting pronouncements that require or permit fair value measurements. SFAS 157 is effective for financial statements for fiscal years beginning after November 15, 2007. We adopted SFAS 157 as of January 1, 2008. FASB Staff Position SFAS No. 157-2, “Effective Date of FASB Statement No. 157,” delays the effective date of SFAS 157 with respect to nonfinancial assets and nonfinancial liabilities that are not remeasured at fair value on a recurring basis until fiscal years beginning after November 15, 2008. Accordingly, the Company has not yet applied the disclosure requirements of SFAS 157 to certain such nonfinancial assets for which fair value measurements are determined on a non-recurring basis only when there is an indication of potential impairment.</w:t>
      </w:r>
    </w:p>
    <w:p>
      <w:pPr>
        <w:spacing w:after="0" w:line="72" w:lineRule="exact"/>
        <w:rPr>
          <w:sz w:val="20"/>
          <w:szCs w:val="20"/>
          <w:color w:val="auto"/>
        </w:rPr>
      </w:pPr>
    </w:p>
    <w:p>
      <w:pPr>
        <w:ind w:firstLine="219"/>
        <w:spacing w:after="0" w:line="270" w:lineRule="auto"/>
        <w:rPr>
          <w:sz w:val="20"/>
          <w:szCs w:val="20"/>
          <w:color w:val="auto"/>
        </w:rPr>
      </w:pPr>
      <w:r>
        <w:rPr>
          <w:rFonts w:ascii="Arial" w:cs="Arial" w:eastAsia="Arial" w:hAnsi="Arial"/>
          <w:sz w:val="17"/>
          <w:szCs w:val="17"/>
          <w:color w:val="auto"/>
        </w:rPr>
        <w:t>The fair value hierarchy established by SFAS 157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In accordance with SFAS No. 157, our financial assets and liabilities that are recorded in the Consolidated Balance Sheets are categorized based on the inputs to the valuation techniques as follows:</w:t>
      </w:r>
    </w:p>
    <w:p>
      <w:pPr>
        <w:spacing w:after="0" w:line="74" w:lineRule="exact"/>
        <w:rPr>
          <w:sz w:val="20"/>
          <w:szCs w:val="20"/>
          <w:color w:val="auto"/>
        </w:rPr>
      </w:pPr>
    </w:p>
    <w:p>
      <w:pPr>
        <w:ind w:left="240" w:right="80"/>
        <w:spacing w:after="0" w:line="267" w:lineRule="auto"/>
        <w:rPr>
          <w:sz w:val="20"/>
          <w:szCs w:val="20"/>
          <w:color w:val="auto"/>
        </w:rPr>
      </w:pPr>
      <w:r>
        <w:rPr>
          <w:rFonts w:ascii="Arial" w:cs="Arial" w:eastAsia="Arial" w:hAnsi="Arial"/>
          <w:sz w:val="18"/>
          <w:szCs w:val="18"/>
          <w:color w:val="auto"/>
        </w:rPr>
        <w:t>Level 1. Financial assets and liabilities whose values are based on unadjusted quoted prices for identical assets or liabilities in an active market that we have the ability to access.</w:t>
      </w:r>
    </w:p>
    <w:p>
      <w:pPr>
        <w:spacing w:after="0" w:line="73" w:lineRule="exact"/>
        <w:rPr>
          <w:sz w:val="20"/>
          <w:szCs w:val="20"/>
          <w:color w:val="auto"/>
        </w:rPr>
      </w:pPr>
    </w:p>
    <w:p>
      <w:pPr>
        <w:ind w:left="240" w:right="400"/>
        <w:spacing w:after="0" w:line="267" w:lineRule="auto"/>
        <w:rPr>
          <w:sz w:val="20"/>
          <w:szCs w:val="20"/>
          <w:color w:val="auto"/>
        </w:rPr>
      </w:pPr>
      <w:r>
        <w:rPr>
          <w:rFonts w:ascii="Arial" w:cs="Arial" w:eastAsia="Arial" w:hAnsi="Arial"/>
          <w:sz w:val="18"/>
          <w:szCs w:val="18"/>
          <w:color w:val="auto"/>
        </w:rPr>
        <w:t>Level 2. Financial assets and liabilities whose values are based on quoted prices in markets that are not active or model inputs that are observable either directly or indirectly for substantially the full term of the asset or liability.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3. Financial assets and liabilities whose values are based on model inputs that are unobservable.</w:t>
      </w:r>
    </w:p>
    <w:p>
      <w:pPr>
        <w:spacing w:after="0" w:line="113" w:lineRule="exact"/>
        <w:rPr>
          <w:sz w:val="20"/>
          <w:szCs w:val="20"/>
          <w:color w:val="auto"/>
        </w:rPr>
      </w:pPr>
    </w:p>
    <w:p>
      <w:pPr>
        <w:ind w:right="180" w:firstLine="219"/>
        <w:spacing w:after="0" w:line="267" w:lineRule="auto"/>
        <w:rPr>
          <w:sz w:val="20"/>
          <w:szCs w:val="20"/>
          <w:color w:val="auto"/>
        </w:rPr>
      </w:pPr>
      <w:r>
        <w:rPr>
          <w:rFonts w:ascii="Arial" w:cs="Arial" w:eastAsia="Arial" w:hAnsi="Arial"/>
          <w:sz w:val="18"/>
          <w:szCs w:val="18"/>
          <w:color w:val="auto"/>
        </w:rPr>
        <w:t>The following table presents our fair value hierarchy for those assets and liabilities measured at fair value on a recurring basis as of December 31, 2008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Level 2</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 available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$ 2,821,774</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32,055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$ 2,853,829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Equity securities available for sale</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71,516</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71,516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71,516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$ 2,821,774</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32,055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$ 2,925,345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right="140" w:firstLine="222"/>
        <w:spacing w:after="0" w:line="252" w:lineRule="auto"/>
        <w:rPr>
          <w:sz w:val="20"/>
          <w:szCs w:val="20"/>
          <w:color w:val="auto"/>
        </w:rPr>
      </w:pPr>
      <w:r>
        <w:rPr>
          <w:rFonts w:ascii="Arial" w:cs="Arial" w:eastAsia="Arial" w:hAnsi="Arial"/>
          <w:sz w:val="18"/>
          <w:szCs w:val="18"/>
          <w:color w:val="auto"/>
        </w:rPr>
        <w:t>Our level 2 fair value measures for fixed-maturities available for sale are provided by third-party pricing services. We utilize one firm for our taxable bond portfolio and another for our municipal bond portfolio. These pricing services are leading global providers of financial market data, analytics and related services to financial institutions. We only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and reference data including market research publications. We believe that these investments are in actively traded markets. We review the pricing methodologies for all of our level 2 securities to ensure that we are comfortable with them and compare the resulting prices to other publicly available measures of fair value. Our fixed maturities classified as level 3 consist of auction rate securities for which there is no active market and are valued using models with some non-observable inputs. Fair values for these securities are provided by a third-party pricing service. These securities represent one percent of our total portfolio.</w:t>
      </w:r>
    </w:p>
    <w:p>
      <w:pPr>
        <w:spacing w:after="0" w:line="87" w:lineRule="exact"/>
        <w:rPr>
          <w:sz w:val="20"/>
          <w:szCs w:val="20"/>
          <w:color w:val="auto"/>
        </w:rPr>
      </w:pPr>
    </w:p>
    <w:p>
      <w:pPr>
        <w:ind w:firstLine="222"/>
        <w:spacing w:after="0" w:line="251" w:lineRule="auto"/>
        <w:rPr>
          <w:sz w:val="20"/>
          <w:szCs w:val="20"/>
          <w:color w:val="auto"/>
        </w:rPr>
      </w:pPr>
      <w:r>
        <w:rPr>
          <w:rFonts w:ascii="Arial" w:cs="Arial" w:eastAsia="Arial" w:hAnsi="Arial"/>
          <w:sz w:val="18"/>
          <w:szCs w:val="18"/>
          <w:color w:val="auto"/>
        </w:rPr>
        <w:t>During 2008, 2007, and 2006, we recorded other than temporary impairments totaling $59.0 million, $3.1 million, and $9.1 million, respectively. Impairment charges in 2008 included $25.4 million related to our fixed maturity securities, $30.1 million related to our equity securities, and $3.4 million related to other investments that were deemed other than temporarily impaired. The impairment charges relating to the fixed maturity securities primarily related to our conclusion that the credit risk relating to the holdings was too high to not impair the assets and record the loss through earnings. The impairment charges relating to the equity securities related primarily to the duration of the unrealized loss and inability to predict the time to recover if the investment continued to be held.</w:t>
      </w:r>
    </w:p>
    <w:p>
      <w:pPr>
        <w:spacing w:after="0" w:line="88" w:lineRule="exact"/>
        <w:rPr>
          <w:sz w:val="20"/>
          <w:szCs w:val="20"/>
          <w:color w:val="auto"/>
        </w:rPr>
      </w:pPr>
    </w:p>
    <w:p>
      <w:pPr>
        <w:ind w:right="40" w:firstLine="222"/>
        <w:spacing w:after="0" w:line="265"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We have made acquisitions in the past that have resulted in a significant amount of goodwill. As of December 31, 2008 and 2007,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aggregated $1,581.7 million and $1,344.6 million, respectively. The majority of our goodwill as of December 31, 2008 and 2007 relates to goodwill recorded in connection with the Chicago Title merger in 2000. The increase of $237.1 million for the year ended December 31, 2008, relates primarily to our acquisition of the LFG Underwriters. The process of determining whether or not an asset, such as goodwill, is impaired or recoverable relies on projections of future cash flows, operating results and market conditions. While we believe that our estimates of future cash flows are reasonable, these estimates are not guarantees of future performance and are subject to risks and uncertainties that may cause actual results to differ from what is assumed in our impairment tests. In evaluating the recoverability of goodwill, we perform an annual goodwill impairment test based on an analysis of the discounted future cash flows generated by the underlying assets. We have completed our annual goodwill impairment tests in each of the past three years and have determined that we have a fair value in excess of our carrying value.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w:t>
      </w:r>
    </w:p>
    <w:p>
      <w:pPr>
        <w:spacing w:after="0" w:line="79"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i w:val="1"/>
          <w:iCs w:val="1"/>
          <w:color w:val="auto"/>
        </w:rPr>
        <w:t xml:space="preserve">Other Intangible Assets. </w:t>
      </w:r>
      <w:r>
        <w:rPr>
          <w:rFonts w:ascii="Arial" w:cs="Arial" w:eastAsia="Arial" w:hAnsi="Arial"/>
          <w:sz w:val="18"/>
          <w:szCs w:val="18"/>
          <w:color w:val="auto"/>
        </w:rPr>
        <w:t>We have significant intangible assets that were acquired through business acquisitions. These assets consist of purchased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contracts, and the excess of purchase price over the fair value of identifiable net assets acquired (goodwill), discussed above. The determination of estimated useful lives and the allocation of the purchase price to the fair values of the intangible assets requires significant judgment and may affect the amount of future amortization on intangible assets other than goodwill.</w:t>
      </w:r>
    </w:p>
    <w:p>
      <w:pPr>
        <w:spacing w:after="0" w:line="84" w:lineRule="exact"/>
        <w:rPr>
          <w:sz w:val="20"/>
          <w:szCs w:val="20"/>
          <w:color w:val="auto"/>
        </w:rPr>
      </w:pPr>
    </w:p>
    <w:p>
      <w:pPr>
        <w:ind w:right="80" w:firstLine="219"/>
        <w:spacing w:after="0" w:line="287" w:lineRule="auto"/>
        <w:rPr>
          <w:sz w:val="20"/>
          <w:szCs w:val="20"/>
          <w:color w:val="auto"/>
        </w:rPr>
      </w:pPr>
      <w:r>
        <w:rPr>
          <w:rFonts w:ascii="Arial" w:cs="Arial" w:eastAsia="Arial" w:hAnsi="Arial"/>
          <w:sz w:val="16"/>
          <w:szCs w:val="16"/>
          <w:color w:val="auto"/>
        </w:rPr>
        <w:t>The valuation of intangible assets such as software, purchased customer relationships and contracts involves significant estimates and assumptions concerning matters such as customer retention, future cash flows and discount rates. If any of these assumptions change, it could affect the carrying value of these assets. Purchased customer relationships are amortized over their estimated useful lives using an accelerated method which takes into consideration expected customer attrition rates over a ten-year period. Contractual relationships are generally amortized using the straight-line method over their contractual life. In 2008, we determined that the carrying value of certain of our intangible assets may not be recoverable and recorded impairment charges of $4.0 million, relating to the write-off of these assets. These impairments were recorded as other operating expense in our 2008 Consolidated Statements of Earnings. There were no impairment charges recorded relating to intangible assets during 2007 or 2006.</w:t>
      </w:r>
    </w:p>
    <w:p>
      <w:pPr>
        <w:spacing w:after="0" w:line="60" w:lineRule="exact"/>
        <w:rPr>
          <w:sz w:val="20"/>
          <w:szCs w:val="20"/>
          <w:color w:val="auto"/>
        </w:rPr>
      </w:pPr>
    </w:p>
    <w:p>
      <w:pPr>
        <w:ind w:right="20" w:firstLine="222"/>
        <w:spacing w:after="0" w:line="252" w:lineRule="auto"/>
        <w:rPr>
          <w:sz w:val="20"/>
          <w:szCs w:val="20"/>
          <w:color w:val="auto"/>
        </w:rPr>
      </w:pPr>
      <w:r>
        <w:rPr>
          <w:rFonts w:ascii="Arial" w:cs="Arial" w:eastAsia="Arial" w:hAnsi="Arial"/>
          <w:sz w:val="18"/>
          <w:szCs w:val="18"/>
          <w:i w:val="1"/>
          <w:iCs w:val="1"/>
          <w:color w:val="auto"/>
        </w:rPr>
        <w:t xml:space="preserve">Computer Software. </w:t>
      </w:r>
      <w:r>
        <w:rPr>
          <w:rFonts w:ascii="Arial" w:cs="Arial" w:eastAsia="Arial" w:hAnsi="Arial"/>
          <w:sz w:val="18"/>
          <w:szCs w:val="18"/>
          <w:color w:val="auto"/>
        </w:rPr>
        <w:t>Computer software includes the fair value of software acquired in business combinations, purchased software and capitalized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costs. Purchased software is recorded at cost and amortized using the straight line method over a 3 year period and software acquired in business combinations is recorded at its fair value and amortized using straight line and accelerated methods over their estimated useful lives, ranging from 5 to 10 years. During 2008, we recorded impairment expense of $4.5 million related to computer software. These impairments were recorded as depreciation and amortization expense in our 2008 Consolidated Statement of Earnings.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color w:val="auto"/>
        </w:rPr>
        <w:t>Capitalized software development costs are accounted for in accordance with either SFAS No. 86, “Accounting for the Costs of Computer Software to Be Sold, Leased, or Otherwise Marketed” (“SFAS 86”), or with The American Institute of Certified Public Accountant’s (“AICPA”) Statement of Position (“SOP”) No. 98-1, “Accounting for the Costs of Computer Software Developed or Obtained for Internal Use” (“SOP 98-1”). After the technological feasibility of the software has been established (for SFAS 86 software), or at the beginning of application development (for SOP 98-1 software), software development costs, which include salaries and related payroll costs and costs of independent contractors incurred during development, are capitalized. Research and development costs incurred prior to the establishment of technological feasibility (for SFAS 86 software), or prior to application development (for SOP 98-1 software), are expensed as incurred. For software subject to the provisions of SFAS 86, software development costs are amortized on a product by product basis commencing on the date of general release of the products, generally the greater of (1) the straight line method over its estimated useful life, which ranges from three to seven years or (2) the ratio of current revenues to total anticipated revenue over its useful life. The cost of purchased software that is subject to the provisions of SOP 98-1 is amortized on a straight-line basis over its estimated useful life.</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The following describes our revenue recognition policies as they pertain to each of our segments:</w:t>
      </w:r>
    </w:p>
    <w:p>
      <w:pPr>
        <w:spacing w:after="0" w:line="113"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i w:val="1"/>
          <w:iCs w:val="1"/>
          <w:color w:val="auto"/>
        </w:rPr>
        <w:t xml:space="preserve">Fidelity National Title Group. </w:t>
      </w:r>
      <w:r>
        <w:rPr>
          <w:rFonts w:ascii="Arial" w:cs="Arial" w:eastAsia="Arial" w:hAnsi="Arial"/>
          <w:sz w:val="16"/>
          <w:szCs w:val="16"/>
          <w:color w:val="auto"/>
        </w:rPr>
        <w:t>Our direct title insurance premiums and escrow, title-related and other fees are recognized as revenue at the time of closing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related transaction as the earnings process is then considered complete, whereas 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During the second half of 2008, we re-evaluated and refined the method that we use to estimate this accrual, which resulted in a reduction in 2008 revenue from agency title insurance premiums of $138.5 million compared to the revenues that would have been accrued under our prior method. The impact of this adjustment was a decrease of $11.8 million in 2008 pre-tax earnings and $7.6 million in 2008 net income, or approximately $0.04 per share, compared to the amounts that would have been recorded under our prior method. We believe that this adjustment is properly reflected as a change in accounting estimate in 2008. We are likely to continue to have changes to our accrual for agency revenue in the future.</w:t>
      </w:r>
    </w:p>
    <w:p>
      <w:pPr>
        <w:spacing w:after="0" w:line="67" w:lineRule="exact"/>
        <w:rPr>
          <w:sz w:val="20"/>
          <w:szCs w:val="20"/>
          <w:color w:val="auto"/>
        </w:rPr>
      </w:pPr>
    </w:p>
    <w:p>
      <w:pPr>
        <w:ind w:right="280" w:firstLine="222"/>
        <w:spacing w:after="0" w:line="267" w:lineRule="auto"/>
        <w:rPr>
          <w:sz w:val="20"/>
          <w:szCs w:val="20"/>
          <w:color w:val="auto"/>
        </w:rPr>
      </w:pPr>
      <w:r>
        <w:rPr>
          <w:rFonts w:ascii="Arial" w:cs="Arial" w:eastAsia="Arial" w:hAnsi="Arial"/>
          <w:sz w:val="18"/>
          <w:szCs w:val="18"/>
          <w:i w:val="1"/>
          <w:iCs w:val="1"/>
          <w:color w:val="auto"/>
        </w:rPr>
        <w:t xml:space="preserve">Specialty Insurance Segment. </w:t>
      </w:r>
      <w:r>
        <w:rPr>
          <w:rFonts w:ascii="Arial" w:cs="Arial" w:eastAsia="Arial" w:hAnsi="Arial"/>
          <w:sz w:val="18"/>
          <w:szCs w:val="18"/>
          <w:color w:val="auto"/>
        </w:rPr>
        <w:t>Revenues from home warranty and personal lines insurance policies are recognized over the life of the policy, which is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Revenues and commissions related to the sale of flood insurance are recognized when the policy is reported.</w:t>
      </w:r>
    </w:p>
    <w:p>
      <w:pPr>
        <w:spacing w:after="0" w:line="73" w:lineRule="exact"/>
        <w:rPr>
          <w:sz w:val="20"/>
          <w:szCs w:val="20"/>
          <w:color w:val="auto"/>
        </w:rPr>
      </w:pPr>
    </w:p>
    <w:p>
      <w:pPr>
        <w:ind w:firstLine="222"/>
        <w:spacing w:after="0" w:line="283" w:lineRule="auto"/>
        <w:rPr>
          <w:sz w:val="20"/>
          <w:szCs w:val="20"/>
          <w:color w:val="auto"/>
        </w:rPr>
      </w:pP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 part of the process of preparing the consolidated financial statements, we are required to determine income taxes in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the jurisdictions in which we operate. This process involves estimating actual current tax expense together with assessing temporary differences resulting from differing recognition of items for income tax and accounting purposes. These differences result in deferred income tax assets and liabilities, which are included within the Consolidated Balance Sheets. We must then assess the likelihood that deferred income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income tax expense in the statement of earnings. Determination of the income tax expense requires estimates and can involve complex issues that may require an extended period to resolve. Further, the estimated level of annual pre-tax income can cause the overall effective income tax rate to vary from period to period. We believe that our tax positions comply with applicable tax law and that we adequately provide for any known tax contingencies. We believe the estimates and assumptions used to support our evaluation of tax benefit realization are reasonable. However, final determination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that determination is made.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 Affecting Comparability</w:t>
      </w:r>
    </w:p>
    <w:p>
      <w:pPr>
        <w:spacing w:after="0" w:line="119" w:lineRule="exact"/>
        <w:rPr>
          <w:sz w:val="20"/>
          <w:szCs w:val="20"/>
          <w:color w:val="auto"/>
        </w:rPr>
      </w:pPr>
    </w:p>
    <w:p>
      <w:pPr>
        <w:jc w:val="both"/>
        <w:ind w:right="120" w:firstLine="222"/>
        <w:spacing w:after="0" w:line="257" w:lineRule="auto"/>
        <w:rPr>
          <w:sz w:val="20"/>
          <w:szCs w:val="20"/>
          <w:color w:val="auto"/>
        </w:rPr>
      </w:pPr>
      <w:r>
        <w:rPr>
          <w:rFonts w:ascii="Arial" w:cs="Arial" w:eastAsia="Arial" w:hAnsi="Arial"/>
          <w:sz w:val="18"/>
          <w:szCs w:val="18"/>
          <w:i w:val="1"/>
          <w:iCs w:val="1"/>
          <w:color w:val="auto"/>
        </w:rPr>
        <w:t xml:space="preserve">Year ended December 31, 2008. </w:t>
      </w:r>
      <w:r>
        <w:rPr>
          <w:rFonts w:ascii="Arial" w:cs="Arial" w:eastAsia="Arial" w:hAnsi="Arial"/>
          <w:sz w:val="18"/>
          <w:szCs w:val="18"/>
          <w:color w:val="auto"/>
        </w:rPr>
        <w:t>As a result of a change in our actuarial model resulting, in part, from adverse claim loss development on prior policy years,</w:t>
      </w:r>
      <w:r>
        <w:rPr>
          <w:rFonts w:ascii="Arial" w:cs="Arial" w:eastAsia="Arial" w:hAnsi="Arial"/>
          <w:sz w:val="18"/>
          <w:szCs w:val="18"/>
          <w:i w:val="1"/>
          <w:iCs w:val="1"/>
          <w:color w:val="auto"/>
        </w:rPr>
        <w:t xml:space="preserve"> </w:t>
      </w:r>
      <w:r>
        <w:rPr>
          <w:rFonts w:ascii="Arial" w:cs="Arial" w:eastAsia="Arial" w:hAnsi="Arial"/>
          <w:sz w:val="18"/>
          <w:szCs w:val="18"/>
          <w:color w:val="auto"/>
        </w:rPr>
        <w:t>we recorded a charge in 2008 of $261.6 million, or $157.0 million net of income taxes, to our provision for claim losses. This charge was recorded in addition to our 8.5% provision for claim losses.</w:t>
      </w:r>
    </w:p>
    <w:p>
      <w:pPr>
        <w:spacing w:after="0" w:line="82" w:lineRule="exact"/>
        <w:rPr>
          <w:sz w:val="20"/>
          <w:szCs w:val="20"/>
          <w:color w:val="auto"/>
        </w:rPr>
      </w:pPr>
    </w:p>
    <w:p>
      <w:pPr>
        <w:ind w:right="40" w:firstLine="222"/>
        <w:spacing w:after="0" w:line="331" w:lineRule="auto"/>
        <w:rPr>
          <w:sz w:val="20"/>
          <w:szCs w:val="20"/>
          <w:color w:val="auto"/>
        </w:rPr>
      </w:pPr>
      <w:r>
        <w:rPr>
          <w:rFonts w:ascii="Arial" w:cs="Arial" w:eastAsia="Arial" w:hAnsi="Arial"/>
          <w:sz w:val="16"/>
          <w:szCs w:val="16"/>
          <w:i w:val="1"/>
          <w:iCs w:val="1"/>
          <w:color w:val="auto"/>
        </w:rPr>
        <w:t xml:space="preserve">Year ended December 31, 2007. </w:t>
      </w:r>
      <w:r>
        <w:rPr>
          <w:rFonts w:ascii="Arial" w:cs="Arial" w:eastAsia="Arial" w:hAnsi="Arial"/>
          <w:sz w:val="16"/>
          <w:szCs w:val="16"/>
          <w:color w:val="auto"/>
        </w:rPr>
        <w:t>As a result of adverse claim loss development on prior policy years, we recorded charges in 2007 totaling $217.2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$159.5 million net of income taxes, to our provision for claim losses. These charges were recorded in addition to our 7.5% provision for claim losses.</w:t>
      </w:r>
    </w:p>
    <w:p>
      <w:pPr>
        <w:spacing w:after="0" w:line="26" w:lineRule="exact"/>
        <w:rPr>
          <w:sz w:val="20"/>
          <w:szCs w:val="20"/>
          <w:color w:val="auto"/>
        </w:rPr>
      </w:pPr>
    </w:p>
    <w:p>
      <w:pPr>
        <w:ind w:right="260" w:firstLine="222"/>
        <w:spacing w:after="0" w:line="257" w:lineRule="auto"/>
        <w:rPr>
          <w:sz w:val="20"/>
          <w:szCs w:val="20"/>
          <w:color w:val="auto"/>
        </w:rPr>
      </w:pPr>
      <w:r>
        <w:rPr>
          <w:rFonts w:ascii="Arial" w:cs="Arial" w:eastAsia="Arial" w:hAnsi="Arial"/>
          <w:sz w:val="18"/>
          <w:szCs w:val="18"/>
          <w:i w:val="1"/>
          <w:iCs w:val="1"/>
          <w:color w:val="auto"/>
        </w:rPr>
        <w:t xml:space="preserve">Year ended December 31, 2006. </w:t>
      </w:r>
      <w:r>
        <w:rPr>
          <w:rFonts w:ascii="Arial" w:cs="Arial" w:eastAsia="Arial" w:hAnsi="Arial"/>
          <w:sz w:val="18"/>
          <w:szCs w:val="18"/>
          <w:color w:val="auto"/>
        </w:rPr>
        <w:t>For periods prior to October 24, 2006, the date of the closing of the 2006 Distribution, our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included the results of FIS. (See note A of the Notes to Consolidated Financial Statements for a description of the accounting treatment of the 2006 asset contribution by FNF and the 2006 Distribution).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Net (loss) earnings. </w:t>
      </w:r>
      <w:r>
        <w:rPr>
          <w:rFonts w:ascii="Arial" w:cs="Arial" w:eastAsia="Arial" w:hAnsi="Arial"/>
          <w:sz w:val="18"/>
          <w:szCs w:val="18"/>
          <w:color w:val="auto"/>
        </w:rPr>
        <w:t>The following table presents certain financial data for the years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0"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9"/>
              </w:rPr>
              <w:t>2007</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0"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3"/>
          </w:tcPr>
          <w:p>
            <w:pPr>
              <w:jc w:val="center"/>
              <w:spacing w:after="0" w:line="140"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4,329,095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$ 5,523,175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9,434,064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5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4,624,488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$ 5,347,497</w:t>
            </w:r>
          </w:p>
        </w:tc>
        <w:tc>
          <w:tcPr>
            <w:tcW w:w="5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8,492,899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(179,016)</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129,769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437,761</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The following table presents the components of our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7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7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0"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9"/>
              </w:rPr>
              <w:t>2007</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0"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3"/>
          </w:tcPr>
          <w:p>
            <w:pPr>
              <w:jc w:val="center"/>
              <w:spacing w:after="0" w:line="140"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Direct title insurance premiums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1,140,266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$ 1,601,768</w:t>
            </w:r>
          </w:p>
        </w:tc>
        <w:tc>
          <w:tcPr>
            <w:tcW w:w="5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1,957,064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spacing w:after="0"/>
              <w:rPr>
                <w:sz w:val="20"/>
                <w:szCs w:val="20"/>
                <w:color w:val="auto"/>
              </w:rPr>
            </w:pPr>
            <w:r>
              <w:rPr>
                <w:rFonts w:ascii="Arial" w:cs="Arial" w:eastAsia="Arial" w:hAnsi="Arial"/>
                <w:sz w:val="18"/>
                <w:szCs w:val="18"/>
                <w:color w:val="auto"/>
              </w:rPr>
              <w:t>Agency title insurance premiums</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1,554,743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2,198,690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2,649,136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Escrow, title-related and other fees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1,148,539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1,132,415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1,114,047</w:t>
            </w:r>
          </w:p>
        </w:tc>
        <w:tc>
          <w:tcPr>
            <w:tcW w:w="0" w:type="dxa"/>
            <w:vAlign w:val="bottom"/>
          </w:tcPr>
          <w:p>
            <w:pPr>
              <w:spacing w:after="0"/>
              <w:rPr>
                <w:sz w:val="1"/>
                <w:szCs w:val="1"/>
                <w:color w:val="auto"/>
              </w:rPr>
            </w:pPr>
          </w:p>
        </w:tc>
      </w:tr>
      <w:tr>
        <w:trPr>
          <w:trHeight w:val="213"/>
        </w:trPr>
        <w:tc>
          <w:tcPr>
            <w:tcW w:w="7520" w:type="dxa"/>
            <w:vAlign w:val="bottom"/>
          </w:tcPr>
          <w:p>
            <w:pPr>
              <w:spacing w:after="0"/>
              <w:rPr>
                <w:sz w:val="20"/>
                <w:szCs w:val="20"/>
                <w:color w:val="auto"/>
              </w:rPr>
            </w:pPr>
            <w:r>
              <w:rPr>
                <w:rFonts w:ascii="Arial" w:cs="Arial" w:eastAsia="Arial" w:hAnsi="Arial"/>
                <w:sz w:val="18"/>
                <w:szCs w:val="18"/>
                <w:color w:val="auto"/>
              </w:rPr>
              <w:t>Transaction processing</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3,094,370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Specialty insurance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373,392</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386,427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394,613</w:t>
            </w:r>
          </w:p>
        </w:tc>
        <w:tc>
          <w:tcPr>
            <w:tcW w:w="0" w:type="dxa"/>
            <w:vAlign w:val="bottom"/>
          </w:tcPr>
          <w:p>
            <w:pPr>
              <w:spacing w:after="0"/>
              <w:rPr>
                <w:sz w:val="1"/>
                <w:szCs w:val="1"/>
                <w:color w:val="auto"/>
              </w:rPr>
            </w:pPr>
          </w:p>
        </w:tc>
      </w:tr>
      <w:tr>
        <w:trPr>
          <w:trHeight w:val="213"/>
        </w:trPr>
        <w:tc>
          <w:tcPr>
            <w:tcW w:w="7520" w:type="dxa"/>
            <w:vAlign w:val="bottom"/>
          </w:tcPr>
          <w:p>
            <w:pPr>
              <w:spacing w:after="0"/>
              <w:rPr>
                <w:sz w:val="20"/>
                <w:szCs w:val="20"/>
                <w:color w:val="auto"/>
              </w:rPr>
            </w:pPr>
            <w:r>
              <w:rPr>
                <w:rFonts w:ascii="Arial" w:cs="Arial" w:eastAsia="Arial" w:hAnsi="Arial"/>
                <w:sz w:val="18"/>
                <w:szCs w:val="18"/>
                <w:color w:val="auto"/>
              </w:rPr>
              <w:t>Interest and investment income</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134,370</w:t>
            </w:r>
          </w:p>
        </w:tc>
        <w:tc>
          <w:tcPr>
            <w:tcW w:w="1820" w:type="dxa"/>
            <w:vAlign w:val="bottom"/>
            <w:gridSpan w:val="3"/>
          </w:tcPr>
          <w:p>
            <w:pPr>
              <w:jc w:val="right"/>
              <w:ind w:right="500"/>
              <w:spacing w:after="0"/>
              <w:rPr>
                <w:sz w:val="20"/>
                <w:szCs w:val="20"/>
                <w:color w:val="auto"/>
              </w:rPr>
            </w:pPr>
            <w:r>
              <w:rPr>
                <w:rFonts w:ascii="Arial" w:cs="Arial" w:eastAsia="Arial" w:hAnsi="Arial"/>
                <w:sz w:val="18"/>
                <w:szCs w:val="18"/>
                <w:color w:val="auto"/>
              </w:rPr>
              <w:t>185,417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206,607</w:t>
            </w: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and losses,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(22,215)</w:t>
            </w:r>
          </w:p>
        </w:tc>
        <w:tc>
          <w:tcPr>
            <w:tcW w:w="1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18,458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18,562</w:t>
            </w:r>
          </w:p>
        </w:tc>
        <w:tc>
          <w:tcPr>
            <w:tcW w:w="0" w:type="dxa"/>
            <w:vAlign w:val="bottom"/>
          </w:tcPr>
          <w:p>
            <w:pPr>
              <w:spacing w:after="0"/>
              <w:rPr>
                <w:sz w:val="1"/>
                <w:szCs w:val="1"/>
                <w:color w:val="auto"/>
              </w:rPr>
            </w:pPr>
          </w:p>
        </w:tc>
      </w:tr>
      <w:tr>
        <w:trPr>
          <w:trHeight w:val="219"/>
        </w:trPr>
        <w:tc>
          <w:tcPr>
            <w:tcW w:w="752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4,329,095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$ 5,523,175</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9,434,399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Orders opened by direct title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1,860,400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2,259,800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3,146,200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520" w:type="dxa"/>
            <w:vAlign w:val="bottom"/>
          </w:tcPr>
          <w:p>
            <w:pPr>
              <w:spacing w:after="0"/>
              <w:rPr>
                <w:sz w:val="20"/>
                <w:szCs w:val="20"/>
                <w:color w:val="auto"/>
              </w:rPr>
            </w:pPr>
            <w:r>
              <w:rPr>
                <w:rFonts w:ascii="Arial" w:cs="Arial" w:eastAsia="Arial" w:hAnsi="Arial"/>
                <w:sz w:val="18"/>
                <w:szCs w:val="18"/>
                <w:color w:val="auto"/>
              </w:rPr>
              <w:t>Orders closed by direct title operations</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1,121,200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1,434,800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2,051,500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revenue in 2008 decreased $1,194.1 million compared to 2007, reflecting decreases across all business segments. Total revenue in 2007 decreased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$3,911.2 million compared to 2006, reflecting decreases in the Fidelity National Title Group and specialty insurance segments, partially offset by an increase in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corporate and other segment. In addition, revenues in 2006 included $3,289.1 million of revenues from FIS and LPS operations .</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0"/>
        </w:trPr>
        <w:tc>
          <w:tcPr>
            <w:tcW w:w="2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tcBorders>
              <w:bottom w:val="single" w:sz="8" w:color="auto"/>
            </w:tcBorders>
            <w:gridSpan w:val="2"/>
          </w:tcPr>
          <w:p>
            <w:pPr>
              <w:jc w:val="right"/>
              <w:ind w:right="260"/>
              <w:spacing w:after="0" w:line="140" w:lineRule="exact"/>
              <w:rPr>
                <w:sz w:val="20"/>
                <w:szCs w:val="20"/>
                <w:color w:val="auto"/>
              </w:rPr>
            </w:pPr>
            <w:r>
              <w:rPr>
                <w:rFonts w:ascii="Arial" w:cs="Arial" w:eastAsia="Arial" w:hAnsi="Arial"/>
                <w:sz w:val="14"/>
                <w:szCs w:val="14"/>
                <w:b w:val="1"/>
                <w:bCs w:val="1"/>
                <w:color w:val="auto"/>
              </w:rPr>
              <w:t>2008</w:t>
            </w:r>
          </w:p>
        </w:tc>
        <w:tc>
          <w:tcPr>
            <w:tcW w:w="66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100"/>
              <w:spacing w:after="0" w:line="140" w:lineRule="exact"/>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0" w:lineRule="exact"/>
              <w:rPr>
                <w:sz w:val="20"/>
                <w:szCs w:val="20"/>
                <w:color w:val="auto"/>
              </w:rPr>
            </w:pPr>
            <w:r>
              <w:rPr>
                <w:rFonts w:ascii="Arial" w:cs="Arial" w:eastAsia="Arial" w:hAnsi="Arial"/>
                <w:sz w:val="14"/>
                <w:szCs w:val="14"/>
                <w:b w:val="1"/>
                <w:bCs w:val="1"/>
                <w:color w:val="auto"/>
              </w:rPr>
              <w:t>2006</w:t>
            </w: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0"/>
        </w:trPr>
        <w:tc>
          <w:tcPr>
            <w:tcW w:w="2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Borders>
              <w:bottom w:val="single" w:sz="8" w:color="auto"/>
            </w:tcBorders>
          </w:tcPr>
          <w:p>
            <w:pPr>
              <w:jc w:val="right"/>
              <w:ind w:right="100"/>
              <w:spacing w:after="0" w:line="140" w:lineRule="exact"/>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2"/>
                <w:szCs w:val="12"/>
                <w:color w:val="auto"/>
              </w:rPr>
            </w:pPr>
          </w:p>
        </w:tc>
        <w:tc>
          <w:tcPr>
            <w:tcW w:w="660" w:type="dxa"/>
            <w:vAlign w:val="bottom"/>
            <w:tcBorders>
              <w:bottom w:val="single" w:sz="8" w:color="auto"/>
            </w:tcBorders>
          </w:tcPr>
          <w:p>
            <w:pPr>
              <w:jc w:val="right"/>
              <w:ind w:right="176"/>
              <w:spacing w:after="0" w:line="140"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bottom w:val="single" w:sz="8" w:color="auto"/>
            </w:tcBorders>
          </w:tcPr>
          <w:p>
            <w:pPr>
              <w:jc w:val="right"/>
              <w:ind w:right="84"/>
              <w:spacing w:after="0" w:line="140" w:lineRule="exact"/>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2"/>
                <w:szCs w:val="12"/>
                <w:color w:val="auto"/>
              </w:rPr>
            </w:pPr>
          </w:p>
        </w:tc>
        <w:tc>
          <w:tcPr>
            <w:tcW w:w="680" w:type="dxa"/>
            <w:vAlign w:val="bottom"/>
            <w:tcBorders>
              <w:bottom w:val="single" w:sz="8" w:color="auto"/>
            </w:tcBorders>
          </w:tcPr>
          <w:p>
            <w:pPr>
              <w:jc w:val="right"/>
              <w:ind w:right="180"/>
              <w:spacing w:after="0" w:line="140" w:lineRule="exact"/>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2"/>
                <w:szCs w:val="12"/>
                <w:color w:val="auto"/>
              </w:rPr>
            </w:pPr>
          </w:p>
        </w:tc>
        <w:tc>
          <w:tcPr>
            <w:tcW w:w="840" w:type="dxa"/>
            <w:vAlign w:val="bottom"/>
            <w:tcBorders>
              <w:bottom w:val="single" w:sz="8" w:color="auto"/>
            </w:tcBorders>
          </w:tcPr>
          <w:p>
            <w:pPr>
              <w:jc w:val="right"/>
              <w:ind w:right="96"/>
              <w:spacing w:after="0" w:line="140" w:lineRule="exact"/>
              <w:rPr>
                <w:sz w:val="20"/>
                <w:szCs w:val="20"/>
                <w:color w:val="auto"/>
              </w:rPr>
            </w:pPr>
            <w:r>
              <w:rPr>
                <w:rFonts w:ascii="Arial" w:cs="Arial" w:eastAsia="Arial" w:hAnsi="Arial"/>
                <w:sz w:val="14"/>
                <w:szCs w:val="14"/>
                <w:b w:val="1"/>
                <w:bCs w:val="1"/>
                <w:color w:val="auto"/>
              </w:rPr>
              <w:t>Amount</w:t>
            </w:r>
          </w:p>
        </w:tc>
        <w:tc>
          <w:tcPr>
            <w:tcW w:w="640" w:type="dxa"/>
            <w:vAlign w:val="bottom"/>
          </w:tcPr>
          <w:p>
            <w:pPr>
              <w:spacing w:after="0"/>
              <w:rPr>
                <w:sz w:val="12"/>
                <w:szCs w:val="12"/>
                <w:color w:val="auto"/>
              </w:rPr>
            </w:pPr>
          </w:p>
        </w:tc>
        <w:tc>
          <w:tcPr>
            <w:tcW w:w="660" w:type="dxa"/>
            <w:vAlign w:val="bottom"/>
            <w:tcBorders>
              <w:bottom w:val="single" w:sz="8" w:color="auto"/>
            </w:tcBorders>
          </w:tcPr>
          <w:p>
            <w:pPr>
              <w:jc w:val="right"/>
              <w:ind w:right="180"/>
              <w:spacing w:after="0" w:line="140"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0"/>
        </w:trPr>
        <w:tc>
          <w:tcPr>
            <w:tcW w:w="2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spacing w:after="0" w:line="140" w:lineRule="exact"/>
              <w:rPr>
                <w:sz w:val="20"/>
                <w:szCs w:val="20"/>
                <w:color w:val="auto"/>
              </w:rPr>
            </w:pPr>
            <w:r>
              <w:rPr>
                <w:rFonts w:ascii="Arial" w:cs="Arial" w:eastAsia="Arial" w:hAnsi="Arial"/>
                <w:sz w:val="14"/>
                <w:szCs w:val="14"/>
                <w:b w:val="1"/>
                <w:bCs w:val="1"/>
                <w:color w:val="auto"/>
              </w:rPr>
              <w:t>(Dollars</w:t>
            </w:r>
          </w:p>
        </w:tc>
        <w:tc>
          <w:tcPr>
            <w:tcW w:w="1300" w:type="dxa"/>
            <w:vAlign w:val="bottom"/>
            <w:gridSpan w:val="2"/>
          </w:tcPr>
          <w:p>
            <w:pPr>
              <w:ind w:left="100"/>
              <w:spacing w:after="0" w:line="140"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3"/>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$ 1,140,266</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$ 1,601,768</w:t>
            </w:r>
          </w:p>
        </w:tc>
        <w:tc>
          <w:tcPr>
            <w:tcW w:w="1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$ 1,957,064</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r>
      <w:tr>
        <w:trPr>
          <w:trHeight w:val="213"/>
        </w:trPr>
        <w:tc>
          <w:tcPr>
            <w:tcW w:w="2940" w:type="dxa"/>
            <w:vAlign w:val="bottom"/>
          </w:tcPr>
          <w:p>
            <w:pPr>
              <w:spacing w:after="0"/>
              <w:rPr>
                <w:sz w:val="20"/>
                <w:szCs w:val="20"/>
                <w:color w:val="auto"/>
              </w:rPr>
            </w:pPr>
            <w:r>
              <w:rPr>
                <w:rFonts w:ascii="Arial" w:cs="Arial" w:eastAsia="Arial" w:hAnsi="Arial"/>
                <w:sz w:val="18"/>
                <w:szCs w:val="18"/>
                <w:color w:val="auto"/>
              </w:rPr>
              <w:t>Agency</w:t>
            </w:r>
          </w:p>
        </w:tc>
        <w:tc>
          <w:tcPr>
            <w:tcW w:w="5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1,554,743</w:t>
            </w: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57.7</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2,198,690</w:t>
            </w: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57.9</w:t>
            </w:r>
          </w:p>
        </w:tc>
        <w:tc>
          <w:tcPr>
            <w:tcW w:w="6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2,649,136</w:t>
            </w:r>
          </w:p>
        </w:tc>
        <w:tc>
          <w:tcPr>
            <w:tcW w:w="6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57.5</w:t>
            </w:r>
          </w:p>
        </w:tc>
      </w:tr>
      <w:tr>
        <w:trPr>
          <w:trHeight w:val="27"/>
        </w:trPr>
        <w:tc>
          <w:tcPr>
            <w:tcW w:w="2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3"/>
        </w:trPr>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title insurance premiums</w:t>
            </w: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$ 2,695,009</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$ 3,800,458</w:t>
            </w:r>
          </w:p>
        </w:tc>
        <w:tc>
          <w:tcPr>
            <w:tcW w:w="1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$ 4,606,200</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2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8" w:lineRule="exact"/>
        <w:rPr>
          <w:sz w:val="20"/>
          <w:szCs w:val="20"/>
          <w:color w:val="auto"/>
        </w:rPr>
      </w:pPr>
    </w:p>
    <w:p>
      <w:pPr>
        <w:ind w:right="380" w:firstLine="219"/>
        <w:spacing w:after="0" w:line="267" w:lineRule="auto"/>
        <w:rPr>
          <w:sz w:val="20"/>
          <w:szCs w:val="20"/>
          <w:color w:val="auto"/>
        </w:rPr>
      </w:pPr>
      <w:r>
        <w:rPr>
          <w:rFonts w:ascii="Arial" w:cs="Arial" w:eastAsia="Arial" w:hAnsi="Arial"/>
          <w:sz w:val="18"/>
          <w:szCs w:val="18"/>
          <w:color w:val="auto"/>
        </w:rPr>
        <w:t>Title insurance premiums were $2,695.0 million in 2008, $3,800.5 million in 2007, and $4,606.2 million in 2006. Both direct and agency title premiums decreased in each period.</w:t>
      </w:r>
    </w:p>
    <w:p>
      <w:pPr>
        <w:spacing w:after="0" w:line="73" w:lineRule="exact"/>
        <w:rPr>
          <w:sz w:val="20"/>
          <w:szCs w:val="20"/>
          <w:color w:val="auto"/>
        </w:rPr>
      </w:pPr>
    </w:p>
    <w:p>
      <w:pPr>
        <w:ind w:right="260" w:firstLine="222"/>
        <w:spacing w:after="0" w:line="267" w:lineRule="auto"/>
        <w:rPr>
          <w:sz w:val="20"/>
          <w:szCs w:val="20"/>
          <w:color w:val="auto"/>
        </w:rPr>
      </w:pPr>
      <w:r>
        <w:rPr>
          <w:rFonts w:ascii="Arial" w:cs="Arial" w:eastAsia="Arial" w:hAnsi="Arial"/>
          <w:sz w:val="18"/>
          <w:szCs w:val="18"/>
          <w:color w:val="auto"/>
        </w:rPr>
        <w:t>In 2008 and 2007, our mix of direct and agency title premiums stayed relatively consistent, with agency premiums making up 57.7% of total premiums in 2008, compared with 57.9% in 2007 and 57.5% in 2006.</w:t>
      </w:r>
    </w:p>
    <w:p>
      <w:pPr>
        <w:spacing w:after="0" w:line="73" w:lineRule="exact"/>
        <w:rPr>
          <w:sz w:val="20"/>
          <w:szCs w:val="20"/>
          <w:color w:val="auto"/>
        </w:rPr>
      </w:pPr>
    </w:p>
    <w:p>
      <w:pPr>
        <w:ind w:firstLine="222"/>
        <w:spacing w:after="0" w:line="279" w:lineRule="auto"/>
        <w:rPr>
          <w:sz w:val="20"/>
          <w:szCs w:val="20"/>
          <w:color w:val="auto"/>
        </w:rPr>
      </w:pPr>
      <w:r>
        <w:rPr>
          <w:rFonts w:ascii="Arial" w:cs="Arial" w:eastAsia="Arial" w:hAnsi="Arial"/>
          <w:sz w:val="16"/>
          <w:szCs w:val="16"/>
          <w:color w:val="auto"/>
        </w:rPr>
        <w:t>LPS operates a title agency business that serves as an agent for our title operations. However, because the operations of LPS were included in our results for periods prior to October 24, 2006, title premiums generated by LPS were included in our direct title premiums prior to that date and in our agency title premiums after that date. Direct title premiums decreased $461.5 million, or 28.8%, in 2008 compared to 2007. Direct title premiums decreased $281.8 million, or 15.0%, in 2007 compared to 2006, excluding $73.5 million in direct title premiums generated by LPS prior to October 24, 2006. The decreased level of direct title premiums in 2008 is the result of decreases in closed order volumes and fee per file. The decrease in direct title premiums in 2007 is the result of a decrease in closed order volumes partially offset by increases in fee per file. Excluding the operations of LPS in 2006, closed order volumes in our direct operations were approximately 1,121,200 in 2008, 1,434,800 in 2007, and 1,777,900 in 2006, with decreases in each case reflecting declines in the purchase and refinance markets, which were partially offset by some strengthening in the refinance market very close to the end of 2008. These declines can be attributed to the lack of liquidity in the mortgage market as mortgage default levels continued to increase, and to falling home prices, which have caused potential buyers to defer purchase decisions. Average mortgage interest rates in the year ended December 31, 2008, were slightly lower than rates in the year ended December 31, 2007 and decreased substantially at the end of 2008 as the government introduced programs intended to increase liquidity in the mortgage markets. In</w:t>
      </w:r>
    </w:p>
    <w:p>
      <w:pPr>
        <w:spacing w:after="0" w:line="5"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September 2007, the Federal Reserve began decreasing interest rates to infuse money into the economy, decreasing rates by a total of 100 basis points during 2007. During 2008, the Federal Reserve continued to decrease the federal funds rate by a total of 325 basis points through October 2008 and an additional 75-100 basis points in December 2008. The federal funds rate is now 0.0%-0.25% compared to 5.25% in August 2007. A reduction in rates in the first quarter of 2008 resulted in a temporary increase in refinance order volumes that was not sustained. The further reduction in rates in the fourth quarter of 2008 resulted in another increase in refinance order volumes in the last several weeks of 2008 and the start of 2009. The average fee per file in our direct operations, excluding the operations of LPS in 2006, was $1,503, $1,635, and $1,580 for the years ended December 31, 2008, 2007, and 2006, respectively. The decrease in 2008 reflects a decline in home values, a slowing commercial market and an increase in refinance volumes relative to purchase volumes, while the increase in 2007 reflects strength in the commercial market.</w:t>
      </w:r>
    </w:p>
    <w:p>
      <w:pPr>
        <w:spacing w:after="0" w:line="76" w:lineRule="exact"/>
        <w:rPr>
          <w:sz w:val="20"/>
          <w:szCs w:val="20"/>
          <w:color w:val="auto"/>
        </w:rPr>
      </w:pPr>
    </w:p>
    <w:p>
      <w:pPr>
        <w:ind w:right="60" w:firstLine="222"/>
        <w:spacing w:after="0" w:line="283" w:lineRule="auto"/>
        <w:rPr>
          <w:sz w:val="20"/>
          <w:szCs w:val="20"/>
          <w:color w:val="auto"/>
        </w:rPr>
      </w:pPr>
      <w:r>
        <w:rPr>
          <w:rFonts w:ascii="Arial" w:cs="Arial" w:eastAsia="Arial" w:hAnsi="Arial"/>
          <w:sz w:val="16"/>
          <w:szCs w:val="16"/>
          <w:color w:val="auto"/>
        </w:rPr>
        <w:t>For the years ended December 31, 2008, 2007, and 2006, agency title premiums include premiums generated by LPS of $212.3 million, $149.4 million and $22.4 million, respectively. Excluding those title premiums generated by LPS, agency title premiums decreased $706.9 million, or 34.5%, in 2008 compared to 2007 and $577.4 million, or 22.0%, in 2007 compared to 2006. The decreases in 2008 and 2007 were primarily due to decreases in accrued agency premiums that were relatively consistent with the decreases in direct title premiums. The decrease in 2008 also includes a change in accounting estimate related to an accrual that is included in agency premium revenues and commissions. The accrual is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During 2008, we re-evaluated and refined the method that we use to estimate this accrual, which resulted in a reduction in revenue from agency title insurance premiums of $138.5 million compared to the revenues that would have been accrued under our prior method. The impact of this adjustment was a decrease of $11.8 million in pre-tax earnings and $7.6 million in net income, or approximately $0.04 per share, compared to the amounts that would have been recorded under our prior method. We believe that this adjustment is properly reflected as a change in accounting estimate in 2008.</w:t>
      </w:r>
    </w:p>
    <w:p>
      <w:pPr>
        <w:spacing w:after="0" w:line="67" w:lineRule="exact"/>
        <w:rPr>
          <w:sz w:val="20"/>
          <w:szCs w:val="20"/>
          <w:color w:val="auto"/>
        </w:rPr>
      </w:pPr>
    </w:p>
    <w:p>
      <w:pPr>
        <w:ind w:right="200" w:firstLine="222"/>
        <w:spacing w:after="0" w:line="267" w:lineRule="auto"/>
        <w:rPr>
          <w:sz w:val="20"/>
          <w:szCs w:val="20"/>
          <w:color w:val="auto"/>
        </w:rPr>
      </w:pPr>
      <w:r>
        <w:rPr>
          <w:rFonts w:ascii="Arial" w:cs="Arial" w:eastAsia="Arial" w:hAnsi="Arial"/>
          <w:sz w:val="18"/>
          <w:szCs w:val="18"/>
          <w:color w:val="auto"/>
        </w:rPr>
        <w:t>Escrow, title-related and other fees increased $16.1 million, or 1.4%, from 2007 to 2008 and increased $18.4 million, or 1.6%, from 2006 to 2007. Escrow, title-related, and other fees were $1,148.5 million, $1,132.4</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million, and $1,114.0 million in 2008, 2007, and 2006, respectively. At Fidelity National Title Group, escrow and other title-related fees, which are more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directly related to our direct operations, fluctuated in a pattern generally consistent with the fluctuation in direct title insurance premiums and order counts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years ended December 31, 2008. They were also impacted in 2007 by an increase in the proportionate share of direct title premiums provided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by commercial activity, for which escrow fees as a percentage of premiums are lower, and by reduced escrow rates in the western part of the country. Offsetting</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decline in escrow and title-related fees, other fees increased $113.6 million, or 22.4%, and $61.0 million, or 13.7%, at Fidelity National Title Group for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years ended December 31, 2008 and 2007, respectively. The increase in 2008 included the impact of recent acquisitions, including the recently acquired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Colorado title insurance operations, Property Insight, LLC, and ATM Holdings, Inc. The increases in 2008 and 2007 were also partly due to increases of</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$75.7 million and $19.6 million, respectively, in revenues associated with a division of our business that manages real estate owned by financial institutions.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Other fees increased $16.4 million and $93.1 million in the corporate and other segment for the years ended December 31, 2008 and 2007, respectively,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reflecting increases in revenues relating to recent acquisitions, including the purchase of certain leasing assets from FIS in 2007. Other fees in the corporate and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other segment also reflected a gain of $0.4 million relating to our timberland holdings in 2008 and income of $12.3 million in fees associated with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syndication of investors in the acquisition of Ceridian in 2007.</w:t>
      </w:r>
    </w:p>
    <w:p>
      <w:pPr>
        <w:spacing w:after="0" w:line="102" w:lineRule="exact"/>
        <w:rPr>
          <w:sz w:val="20"/>
          <w:szCs w:val="20"/>
          <w:color w:val="auto"/>
        </w:rPr>
      </w:pPr>
    </w:p>
    <w:p>
      <w:pPr>
        <w:ind w:right="140" w:firstLine="222"/>
        <w:spacing w:after="0" w:line="295" w:lineRule="auto"/>
        <w:rPr>
          <w:sz w:val="20"/>
          <w:szCs w:val="20"/>
          <w:color w:val="auto"/>
        </w:rPr>
      </w:pPr>
      <w:r>
        <w:rPr>
          <w:rFonts w:ascii="Arial" w:cs="Arial" w:eastAsia="Arial" w:hAnsi="Arial"/>
          <w:sz w:val="16"/>
          <w:szCs w:val="16"/>
          <w:color w:val="auto"/>
        </w:rPr>
        <w:t>Interest and investment income levels are primarily a function of securities markets, interest rates and the amount of cash available for investment. Interest and investment income was $134.4 million, $185.4 million, and $206.6 million for the years ended December 31, 2008, 2007, and 2006, respectively. Average invested assets were $3,545.5 million, $4,531.2 million, and $5,088.9 million for the years ended December 31, 2008, 2007, and 2006, respectively. The tax equivalent yield, excluding realized gains and losses, was 4.3%, 5.0%, and 4.8% for the years ended December 31, 2008, 2007, and 2006, respectively.</w:t>
      </w:r>
    </w:p>
    <w:p>
      <w:pPr>
        <w:spacing w:after="0" w:line="56" w:lineRule="exact"/>
        <w:rPr>
          <w:sz w:val="20"/>
          <w:szCs w:val="20"/>
          <w:color w:val="auto"/>
        </w:rPr>
      </w:pPr>
    </w:p>
    <w:p>
      <w:pPr>
        <w:ind w:right="20" w:firstLine="222"/>
        <w:spacing w:after="0" w:line="250" w:lineRule="auto"/>
        <w:rPr>
          <w:sz w:val="20"/>
          <w:szCs w:val="20"/>
          <w:color w:val="auto"/>
        </w:rPr>
      </w:pPr>
      <w:r>
        <w:rPr>
          <w:rFonts w:ascii="Arial" w:cs="Arial" w:eastAsia="Arial" w:hAnsi="Arial"/>
          <w:sz w:val="18"/>
          <w:szCs w:val="18"/>
          <w:color w:val="auto"/>
        </w:rPr>
        <w:t>Net realized (losses) gains were $(22.2) million, $18.5 million, and $18.6 million for the years ended December 31, 2008, 2007, and 2006, respectively. The net realized loss for the year ended December 31, 2008, included impairment charges totaling $59.0 million on fixed maturity and equity securities and other investments that were deemed to be other than temporarily impaired, net realized gains on sales of investments of $4.4 million, net gains on sales of other assets of $7.5 million, and a gain of $24.8 million on the sale of 20% of our interest in Sedgwick. During the years ended December 31, 2007 and 2006, we recorded impairment charges on equity investments that we considered to be other-than-temporarily impaired, resulting in charges of $3.1 million and $9.1 million, respectively, with the remainder of net realized gains each made up of a number of gains and losses on various transactions, none of which were individually significant.</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The following table presents the components of our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840" w:type="dxa"/>
            <w:vAlign w:val="bottom"/>
            <w:tcBorders>
              <w:bottom w:val="single" w:sz="8" w:color="auto"/>
            </w:tcBorders>
          </w:tcPr>
          <w:p>
            <w:pPr>
              <w:jc w:val="right"/>
              <w:ind w:right="193"/>
              <w:spacing w:after="0" w:line="140"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9"/>
              </w:rPr>
              <w:t>2007</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bottom w:val="single" w:sz="8" w:color="auto"/>
            </w:tcBorders>
          </w:tcPr>
          <w:p>
            <w:pPr>
              <w:jc w:val="right"/>
              <w:ind w:right="200"/>
              <w:spacing w:after="0" w:line="140"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3"/>
          </w:tcPr>
          <w:p>
            <w:pPr>
              <w:jc w:val="center"/>
              <w:spacing w:after="0" w:line="140"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$ 1,355,845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$ 1,700,935</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$ 3,225,319</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1,208,647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1,109,438</w:t>
            </w:r>
          </w:p>
        </w:tc>
        <w:tc>
          <w:tcPr>
            <w:tcW w:w="5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2,075,101</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Agent commissions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1,218,044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1,698,215</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2,035,423</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142,759</w:t>
            </w:r>
          </w:p>
        </w:tc>
        <w:tc>
          <w:tcPr>
            <w:tcW w:w="1840" w:type="dxa"/>
            <w:vAlign w:val="bottom"/>
            <w:gridSpan w:val="3"/>
          </w:tcPr>
          <w:p>
            <w:pPr>
              <w:jc w:val="right"/>
              <w:ind w:right="500"/>
              <w:spacing w:after="0"/>
              <w:rPr>
                <w:sz w:val="20"/>
                <w:szCs w:val="20"/>
                <w:color w:val="auto"/>
              </w:rPr>
            </w:pPr>
            <w:r>
              <w:rPr>
                <w:rFonts w:ascii="Arial" w:cs="Arial" w:eastAsia="Arial" w:hAnsi="Arial"/>
                <w:sz w:val="18"/>
                <w:szCs w:val="18"/>
                <w:color w:val="auto"/>
              </w:rPr>
              <w:t>130,092</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460,750</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claim losses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630,404</w:t>
            </w:r>
          </w:p>
        </w:tc>
        <w:tc>
          <w:tcPr>
            <w:tcW w:w="18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653,876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486,334</w:t>
            </w:r>
          </w:p>
        </w:tc>
      </w:tr>
      <w:tr>
        <w:trPr>
          <w:trHeight w:val="220"/>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Interest expense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68,789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54,941</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209,972</w:t>
            </w:r>
          </w:p>
        </w:tc>
        <w:tc>
          <w:tcPr>
            <w:tcW w:w="10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$ 4,624,488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$ 5,347,497</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$ 8,492,899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ind w:right="160" w:firstLine="222"/>
        <w:spacing w:after="0" w:line="267" w:lineRule="auto"/>
        <w:rPr>
          <w:sz w:val="20"/>
          <w:szCs w:val="20"/>
          <w:color w:val="auto"/>
        </w:rPr>
      </w:pPr>
      <w:r>
        <w:rPr>
          <w:rFonts w:ascii="Arial" w:cs="Arial" w:eastAsia="Arial" w:hAnsi="Arial"/>
          <w:sz w:val="17"/>
          <w:szCs w:val="17"/>
          <w:color w:val="auto"/>
        </w:rPr>
        <w:t>Our operating expenses consist primarily of personnel costs, other operating expenses, which in our title insurance business are incurred as orders are received and processed, and agent commissions, which are incurred as revenue is recognized. Title insurance premiums, escrow and other title-related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firstLine="222"/>
        <w:spacing w:after="0" w:line="284" w:lineRule="auto"/>
        <w:rPr>
          <w:sz w:val="20"/>
          <w:szCs w:val="20"/>
          <w:color w:val="auto"/>
        </w:rPr>
      </w:pPr>
      <w:r>
        <w:rPr>
          <w:rFonts w:ascii="Arial" w:cs="Arial" w:eastAsia="Arial" w:hAnsi="Arial"/>
          <w:sz w:val="16"/>
          <w:szCs w:val="16"/>
          <w:color w:val="auto"/>
        </w:rPr>
        <w:t>Personnel costs include base salaries, commissions, benefits, stock-based compensation and bonuses paid to employees, and are one of our most significant operating expenses. Excluding personnel costs related to FIS of $1,357.4 million in 2006, personnel costs totaled $1,355.8 million, $1,700.9 million, and $1,867.9 million for the years ended December 31, 2008, 2007 and 2006, respectively. Excluding FIS operations, personnel costs as a percentage of total revenues were 31.3%, 30.8%, and 30.4% for the years ended December 31, 2008, 2007, and 2006, respectively. The decrease in personnel costs in 2008 was primarily due to employee reductions in the Fidelity National Title Group and corporate and other business segments, partially offset by an increase in the specialty insurance segment. The decrease in 2007 was primarily due to a decrease in the Fidelity National Title Group segment, partially offset by an increase in the corporate and other segment. On a consolidated basis, we reduced our full-time equivalent employees by about 2,100 during 2008 and 3,100 during 2007. The increases in the corporate and other segment are primarily the result of acquisitions. Included in personnel costs is stock-based compensation expense of $32.7 million, $29.9 million, and $65.0 million for the years ended December 31, 2008, 2007, and 2006, respectively. Excluding stock-based compensation related to FIS, stock based compensation costs were $29.9 million for the year ended December 31, 2006.</w:t>
      </w:r>
    </w:p>
    <w:p>
      <w:pPr>
        <w:spacing w:after="0" w:line="63" w:lineRule="exact"/>
        <w:rPr>
          <w:sz w:val="20"/>
          <w:szCs w:val="20"/>
          <w:color w:val="auto"/>
        </w:rPr>
      </w:pPr>
    </w:p>
    <w:p>
      <w:pPr>
        <w:ind w:right="160" w:firstLine="222"/>
        <w:spacing w:after="0" w:line="252"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trade and notes receivable allowances. Excluding other operating expenses of $1,115.2 million in 2006 related to FIS, other operating expenses were $1,208.6 million, $1,109.4 million, and $959.9 million for the years ended December 31, 2008, 2007, and 2006, respectively, with increases in all three business segments.</w:t>
      </w:r>
    </w:p>
    <w:p>
      <w:pPr>
        <w:spacing w:after="0" w:line="87" w:lineRule="exact"/>
        <w:rPr>
          <w:sz w:val="20"/>
          <w:szCs w:val="20"/>
          <w:color w:val="auto"/>
        </w:rPr>
      </w:pPr>
    </w:p>
    <w:p>
      <w:pPr>
        <w:ind w:right="100" w:firstLine="212"/>
        <w:spacing w:after="0" w:line="331"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illustrates the relationship of agent title premiums and agent commissions: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0"/>
        </w:trPr>
        <w:tc>
          <w:tcPr>
            <w:tcW w:w="2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jc w:val="right"/>
              <w:ind w:right="260"/>
              <w:spacing w:after="0" w:line="140" w:lineRule="exact"/>
              <w:rPr>
                <w:sz w:val="20"/>
                <w:szCs w:val="20"/>
                <w:color w:val="auto"/>
              </w:rPr>
            </w:pPr>
            <w:r>
              <w:rPr>
                <w:rFonts w:ascii="Arial" w:cs="Arial" w:eastAsia="Arial" w:hAnsi="Arial"/>
                <w:sz w:val="14"/>
                <w:szCs w:val="14"/>
                <w:b w:val="1"/>
                <w:bCs w:val="1"/>
                <w:color w:val="auto"/>
              </w:rPr>
              <w:t>2008</w:t>
            </w:r>
          </w:p>
        </w:tc>
        <w:tc>
          <w:tcPr>
            <w:tcW w:w="66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100"/>
              <w:spacing w:after="0" w:line="140" w:lineRule="exact"/>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7"/>
              <w:spacing w:after="0" w:line="140" w:lineRule="exact"/>
              <w:rPr>
                <w:sz w:val="20"/>
                <w:szCs w:val="20"/>
                <w:color w:val="auto"/>
              </w:rPr>
            </w:pPr>
            <w:r>
              <w:rPr>
                <w:rFonts w:ascii="Arial" w:cs="Arial" w:eastAsia="Arial" w:hAnsi="Arial"/>
                <w:sz w:val="14"/>
                <w:szCs w:val="14"/>
                <w:b w:val="1"/>
                <w:bCs w:val="1"/>
                <w:color w:val="auto"/>
              </w:rPr>
              <w:t>2006</w:t>
            </w: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0"/>
        </w:trPr>
        <w:tc>
          <w:tcPr>
            <w:tcW w:w="2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8"/>
              <w:spacing w:after="0" w:line="140" w:lineRule="exact"/>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2"/>
                <w:szCs w:val="12"/>
                <w:color w:val="auto"/>
              </w:rPr>
            </w:pPr>
          </w:p>
        </w:tc>
        <w:tc>
          <w:tcPr>
            <w:tcW w:w="660" w:type="dxa"/>
            <w:vAlign w:val="bottom"/>
            <w:tcBorders>
              <w:bottom w:val="single" w:sz="8" w:color="auto"/>
            </w:tcBorders>
          </w:tcPr>
          <w:p>
            <w:pPr>
              <w:jc w:val="right"/>
              <w:ind w:right="176"/>
              <w:spacing w:after="0" w:line="140"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80"/>
              <w:spacing w:after="0" w:line="140" w:lineRule="exact"/>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2"/>
                <w:szCs w:val="12"/>
                <w:color w:val="auto"/>
              </w:rPr>
            </w:pPr>
          </w:p>
        </w:tc>
        <w:tc>
          <w:tcPr>
            <w:tcW w:w="680" w:type="dxa"/>
            <w:vAlign w:val="bottom"/>
            <w:tcBorders>
              <w:bottom w:val="single" w:sz="8" w:color="auto"/>
            </w:tcBorders>
          </w:tcPr>
          <w:p>
            <w:pPr>
              <w:jc w:val="right"/>
              <w:ind w:right="180"/>
              <w:spacing w:after="0" w:line="140" w:lineRule="exact"/>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6"/>
              <w:spacing w:after="0" w:line="140" w:lineRule="exact"/>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Borders>
              <w:bottom w:val="single" w:sz="8" w:color="auto"/>
            </w:tcBorders>
          </w:tcPr>
          <w:p>
            <w:pPr>
              <w:jc w:val="right"/>
              <w:ind w:right="180"/>
              <w:spacing w:after="0" w:line="140"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0"/>
        </w:trPr>
        <w:tc>
          <w:tcPr>
            <w:tcW w:w="2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4"/>
                <w:szCs w:val="14"/>
                <w:b w:val="1"/>
                <w:bCs w:val="1"/>
                <w:color w:val="auto"/>
              </w:rPr>
              <w:t>(Dollars</w:t>
            </w:r>
          </w:p>
        </w:tc>
        <w:tc>
          <w:tcPr>
            <w:tcW w:w="1300" w:type="dxa"/>
            <w:vAlign w:val="bottom"/>
            <w:gridSpan w:val="2"/>
          </w:tcPr>
          <w:p>
            <w:pPr>
              <w:ind w:left="100"/>
              <w:spacing w:after="0" w:line="140"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3"/>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Agent title premiums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1,554,743</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2,198,690</w:t>
            </w:r>
          </w:p>
        </w:tc>
        <w:tc>
          <w:tcPr>
            <w:tcW w:w="1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2,649,136</w:t>
            </w:r>
          </w:p>
        </w:tc>
        <w:tc>
          <w:tcPr>
            <w:tcW w:w="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3"/>
        </w:trPr>
        <w:tc>
          <w:tcPr>
            <w:tcW w:w="2520" w:type="dxa"/>
            <w:vAlign w:val="bottom"/>
          </w:tcPr>
          <w:p>
            <w:pPr>
              <w:spacing w:after="0"/>
              <w:rPr>
                <w:sz w:val="20"/>
                <w:szCs w:val="20"/>
                <w:color w:val="auto"/>
              </w:rPr>
            </w:pPr>
            <w:r>
              <w:rPr>
                <w:rFonts w:ascii="Arial" w:cs="Arial" w:eastAsia="Arial" w:hAnsi="Arial"/>
                <w:sz w:val="18"/>
                <w:szCs w:val="18"/>
                <w:color w:val="auto"/>
              </w:rPr>
              <w:t>Agent commissions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1,218,044</w:t>
            </w: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78.3</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1,698,215</w:t>
            </w: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2,035,423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76.8</w:t>
            </w:r>
          </w:p>
        </w:tc>
      </w:tr>
      <w:tr>
        <w:trPr>
          <w:trHeight w:val="27"/>
        </w:trPr>
        <w:tc>
          <w:tcPr>
            <w:tcW w:w="2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3"/>
        </w:trPr>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336,699</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500,475</w:t>
            </w:r>
          </w:p>
        </w:tc>
        <w:tc>
          <w:tcPr>
            <w:tcW w:w="1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613,713</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r>
      <w:tr>
        <w:trPr>
          <w:trHeight w:val="20"/>
        </w:trPr>
        <w:tc>
          <w:tcPr>
            <w:tcW w:w="2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8" w:lineRule="exact"/>
        <w:rPr>
          <w:sz w:val="20"/>
          <w:szCs w:val="20"/>
          <w:color w:val="auto"/>
        </w:rPr>
      </w:pPr>
    </w:p>
    <w:p>
      <w:pPr>
        <w:ind w:right="180" w:firstLine="222"/>
        <w:spacing w:after="0" w:line="267" w:lineRule="auto"/>
        <w:rPr>
          <w:sz w:val="20"/>
          <w:szCs w:val="20"/>
          <w:color w:val="auto"/>
        </w:rPr>
      </w:pPr>
      <w:r>
        <w:rPr>
          <w:rFonts w:ascii="Arial" w:cs="Arial" w:eastAsia="Arial" w:hAnsi="Arial"/>
          <w:sz w:val="18"/>
          <w:szCs w:val="18"/>
          <w:color w:val="auto"/>
        </w:rPr>
        <w:t>Net margin from agency title insurance premiums we retain as a percentage of total agency premiums remained relatively consistent at 22% to 23% for the three years ended December 31, 2008, 2007, and 2006.</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Depreciation and amortization expense, excluding FIS depreciation and amortization of $343.6 million in 2006, was $142.8 million, $130.1 million, and</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$117.2 million for the years ended December 31, 2008, 2007, and 2006, respectively. The increase in 2008 reflects increases in the corporate and other segment,</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decreases in the Fidelity National Title Group and specialty insurance segments. The increase in 2007 reflects increases in the Fidelity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National Title Group and corporate and other segments, partially offset by a decrease in the specialty insurance segment. The increases in the corporate and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other segment in each case reflect recent acquisitions.</w:t>
      </w:r>
    </w:p>
    <w:p>
      <w:pPr>
        <w:spacing w:after="0" w:line="102" w:lineRule="exact"/>
        <w:rPr>
          <w:sz w:val="20"/>
          <w:szCs w:val="20"/>
          <w:color w:val="auto"/>
        </w:rPr>
      </w:pPr>
    </w:p>
    <w:p>
      <w:pPr>
        <w:ind w:right="80" w:firstLine="219"/>
        <w:spacing w:after="0" w:line="269" w:lineRule="auto"/>
        <w:rPr>
          <w:sz w:val="20"/>
          <w:szCs w:val="20"/>
          <w:color w:val="auto"/>
        </w:rPr>
      </w:pPr>
      <w:r>
        <w:rPr>
          <w:rFonts w:ascii="Arial" w:cs="Arial" w:eastAsia="Arial" w:hAnsi="Arial"/>
          <w:sz w:val="17"/>
          <w:szCs w:val="17"/>
          <w:color w:val="auto"/>
        </w:rPr>
        <w:t>The provision for claim losses includes an estimate of anticipated title and title-related claims, escrow losses and claims relating to our specialty insurance segment. We monitor our claims loss experience on a continual basis and adjust the provision for claim losses accordingly as new information becomes known, new loss patterns emerge, or as other contributing factors are considered and incorporated into the analysis of the reserve for claim losses. The provision for claim loss for the years ended December 31, 2008, 2007, and 2006, was made up of $491.0 million, $502.3 million, and $345.6 million, respectively, from the Fidelity National Title Group segment and $139.5 million, $151.6 million, and $140.6 million, respectively, from the specialty insurance segment. The provision for claim loss is discussed in further detail in the segment level below.</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Excluding interest expense attributable to FIS of $154.2 million in 2006, interest expense for the years ended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80"/>
        <w:spacing w:after="0" w:line="331" w:lineRule="auto"/>
        <w:rPr>
          <w:sz w:val="20"/>
          <w:szCs w:val="20"/>
          <w:color w:val="auto"/>
        </w:rPr>
      </w:pPr>
      <w:r>
        <w:rPr>
          <w:rFonts w:ascii="Arial" w:cs="Arial" w:eastAsia="Arial" w:hAnsi="Arial"/>
          <w:sz w:val="16"/>
          <w:szCs w:val="16"/>
          <w:color w:val="auto"/>
        </w:rPr>
        <w:t>December 31, 2008, 2007, and 2006 was $68.8 million, $54.9 million, and $55.8 million, respectively. The increase in 2008 was primarily due to increased borrowings resulting from our investment in Ceridian during the fourth quarter of 2007 and 2008 borrowings used for general corporate purposes.</w:t>
      </w:r>
    </w:p>
    <w:p>
      <w:pPr>
        <w:spacing w:after="0" w:line="26"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color w:val="auto"/>
        </w:rPr>
        <w:t>Income tax (benefit) expense was $(125.5) million, $46.8 million, and $350.9 million for the years ended December 31, 2008, 2007, and 2006, respectively. Income tax (benefit) expense as a percentage of (loss) earnings before income taxes for the years ended December 31, 2008, 2007, and 2006 was 42.5%, 26.6%, and 37.3%, respectively. The fluctuation in income tax (benefit) expense as a percentage of (loss) earnings before income taxes is attributable to our estimate of ultimate income tax liability, and changes in the characteristics of net (loss) earnings year to year, such as the weighting of operating income versus investment income. Income tax (benefit) expense as a percentage of earnings before income taxes was higher than normal for the year ended December 31, 2008, due to the fact that, in periods when a net loss is recognized, the effect of tax-exempt interest income is reversed. Generally, when pretax income is recognized, tax-exempt income has the effect of lowering the effective tax rate whereas, when a pretax loss is recognized, tax-exempt income has the effect of increasing the effective tax rate. Income tax expense as a percentage of earnings before income taxes was lower for the year ended December 31, 2007 compared to 2006 primarily due to the increase in the proportion of tax-exempt interest income to pre-tax earnings.</w:t>
      </w:r>
    </w:p>
    <w:p>
      <w:pPr>
        <w:spacing w:after="0" w:line="67" w:lineRule="exact"/>
        <w:rPr>
          <w:sz w:val="20"/>
          <w:szCs w:val="20"/>
          <w:color w:val="auto"/>
        </w:rPr>
      </w:pPr>
    </w:p>
    <w:p>
      <w:pPr>
        <w:ind w:right="40" w:firstLine="222"/>
        <w:spacing w:after="0" w:line="267" w:lineRule="auto"/>
        <w:rPr>
          <w:sz w:val="20"/>
          <w:szCs w:val="20"/>
          <w:color w:val="auto"/>
        </w:rPr>
      </w:pPr>
      <w:r>
        <w:rPr>
          <w:rFonts w:ascii="Arial" w:cs="Arial" w:eastAsia="Arial" w:hAnsi="Arial"/>
          <w:sz w:val="18"/>
          <w:szCs w:val="18"/>
          <w:color w:val="auto"/>
        </w:rPr>
        <w:t>Equity in (losses) earnings of unconsolidated affiliates was $(13.4) million, $0.8 million, and $1.7 million for the years ended December 31, 2008, 2007, and 2006 and, in 2008, primarily consisted of our equity in the net (losses) earnings of Ceridian, Remy, and Sedgwick.</w:t>
      </w:r>
    </w:p>
    <w:p>
      <w:pPr>
        <w:spacing w:after="0" w:line="73"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Minority interest for the years ended December 31, 2008, 2007, and 2006 was $(4.2) million, less than $0.1 million, and $154.6 million, respectively. For the year ended December 31, 2006, minority interest is primarily attributable to earnings generated by FIS and FNT, in which, prior to October 24, 2006, Old FNF held ownership positions of 50.7% and 82.5%,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Results of Operations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Fidelity National Title Group</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certain financial data for the years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0"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32"/>
              <w:spacing w:after="0" w:line="140" w:lineRule="exact"/>
              <w:rPr>
                <w:sz w:val="20"/>
                <w:szCs w:val="20"/>
                <w:color w:val="auto"/>
              </w:rPr>
            </w:pPr>
            <w:r>
              <w:rPr>
                <w:rFonts w:ascii="Arial" w:cs="Arial" w:eastAsia="Arial" w:hAnsi="Arial"/>
                <w:sz w:val="14"/>
                <w:szCs w:val="14"/>
                <w:b w:val="1"/>
                <w:bCs w:val="1"/>
                <w:color w:val="auto"/>
                <w:w w:val="89"/>
              </w:rPr>
              <w:t>2007</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2"/>
              <w:spacing w:after="0" w:line="140"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4"/>
          </w:tcPr>
          <w:p>
            <w:pPr>
              <w:jc w:val="center"/>
              <w:spacing w:after="0" w:line="140"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Direct title insurance premiums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1,140,266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1,601,768</w:t>
            </w:r>
          </w:p>
        </w:tc>
        <w:tc>
          <w:tcPr>
            <w:tcW w:w="5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1,883,357</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Agency title insurance premiums</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1,554,743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2,198,690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2,724,972</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Escrow, title-related and other fees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1,034,250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1,034,574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1,109,293</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Interest and investment income</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120,157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164,874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165,305</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and losses,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(32,889)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14,627</w:t>
            </w:r>
          </w:p>
        </w:tc>
      </w:tr>
      <w:tr>
        <w:trPr>
          <w:trHeight w:val="227"/>
        </w:trPr>
        <w:tc>
          <w:tcPr>
            <w:tcW w:w="75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3,816,527</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5,004,986</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5,897,554</w:t>
            </w:r>
          </w:p>
        </w:tc>
        <w:tc>
          <w:tcPr>
            <w:tcW w:w="10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1,253,563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1,594,516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1,789,805</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964,282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891,838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891,112</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Agent commissions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1,218,044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1,698,085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2,099,244</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114,989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120,223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110,486</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claim losses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490,952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502,250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345,578</w:t>
            </w:r>
          </w:p>
        </w:tc>
      </w:tr>
      <w:tr>
        <w:trPr>
          <w:trHeight w:val="220"/>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5,657</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14,597</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12,755</w:t>
            </w:r>
          </w:p>
        </w:tc>
        <w:tc>
          <w:tcPr>
            <w:tcW w:w="10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4,047,487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4,821,509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5,248,980</w:t>
            </w:r>
          </w:p>
        </w:tc>
        <w:tc>
          <w:tcPr>
            <w:tcW w:w="100" w:type="dxa"/>
            <w:vAlign w:val="bottom"/>
            <w:shd w:val="clear" w:color="auto" w:fill="CCEEFF"/>
          </w:tcPr>
          <w:p>
            <w:pPr>
              <w:spacing w:after="0"/>
              <w:rPr>
                <w:sz w:val="18"/>
                <w:szCs w:val="18"/>
                <w:color w:val="auto"/>
              </w:rPr>
            </w:pPr>
          </w:p>
        </w:tc>
      </w:tr>
      <w:tr>
        <w:trPr>
          <w:trHeight w:val="208"/>
        </w:trPr>
        <w:tc>
          <w:tcPr>
            <w:tcW w:w="7520" w:type="dxa"/>
            <w:vAlign w:val="bottom"/>
            <w:gridSpan w:val="2"/>
          </w:tcPr>
          <w:p>
            <w:pPr>
              <w:spacing w:after="0"/>
              <w:rPr>
                <w:sz w:val="20"/>
                <w:szCs w:val="20"/>
                <w:color w:val="auto"/>
              </w:rPr>
            </w:pPr>
            <w:r>
              <w:rPr>
                <w:rFonts w:ascii="Arial" w:cs="Arial" w:eastAsia="Arial" w:hAnsi="Arial"/>
                <w:sz w:val="18"/>
                <w:szCs w:val="18"/>
                <w:color w:val="auto"/>
              </w:rPr>
              <w:t>(Loss) earnings before income taxes, equity in (loss) income of unconsolidated affiliates, and</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minority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(230,960)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183,477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648,574</w:t>
            </w: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Total revenues in 2008 decreased $1,188.5 million to $3,816.5 million, a decrease of 23.7% compared to 2007. Total revenues in 2007 decreased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$892.6 million to $5,005.0 million, a decrease of 15.1% compared to 2006. For an analysis of this segment’s revenues, please see the analysis of direct and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agency title insurance premiums and escrow and other title-related fees under “Consolidated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firstLine="222"/>
        <w:spacing w:after="0" w:line="251"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for the years ended December 31, 2008, 2007 and 2006, was $120.2 million, $164.9 million, and $165.3 million, respectively. The decrease in 2008 compared to 2007 was the result of decreases in both average invested assets and a decrease in interest rates. In 2007, an increase in interest rates was partially offset by a decrease in the short-term investment asset base. For the years ended December 31, 2008, 2007, and 2006, average invested assets were $3,104.7 million, $3,791.4 million, and $4,009.4 million, respectively, and the tax equivalent yield, excluding realized gains and losses, was 4.4%, 5.3%, and 4.8%, respectively.</w:t>
      </w:r>
    </w:p>
    <w:p>
      <w:pPr>
        <w:spacing w:after="0" w:line="88" w:lineRule="exact"/>
        <w:rPr>
          <w:sz w:val="20"/>
          <w:szCs w:val="20"/>
          <w:color w:val="auto"/>
        </w:rPr>
      </w:pPr>
    </w:p>
    <w:p>
      <w:pPr>
        <w:ind w:right="40" w:firstLine="222"/>
        <w:spacing w:after="0" w:line="287" w:lineRule="auto"/>
        <w:rPr>
          <w:sz w:val="20"/>
          <w:szCs w:val="20"/>
          <w:color w:val="auto"/>
        </w:rPr>
      </w:pPr>
      <w:r>
        <w:rPr>
          <w:rFonts w:ascii="Arial" w:cs="Arial" w:eastAsia="Arial" w:hAnsi="Arial"/>
          <w:sz w:val="16"/>
          <w:szCs w:val="16"/>
          <w:color w:val="auto"/>
        </w:rPr>
        <w:t>Net realized gains and losses for the years ended December 31, 2008, 2007, and 2006 were $(32.9) million, $5.1 million, $14.6 million, respectively. Net realized gains and losses recorded in the year ended December 31, 2008, included impairment charges of $48.8 million on fixed maturity and equity securities and other investments that were deemed other than temporarily impaired, net realized gains on investments of $15.0 million, and net gains from sales of other assets of $1.6 million. The impairment charges relating to the fixed maturity securities primarily related to our conclusion that the credit risk relating to the holdings was high and thus the assets are likely permanently impaired. The impairment charges relating to the equity securities were based on the duration of the unrealized loss and inability to predict the time to recover if the investment continued to be held. For the years ended December 31, 2007 and 2006, realized gains and losses were each made up of a number of gains and losses on various transactions, none of which were individually significant.</w:t>
      </w:r>
    </w:p>
    <w:p>
      <w:pPr>
        <w:spacing w:after="0" w:line="60" w:lineRule="exact"/>
        <w:rPr>
          <w:sz w:val="20"/>
          <w:szCs w:val="20"/>
          <w:color w:val="auto"/>
        </w:rPr>
      </w:pPr>
    </w:p>
    <w:p>
      <w:pPr>
        <w:ind w:right="100" w:firstLine="222"/>
        <w:spacing w:after="0" w:line="251" w:lineRule="auto"/>
        <w:rPr>
          <w:sz w:val="20"/>
          <w:szCs w:val="20"/>
          <w:color w:val="auto"/>
        </w:rPr>
      </w:pPr>
      <w:r>
        <w:rPr>
          <w:rFonts w:ascii="Arial" w:cs="Arial" w:eastAsia="Arial" w:hAnsi="Arial"/>
          <w:sz w:val="18"/>
          <w:szCs w:val="18"/>
          <w:color w:val="auto"/>
        </w:rPr>
        <w:t>Personnel costs include base salaries, commissions, benefits and bonuses paid to employees, and are one of our most significant operating expenses. Personnel costs totaled $1,253.6 million, $1,594.5 million, and $1,789.8 million for the years ended December 31, 2008, 2007, and 2006, respectively. The decreases in each case resulted from decreases in the number of personnel implemented in response to the decline in order volumes and from decreases in average annualized personnel costs per employee. Personnel costs, as a percentage of direct title insurance premiums and escrow, title-related and other fees, were 57.6% in 2008, 60.5% in 2007, and 59.8% in 2006. Average employee count decreased to 13,957 in 2008, excluding the impact of the LFG Underwriters, from 16,416 in 2007 and 18,352 in 2006.</w:t>
      </w:r>
    </w:p>
    <w:p>
      <w:pPr>
        <w:spacing w:after="0" w:line="88" w:lineRule="exact"/>
        <w:rPr>
          <w:sz w:val="20"/>
          <w:szCs w:val="20"/>
          <w:color w:val="auto"/>
        </w:rPr>
      </w:pPr>
    </w:p>
    <w:p>
      <w:pPr>
        <w:ind w:firstLine="222"/>
        <w:spacing w:after="0" w:line="281" w:lineRule="auto"/>
        <w:rPr>
          <w:sz w:val="20"/>
          <w:szCs w:val="20"/>
          <w:color w:val="auto"/>
        </w:rPr>
      </w:pPr>
      <w:r>
        <w:rPr>
          <w:rFonts w:ascii="Arial" w:cs="Arial" w:eastAsia="Arial" w:hAnsi="Arial"/>
          <w:sz w:val="16"/>
          <w:szCs w:val="16"/>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advertising expenses, general insurance, and trade and notes receivable allowances. Other operating expenses totaled $964.3 million, $891.8 million, and $891.1 million for the years ended December 31, 2008, 2007 and 2006, respectively. Other operating expenses as a percentage of direct title insurance premiums and escrow, title-related and other fees were 44.3% in 2008, 33.8% in 2007, and 29.8% in 2006. Other operating expenses for the years ended December 31, 2008 and 2007, included</w:t>
      </w:r>
    </w:p>
    <w:p>
      <w:pPr>
        <w:spacing w:after="0" w:line="1"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$23.4 million and $13.0 million, respectively, in abandoned lease charges relating to office closures. The increase in other operating expenses in 2008 also included a decrease of $101.4 million in benefits related to our escrow balances, which are reflected as an offset to other operating expenses, equal increases in revenues and expenses of $75.7 million associated with a division of our business that manages real estate owned by financial institutions, and recent acquisitions. These increases were partially offset by operating expense reductions in our core title operations as we continue to cut costs in response to the decrease in title insurance and other title-related activity. The increase in 2007 was primarily due to a decrease in benefits related to our escrow balances, which are reflected as an offset to other operating expenses, an increase in legal and regulatory expenses, and the abandoned lease charge noted above. As a result of holding customers’ assets in escrow, we have ongoing programs for realizing economic benefits. Those economic benefits related to escrow balances decreased in 2008 and 2007 due to decreases in escrow balances and increases in the portion of those benefits derived from tax exempt income. Legal and regulatory expenses increased in 2007 due to an increase in class action litigation and our response to a target letter received from the United States Attorney’s Office in the Southern District of Texas, which was successfully resolved in 2007.</w:t>
      </w:r>
    </w:p>
    <w:p>
      <w:pPr>
        <w:spacing w:after="0" w:line="67" w:lineRule="exact"/>
        <w:rPr>
          <w:sz w:val="20"/>
          <w:szCs w:val="20"/>
          <w:color w:val="auto"/>
        </w:rPr>
      </w:pPr>
    </w:p>
    <w:p>
      <w:pPr>
        <w:ind w:right="100" w:firstLine="212"/>
        <w:spacing w:after="0" w:line="331"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219"/>
        <w:spacing w:after="0" w:line="281" w:lineRule="auto"/>
        <w:rPr>
          <w:sz w:val="20"/>
          <w:szCs w:val="20"/>
          <w:color w:val="auto"/>
        </w:rPr>
      </w:pPr>
      <w:r>
        <w:rPr>
          <w:rFonts w:ascii="Arial" w:cs="Arial" w:eastAsia="Arial" w:hAnsi="Arial"/>
          <w:sz w:val="16"/>
          <w:szCs w:val="16"/>
          <w:color w:val="auto"/>
        </w:rPr>
        <w:t>The provision for claim losses includes an estimate of anticipated title and title-related claims and escrow losses. The estimate of anticipated title and title-related claims is accrued as a percentage of title premium revenue based on our historical loss experience and other relevant factors. We monitor our claims loss experience on a continual basis and adjust the provision for claim losses accordingly as new information becomes known, new loss patterns emerge, or as other contributing factors are considered and incorporated into the analysis of the reserve for claim losses. The claim loss provision for title insurance was</w:t>
      </w:r>
    </w:p>
    <w:p>
      <w:pPr>
        <w:spacing w:after="0" w:line="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$491.0 million, $502.3 million, and $345.6 million for the years ended December 31, 2008, 2007, and 2006, respectively. These amounts reflected claim loss provision rates of 8.5%, 7.5%, and 7.5% of title premiums for the years ended December 31, 2008, 2007, and 2006, respectively, and also included additional charges as follows: For the year ended December 31, 2008, an additional charge of $261.6 million was due to a change in our actuarial model which resulted, in part, from adverse claim loss development on prior policy years, and, for the year ended December 31, 2007, additional charges totaling $217.2 million resulted from adverse claim loss development on prior policy years. For the year ended December 31, 2008, in response to greater than anticipated claims experience, we increased our claim loss provision rate from 7.5% to 8.5% of total title premiums. See “Critical Accounting Estimates” for further discussion relating to the Company’s reserve for claim losses and the related charges. Our claim loss provision as a percentage of total title premiums was 18.2%, 13.2%, and 7.5% for the years ended December 31, 2008, 2007, and 2006, respectively. Starting in the fourth quarter of 2008, we began to revise certain aspects of our approach to processing claims. Key changes implemented include a greater effort to collect contributions from agents that bear responsibility for losses, more stringent enforcement of documentation requirements for proof of claims, a more efficient process for dealing with minor, technical claim matters, and a greater focus on hiring counsel with lower rates. Our claims paid in the fourth quarter declined compared to the third quarter of 2008. We have also continued, in 2008, a process of reducing our total number of agents, with a focus in part on dropping agents producing higher claims ratios. These measures are collectively designed to reduce our claims expenses, although we have not yet had enough experience with the new approaches to accurately predict how successful we will be. We are taking similar measures with respect to the LFG Underwriters we recently acquired.</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Specialty Insurance Segment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0"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3"/>
              <w:spacing w:after="0" w:line="140" w:lineRule="exact"/>
              <w:rPr>
                <w:sz w:val="20"/>
                <w:szCs w:val="20"/>
                <w:color w:val="auto"/>
              </w:rPr>
            </w:pPr>
            <w:r>
              <w:rPr>
                <w:rFonts w:ascii="Arial" w:cs="Arial" w:eastAsia="Arial" w:hAnsi="Arial"/>
                <w:sz w:val="14"/>
                <w:szCs w:val="14"/>
                <w:b w:val="1"/>
                <w:bCs w:val="1"/>
                <w:color w:val="auto"/>
                <w:w w:val="96"/>
              </w:rPr>
              <w:t>2007</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0"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4"/>
          </w:tcPr>
          <w:p>
            <w:pPr>
              <w:jc w:val="center"/>
              <w:ind w:right="20"/>
              <w:spacing w:after="0" w:line="140" w:lineRule="exact"/>
              <w:rPr>
                <w:sz w:val="20"/>
                <w:szCs w:val="20"/>
                <w:color w:val="auto"/>
              </w:rPr>
            </w:pPr>
            <w:r>
              <w:rPr>
                <w:rFonts w:ascii="Arial" w:cs="Arial" w:eastAsia="Arial" w:hAnsi="Arial"/>
                <w:sz w:val="14"/>
                <w:szCs w:val="14"/>
                <w:b w:val="1"/>
                <w:bCs w:val="1"/>
                <w:color w:val="auto"/>
                <w:w w:val="90"/>
              </w:rPr>
              <w:t>(Dollars 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373,392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386,427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394,613</w:t>
            </w:r>
          </w:p>
        </w:tc>
      </w:tr>
      <w:tr>
        <w:trPr>
          <w:trHeight w:val="213"/>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Interest and investment income</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12,929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16,231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15,565</w:t>
            </w:r>
          </w:p>
        </w:tc>
      </w:tr>
      <w:tr>
        <w:trPr>
          <w:trHeight w:val="213"/>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and losses, net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27"/>
        </w:trPr>
        <w:tc>
          <w:tcPr>
            <w:tcW w:w="78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383,314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402,681</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410,195</w:t>
            </w:r>
          </w:p>
        </w:tc>
        <w:tc>
          <w:tcPr>
            <w:tcW w:w="10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45,499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45,145</w:t>
            </w:r>
          </w:p>
        </w:tc>
      </w:tr>
      <w:tr>
        <w:trPr>
          <w:trHeight w:val="213"/>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158,269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144,992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144,702</w:t>
            </w:r>
          </w:p>
        </w:tc>
      </w:tr>
      <w:tr>
        <w:trPr>
          <w:trHeight w:val="213"/>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6,254</w:t>
            </w:r>
          </w:p>
        </w:tc>
      </w:tr>
      <w:tr>
        <w:trPr>
          <w:trHeight w:val="213"/>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Provision for claim losses</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139,452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151,626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140,625</w:t>
            </w:r>
          </w:p>
        </w:tc>
      </w:tr>
      <w:tr>
        <w:trPr>
          <w:trHeight w:val="213"/>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8"/>
                <w:szCs w:val="18"/>
                <w:color w:val="auto"/>
              </w:rPr>
            </w:pPr>
          </w:p>
        </w:tc>
      </w:tr>
      <w:tr>
        <w:trPr>
          <w:trHeight w:val="227"/>
        </w:trPr>
        <w:tc>
          <w:tcPr>
            <w:tcW w:w="788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348,332</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349,641</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338,169</w:t>
            </w:r>
          </w:p>
        </w:tc>
        <w:tc>
          <w:tcPr>
            <w:tcW w:w="10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34,982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53,040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72,026</w:t>
            </w: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ind w:right="80" w:firstLine="222"/>
        <w:spacing w:after="0" w:line="287" w:lineRule="auto"/>
        <w:rPr>
          <w:sz w:val="20"/>
          <w:szCs w:val="20"/>
          <w:color w:val="auto"/>
        </w:rPr>
      </w:pPr>
      <w:r>
        <w:rPr>
          <w:rFonts w:ascii="Arial" w:cs="Arial" w:eastAsia="Arial" w:hAnsi="Arial"/>
          <w:sz w:val="16"/>
          <w:szCs w:val="16"/>
          <w:color w:val="auto"/>
        </w:rPr>
        <w:t>Revenues from specialty insurance include revenues from the issuance of flood, homeowners’, automobile, and other personal lines insurance policies and home warranty policies. In our flood insurance business, we provide coverage under the National Flood Insurance Program, which is the U.S. federal flood insurance program, and receive fees for selling policies and for assistance in settling claims. Specialty insurance revenues were $383.3 million, $402.7 million, and $410.2 million for the years ended December 31, 2008, 2007, and 2006, respectively. The decrease in revenues in 2008 compared to 2007 was due to decreases in revenues from the homeowners’ and automobile insurance and home warranty lines of business and to a decrease in interest and investment income, partially offset by an increase in flood revenues. The decrease in revenues in 2007 compared to 2006 was due to decreases in flood and home warranty revenues, partially offset by an increase in revenues from the homeowners’ and automobile insurance lines.</w:t>
      </w:r>
    </w:p>
    <w:p>
      <w:pPr>
        <w:spacing w:after="0" w:line="60" w:lineRule="exact"/>
        <w:rPr>
          <w:sz w:val="20"/>
          <w:szCs w:val="20"/>
          <w:color w:val="auto"/>
        </w:rPr>
      </w:pPr>
    </w:p>
    <w:p>
      <w:pPr>
        <w:ind w:right="80" w:firstLine="222"/>
        <w:spacing w:after="0" w:line="267" w:lineRule="auto"/>
        <w:rPr>
          <w:sz w:val="20"/>
          <w:szCs w:val="20"/>
          <w:color w:val="auto"/>
        </w:rPr>
      </w:pPr>
      <w:r>
        <w:rPr>
          <w:rFonts w:ascii="Arial" w:cs="Arial" w:eastAsia="Arial" w:hAnsi="Arial"/>
          <w:sz w:val="18"/>
          <w:szCs w:val="18"/>
          <w:color w:val="auto"/>
        </w:rPr>
        <w:t>Flood revenues increased $11.9 million, or 8.2%, in 2008 compared to 2007, reflecting volume and rate increases, and claims processing revenues related to the 2008 hurricane season,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80"/>
        <w:spacing w:after="0" w:line="297" w:lineRule="auto"/>
        <w:rPr>
          <w:sz w:val="20"/>
          <w:szCs w:val="20"/>
          <w:color w:val="auto"/>
        </w:rPr>
      </w:pPr>
      <w:r>
        <w:rPr>
          <w:rFonts w:ascii="Arial" w:cs="Arial" w:eastAsia="Arial" w:hAnsi="Arial"/>
          <w:sz w:val="17"/>
          <w:szCs w:val="17"/>
          <w:color w:val="auto"/>
        </w:rPr>
        <w:t>partially offset by a decrease in the annual marketing incentive bonus received from the Federal Emergency Management Agency. Flood revenues decreased $7.4 million, or 4.8%, in 2007 compared to 2006, reflecting a less active hurricane season, partially offset by volume and rate increases.</w:t>
      </w:r>
    </w:p>
    <w:p>
      <w:pPr>
        <w:spacing w:after="0" w:line="50" w:lineRule="exact"/>
        <w:rPr>
          <w:sz w:val="20"/>
          <w:szCs w:val="20"/>
          <w:color w:val="auto"/>
        </w:rPr>
      </w:pPr>
    </w:p>
    <w:p>
      <w:pPr>
        <w:ind w:right="240" w:firstLine="222"/>
        <w:spacing w:after="0" w:line="254" w:lineRule="auto"/>
        <w:rPr>
          <w:sz w:val="20"/>
          <w:szCs w:val="20"/>
          <w:color w:val="auto"/>
        </w:rPr>
      </w:pPr>
      <w:r>
        <w:rPr>
          <w:rFonts w:ascii="Arial" w:cs="Arial" w:eastAsia="Arial" w:hAnsi="Arial"/>
          <w:sz w:val="18"/>
          <w:szCs w:val="18"/>
          <w:color w:val="auto"/>
        </w:rPr>
        <w:t>Revenues from the homeowners’ and automobile insurance lines of business decreased $20.1 million, or 11.9%, in 2008 compared to 2007, reflecting a declining housing market and a decrease in volume as we have undergone efforts to tighten our underwriting standards and eliminate unprofitable agents and territories. Revenues from these business lines increased $6.6 million, or 4.3%, in 2007 compared to 2006, primarily due to growth as we expanded this business.</w:t>
      </w:r>
    </w:p>
    <w:p>
      <w:pPr>
        <w:spacing w:after="0" w:line="84" w:lineRule="exact"/>
        <w:rPr>
          <w:sz w:val="20"/>
          <w:szCs w:val="20"/>
          <w:color w:val="auto"/>
        </w:rPr>
      </w:pPr>
    </w:p>
    <w:p>
      <w:pPr>
        <w:ind w:right="80" w:firstLine="222"/>
        <w:spacing w:after="0" w:line="267" w:lineRule="auto"/>
        <w:rPr>
          <w:sz w:val="20"/>
          <w:szCs w:val="20"/>
          <w:color w:val="auto"/>
        </w:rPr>
      </w:pPr>
      <w:r>
        <w:rPr>
          <w:rFonts w:ascii="Arial" w:cs="Arial" w:eastAsia="Arial" w:hAnsi="Arial"/>
          <w:sz w:val="18"/>
          <w:szCs w:val="18"/>
          <w:color w:val="auto"/>
        </w:rPr>
        <w:t>Revenues from the home warranty line of business decreased $4.9 million, or 6.9%, in 2008 compared to 2007 and decreased $7.4 million, or 9.5% in 2007, in each case primarily due to the decrease in real estate transaction volumes.</w:t>
      </w:r>
    </w:p>
    <w:p>
      <w:pPr>
        <w:spacing w:after="0" w:line="73" w:lineRule="exact"/>
        <w:rPr>
          <w:sz w:val="20"/>
          <w:szCs w:val="20"/>
          <w:color w:val="auto"/>
        </w:rPr>
      </w:pPr>
    </w:p>
    <w:p>
      <w:pPr>
        <w:ind w:right="120" w:firstLine="222"/>
        <w:spacing w:after="0" w:line="267" w:lineRule="auto"/>
        <w:rPr>
          <w:sz w:val="20"/>
          <w:szCs w:val="20"/>
          <w:color w:val="auto"/>
        </w:rPr>
      </w:pPr>
      <w:r>
        <w:rPr>
          <w:rFonts w:ascii="Arial" w:cs="Arial" w:eastAsia="Arial" w:hAnsi="Arial"/>
          <w:sz w:val="18"/>
          <w:szCs w:val="18"/>
          <w:color w:val="auto"/>
        </w:rPr>
        <w:t>Personnel costs were $45.2 million, $45.5 million, and $45.1 million for the years ended December 31, 2008, 2007, and 2006, respectively. As a percentage of total specialty insurance revenues, personnel costs were 11.8% in 2008, 11.3% in 2007, and 11.0% in 2006.</w:t>
      </w:r>
    </w:p>
    <w:p>
      <w:pPr>
        <w:spacing w:after="0" w:line="73" w:lineRule="exact"/>
        <w:rPr>
          <w:sz w:val="20"/>
          <w:szCs w:val="20"/>
          <w:color w:val="auto"/>
        </w:rPr>
      </w:pPr>
    </w:p>
    <w:p>
      <w:pPr>
        <w:ind w:right="140" w:firstLine="222"/>
        <w:spacing w:after="0" w:line="285" w:lineRule="auto"/>
        <w:rPr>
          <w:sz w:val="20"/>
          <w:szCs w:val="20"/>
          <w:color w:val="auto"/>
        </w:rPr>
      </w:pPr>
      <w:r>
        <w:rPr>
          <w:rFonts w:ascii="Arial" w:cs="Arial" w:eastAsia="Arial" w:hAnsi="Arial"/>
          <w:sz w:val="16"/>
          <w:szCs w:val="16"/>
          <w:color w:val="auto"/>
        </w:rPr>
        <w:t>Other operating expenses in the specialty insurance segment were $158.3 million, $145.0 million, and $144.7 million for the years ended December 31, 2008, 2007, and 2006, respectively. Other operating expenses in 2007 were impacted by the results of an internal review of our treatment of certain costs relating to insurance policies issued by our specialty insurance segment, in the course of which we determined that certain costs should be deferred and amortized over the life of the policy consistent with the recognition of the premiums. We recorded an adjustment as of March 31, 2007, increasing prepaid and other assets and reducing other operating expenses by $12.2 million, representing amounts that should have been deferred as of March 31, 2007 on policies issued over the prior twelve months. This adjustment is not material to the Company’s financial position or results of operations for any previously reported annual periods. Excluding this adjustment, other operating expenses as a percentage of revenues was 41.3% in 2008, 36.0% in 2007, and 35.3% in 2006, with the increase in 2008 primarily due to increases in premium tax expense and commission expense in the homeowners’ and flood insurance businesses.</w:t>
      </w:r>
    </w:p>
    <w:p>
      <w:pPr>
        <w:spacing w:after="0" w:line="66" w:lineRule="exact"/>
        <w:rPr>
          <w:sz w:val="20"/>
          <w:szCs w:val="20"/>
          <w:color w:val="auto"/>
        </w:rPr>
      </w:pPr>
    </w:p>
    <w:p>
      <w:pPr>
        <w:ind w:right="40" w:firstLine="219"/>
        <w:spacing w:after="0" w:line="252" w:lineRule="auto"/>
        <w:rPr>
          <w:sz w:val="20"/>
          <w:szCs w:val="20"/>
          <w:color w:val="auto"/>
        </w:rPr>
      </w:pPr>
      <w:r>
        <w:rPr>
          <w:rFonts w:ascii="Arial" w:cs="Arial" w:eastAsia="Arial" w:hAnsi="Arial"/>
          <w:sz w:val="18"/>
          <w:szCs w:val="18"/>
          <w:color w:val="auto"/>
        </w:rPr>
        <w:t>The provision for claim loss expense was $139.5 million, $151.6 million, and $140.6 million for the years ended December 31, 2008, 2007, and 2006, respectively. The decrease in 2008 reflects the decreased business in the homeowner’s and automobile insurance and home warranty businesses. The increase in 2007 was primarily the result of an increase in volumes in the homeowners’ insurance business. The 2007 provision also reflects positive development in trends of prior accident years. As a percentage of premiums earned, the claim loss provision was relatively consistent at 64.8% in 2008, 63.9% in 2007, and 62.7% in 2006.</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reserve for claim losses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0"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33"/>
              <w:spacing w:after="0" w:line="140" w:lineRule="exact"/>
              <w:rPr>
                <w:sz w:val="20"/>
                <w:szCs w:val="20"/>
                <w:color w:val="auto"/>
              </w:rPr>
            </w:pPr>
            <w:r>
              <w:rPr>
                <w:rFonts w:ascii="Arial" w:cs="Arial" w:eastAsia="Arial" w:hAnsi="Arial"/>
                <w:sz w:val="14"/>
                <w:szCs w:val="14"/>
                <w:b w:val="1"/>
                <w:bCs w:val="1"/>
                <w:color w:val="auto"/>
                <w:w w:val="89"/>
              </w:rPr>
              <w:t>2007</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0"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4"/>
          </w:tcPr>
          <w:p>
            <w:pPr>
              <w:jc w:val="center"/>
              <w:ind w:right="20"/>
              <w:spacing w:after="0" w:line="140" w:lineRule="exact"/>
              <w:rPr>
                <w:sz w:val="20"/>
                <w:szCs w:val="20"/>
                <w:color w:val="auto"/>
              </w:rPr>
            </w:pPr>
            <w:r>
              <w:rPr>
                <w:rFonts w:ascii="Arial" w:cs="Arial" w:eastAsia="Arial" w:hAnsi="Arial"/>
                <w:sz w:val="14"/>
                <w:szCs w:val="14"/>
                <w:b w:val="1"/>
                <w:bCs w:val="1"/>
                <w:color w:val="auto"/>
                <w:w w:val="90"/>
              </w:rPr>
              <w:t>(Dollars 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65,849</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65,764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45,434</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8"/>
                <w:szCs w:val="18"/>
                <w:color w:val="auto"/>
              </w:rPr>
              <w:t>Claim loss provision related to:</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year</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148,824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165,659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148,328</w:t>
            </w:r>
          </w:p>
        </w:tc>
        <w:tc>
          <w:tcPr>
            <w:tcW w:w="0" w:type="dxa"/>
            <w:vAlign w:val="bottom"/>
          </w:tcPr>
          <w:p>
            <w:pPr>
              <w:spacing w:after="0"/>
              <w:rPr>
                <w:sz w:val="1"/>
                <w:szCs w:val="1"/>
                <w:color w:val="auto"/>
              </w:rPr>
            </w:pPr>
          </w:p>
        </w:tc>
      </w:tr>
      <w:tr>
        <w:trPr>
          <w:trHeight w:val="213"/>
        </w:trPr>
        <w:tc>
          <w:tcPr>
            <w:tcW w:w="4360" w:type="dxa"/>
            <w:vAlign w:val="bottom"/>
          </w:tcPr>
          <w:p>
            <w:pPr>
              <w:ind w:left="200"/>
              <w:spacing w:after="0"/>
              <w:rPr>
                <w:sz w:val="20"/>
                <w:szCs w:val="20"/>
                <w:color w:val="auto"/>
              </w:rPr>
            </w:pPr>
            <w:r>
              <w:rPr>
                <w:rFonts w:ascii="Arial" w:cs="Arial" w:eastAsia="Arial" w:hAnsi="Arial"/>
                <w:sz w:val="18"/>
                <w:szCs w:val="18"/>
                <w:color w:val="auto"/>
              </w:rPr>
              <w:t>Prior years</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(9,372)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(14,033)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(7,703)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claim loss provision</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139,452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151,626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140,625</w:t>
            </w:r>
          </w:p>
        </w:tc>
        <w:tc>
          <w:tcPr>
            <w:tcW w:w="0" w:type="dxa"/>
            <w:vAlign w:val="bottom"/>
          </w:tcPr>
          <w:p>
            <w:pPr>
              <w:spacing w:after="0"/>
              <w:rPr>
                <w:sz w:val="1"/>
                <w:szCs w:val="1"/>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8"/>
                <w:szCs w:val="18"/>
                <w:color w:val="auto"/>
              </w:rPr>
              <w:t>Claims paid, net of recoupments related to:</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year</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(106,534)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(115,643)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(92,893)</w:t>
            </w:r>
          </w:p>
        </w:tc>
        <w:tc>
          <w:tcPr>
            <w:tcW w:w="0" w:type="dxa"/>
            <w:vAlign w:val="bottom"/>
          </w:tcPr>
          <w:p>
            <w:pPr>
              <w:spacing w:after="0"/>
              <w:rPr>
                <w:sz w:val="1"/>
                <w:szCs w:val="1"/>
                <w:color w:val="auto"/>
              </w:rPr>
            </w:pPr>
          </w:p>
        </w:tc>
      </w:tr>
      <w:tr>
        <w:trPr>
          <w:trHeight w:val="213"/>
        </w:trPr>
        <w:tc>
          <w:tcPr>
            <w:tcW w:w="4360" w:type="dxa"/>
            <w:vAlign w:val="bottom"/>
          </w:tcPr>
          <w:p>
            <w:pPr>
              <w:ind w:left="200"/>
              <w:spacing w:after="0"/>
              <w:rPr>
                <w:sz w:val="20"/>
                <w:szCs w:val="20"/>
                <w:color w:val="auto"/>
              </w:rPr>
            </w:pPr>
            <w:r>
              <w:rPr>
                <w:rFonts w:ascii="Arial" w:cs="Arial" w:eastAsia="Arial" w:hAnsi="Arial"/>
                <w:sz w:val="18"/>
                <w:szCs w:val="18"/>
                <w:color w:val="auto"/>
              </w:rPr>
              <w:t>Prior years</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(39,129)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(35,898)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(27,402)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claims paid, net of recoupments</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(145,663)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(151,541)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(120,295)</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3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360" w:type="dxa"/>
            <w:vAlign w:val="bottom"/>
            <w:vMerge w:val="continue"/>
          </w:tcPr>
          <w:p>
            <w:pPr>
              <w:spacing w:after="0"/>
              <w:rPr>
                <w:sz w:val="19"/>
                <w:szCs w:val="19"/>
                <w:color w:val="auto"/>
              </w:rPr>
            </w:pPr>
          </w:p>
        </w:tc>
        <w:tc>
          <w:tcPr>
            <w:tcW w:w="3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59,638</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65,849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65,764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380" w:type="dxa"/>
            <w:vAlign w:val="bottom"/>
            <w:vMerge w:val="restart"/>
          </w:tcPr>
          <w:p>
            <w:pPr>
              <w:jc w:val="right"/>
              <w:ind w:right="1851"/>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3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3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13" w:lineRule="exact"/>
        <w:rPr>
          <w:sz w:val="20"/>
          <w:szCs w:val="20"/>
          <w:color w:val="auto"/>
        </w:rPr>
      </w:pPr>
    </w:p>
    <w:p>
      <w:pPr>
        <w:ind w:right="60" w:firstLine="219"/>
        <w:spacing w:after="0" w:line="267" w:lineRule="auto"/>
        <w:rPr>
          <w:sz w:val="20"/>
          <w:szCs w:val="20"/>
          <w:color w:val="auto"/>
        </w:rPr>
      </w:pPr>
      <w:r>
        <w:rPr>
          <w:rFonts w:ascii="Arial" w:cs="Arial" w:eastAsia="Arial" w:hAnsi="Arial"/>
          <w:sz w:val="17"/>
          <w:szCs w:val="17"/>
          <w:color w:val="auto"/>
        </w:rPr>
        <w:t>The corporate and other segment is primarily comprised of the operations of our parent holding company and smaller entities not included in our operating segments. It generated pretax losses of $99.4 million, $60.8 million, and $97.5 million for the years ended December 31, 2008, 2007, and 2006, respectively. During 2008, we sold 20% of our interest in Sedgwick (reducing our interest in Sedgwick from 40% to 32%) for proceeds of $53.9 million, resulting in a gain of $24.8 million in the corporate and other segment. Interest expense in this segment was $62.6 million, $38.9 million, and $41.6 million for the years ended December 31, 2008, 2007, and 2006, respectively, with the increase in 2008 primarily due to increased borrowings resulting from our investment in Ceridian during the fourth quarter of 2007 and 2008 borrowings used for general corporate purposes. Additionally, during 2008, we recorded $4.0 million in impairment charges to intangible assets in the corporate and other segment. In 2007, we recorded income of $12.3 million in management fees under an agreement entered into in connection with the acquisition of Ceridian.</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Fidelity National Information Services, Inc.</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Company’s consolidated results of operations include FIS’s results of operations through October 23, 2006, the closing date of the 2006 Distribution.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FIS segment generated revenues of $3,280.4 million and net earnings of $200.0 million for the year ended December 31, 2006.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ind w:firstLine="222"/>
        <w:spacing w:after="0" w:line="265" w:lineRule="auto"/>
        <w:rPr>
          <w:sz w:val="20"/>
          <w:szCs w:val="20"/>
          <w:color w:val="auto"/>
        </w:rPr>
      </w:pPr>
      <w:r>
        <w:rPr>
          <w:rFonts w:ascii="Arial" w:cs="Arial" w:eastAsia="Arial" w:hAnsi="Arial"/>
          <w:sz w:val="17"/>
          <w:szCs w:val="17"/>
          <w:i w:val="1"/>
          <w:iCs w:val="1"/>
          <w:color w:val="auto"/>
        </w:rPr>
        <w:t xml:space="preserve">Cash Requirements. </w:t>
      </w:r>
      <w:r>
        <w:rPr>
          <w:rFonts w:ascii="Arial" w:cs="Arial" w:eastAsia="Arial" w:hAnsi="Arial"/>
          <w:sz w:val="17"/>
          <w:szCs w:val="17"/>
          <w:color w:val="auto"/>
        </w:rPr>
        <w:t>Our current cash requirements include operating expenses, taxes, payments of interest and principal on our debt, capital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acquisitions, dividends on our common stock, and the repurchase of shares of our common stock. Our Board of Directors has reduced our quarterly dividend from $0.30 per share to $0.15 per share, or approximately $32.2 million per quarter, effective in the fourth quarter of 2008. We continually assess our capital allocation strategy, including decisions relating to the amount of our dividend, reducing debt, repurchasing our stock, and/or conserving cash. The declaration of any future dividends is at the discretion of our Board of Directors. We believe that all anticipated cash requirements for current operations will be met from internally generated funds, through cash dividends from subsidiaries, cash generated by investment securities, potential sales of non-strategic assets, borrowings on existing credit facilities, and possible issuances of debt, equity, or hybrid securities under our existing universal shelf registration statement.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82" w:lineRule="exact"/>
        <w:rPr>
          <w:sz w:val="20"/>
          <w:szCs w:val="20"/>
          <w:color w:val="auto"/>
        </w:rPr>
      </w:pPr>
    </w:p>
    <w:p>
      <w:pPr>
        <w:ind w:right="160" w:firstLine="222"/>
        <w:spacing w:after="0" w:line="279"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claims loss reserves, we do not specifically match durations of our investments to the cash outflows required to pay claims, but do manage outflows on a shorter time frame.</w:t>
      </w:r>
    </w:p>
    <w:p>
      <w:pPr>
        <w:spacing w:after="0" w:line="65" w:lineRule="exact"/>
        <w:rPr>
          <w:sz w:val="20"/>
          <w:szCs w:val="20"/>
          <w:color w:val="auto"/>
        </w:rPr>
      </w:pPr>
    </w:p>
    <w:p>
      <w:pPr>
        <w:ind w:right="60" w:firstLine="222"/>
        <w:spacing w:after="0" w:line="267" w:lineRule="auto"/>
        <w:rPr>
          <w:sz w:val="20"/>
          <w:szCs w:val="20"/>
          <w:color w:val="auto"/>
        </w:rPr>
      </w:pPr>
      <w:r>
        <w:rPr>
          <w:rFonts w:ascii="Arial" w:cs="Arial" w:eastAsia="Arial" w:hAnsi="Arial"/>
          <w:sz w:val="17"/>
          <w:szCs w:val="17"/>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distributions. As of December 31, 2008, $1.5 billion of our net assets were restricted from dividend payments without prior approval from the relevant departments of insurance. During 2009, our first tier title insurance subsidiaries can pay or make distributions to us of approximately $214.7 million without prior regulatory approval. Our underwritten title companies and non-title insurance subsidiaries collect revenue and pay operating expenses. However, they are not regulated to the same extent as our insurance subsidiaries.</w:t>
      </w:r>
    </w:p>
    <w:p>
      <w:pPr>
        <w:spacing w:after="0" w:line="74" w:lineRule="exact"/>
        <w:rPr>
          <w:sz w:val="20"/>
          <w:szCs w:val="20"/>
          <w:color w:val="auto"/>
        </w:rPr>
      </w:pPr>
    </w:p>
    <w:p>
      <w:pPr>
        <w:ind w:right="120" w:firstLine="219"/>
        <w:spacing w:after="0" w:line="252"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charges, adverse operating conditions in the current economic environment or changes in interpretation of statutory accounting requirements by regulators. Further, the LFG Subsidiaries recently acquired by us could have unexpected liabilities or asset exposures that only become apparent over time which adversely affect their surplus.</w:t>
      </w:r>
    </w:p>
    <w:p>
      <w:pPr>
        <w:spacing w:after="0" w:line="82" w:lineRule="exact"/>
        <w:rPr>
          <w:sz w:val="20"/>
          <w:szCs w:val="20"/>
          <w:color w:val="auto"/>
        </w:rPr>
      </w:pPr>
    </w:p>
    <w:p>
      <w:pPr>
        <w:ind w:right="100" w:firstLine="219"/>
        <w:spacing w:after="0" w:line="295" w:lineRule="auto"/>
        <w:rPr>
          <w:sz w:val="20"/>
          <w:szCs w:val="20"/>
          <w:color w:val="auto"/>
        </w:rPr>
      </w:pPr>
      <w:r>
        <w:rPr>
          <w:rFonts w:ascii="Arial" w:cs="Arial" w:eastAsia="Arial" w:hAnsi="Arial"/>
          <w:sz w:val="16"/>
          <w:szCs w:val="16"/>
          <w:color w:val="auto"/>
        </w:rPr>
        <w:t>We previously announced that our Board of Directors has authorized us to investigate strategic alternatives for certain of our specialty insurance businesses. The assets being evaluated include the flood insurance and personal lines insurance businesses, but not the home warranty business. We are focused on evaluating our non-core assets and investments as potential vehicles for creating liquidity. Our intent is to use that liquidity for general corporate purposes, including payment of dividends as declared by the Board of Directors and potentially reducing debt, repurchasing shares of our stock, and/or conserving cash.</w:t>
      </w:r>
    </w:p>
    <w:p>
      <w:pPr>
        <w:spacing w:after="0" w:line="56" w:lineRule="exact"/>
        <w:rPr>
          <w:sz w:val="20"/>
          <w:szCs w:val="20"/>
          <w:color w:val="auto"/>
        </w:rPr>
      </w:pPr>
    </w:p>
    <w:p>
      <w:pPr>
        <w:ind w:firstLine="267"/>
        <w:spacing w:after="0" w:line="273" w:lineRule="auto"/>
        <w:rPr>
          <w:sz w:val="20"/>
          <w:szCs w:val="20"/>
          <w:color w:val="auto"/>
        </w:rPr>
      </w:pPr>
      <w:r>
        <w:rPr>
          <w:rFonts w:ascii="Arial" w:cs="Arial" w:eastAsia="Arial" w:hAnsi="Arial"/>
          <w:sz w:val="17"/>
          <w:szCs w:val="17"/>
          <w:color w:val="auto"/>
        </w:rPr>
        <w:t>Our cash flows provided by operations for the year ended December 31, 2008, totaled $4.6 million compared to $341.1 million for the year ended December 31, 2007. Cash used in operations in the year ended December 31, 2008, included payments totaling $68.1 million to settle a group of related claims for third party losses. We believe that these payments and certain previous payments on these related claims are recoverable under various insurance policies and, as of December 31, 2008, we had a receivable in the amount of $81.4 million in respect of these payments.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Total capital expenditures for property and equipment were $84.2 million, $83.9 million, and $145.4 million for the years ended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2008, 2007, and 2006, respectively. For the years ended December 31, 2008 and 2007, capital expenditures included $60.6 million and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$36.8 million, respectively, for the purchase of assets leased to others, including FIS. For the year ended December 31, 2006, capital expenditures included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expenditures made by FIS of $87.7 million. Total capital expenditures for software were $17.1 million, $29.3 million, and $180.9 million in 2008, 2007, and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2006, respectively, and were primarily comprised of FIS expenditures in 2006.</w:t>
      </w:r>
    </w:p>
    <w:p>
      <w:pPr>
        <w:spacing w:after="0" w:line="102" w:lineRule="exact"/>
        <w:rPr>
          <w:sz w:val="20"/>
          <w:szCs w:val="20"/>
          <w:color w:val="auto"/>
        </w:rPr>
      </w:pPr>
    </w:p>
    <w:p>
      <w:pPr>
        <w:ind w:right="120" w:firstLine="222"/>
        <w:spacing w:after="0" w:line="282" w:lineRule="auto"/>
        <w:rPr>
          <w:sz w:val="20"/>
          <w:szCs w:val="20"/>
          <w:color w:val="auto"/>
        </w:rPr>
      </w:pPr>
      <w:r>
        <w:rPr>
          <w:rFonts w:ascii="Arial" w:cs="Arial" w:eastAsia="Arial" w:hAnsi="Arial"/>
          <w:sz w:val="16"/>
          <w:szCs w:val="16"/>
          <w:i w:val="1"/>
          <w:iCs w:val="1"/>
          <w:color w:val="auto"/>
        </w:rPr>
        <w:t xml:space="preserve">Financing. </w:t>
      </w:r>
      <w:r>
        <w:rPr>
          <w:rFonts w:ascii="Arial" w:cs="Arial" w:eastAsia="Arial" w:hAnsi="Arial"/>
          <w:sz w:val="16"/>
          <w:szCs w:val="16"/>
          <w:color w:val="auto"/>
        </w:rPr>
        <w:t>Effective October 24, 2006, we entered into a credit agreement (the “Credit Agreement”) with Bank of America, N.A. as Administrative Agent</w:t>
      </w:r>
      <w:r>
        <w:rPr>
          <w:rFonts w:ascii="Arial" w:cs="Arial" w:eastAsia="Arial" w:hAnsi="Arial"/>
          <w:sz w:val="16"/>
          <w:szCs w:val="16"/>
          <w:i w:val="1"/>
          <w:iCs w:val="1"/>
          <w:color w:val="auto"/>
        </w:rPr>
        <w:t xml:space="preserve"> </w:t>
      </w:r>
      <w:r>
        <w:rPr>
          <w:rFonts w:ascii="Arial" w:cs="Arial" w:eastAsia="Arial" w:hAnsi="Arial"/>
          <w:sz w:val="16"/>
          <w:szCs w:val="16"/>
          <w:color w:val="auto"/>
        </w:rPr>
        <w:t>and Swing Line Lender, and the other financial institutions party thereto. Effective October 11, 2007, we exercised an option to increase the size of the credit facility by an additional $300 million. The Credit Agreement, which replaced our previous credit agreement, provides for a $1.1 billion unsecured revolving credit facility, including the $300 million increase, maturing on the fifth anniversary of the closing date. Amounts under the revolving credit facility may be borrowed, repaid and reborrowed by the borrower from time to time until the maturity of the revolving credit facility. Voluntary prepayment of the revolving credit facility under the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 (ii) a rate per annum equal to the British Bankers Association London Interbank Offered Rate (“LIBOR”) plus a margin of between 0.23%-0.675%, depending on our then current senior unsecured long-term debt rating from the rating agencies. In addition, we pay a commitment fee between 0.07%-0.175% on the entire facility, also depending on our senior unsecured long-term debt rating. During 2008, we drew a total of $170 million from the Credit Agreement and used the proceeds for general corporate purposes. We repaid $120 million on the credit facility in 2008 and an additional $50 million in January 2009. As of December 31, 2008, we had outstanding debt with a principal amount of $585 million under the Credit Agreement, bearing interest at 3.53%.</w:t>
      </w:r>
    </w:p>
    <w:p>
      <w:pPr>
        <w:spacing w:after="0" w:line="70" w:lineRule="exact"/>
        <w:rPr>
          <w:sz w:val="20"/>
          <w:szCs w:val="20"/>
          <w:color w:val="auto"/>
        </w:rPr>
      </w:pPr>
    </w:p>
    <w:p>
      <w:pPr>
        <w:ind w:right="60" w:firstLine="219"/>
        <w:spacing w:after="0" w:line="283" w:lineRule="auto"/>
        <w:rPr>
          <w:sz w:val="20"/>
          <w:szCs w:val="20"/>
          <w:color w:val="auto"/>
        </w:rPr>
      </w:pPr>
      <w:r>
        <w:rPr>
          <w:rFonts w:ascii="Arial" w:cs="Arial" w:eastAsia="Arial" w:hAnsi="Arial"/>
          <w:sz w:val="16"/>
          <w:szCs w:val="16"/>
          <w:color w:val="auto"/>
        </w:rPr>
        <w:t>The Credit Agreement contains affirmative, negative and financial covenants customary for financings of this type, including, among other things, limits on the creation of liens, sales of assets, the incurrence of indebtedness, restricted payments, transactions with affiliates, and certain amendments. The Credit Agreement prohibits us from paying dividends to our stockholders if an event of default has occurred and is continuing or would result therefrom. The Credit Agreement requires us to maintain certain financial ratios and levels of capitalization. The Credit Agreement includes customary events of default for facilities of this type (with customary grace periods, as applicable). These events of default include a cross-default provision that, subject to limited exceptions, permits the lenders to declare the Credit Agreement in default if: (i) (A) we fail to make any payment after the applicable grace period under any indebtedness with a principal amount (including undrawn committed amounts) in excess of 3% of our net worth, as defined in the Credit Agreement,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The Credit Agreement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On December 22, 2008, in connection with the acquisition of the LFG Underwriters, the Company entered into a $50 million subordinated note payable to LFG, due December 2013. This note bears interest at 2.36%, payable annually. In addition, the LFG Underwriters had $15.7 million of notes payable which are included on FNF’s consolidated balance sheet at December 31, 2008.</w:t>
      </w:r>
    </w:p>
    <w:p>
      <w:pPr>
        <w:spacing w:after="0" w:line="82" w:lineRule="exact"/>
        <w:rPr>
          <w:sz w:val="20"/>
          <w:szCs w:val="20"/>
          <w:color w:val="auto"/>
        </w:rPr>
      </w:pPr>
    </w:p>
    <w:p>
      <w:pPr>
        <w:ind w:right="100" w:firstLine="222"/>
        <w:spacing w:after="0" w:line="266" w:lineRule="auto"/>
        <w:rPr>
          <w:sz w:val="20"/>
          <w:szCs w:val="20"/>
          <w:color w:val="auto"/>
        </w:rPr>
      </w:pPr>
      <w:r>
        <w:rPr>
          <w:rFonts w:ascii="Arial" w:cs="Arial" w:eastAsia="Arial" w:hAnsi="Arial"/>
          <w:sz w:val="17"/>
          <w:szCs w:val="17"/>
          <w:color w:val="auto"/>
        </w:rPr>
        <w:t>In connection with the purchase of certain leasing assets from FIS (see “Transactions with Related Parties” in note A of Notes to Consolidated Financial Statements), we assumed certain liabilities associated with those assets, including various bank promissory notes, totaling $134.9 at the date of purchase. We have continued to use bank promissory notes with similar terms to finance purchases of assets within our leasing operation and, as of December 31, 2008 these promissory notes totaled $197.5 million, bore interest at various fixed rates and matured at various dates. These bank promissory notes are non-recourse obligations and are secured by interests in certain leases and underlying equipment. In addition, we also assumed a $20 million revolving credit facility, which is secured by interests in certain leases and underlying equipment and bears interest at Prime-0.5%. As of December 31, 2008, $13.9 million was unused. On September 30, 2007, also in connection with the acquisition of certain leasing assets from FIS, we entered into an unsecured note due to FIS in the amount of $7.3 million. The note bears interest at LIBOR+0.45%, includes principal amortization of $0.2 million per quarter and is due October, 2012. The balance at December 31, 2008, was $6.2 million.</w:t>
      </w:r>
    </w:p>
    <w:p>
      <w:pPr>
        <w:spacing w:after="0" w:line="77" w:lineRule="exact"/>
        <w:rPr>
          <w:sz w:val="20"/>
          <w:szCs w:val="20"/>
          <w:color w:val="auto"/>
        </w:rPr>
      </w:pPr>
    </w:p>
    <w:p>
      <w:pPr>
        <w:ind w:right="180" w:firstLine="222"/>
        <w:spacing w:after="0" w:line="257" w:lineRule="auto"/>
        <w:rPr>
          <w:sz w:val="20"/>
          <w:szCs w:val="20"/>
          <w:color w:val="auto"/>
        </w:rPr>
      </w:pPr>
      <w:r>
        <w:rPr>
          <w:rFonts w:ascii="Arial" w:cs="Arial" w:eastAsia="Arial" w:hAnsi="Arial"/>
          <w:sz w:val="18"/>
          <w:szCs w:val="18"/>
          <w:color w:val="auto"/>
        </w:rPr>
        <w:t>Our outstanding debt also includes $241.1 million aggregate principal amount of our 7.30% notes due 2011 and $249.2 million aggregate principal amount of our 5.25% notes due 2013. These notes contain customary covenants and events of default for investment grade public debt. They do not include a cross-default provision.</w:t>
      </w:r>
    </w:p>
    <w:p>
      <w:pPr>
        <w:spacing w:after="0" w:line="82" w:lineRule="exact"/>
        <w:rPr>
          <w:sz w:val="20"/>
          <w:szCs w:val="20"/>
          <w:color w:val="auto"/>
        </w:rPr>
      </w:pPr>
    </w:p>
    <w:p>
      <w:pPr>
        <w:ind w:right="60" w:firstLine="219"/>
        <w:spacing w:after="0" w:line="295" w:lineRule="auto"/>
        <w:rPr>
          <w:sz w:val="20"/>
          <w:szCs w:val="20"/>
          <w:color w:val="auto"/>
        </w:rPr>
      </w:pPr>
      <w:r>
        <w:rPr>
          <w:rFonts w:ascii="Arial" w:cs="Arial" w:eastAsia="Arial" w:hAnsi="Arial"/>
          <w:sz w:val="16"/>
          <w:szCs w:val="16"/>
          <w:color w:val="auto"/>
        </w:rPr>
        <w:t>We lend fixed maturity and equity securities to financial institutions in short-term security lending transactions. Our security lending policy requires that the cash received as collateral be 102% or more of the fair value of the loaned securities. At December 31, 2008, we had security loans outstanding with fair values totaling of $103.6 million. Securities loaned under such transactions may be sold or repledged by the transferee. We were liable for cash collateral under our control of $107.6 million at December 31, 2008, which has been included in cash and in accounts payable and accrued liabilities.</w:t>
      </w:r>
    </w:p>
    <w:p>
      <w:pPr>
        <w:spacing w:after="0" w:line="56" w:lineRule="exact"/>
        <w:rPr>
          <w:sz w:val="20"/>
          <w:szCs w:val="20"/>
          <w:color w:val="auto"/>
        </w:rPr>
      </w:pPr>
    </w:p>
    <w:p>
      <w:pPr>
        <w:ind w:right="360" w:firstLine="222"/>
        <w:spacing w:after="0" w:line="267" w:lineRule="auto"/>
        <w:rPr>
          <w:sz w:val="20"/>
          <w:szCs w:val="20"/>
          <w:color w:val="auto"/>
        </w:rPr>
      </w:pPr>
      <w:r>
        <w:rPr>
          <w:rFonts w:ascii="Arial" w:cs="Arial" w:eastAsia="Arial" w:hAnsi="Arial"/>
          <w:sz w:val="18"/>
          <w:szCs w:val="18"/>
          <w:color w:val="auto"/>
        </w:rPr>
        <w:t>In addition to the foregoing financing arrangements of the Company, our historical financial statements for 2006 reflect debt and interest expense of Old FNF and its other subsidiaries, principally FIS.</w:t>
      </w:r>
    </w:p>
    <w:p>
      <w:pPr>
        <w:spacing w:after="0" w:line="73" w:lineRule="exact"/>
        <w:rPr>
          <w:sz w:val="20"/>
          <w:szCs w:val="20"/>
          <w:color w:val="auto"/>
        </w:rPr>
      </w:pPr>
    </w:p>
    <w:p>
      <w:pPr>
        <w:ind w:right="60" w:firstLine="222"/>
        <w:spacing w:after="0" w:line="288" w:lineRule="auto"/>
        <w:rPr>
          <w:sz w:val="20"/>
          <w:szCs w:val="20"/>
          <w:color w:val="auto"/>
        </w:rPr>
      </w:pPr>
      <w:r>
        <w:rPr>
          <w:rFonts w:ascii="Arial" w:cs="Arial" w:eastAsia="Arial" w:hAnsi="Arial"/>
          <w:sz w:val="16"/>
          <w:szCs w:val="16"/>
          <w:i w:val="1"/>
          <w:iCs w:val="1"/>
          <w:color w:val="auto"/>
        </w:rPr>
        <w:t xml:space="preserve">Seasonality. </w:t>
      </w:r>
      <w:r>
        <w:rPr>
          <w:rFonts w:ascii="Arial" w:cs="Arial" w:eastAsia="Arial" w:hAnsi="Arial"/>
          <w:sz w:val="16"/>
          <w:szCs w:val="16"/>
          <w:color w:val="auto"/>
        </w:rPr>
        <w:t>Historically, real estate transactions have produced seasonal revenue levels for title insurers. The first calendar quarter is typically the weakest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in terms of revenue due to the generally low volume of home sales during January and February. The third calendar quarter has been typically the strongest in terms of revenue primarily due to a higher volume of home sales in the summer months and the fourth calendar quarter is usually also strong due to commercial entities desiring to complete transactions by year-end. In 2007 and 2008, we have seen a divergence from these historical trends as tighter lending standards, including a significant reduction in the availability of mortgage lending, combined with rising default levels and a bearish outlook on the real estate environment have caused potential home buyers to be more reluctant to buy homes and have suppressed refinance activity.</w:t>
      </w:r>
    </w:p>
    <w:p>
      <w:pPr>
        <w:spacing w:after="0" w:line="62" w:lineRule="exact"/>
        <w:rPr>
          <w:sz w:val="20"/>
          <w:szCs w:val="20"/>
          <w:color w:val="auto"/>
        </w:rPr>
      </w:pPr>
    </w:p>
    <w:p>
      <w:pPr>
        <w:jc w:val="both"/>
        <w:ind w:right="480" w:firstLine="222"/>
        <w:spacing w:after="0" w:line="25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Our long term contractual obligations generally include our loss reserves, our credit agreements and other debt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 payments on certain of our premises and equipment. As of December 31, 2008, our required annual payments relating to these contractual obligations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0"/>
              </w:rPr>
              <w:t>Thereafter</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tcPr>
          <w:p>
            <w:pPr>
              <w:jc w:val="right"/>
              <w:ind w:right="140"/>
              <w:spacing w:after="0" w:line="140" w:lineRule="exact"/>
              <w:rPr>
                <w:sz w:val="20"/>
                <w:szCs w:val="20"/>
                <w:color w:val="auto"/>
              </w:rPr>
            </w:pPr>
            <w:r>
              <w:rPr>
                <w:rFonts w:ascii="Arial" w:cs="Arial" w:eastAsia="Arial" w:hAnsi="Arial"/>
                <w:sz w:val="14"/>
                <w:szCs w:val="14"/>
                <w:b w:val="1"/>
                <w:bCs w:val="1"/>
                <w:color w:val="auto"/>
                <w:w w:val="98"/>
              </w:rPr>
              <w:t>(Dollars in thousands)</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87,639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58,835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870,671</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20,956</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$ 309,344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$ 1,350,849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60" w:type="dxa"/>
            <w:vAlign w:val="bottom"/>
          </w:tcPr>
          <w:p>
            <w:pPr>
              <w:spacing w:after="0"/>
              <w:rPr>
                <w:sz w:val="20"/>
                <w:szCs w:val="20"/>
                <w:color w:val="auto"/>
              </w:rPr>
            </w:pPr>
            <w:r>
              <w:rPr>
                <w:rFonts w:ascii="Arial" w:cs="Arial" w:eastAsia="Arial" w:hAnsi="Arial"/>
                <w:sz w:val="18"/>
                <w:szCs w:val="18"/>
                <w:color w:val="auto"/>
              </w:rPr>
              <w:t>Operating lease payments</w:t>
            </w: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166,626</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125,972</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86,451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51,112</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23,542</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101,580</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555,283</w:t>
            </w:r>
          </w:p>
        </w:tc>
        <w:tc>
          <w:tcPr>
            <w:tcW w:w="0" w:type="dxa"/>
            <w:vAlign w:val="bottom"/>
          </w:tcPr>
          <w:p>
            <w:pPr>
              <w:spacing w:after="0"/>
              <w:rPr>
                <w:sz w:val="1"/>
                <w:szCs w:val="1"/>
                <w:color w:val="auto"/>
              </w:rPr>
            </w:pPr>
          </w:p>
        </w:tc>
      </w:tr>
      <w:tr>
        <w:trPr>
          <w:trHeight w:val="201"/>
        </w:trPr>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Pension and post retirement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14,672</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12,861</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13,611</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13,048</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13,296</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92,781</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160,269</w:t>
            </w:r>
          </w:p>
        </w:tc>
        <w:tc>
          <w:tcPr>
            <w:tcW w:w="0" w:type="dxa"/>
            <w:vAlign w:val="bottom"/>
          </w:tcPr>
          <w:p>
            <w:pPr>
              <w:spacing w:after="0"/>
              <w:rPr>
                <w:sz w:val="1"/>
                <w:szCs w:val="1"/>
                <w:color w:val="auto"/>
              </w:rPr>
            </w:pPr>
          </w:p>
        </w:tc>
      </w:tr>
      <w:tr>
        <w:trPr>
          <w:trHeight w:val="213"/>
        </w:trPr>
        <w:tc>
          <w:tcPr>
            <w:tcW w:w="2860" w:type="dxa"/>
            <w:vAlign w:val="bottom"/>
          </w:tcPr>
          <w:p>
            <w:pPr>
              <w:spacing w:after="0"/>
              <w:rPr>
                <w:sz w:val="20"/>
                <w:szCs w:val="20"/>
                <w:color w:val="auto"/>
              </w:rPr>
            </w:pPr>
            <w:r>
              <w:rPr>
                <w:rFonts w:ascii="Arial" w:cs="Arial" w:eastAsia="Arial" w:hAnsi="Arial"/>
                <w:sz w:val="18"/>
                <w:szCs w:val="18"/>
                <w:color w:val="auto"/>
              </w:rPr>
              <w:t>Title claim losses</w:t>
            </w: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443,992</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370,625</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294,034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229,232</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178,349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1,162,755</w:t>
            </w: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2,678,987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Specialty insurance claim losses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11,309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895</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59,638</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755,293</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579,602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1,269,614</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315,243</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$ 524,754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1,360,520</w:t>
            </w: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$ 4,805,026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253"/>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firstLine="212"/>
        <w:spacing w:after="0" w:line="254" w:lineRule="auto"/>
        <w:rPr>
          <w:sz w:val="20"/>
          <w:szCs w:val="20"/>
          <w:color w:val="auto"/>
        </w:rPr>
      </w:pPr>
      <w:r>
        <w:rPr>
          <w:rFonts w:ascii="Arial" w:cs="Arial" w:eastAsia="Arial" w:hAnsi="Arial"/>
          <w:sz w:val="18"/>
          <w:szCs w:val="18"/>
          <w:color w:val="auto"/>
        </w:rPr>
        <w:t>As of December 31, 2008, we had title insurance reserves of $2,679.0 million. The amounts and timing of these obligations are estimated and are not set contractually. Nonetheless, based on historical title insurance claim experience, we anticipate the above payment patterns. While we believe that historical loss payments are a reasonable source for projecting future claim payments, there is significant inherent uncertainty in this payment pattern estimate because of the potential impact of changes in:</w:t>
      </w:r>
    </w:p>
    <w:p>
      <w:pPr>
        <w:spacing w:after="0" w:line="84" w:lineRule="exact"/>
        <w:rPr>
          <w:sz w:val="20"/>
          <w:szCs w:val="20"/>
          <w:color w:val="auto"/>
        </w:rPr>
      </w:pPr>
    </w:p>
    <w:p>
      <w:pPr>
        <w:ind w:left="680" w:right="160" w:hanging="447"/>
        <w:spacing w:after="0" w:line="267" w:lineRule="auto"/>
        <w:tabs>
          <w:tab w:leader="none" w:pos="6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future mortgage interest rates, which will affect the number of real estate and refinancing transactions and, therefore, the rate at which title insurance claims will emerge;</w:t>
      </w:r>
    </w:p>
    <w:p>
      <w:pPr>
        <w:spacing w:after="0" w:line="86" w:lineRule="exact"/>
        <w:rPr>
          <w:rFonts w:ascii="Arial" w:cs="Arial" w:eastAsia="Arial" w:hAnsi="Arial"/>
          <w:sz w:val="18"/>
          <w:szCs w:val="18"/>
          <w:b w:val="1"/>
          <w:bCs w:val="1"/>
          <w:color w:val="auto"/>
        </w:rPr>
      </w:pPr>
    </w:p>
    <w:p>
      <w:pPr>
        <w:ind w:left="680" w:right="580" w:hanging="447"/>
        <w:spacing w:after="0" w:line="267" w:lineRule="auto"/>
        <w:tabs>
          <w:tab w:leader="none" w:pos="6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the legal environment whereby court decisions and reinterpretations of title insurance policy language to broaden coverage could increase total obligations and influence claim payout patterns;</w:t>
      </w:r>
    </w:p>
    <w:p>
      <w:pPr>
        <w:spacing w:after="0" w:line="86" w:lineRule="exact"/>
        <w:rPr>
          <w:rFonts w:ascii="Arial" w:cs="Arial" w:eastAsia="Arial" w:hAnsi="Arial"/>
          <w:sz w:val="18"/>
          <w:szCs w:val="18"/>
          <w:b w:val="1"/>
          <w:bCs w:val="1"/>
          <w:color w:val="auto"/>
        </w:rPr>
      </w:pPr>
    </w:p>
    <w:p>
      <w:pPr>
        <w:ind w:left="680" w:right="260" w:hanging="447"/>
        <w:spacing w:after="0" w:line="267" w:lineRule="auto"/>
        <w:tabs>
          <w:tab w:leader="none" w:pos="6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events such as fraud, defalcation, and multiple property title defects that can substantially and unexpectedly cause increases in both the amount and timing of estimated title insurance loss payments;</w:t>
      </w:r>
    </w:p>
    <w:p>
      <w:pPr>
        <w:spacing w:after="0" w:line="86" w:lineRule="exact"/>
        <w:rPr>
          <w:rFonts w:ascii="Arial" w:cs="Arial" w:eastAsia="Arial" w:hAnsi="Arial"/>
          <w:sz w:val="18"/>
          <w:szCs w:val="18"/>
          <w:b w:val="1"/>
          <w:bCs w:val="1"/>
          <w:color w:val="auto"/>
        </w:rPr>
      </w:pPr>
    </w:p>
    <w:p>
      <w:pPr>
        <w:ind w:left="680" w:right="300" w:hanging="447"/>
        <w:spacing w:after="0" w:line="267" w:lineRule="auto"/>
        <w:tabs>
          <w:tab w:leader="none" w:pos="6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loss cost trends whereby increases or decreases in inflationary factors (including the value of real estate) will influence the ultimate amount of title insurance loss payments; and</w:t>
      </w:r>
    </w:p>
    <w:p>
      <w:pPr>
        <w:spacing w:after="0" w:line="86" w:lineRule="exact"/>
        <w:rPr>
          <w:rFonts w:ascii="Arial" w:cs="Arial" w:eastAsia="Arial" w:hAnsi="Arial"/>
          <w:sz w:val="18"/>
          <w:szCs w:val="18"/>
          <w:b w:val="1"/>
          <w:bCs w:val="1"/>
          <w:color w:val="auto"/>
        </w:rPr>
      </w:pPr>
    </w:p>
    <w:p>
      <w:pPr>
        <w:ind w:left="680" w:hanging="447"/>
        <w:spacing w:after="0"/>
        <w:tabs>
          <w:tab w:leader="none" w:pos="6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claims staffing levels whereby claims may be settled at a different rate based on the future staffing levels of the claims department.</w:t>
      </w:r>
    </w:p>
    <w:p>
      <w:pPr>
        <w:spacing w:after="0" w:line="113" w:lineRule="exact"/>
        <w:rPr>
          <w:sz w:val="20"/>
          <w:szCs w:val="20"/>
          <w:color w:val="auto"/>
        </w:rPr>
      </w:pPr>
    </w:p>
    <w:p>
      <w:pPr>
        <w:ind w:firstLine="267"/>
        <w:spacing w:after="0" w:line="331" w:lineRule="auto"/>
        <w:rPr>
          <w:sz w:val="20"/>
          <w:szCs w:val="20"/>
          <w:color w:val="auto"/>
        </w:rPr>
      </w:pPr>
      <w:r>
        <w:rPr>
          <w:rFonts w:ascii="Arial" w:cs="Arial" w:eastAsia="Arial" w:hAnsi="Arial"/>
          <w:sz w:val="16"/>
          <w:szCs w:val="16"/>
          <w:color w:val="auto"/>
        </w:rPr>
        <w:t>In addition to our title insurance reserves, at December 31, 2008, we held claim reserves of $59.6 million in our specialty insurance business segment. There is uncertainty with respect to the precise payout pattern of these reserves, which we have estimated in the table above based on historical experience.</w:t>
      </w:r>
    </w:p>
    <w:p>
      <w:pPr>
        <w:spacing w:after="0" w:line="26" w:lineRule="exact"/>
        <w:rPr>
          <w:sz w:val="20"/>
          <w:szCs w:val="20"/>
          <w:color w:val="auto"/>
        </w:rPr>
      </w:pPr>
    </w:p>
    <w:p>
      <w:pPr>
        <w:ind w:right="200" w:firstLine="222"/>
        <w:spacing w:after="0" w:line="283" w:lineRule="auto"/>
        <w:rPr>
          <w:sz w:val="20"/>
          <w:szCs w:val="20"/>
          <w:color w:val="auto"/>
        </w:rPr>
      </w:pPr>
      <w:r>
        <w:rPr>
          <w:rFonts w:ascii="Arial" w:cs="Arial" w:eastAsia="Arial" w:hAnsi="Arial"/>
          <w:sz w:val="16"/>
          <w:szCs w:val="16"/>
          <w:i w:val="1"/>
          <w:iCs w:val="1"/>
          <w:color w:val="auto"/>
        </w:rPr>
        <w:t xml:space="preserve">Capital Stock Transactions. </w:t>
      </w:r>
      <w:r>
        <w:rPr>
          <w:rFonts w:ascii="Arial" w:cs="Arial" w:eastAsia="Arial" w:hAnsi="Arial"/>
          <w:sz w:val="16"/>
          <w:szCs w:val="16"/>
          <w:color w:val="auto"/>
        </w:rPr>
        <w:t>On October 25, 2006, our Board of Directors approved a three-year stock repurchase program under which we can repurchase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up to 25 million shares of our common stock. We may make purchases from time to time in the open market, in block purchases or in privately negotiated transactions, depending on market conditions and other factors. During 2008, we repurchased a total of 3,165,470 shares of our common stock for</w:t>
      </w:r>
    </w:p>
    <w:p>
      <w:pPr>
        <w:ind w:right="40"/>
        <w:spacing w:after="0" w:line="249" w:lineRule="auto"/>
        <w:rPr>
          <w:sz w:val="20"/>
          <w:szCs w:val="20"/>
          <w:color w:val="auto"/>
        </w:rPr>
      </w:pPr>
      <w:r>
        <w:rPr>
          <w:rFonts w:ascii="Arial" w:cs="Arial" w:eastAsia="Arial" w:hAnsi="Arial"/>
          <w:sz w:val="18"/>
          <w:szCs w:val="18"/>
          <w:color w:val="auto"/>
        </w:rPr>
        <w:t>$46.0 million, or an average of $14.53 per share. Since the commencement of this plan, we have repurchased a total of 12,840,470 shares for $229.1 million, or an average of $17.84 per share. This includes 1,000,000 shares which we purchased in 2007 from our Chairman of the Board, William P. Foley, II. In August 2007, Mr. Foley planned to sell 1,000,000 shares of FNF stock on the open market. Because the Company was actively purchasing shares of treasury stock on the open market at the same time, the Company agreed to purchase 1,000,000 shares from Mr. Foley on August 8, 2007, for $22.1 million, or $22.09 per share, the market price at the time of the purchase.</w:t>
      </w:r>
    </w:p>
    <w:p>
      <w:pPr>
        <w:spacing w:after="0" w:line="89" w:lineRule="exact"/>
        <w:rPr>
          <w:sz w:val="20"/>
          <w:szCs w:val="20"/>
          <w:color w:val="auto"/>
        </w:rPr>
      </w:pPr>
    </w:p>
    <w:p>
      <w:pPr>
        <w:ind w:right="220" w:firstLine="222"/>
        <w:spacing w:after="0" w:line="267" w:lineRule="auto"/>
        <w:rPr>
          <w:sz w:val="20"/>
          <w:szCs w:val="20"/>
          <w:color w:val="auto"/>
        </w:rPr>
      </w:pPr>
      <w:r>
        <w:rPr>
          <w:rFonts w:ascii="Arial" w:cs="Arial" w:eastAsia="Arial" w:hAnsi="Arial"/>
          <w:sz w:val="18"/>
          <w:szCs w:val="18"/>
          <w:i w:val="1"/>
          <w:iCs w:val="1"/>
          <w:color w:val="auto"/>
        </w:rPr>
        <w:t xml:space="preserve">Additional Minimum Pension Liability Adjustment. </w:t>
      </w:r>
      <w:r>
        <w:rPr>
          <w:rFonts w:ascii="Arial" w:cs="Arial" w:eastAsia="Arial" w:hAnsi="Arial"/>
          <w:sz w:val="18"/>
          <w:szCs w:val="18"/>
          <w:color w:val="auto"/>
        </w:rPr>
        <w:t>We recorded a net-of-tax charge of $17.9 million to accumulated other comprehensive loss in 2008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change in our minimum pension liability.</w:t>
      </w:r>
    </w:p>
    <w:p>
      <w:pPr>
        <w:spacing w:after="0" w:line="73" w:lineRule="exact"/>
        <w:rPr>
          <w:sz w:val="20"/>
          <w:szCs w:val="20"/>
          <w:color w:val="auto"/>
        </w:rPr>
      </w:pPr>
    </w:p>
    <w:p>
      <w:pPr>
        <w:ind w:right="20" w:firstLine="222"/>
        <w:spacing w:after="0" w:line="295" w:lineRule="auto"/>
        <w:rPr>
          <w:sz w:val="20"/>
          <w:szCs w:val="20"/>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Our equity investments are in companies whose values are subject to significant volatility. Should the fair value of these investments fall</w:t>
      </w:r>
      <w:r>
        <w:rPr>
          <w:rFonts w:ascii="Arial" w:cs="Arial" w:eastAsia="Arial" w:hAnsi="Arial"/>
          <w:sz w:val="16"/>
          <w:szCs w:val="16"/>
          <w:i w:val="1"/>
          <w:iCs w:val="1"/>
          <w:color w:val="auto"/>
        </w:rPr>
        <w:t xml:space="preserve"> </w:t>
      </w:r>
      <w:r>
        <w:rPr>
          <w:rFonts w:ascii="Arial" w:cs="Arial" w:eastAsia="Arial" w:hAnsi="Arial"/>
          <w:sz w:val="16"/>
          <w:szCs w:val="16"/>
          <w:color w:val="auto"/>
        </w:rPr>
        <w:t>below our cost basis and/or the financial condition or prospects of these companies deteriorate, we may determine in a future period that this decline in fair value is other-than-temporary, requiring that an impairment loss be recognized in the period such a determination is made. During the year ended December 31, 2008, we recorded impairment charges of $30.1 million related to equity investments that we determined were other-than-temporarily impaired.</w:t>
      </w:r>
    </w:p>
    <w:p>
      <w:pPr>
        <w:spacing w:after="0" w:line="56" w:lineRule="exact"/>
        <w:rPr>
          <w:sz w:val="20"/>
          <w:szCs w:val="20"/>
          <w:color w:val="auto"/>
        </w:rPr>
      </w:pPr>
    </w:p>
    <w:p>
      <w:pPr>
        <w:ind w:firstLine="222"/>
        <w:spacing w:after="0" w:line="267" w:lineRule="auto"/>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We do not engage in off-balance sheet activities other than facility and equipment leasing arrangements. On June 29, 2004,</w:t>
      </w:r>
      <w:r>
        <w:rPr>
          <w:rFonts w:ascii="Arial" w:cs="Arial" w:eastAsia="Arial" w:hAnsi="Arial"/>
          <w:sz w:val="17"/>
          <w:szCs w:val="17"/>
          <w:i w:val="1"/>
          <w:iCs w:val="1"/>
          <w:color w:val="auto"/>
        </w:rPr>
        <w:t xml:space="preserve"> </w:t>
      </w:r>
      <w:r>
        <w:rPr>
          <w:rFonts w:ascii="Arial" w:cs="Arial" w:eastAsia="Arial" w:hAnsi="Arial"/>
          <w:sz w:val="17"/>
          <w:szCs w:val="17"/>
          <w:color w:val="auto"/>
        </w:rPr>
        <w:t>Old FNF entered into an off-balance sheet financing arrangement (commonly referred to as a “synthetic lease”). The owner/lessor in this arrangement acquired land and various real property improvements associated with new construction of an office building in Jacksonville, Florida that is part of our corporate campus and headquarters. The lease expires on June 28, 2011, with renewal subject to consent of the lessor and the lenders. The lessor is a third-party limited liability company. The synthetic lease facility provides for amounts up to $75.0 million. As of December 31, 2008, the full $75.0 million had been drawn on the facility to finance land costs and related fees and expenses and the outstanding balance was $70.1 million. The lease includes guarantees by us of up to 86.7% of the outstanding lease balance, and options to purchase the facilities at the outstanding lease balance. The guarantee becomes effective if we decline to purchase the facilities at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end of the lease and also decline to renew the lease. The lessor financed the acquisition of the facilities through funding provided by third-party financial institutions. We have no affiliation or relationship with the lessor or any of its employees, directors or affiliates, and our transactions with the lessor are limited to the operating lease agreement and the associated rent expense that is included in other operating expenses in the Consolidated Statements of Earnings.</w:t>
      </w:r>
    </w:p>
    <w:p>
      <w:pPr>
        <w:spacing w:after="0" w:line="48" w:lineRule="exact"/>
        <w:rPr>
          <w:sz w:val="20"/>
          <w:szCs w:val="20"/>
          <w:color w:val="auto"/>
        </w:rPr>
      </w:pPr>
    </w:p>
    <w:p>
      <w:pPr>
        <w:ind w:right="20" w:firstLine="219"/>
        <w:spacing w:after="0" w:line="252" w:lineRule="auto"/>
        <w:rPr>
          <w:sz w:val="20"/>
          <w:szCs w:val="20"/>
          <w:color w:val="auto"/>
        </w:rPr>
      </w:pPr>
      <w:r>
        <w:rPr>
          <w:rFonts w:ascii="Arial" w:cs="Arial" w:eastAsia="Arial" w:hAnsi="Arial"/>
          <w:sz w:val="18"/>
          <w:szCs w:val="18"/>
          <w:color w:val="auto"/>
        </w:rPr>
        <w:t>We do not believe the lessor is a variable interest entity, as defined in FASB Interpretation No. 46R, “Consolidation of Variable Interest Entities” (“FIN 46”). In addition, we have verified that even if the lessor was determined to be a variable interest entity, we would not be required to consolidate the lessor or the assets and liabilities associated with the assets leased to us. This is because the assets leased by us will not exceed 50% of the total fair value of the lessor’s assets excluding any assets that should be excluded from such calculation under FIN 46, nor did the lessor finance 95% or more of the leased balance with non-recourse debt, target equity or similar funding.</w:t>
      </w:r>
    </w:p>
    <w:p>
      <w:pPr>
        <w:spacing w:after="0" w:line="87" w:lineRule="exact"/>
        <w:rPr>
          <w:sz w:val="20"/>
          <w:szCs w:val="20"/>
          <w:color w:val="auto"/>
        </w:rPr>
      </w:pPr>
    </w:p>
    <w:p>
      <w:pPr>
        <w:ind w:right="140" w:firstLine="222"/>
        <w:spacing w:after="0" w:line="273" w:lineRule="auto"/>
        <w:rPr>
          <w:sz w:val="20"/>
          <w:szCs w:val="20"/>
          <w:color w:val="auto"/>
        </w:rPr>
      </w:pPr>
      <w:r>
        <w:rPr>
          <w:rFonts w:ascii="Arial" w:cs="Arial" w:eastAsia="Arial" w:hAnsi="Arial"/>
          <w:sz w:val="17"/>
          <w:szCs w:val="17"/>
          <w:color w:val="auto"/>
        </w:rPr>
        <w:t>In conducting our operations, we routinely hold customers’ assets in escrow, pending completion of real estate transactions. Certain of these amounts are maintained in segregated bank accounts and have not been included in the Consolidated Balance Sheets. As a result of holding these customers’ assets in escrow, we have ongoing programs for realizing economic benefits during the year through favorable borrowing and vendor arrangements with various banks. There were no investments or loans outstanding as of December 31, 2008 related to these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 a description of recent accounting pronouncements, please see note A of Notes to Consolidated Financial Statements included elsewhere herein.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 About Market Risk</w:t>
      </w:r>
    </w:p>
    <w:p>
      <w:pPr>
        <w:spacing w:after="0" w:line="119"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In the normal course of business, we are routinely subject to a variety of risks, as described in the Risk Factors section of this Annual Report on Form 10-K and in our other filings with the Securities and Exchange Commission. For example, we are exposed to the risk that decreased real estate activity, which depends in part on the level of interest rates, may reduce our title insurance revenues.</w:t>
      </w:r>
    </w:p>
    <w:p>
      <w:pPr>
        <w:spacing w:after="0" w:line="82" w:lineRule="exact"/>
        <w:rPr>
          <w:sz w:val="20"/>
          <w:szCs w:val="20"/>
          <w:color w:val="auto"/>
        </w:rPr>
      </w:pPr>
    </w:p>
    <w:p>
      <w:pPr>
        <w:ind w:right="280" w:firstLine="219"/>
        <w:spacing w:after="0" w:line="257" w:lineRule="auto"/>
        <w:rPr>
          <w:sz w:val="20"/>
          <w:szCs w:val="20"/>
          <w:color w:val="auto"/>
        </w:rPr>
      </w:pPr>
      <w:r>
        <w:rPr>
          <w:rFonts w:ascii="Arial" w:cs="Arial" w:eastAsia="Arial" w:hAnsi="Arial"/>
          <w:sz w:val="18"/>
          <w:szCs w:val="18"/>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outstanding debt and fixed income investments.</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We regularly assess these market risks and have established policies and business practices designed to protect against the adverse effects of these exposures.</w:t>
      </w:r>
    </w:p>
    <w:p>
      <w:pPr>
        <w:spacing w:after="0" w:line="159" w:lineRule="exact"/>
        <w:rPr>
          <w:sz w:val="20"/>
          <w:szCs w:val="20"/>
          <w:color w:val="auto"/>
        </w:rPr>
      </w:pPr>
    </w:p>
    <w:p>
      <w:pPr>
        <w:ind w:right="240" w:firstLine="212"/>
        <w:spacing w:after="0" w:line="288" w:lineRule="auto"/>
        <w:rPr>
          <w:sz w:val="20"/>
          <w:szCs w:val="20"/>
          <w:color w:val="auto"/>
        </w:rPr>
      </w:pPr>
      <w:r>
        <w:rPr>
          <w:rFonts w:ascii="Arial" w:cs="Arial" w:eastAsia="Arial" w:hAnsi="Arial"/>
          <w:sz w:val="16"/>
          <w:szCs w:val="16"/>
          <w:color w:val="auto"/>
        </w:rPr>
        <w:t>At December 31, 2008, we had $1.4 billion in long-term debt, of which $0.6 billion bears interest at a floating rate. Our fixed maturity investments and borrowings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 We manage interest rate risk through a variety of measures. We monitor our interest rate risk and make investment decisions to manage the perceived risk. However, we do not currently use derivative financial instruments in any material amount to hedge these risks.</w:t>
      </w:r>
    </w:p>
    <w:p>
      <w:pPr>
        <w:spacing w:after="0" w:line="62" w:lineRule="exact"/>
        <w:rPr>
          <w:sz w:val="20"/>
          <w:szCs w:val="20"/>
          <w:color w:val="auto"/>
        </w:rPr>
      </w:pPr>
    </w:p>
    <w:p>
      <w:pPr>
        <w:ind w:firstLine="222"/>
        <w:spacing w:after="0" w:line="252" w:lineRule="auto"/>
        <w:rPr>
          <w:sz w:val="20"/>
          <w:szCs w:val="20"/>
          <w:color w:val="auto"/>
        </w:rPr>
      </w:pPr>
      <w:r>
        <w:rPr>
          <w:rFonts w:ascii="Arial" w:cs="Arial" w:eastAsia="Arial" w:hAnsi="Arial"/>
          <w:sz w:val="18"/>
          <w:szCs w:val="18"/>
          <w:color w:val="auto"/>
        </w:rPr>
        <w:t>Equity price risk is the risk that we will incur economic losses due to adverse changes in equity prices. In the past, our exposure to changes in equity prices primarily resulted from our holdings of equity securities. At December 31, 2008, we held $71.5 million in marketable equity securities (not including our equity method investments such as Sedgwick, Ceridian, and Remy, which amounted to $644.5 million at December 31, 2008). The carrying values of investments subject to equity price risks are based on quoted market prices as of the balance sheet date. Market prices are subject to fluctuation and, consequently, the amount realized in the subsequent sale of an investment may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 We principally manage equity price risk in our equity securities portfolio through industry and issuer diversification and asset allocation techniques.</w:t>
      </w:r>
    </w:p>
    <w:p>
      <w:pPr>
        <w:spacing w:after="0" w:line="84" w:lineRule="exact"/>
        <w:rPr>
          <w:sz w:val="20"/>
          <w:szCs w:val="20"/>
          <w:color w:val="auto"/>
        </w:rPr>
      </w:pPr>
    </w:p>
    <w:p>
      <w:pPr>
        <w:ind w:right="60" w:firstLine="222"/>
        <w:spacing w:after="0" w:line="267" w:lineRule="auto"/>
        <w:rPr>
          <w:sz w:val="20"/>
          <w:szCs w:val="20"/>
          <w:color w:val="auto"/>
        </w:rPr>
      </w:pPr>
      <w:r>
        <w:rPr>
          <w:rFonts w:ascii="Arial" w:cs="Arial" w:eastAsia="Arial" w:hAnsi="Arial"/>
          <w:sz w:val="18"/>
          <w:szCs w:val="18"/>
          <w:color w:val="auto"/>
        </w:rPr>
        <w:t>For purposes of this Annual Report on Form 10-K, we perform a sensitivity analysis to determine the effects that market risk exposures may have on the fair values of our debt and other financial instruments.</w:t>
      </w:r>
    </w:p>
    <w:p>
      <w:pPr>
        <w:spacing w:after="0" w:line="73" w:lineRule="exact"/>
        <w:rPr>
          <w:sz w:val="20"/>
          <w:szCs w:val="20"/>
          <w:color w:val="auto"/>
        </w:rPr>
      </w:pPr>
    </w:p>
    <w:p>
      <w:pPr>
        <w:ind w:firstLine="219"/>
        <w:spacing w:after="0" w:line="273" w:lineRule="auto"/>
        <w:rPr>
          <w:sz w:val="20"/>
          <w:szCs w:val="20"/>
          <w:color w:val="auto"/>
        </w:rPr>
      </w:pPr>
      <w:r>
        <w:rPr>
          <w:rFonts w:ascii="Arial" w:cs="Arial" w:eastAsia="Arial" w:hAnsi="Arial"/>
          <w:sz w:val="17"/>
          <w:szCs w:val="17"/>
          <w:color w:val="auto"/>
        </w:rPr>
        <w:t>The financial instruments that are included in the sensitivity analysis with respect to interest rate risk include fixed maturity investments and notes payable. The financial instruments that are included in the sensitivity analysis with respect to equity price risk include marketable equity securities. With the exception of equity method investments, it is not anticipated that there would be a significant change in the fair value of other long-term investments or short-term investments if there were a change in market conditions, based on the nature and duration of the financial instruments involved.</w:t>
      </w:r>
    </w:p>
    <w:p>
      <w:pPr>
        <w:spacing w:after="0" w:line="71" w:lineRule="exact"/>
        <w:rPr>
          <w:sz w:val="20"/>
          <w:szCs w:val="20"/>
          <w:color w:val="auto"/>
        </w:rPr>
      </w:pPr>
    </w:p>
    <w:p>
      <w:pPr>
        <w:ind w:right="60" w:firstLine="219"/>
        <w:spacing w:after="0" w:line="254" w:lineRule="auto"/>
        <w:rPr>
          <w:sz w:val="20"/>
          <w:szCs w:val="20"/>
          <w:color w:val="auto"/>
        </w:rPr>
      </w:pPr>
      <w:r>
        <w:rPr>
          <w:rFonts w:ascii="Arial" w:cs="Arial" w:eastAsia="Arial" w:hAnsi="Arial"/>
          <w:sz w:val="18"/>
          <w:szCs w:val="18"/>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 values for equity price risk are determined by comparing the market price of investments against their reported values as of the balance sheet date.</w:t>
      </w:r>
    </w:p>
    <w:p>
      <w:pPr>
        <w:spacing w:after="0" w:line="84" w:lineRule="exact"/>
        <w:rPr>
          <w:sz w:val="20"/>
          <w:szCs w:val="20"/>
          <w:color w:val="auto"/>
        </w:rPr>
      </w:pPr>
    </w:p>
    <w:p>
      <w:pPr>
        <w:jc w:val="both"/>
        <w:ind w:right="380" w:firstLine="222"/>
        <w:spacing w:after="0" w:line="279" w:lineRule="auto"/>
        <w:rPr>
          <w:sz w:val="20"/>
          <w:szCs w:val="20"/>
          <w:color w:val="auto"/>
        </w:rPr>
      </w:pPr>
      <w:r>
        <w:rPr>
          <w:rFonts w:ascii="Arial" w:cs="Arial" w:eastAsia="Arial" w:hAnsi="Arial"/>
          <w:sz w:val="17"/>
          <w:szCs w:val="17"/>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For example, our reserve for claim losses (representing 49.7% of total liabilities at December 31, 2008) is not included in the hypothetical effects.</w:t>
      </w:r>
    </w:p>
    <w:p>
      <w:pPr>
        <w:spacing w:after="0" w:line="65" w:lineRule="exact"/>
        <w:rPr>
          <w:sz w:val="20"/>
          <w:szCs w:val="20"/>
          <w:color w:val="auto"/>
        </w:rPr>
      </w:pPr>
    </w:p>
    <w:p>
      <w:pPr>
        <w:ind w:right="220" w:firstLine="219"/>
        <w:spacing w:after="0" w:line="297" w:lineRule="auto"/>
        <w:rPr>
          <w:sz w:val="20"/>
          <w:szCs w:val="20"/>
          <w:color w:val="auto"/>
        </w:rPr>
      </w:pPr>
      <w:r>
        <w:rPr>
          <w:rFonts w:ascii="Arial" w:cs="Arial" w:eastAsia="Arial" w:hAnsi="Arial"/>
          <w:sz w:val="17"/>
          <w:szCs w:val="17"/>
          <w:color w:val="auto"/>
        </w:rPr>
        <w:t>We have no market risk sensitive instruments entered into for trading purposes; therefore, all of our market risk sensitive instruments were entered into for purposes other than trading. The results of the sensitivity analysis at December 31, 2008, and December 31, 2007, are as follows: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9" w:lineRule="exact"/>
        <w:rPr>
          <w:sz w:val="20"/>
          <w:szCs w:val="20"/>
          <w:color w:val="auto"/>
        </w:rPr>
      </w:pPr>
    </w:p>
    <w:p>
      <w:pPr>
        <w:ind w:right="220" w:firstLine="212"/>
        <w:spacing w:after="0" w:line="257" w:lineRule="auto"/>
        <w:rPr>
          <w:sz w:val="20"/>
          <w:szCs w:val="20"/>
          <w:color w:val="auto"/>
        </w:rPr>
      </w:pPr>
      <w:r>
        <w:rPr>
          <w:rFonts w:ascii="Arial" w:cs="Arial" w:eastAsia="Arial" w:hAnsi="Arial"/>
          <w:sz w:val="18"/>
          <w:szCs w:val="18"/>
          <w:color w:val="auto"/>
        </w:rPr>
        <w:t>At December 31, 2008, an increase (decrease) in the levels of interest rates of 100 basis points, with all other variables held constant, would result in a (decrease) increase in the fair value of our fixed maturity securities of $96.7 million as compared with a (decrease) increase of $91.9 million at December 31, 2007.</w:t>
      </w:r>
    </w:p>
    <w:p>
      <w:pPr>
        <w:spacing w:after="0" w:line="82" w:lineRule="exact"/>
        <w:rPr>
          <w:sz w:val="20"/>
          <w:szCs w:val="20"/>
          <w:color w:val="auto"/>
        </w:rPr>
      </w:pPr>
    </w:p>
    <w:p>
      <w:pPr>
        <w:ind w:right="120" w:firstLine="212"/>
        <w:spacing w:after="0" w:line="257" w:lineRule="auto"/>
        <w:rPr>
          <w:sz w:val="20"/>
          <w:szCs w:val="20"/>
          <w:color w:val="auto"/>
        </w:rPr>
      </w:pPr>
      <w:r>
        <w:rPr>
          <w:rFonts w:ascii="Arial" w:cs="Arial" w:eastAsia="Arial" w:hAnsi="Arial"/>
          <w:sz w:val="18"/>
          <w:szCs w:val="18"/>
          <w:color w:val="auto"/>
        </w:rPr>
        <w:t>Additionally, for the year ended December 31, 2008, an increase (decrease) of 100 basis points in the levels of interest rates, with all other variables held constant, would result in an increase (decrease) in the interest expense on our average outstanding floating rate debt of $4.3 million as compared to an increase (decrease) of $1.0 million for the year ended December 31, 2007.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19" w:lineRule="exact"/>
        <w:rPr>
          <w:sz w:val="20"/>
          <w:szCs w:val="20"/>
          <w:color w:val="auto"/>
        </w:rPr>
      </w:pPr>
    </w:p>
    <w:p>
      <w:pPr>
        <w:ind w:right="240" w:firstLine="212"/>
        <w:spacing w:after="0" w:line="297" w:lineRule="auto"/>
        <w:rPr>
          <w:sz w:val="20"/>
          <w:szCs w:val="20"/>
          <w:color w:val="auto"/>
        </w:rPr>
      </w:pPr>
      <w:r>
        <w:rPr>
          <w:rFonts w:ascii="Arial" w:cs="Arial" w:eastAsia="Arial" w:hAnsi="Arial"/>
          <w:sz w:val="17"/>
          <w:szCs w:val="17"/>
          <w:color w:val="auto"/>
        </w:rPr>
        <w:t>At December 31, 2008, a 20% increase (decrease) in market prices, with all other variables held constant, would result in an increase (decrease) in the fair value of our equity securities portfolio of $14.3 million, as compared with an increase (decrease) of $18.7 million at December 31, 2007.</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8600" w:type="dxa"/>
            <w:vAlign w:val="bottom"/>
            <w:gridSpan w:val="8"/>
            <w:vMerge w:val="restart"/>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Report of Independent Registered Public Accounting Firm on Effectiveness of Internal Control over Financial Reporting</w:t>
              </w:r>
            </w:hyperlink>
          </w:p>
        </w:tc>
        <w:tc>
          <w:tcPr>
            <w:tcW w:w="1960" w:type="dxa"/>
            <w:vAlign w:val="bottom"/>
            <w:vMerge w:val="restart"/>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72"/>
        </w:trPr>
        <w:tc>
          <w:tcPr>
            <w:tcW w:w="8600" w:type="dxa"/>
            <w:vAlign w:val="bottom"/>
            <w:tcBorders>
              <w:bottom w:val="single" w:sz="8" w:color="0000EE"/>
            </w:tcBorders>
            <w:gridSpan w:val="8"/>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860" w:type="dxa"/>
            <w:vAlign w:val="bottom"/>
          </w:tcPr>
          <w:p>
            <w:pPr>
              <w:jc w:val="center"/>
              <w:spacing w:after="0" w:line="167" w:lineRule="exact"/>
              <w:rPr>
                <w:sz w:val="20"/>
                <w:szCs w:val="20"/>
                <w:color w:val="auto"/>
              </w:rPr>
            </w:pPr>
            <w:r>
              <w:rPr>
                <w:rFonts w:ascii="Arial" w:cs="Arial" w:eastAsia="Arial" w:hAnsi="Arial"/>
                <w:sz w:val="18"/>
                <w:szCs w:val="18"/>
                <w:color w:val="auto"/>
                <w:w w:val="79"/>
              </w:rPr>
              <w:t>56</w:t>
            </w:r>
          </w:p>
        </w:tc>
        <w:tc>
          <w:tcPr>
            <w:tcW w:w="0" w:type="dxa"/>
            <w:vAlign w:val="bottom"/>
          </w:tcPr>
          <w:p>
            <w:pPr>
              <w:spacing w:after="0"/>
              <w:rPr>
                <w:sz w:val="1"/>
                <w:szCs w:val="1"/>
                <w:color w:val="auto"/>
              </w:rPr>
            </w:pPr>
          </w:p>
        </w:tc>
      </w:tr>
      <w:tr>
        <w:trPr>
          <w:trHeight w:val="193"/>
        </w:trPr>
        <w:tc>
          <w:tcPr>
            <w:tcW w:w="10560" w:type="dxa"/>
            <w:vAlign w:val="bottom"/>
            <w:gridSpan w:val="9"/>
          </w:tcPr>
          <w:p>
            <w:pPr>
              <w:spacing w:after="0" w:line="194" w:lineRule="exact"/>
              <w:rPr>
                <w:rFonts w:ascii="Arial" w:cs="Arial" w:eastAsia="Arial" w:hAnsi="Arial"/>
                <w:sz w:val="18"/>
                <w:szCs w:val="18"/>
                <w:color w:val="0000EE"/>
              </w:rPr>
            </w:pPr>
            <w:hyperlink w:anchor="page61">
              <w:r>
                <w:rPr>
                  <w:rFonts w:ascii="Arial" w:cs="Arial" w:eastAsia="Arial" w:hAnsi="Arial"/>
                  <w:sz w:val="18"/>
                  <w:szCs w:val="18"/>
                  <w:color w:val="0000EE"/>
                </w:rPr>
                <w:t>Report of Independent Registered Public Accounting Firm on Financial Statements</w:t>
              </w:r>
            </w:hyperlink>
          </w:p>
        </w:tc>
        <w:tc>
          <w:tcPr>
            <w:tcW w:w="860" w:type="dxa"/>
            <w:vAlign w:val="bottom"/>
          </w:tcPr>
          <w:p>
            <w:pPr>
              <w:jc w:val="center"/>
              <w:spacing w:after="0" w:line="194" w:lineRule="exact"/>
              <w:rPr>
                <w:sz w:val="20"/>
                <w:szCs w:val="20"/>
                <w:color w:val="auto"/>
              </w:rPr>
            </w:pPr>
            <w:r>
              <w:rPr>
                <w:rFonts w:ascii="Arial" w:cs="Arial" w:eastAsia="Arial" w:hAnsi="Arial"/>
                <w:sz w:val="18"/>
                <w:szCs w:val="18"/>
                <w:color w:val="auto"/>
                <w:w w:val="79"/>
              </w:rPr>
              <w:t>58</w:t>
            </w:r>
          </w:p>
        </w:tc>
        <w:tc>
          <w:tcPr>
            <w:tcW w:w="0" w:type="dxa"/>
            <w:vAlign w:val="bottom"/>
          </w:tcPr>
          <w:p>
            <w:pPr>
              <w:spacing w:after="0"/>
              <w:rPr>
                <w:sz w:val="1"/>
                <w:szCs w:val="1"/>
                <w:color w:val="auto"/>
              </w:rPr>
            </w:pPr>
          </w:p>
        </w:tc>
      </w:tr>
      <w:tr>
        <w:trPr>
          <w:trHeight w:val="193"/>
        </w:trPr>
        <w:tc>
          <w:tcPr>
            <w:tcW w:w="460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Consolidated Balance Sheets as of December 31, 2008 and 2007</w:t>
              </w:r>
            </w:hyperlink>
          </w:p>
        </w:tc>
        <w:tc>
          <w:tcPr>
            <w:tcW w:w="1320" w:type="dxa"/>
            <w:vAlign w:val="bottom"/>
            <w:tcBorders>
              <w:top w:val="single" w:sz="8" w:color="0000EE"/>
            </w:tcBorders>
          </w:tcPr>
          <w:p>
            <w:pPr>
              <w:spacing w:after="0"/>
              <w:rPr>
                <w:sz w:val="16"/>
                <w:szCs w:val="16"/>
                <w:color w:val="auto"/>
              </w:rPr>
            </w:pPr>
          </w:p>
        </w:tc>
        <w:tc>
          <w:tcPr>
            <w:tcW w:w="4640" w:type="dxa"/>
            <w:vAlign w:val="bottom"/>
            <w:gridSpan w:val="6"/>
          </w:tcPr>
          <w:p>
            <w:pPr>
              <w:spacing w:after="0"/>
              <w:rPr>
                <w:sz w:val="16"/>
                <w:szCs w:val="16"/>
                <w:color w:val="auto"/>
              </w:rPr>
            </w:pPr>
          </w:p>
        </w:tc>
        <w:tc>
          <w:tcPr>
            <w:tcW w:w="860" w:type="dxa"/>
            <w:vAlign w:val="bottom"/>
          </w:tcPr>
          <w:p>
            <w:pPr>
              <w:jc w:val="center"/>
              <w:spacing w:after="0" w:line="194" w:lineRule="exact"/>
              <w:rPr>
                <w:sz w:val="20"/>
                <w:szCs w:val="20"/>
                <w:color w:val="auto"/>
              </w:rPr>
            </w:pPr>
            <w:r>
              <w:rPr>
                <w:rFonts w:ascii="Arial" w:cs="Arial" w:eastAsia="Arial" w:hAnsi="Arial"/>
                <w:sz w:val="18"/>
                <w:szCs w:val="18"/>
                <w:color w:val="auto"/>
                <w:w w:val="79"/>
              </w:rPr>
              <w:t>59</w:t>
            </w:r>
          </w:p>
        </w:tc>
        <w:tc>
          <w:tcPr>
            <w:tcW w:w="0" w:type="dxa"/>
            <w:vAlign w:val="bottom"/>
          </w:tcPr>
          <w:p>
            <w:pPr>
              <w:spacing w:after="0"/>
              <w:rPr>
                <w:sz w:val="1"/>
                <w:szCs w:val="1"/>
                <w:color w:val="auto"/>
              </w:rPr>
            </w:pPr>
          </w:p>
        </w:tc>
      </w:tr>
      <w:tr>
        <w:trPr>
          <w:trHeight w:val="193"/>
        </w:trPr>
        <w:tc>
          <w:tcPr>
            <w:tcW w:w="10560" w:type="dxa"/>
            <w:vAlign w:val="bottom"/>
            <w:gridSpan w:val="9"/>
          </w:tcPr>
          <w:p>
            <w:pPr>
              <w:spacing w:after="0" w:line="194"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Statements of Earnings for the years ended December 31, 2008, 2007, and 2006</w:t>
              </w:r>
            </w:hyperlink>
          </w:p>
        </w:tc>
        <w:tc>
          <w:tcPr>
            <w:tcW w:w="860" w:type="dxa"/>
            <w:vAlign w:val="bottom"/>
          </w:tcPr>
          <w:p>
            <w:pPr>
              <w:jc w:val="center"/>
              <w:spacing w:after="0" w:line="194" w:lineRule="exact"/>
              <w:rPr>
                <w:sz w:val="20"/>
                <w:szCs w:val="20"/>
                <w:color w:val="auto"/>
              </w:rPr>
            </w:pPr>
            <w:r>
              <w:rPr>
                <w:rFonts w:ascii="Arial" w:cs="Arial" w:eastAsia="Arial" w:hAnsi="Arial"/>
                <w:sz w:val="18"/>
                <w:szCs w:val="18"/>
                <w:color w:val="auto"/>
                <w:w w:val="79"/>
              </w:rPr>
              <w:t>60</w:t>
            </w:r>
          </w:p>
        </w:tc>
        <w:tc>
          <w:tcPr>
            <w:tcW w:w="0" w:type="dxa"/>
            <w:vAlign w:val="bottom"/>
          </w:tcPr>
          <w:p>
            <w:pPr>
              <w:spacing w:after="0"/>
              <w:rPr>
                <w:sz w:val="1"/>
                <w:szCs w:val="1"/>
                <w:color w:val="auto"/>
              </w:rPr>
            </w:pPr>
          </w:p>
        </w:tc>
      </w:tr>
      <w:tr>
        <w:trPr>
          <w:trHeight w:val="20"/>
        </w:trPr>
        <w:tc>
          <w:tcPr>
            <w:tcW w:w="312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560" w:type="dxa"/>
            <w:vAlign w:val="bottom"/>
            <w:gridSpan w:val="9"/>
          </w:tcPr>
          <w:p>
            <w:pPr>
              <w:spacing w:after="0" w:line="194"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Statements of Comprehensive Earnings for the years ended December 31, 2008, 2007, and 2006</w:t>
              </w:r>
            </w:hyperlink>
          </w:p>
        </w:tc>
        <w:tc>
          <w:tcPr>
            <w:tcW w:w="860" w:type="dxa"/>
            <w:vAlign w:val="bottom"/>
          </w:tcPr>
          <w:p>
            <w:pPr>
              <w:jc w:val="center"/>
              <w:spacing w:after="0" w:line="194" w:lineRule="exact"/>
              <w:rPr>
                <w:sz w:val="20"/>
                <w:szCs w:val="20"/>
                <w:color w:val="auto"/>
              </w:rPr>
            </w:pPr>
            <w:r>
              <w:rPr>
                <w:rFonts w:ascii="Arial" w:cs="Arial" w:eastAsia="Arial" w:hAnsi="Arial"/>
                <w:sz w:val="18"/>
                <w:szCs w:val="18"/>
                <w:color w:val="auto"/>
                <w:w w:val="79"/>
              </w:rPr>
              <w:t>61</w:t>
            </w:r>
          </w:p>
        </w:tc>
        <w:tc>
          <w:tcPr>
            <w:tcW w:w="0" w:type="dxa"/>
            <w:vAlign w:val="bottom"/>
          </w:tcPr>
          <w:p>
            <w:pPr>
              <w:spacing w:after="0"/>
              <w:rPr>
                <w:sz w:val="1"/>
                <w:szCs w:val="1"/>
                <w:color w:val="auto"/>
              </w:rPr>
            </w:pPr>
          </w:p>
        </w:tc>
      </w:tr>
      <w:tr>
        <w:trPr>
          <w:trHeight w:val="193"/>
        </w:trPr>
        <w:tc>
          <w:tcPr>
            <w:tcW w:w="7820" w:type="dxa"/>
            <w:vAlign w:val="bottom"/>
            <w:tcBorders>
              <w:top w:val="single" w:sz="8" w:color="0000EE"/>
            </w:tcBorders>
            <w:gridSpan w:val="7"/>
          </w:tcPr>
          <w:p>
            <w:pPr>
              <w:spacing w:after="0" w:line="194"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Consolidated Statements of Stockholders’ Equity for the years ended December 31, 2008, 2007, and 2006</w:t>
              </w:r>
            </w:hyperlink>
          </w:p>
        </w:tc>
        <w:tc>
          <w:tcPr>
            <w:tcW w:w="2740" w:type="dxa"/>
            <w:vAlign w:val="bottom"/>
            <w:gridSpan w:val="2"/>
          </w:tcPr>
          <w:p>
            <w:pPr>
              <w:spacing w:after="0"/>
              <w:rPr>
                <w:sz w:val="16"/>
                <w:szCs w:val="16"/>
                <w:color w:val="auto"/>
              </w:rPr>
            </w:pPr>
          </w:p>
        </w:tc>
        <w:tc>
          <w:tcPr>
            <w:tcW w:w="860" w:type="dxa"/>
            <w:vAlign w:val="bottom"/>
          </w:tcPr>
          <w:p>
            <w:pPr>
              <w:jc w:val="center"/>
              <w:spacing w:after="0" w:line="194" w:lineRule="exact"/>
              <w:rPr>
                <w:sz w:val="20"/>
                <w:szCs w:val="20"/>
                <w:color w:val="auto"/>
              </w:rPr>
            </w:pPr>
            <w:r>
              <w:rPr>
                <w:rFonts w:ascii="Arial" w:cs="Arial" w:eastAsia="Arial" w:hAnsi="Arial"/>
                <w:sz w:val="18"/>
                <w:szCs w:val="18"/>
                <w:color w:val="auto"/>
                <w:w w:val="79"/>
              </w:rPr>
              <w:t>62</w:t>
            </w:r>
          </w:p>
        </w:tc>
        <w:tc>
          <w:tcPr>
            <w:tcW w:w="0" w:type="dxa"/>
            <w:vAlign w:val="bottom"/>
          </w:tcPr>
          <w:p>
            <w:pPr>
              <w:spacing w:after="0"/>
              <w:rPr>
                <w:sz w:val="1"/>
                <w:szCs w:val="1"/>
                <w:color w:val="auto"/>
              </w:rPr>
            </w:pPr>
          </w:p>
        </w:tc>
      </w:tr>
      <w:tr>
        <w:trPr>
          <w:trHeight w:val="193"/>
        </w:trPr>
        <w:tc>
          <w:tcPr>
            <w:tcW w:w="6880" w:type="dxa"/>
            <w:vAlign w:val="bottom"/>
            <w:tcBorders>
              <w:top w:val="single" w:sz="8" w:color="0000EE"/>
              <w:bottom w:val="single" w:sz="8" w:color="0000EE"/>
            </w:tcBorders>
            <w:gridSpan w:val="5"/>
          </w:tcPr>
          <w:p>
            <w:pPr>
              <w:spacing w:after="0" w:line="194"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Consolidated Statements of Cash Flows for the years ended December 31, 2008, 2007, and 2006</w:t>
              </w:r>
            </w:hyperlink>
          </w:p>
        </w:tc>
        <w:tc>
          <w:tcPr>
            <w:tcW w:w="660" w:type="dxa"/>
            <w:vAlign w:val="bottom"/>
            <w:tcBorders>
              <w:top w:val="single" w:sz="8" w:color="0000EE"/>
            </w:tcBorders>
          </w:tcPr>
          <w:p>
            <w:pPr>
              <w:spacing w:after="0"/>
              <w:rPr>
                <w:sz w:val="16"/>
                <w:szCs w:val="16"/>
                <w:color w:val="auto"/>
              </w:rPr>
            </w:pPr>
          </w:p>
        </w:tc>
        <w:tc>
          <w:tcPr>
            <w:tcW w:w="3020" w:type="dxa"/>
            <w:vAlign w:val="bottom"/>
            <w:gridSpan w:val="3"/>
          </w:tcPr>
          <w:p>
            <w:pPr>
              <w:spacing w:after="0"/>
              <w:rPr>
                <w:sz w:val="16"/>
                <w:szCs w:val="16"/>
                <w:color w:val="auto"/>
              </w:rPr>
            </w:pPr>
          </w:p>
        </w:tc>
        <w:tc>
          <w:tcPr>
            <w:tcW w:w="860" w:type="dxa"/>
            <w:vAlign w:val="bottom"/>
          </w:tcPr>
          <w:p>
            <w:pPr>
              <w:jc w:val="center"/>
              <w:spacing w:after="0" w:line="194" w:lineRule="exact"/>
              <w:rPr>
                <w:sz w:val="20"/>
                <w:szCs w:val="20"/>
                <w:color w:val="auto"/>
              </w:rPr>
            </w:pPr>
            <w:r>
              <w:rPr>
                <w:rFonts w:ascii="Arial" w:cs="Arial" w:eastAsia="Arial" w:hAnsi="Arial"/>
                <w:sz w:val="18"/>
                <w:szCs w:val="18"/>
                <w:color w:val="auto"/>
                <w:w w:val="79"/>
              </w:rPr>
              <w:t>63</w:t>
            </w:r>
          </w:p>
        </w:tc>
        <w:tc>
          <w:tcPr>
            <w:tcW w:w="0" w:type="dxa"/>
            <w:vAlign w:val="bottom"/>
          </w:tcPr>
          <w:p>
            <w:pPr>
              <w:spacing w:after="0"/>
              <w:rPr>
                <w:sz w:val="1"/>
                <w:szCs w:val="1"/>
                <w:color w:val="auto"/>
              </w:rPr>
            </w:pPr>
          </w:p>
        </w:tc>
      </w:tr>
      <w:tr>
        <w:trPr>
          <w:trHeight w:val="193"/>
        </w:trPr>
        <w:tc>
          <w:tcPr>
            <w:tcW w:w="3120" w:type="dxa"/>
            <w:vAlign w:val="bottom"/>
            <w:tcBorders>
              <w:bottom w:val="single" w:sz="8" w:color="0000EE"/>
            </w:tcBorders>
          </w:tcPr>
          <w:p>
            <w:pPr>
              <w:spacing w:after="0" w:line="194"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Notes to Consolidated Financial Statements</w:t>
              </w:r>
            </w:hyperlink>
          </w:p>
        </w:tc>
        <w:tc>
          <w:tcPr>
            <w:tcW w:w="7440" w:type="dxa"/>
            <w:vAlign w:val="bottom"/>
            <w:gridSpan w:val="8"/>
          </w:tcPr>
          <w:p>
            <w:pPr>
              <w:spacing w:after="0"/>
              <w:rPr>
                <w:sz w:val="16"/>
                <w:szCs w:val="16"/>
                <w:color w:val="auto"/>
              </w:rPr>
            </w:pPr>
          </w:p>
        </w:tc>
        <w:tc>
          <w:tcPr>
            <w:tcW w:w="860" w:type="dxa"/>
            <w:vAlign w:val="bottom"/>
          </w:tcPr>
          <w:p>
            <w:pPr>
              <w:jc w:val="center"/>
              <w:spacing w:after="0" w:line="194" w:lineRule="exact"/>
              <w:rPr>
                <w:sz w:val="20"/>
                <w:szCs w:val="20"/>
                <w:color w:val="auto"/>
              </w:rPr>
            </w:pPr>
            <w:r>
              <w:rPr>
                <w:rFonts w:ascii="Arial" w:cs="Arial" w:eastAsia="Arial" w:hAnsi="Arial"/>
                <w:sz w:val="18"/>
                <w:szCs w:val="18"/>
                <w:color w:val="auto"/>
                <w:w w:val="79"/>
              </w:rPr>
              <w:t>64</w:t>
            </w:r>
          </w:p>
        </w:tc>
        <w:tc>
          <w:tcPr>
            <w:tcW w:w="0" w:type="dxa"/>
            <w:vAlign w:val="bottom"/>
          </w:tcPr>
          <w:p>
            <w:pPr>
              <w:spacing w:after="0"/>
              <w:rPr>
                <w:sz w:val="1"/>
                <w:szCs w:val="1"/>
                <w:color w:val="auto"/>
              </w:rPr>
            </w:pPr>
          </w:p>
        </w:tc>
      </w:tr>
      <w:tr>
        <w:trPr>
          <w:trHeight w:val="419"/>
        </w:trPr>
        <w:tc>
          <w:tcPr>
            <w:tcW w:w="5920" w:type="dxa"/>
            <w:vAlign w:val="bottom"/>
            <w:gridSpan w:val="3"/>
          </w:tcPr>
          <w:p>
            <w:pPr>
              <w:ind w:left="5620"/>
              <w:spacing w:after="0"/>
              <w:rPr>
                <w:sz w:val="20"/>
                <w:szCs w:val="20"/>
                <w:color w:val="auto"/>
              </w:rPr>
            </w:pPr>
            <w:r>
              <w:rPr>
                <w:rFonts w:ascii="Arial" w:cs="Arial" w:eastAsia="Arial" w:hAnsi="Arial"/>
                <w:sz w:val="18"/>
                <w:szCs w:val="18"/>
                <w:color w:val="auto"/>
              </w:rPr>
              <w:t>55</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1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102" w:lineRule="exact"/>
        <w:rPr>
          <w:sz w:val="20"/>
          <w:szCs w:val="20"/>
          <w:color w:val="auto"/>
        </w:rPr>
      </w:pPr>
    </w:p>
    <w:p>
      <w:pPr>
        <w:ind w:right="140" w:firstLine="219"/>
        <w:spacing w:after="0" w:line="270" w:lineRule="auto"/>
        <w:rPr>
          <w:sz w:val="20"/>
          <w:szCs w:val="20"/>
          <w:color w:val="auto"/>
        </w:rPr>
      </w:pPr>
      <w:r>
        <w:rPr>
          <w:rFonts w:ascii="Arial" w:cs="Arial" w:eastAsia="Arial" w:hAnsi="Arial"/>
          <w:sz w:val="17"/>
          <w:szCs w:val="17"/>
          <w:color w:val="auto"/>
        </w:rPr>
        <w:t xml:space="preserve">We have audited Fidelity National Financial, Inc.’s internal control over financial reporting as of December 31, 2008, based on criteria established in </w:t>
      </w:r>
      <w:r>
        <w:rPr>
          <w:rFonts w:ascii="Arial" w:cs="Arial" w:eastAsia="Arial" w:hAnsi="Arial"/>
          <w:sz w:val="17"/>
          <w:szCs w:val="17"/>
          <w:i w:val="1"/>
          <w:iCs w:val="1"/>
          <w:color w:val="auto"/>
        </w:rPr>
        <w:t xml:space="preserve">Internal Control — Integrated Framework </w:t>
      </w:r>
      <w:r>
        <w:rPr>
          <w:rFonts w:ascii="Arial" w:cs="Arial" w:eastAsia="Arial" w:hAnsi="Arial"/>
          <w:sz w:val="17"/>
          <w:szCs w:val="17"/>
          <w:color w:val="auto"/>
        </w:rPr>
        <w:t>issued by the Committee of Sponsoring Organizations of the Treadway Commission (COSO). Fidelity 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74" w:lineRule="exact"/>
        <w:rPr>
          <w:sz w:val="20"/>
          <w:szCs w:val="20"/>
          <w:color w:val="auto"/>
        </w:rPr>
      </w:pPr>
    </w:p>
    <w:p>
      <w:pPr>
        <w:ind w:right="120" w:firstLine="219"/>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8" w:lineRule="exact"/>
        <w:rPr>
          <w:sz w:val="20"/>
          <w:szCs w:val="20"/>
          <w:color w:val="auto"/>
        </w:rPr>
      </w:pPr>
    </w:p>
    <w:p>
      <w:pPr>
        <w:ind w:firstLine="212"/>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0" w:lineRule="exact"/>
        <w:rPr>
          <w:sz w:val="20"/>
          <w:szCs w:val="20"/>
          <w:color w:val="auto"/>
        </w:rPr>
      </w:pPr>
    </w:p>
    <w:p>
      <w:pPr>
        <w:jc w:val="both"/>
        <w:ind w:right="160" w:firstLine="222"/>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2" w:lineRule="exact"/>
        <w:rPr>
          <w:sz w:val="20"/>
          <w:szCs w:val="20"/>
          <w:color w:val="auto"/>
        </w:rPr>
      </w:pPr>
    </w:p>
    <w:p>
      <w:pPr>
        <w:ind w:right="280" w:firstLine="222"/>
        <w:spacing w:after="0" w:line="257" w:lineRule="auto"/>
        <w:rPr>
          <w:sz w:val="20"/>
          <w:szCs w:val="20"/>
          <w:color w:val="auto"/>
        </w:rPr>
      </w:pPr>
      <w:r>
        <w:rPr>
          <w:rFonts w:ascii="Arial" w:cs="Arial" w:eastAsia="Arial" w:hAnsi="Arial"/>
          <w:sz w:val="18"/>
          <w:szCs w:val="18"/>
          <w:color w:val="auto"/>
        </w:rPr>
        <w:t xml:space="preserve">In our opinion, Fidelity National Financial, Inc. maintained, in all material respects, effective internal control over financial reporting as of December 31, 2008,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82"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Fidelity National Financial, Inc. acquired Commonwealth Land Title Insurance Company, Lawyers Title Insurance Corporation, and United Capital Title Insurance Company (collectively, the “LFG Underwriters”) during 2008, and management excluded from its assessment of the effectiveness of Fidelity National Financial, Inc.’s internal control over financial reporting as of December 31, 2008, the LFG Underwriters’ internal control over financial reporting associated with total assets of $1.8 billion and total revenues of $46 million included in the consolidated financial statements of Fidelity National Financial, Inc. and Subsidiaries as of and for the year ended December 31, 2008. Our audit of internal control over financial reporting of Fidelity National Financial, Inc. also excluded an evaluation of the internal control over financial reporting of the LFG Underwriters.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219"/>
        <w:spacing w:after="0" w:line="273"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Fidelity National Financial, Inc. and subsidiaries as of December 31, 2008 and 2007, and the related Consolidated Statements of Earnings, Comprehensive Earnings, Stockholders’ Equity and Cash Flows for each of the years in the three-year period ended December 31, 2008, and our report dated March 2, 2009 expressed an unqualified opinion on those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March 2, 2009</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18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220"/>
          </w:cols>
          <w:pgMar w:left="240" w:top="415"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102" w:lineRule="exact"/>
        <w:rPr>
          <w:sz w:val="20"/>
          <w:szCs w:val="20"/>
          <w:color w:val="auto"/>
        </w:rPr>
      </w:pPr>
    </w:p>
    <w:p>
      <w:pPr>
        <w:ind w:right="280" w:firstLine="219"/>
        <w:spacing w:after="0" w:line="254" w:lineRule="auto"/>
        <w:rPr>
          <w:sz w:val="20"/>
          <w:szCs w:val="20"/>
          <w:color w:val="auto"/>
        </w:rPr>
      </w:pPr>
      <w:r>
        <w:rPr>
          <w:rFonts w:ascii="Arial" w:cs="Arial" w:eastAsia="Arial" w:hAnsi="Arial"/>
          <w:sz w:val="18"/>
          <w:szCs w:val="18"/>
          <w:color w:val="auto"/>
        </w:rPr>
        <w:t>We have audited the accompanying Consolidated Balance Sheets of Fidelity National Financial, Inc. and subsidiaries as of December 31, 2008 and 2007, and the related Consolidated Statements of Earnings, Comprehensive Earnings, Stockholders’ Equity and Cash Flows for each of the years in the three-year period ended December 31, 2008. These Consolidated Financial Statements are the responsibility of the Company’s management. Our responsibility is to express an opinion on these Consolidated Financial Statements based on our audits.</w:t>
      </w:r>
    </w:p>
    <w:p>
      <w:pPr>
        <w:spacing w:after="0" w:line="84" w:lineRule="exact"/>
        <w:rPr>
          <w:sz w:val="20"/>
          <w:szCs w:val="20"/>
          <w:color w:val="auto"/>
        </w:rPr>
      </w:pPr>
    </w:p>
    <w:p>
      <w:pPr>
        <w:ind w:right="60" w:firstLine="219"/>
        <w:spacing w:after="0" w:line="252"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Fidelity National Financial, Inc. and subsidiaries as of December 31, 2008 and 2007, and the results of their operations and their cash flows for each of the years in the three-year period ended December 31, 2008, in conformity with U.S. generally accepted accounting principles.</w:t>
      </w:r>
    </w:p>
    <w:p>
      <w:pPr>
        <w:spacing w:after="0" w:line="82" w:lineRule="exact"/>
        <w:rPr>
          <w:sz w:val="20"/>
          <w:szCs w:val="20"/>
          <w:color w:val="auto"/>
        </w:rPr>
      </w:pPr>
    </w:p>
    <w:p>
      <w:pPr>
        <w:ind w:right="120" w:firstLine="212"/>
        <w:spacing w:after="0" w:line="257" w:lineRule="auto"/>
        <w:rPr>
          <w:sz w:val="20"/>
          <w:szCs w:val="20"/>
          <w:color w:val="auto"/>
        </w:rPr>
      </w:pPr>
      <w:r>
        <w:rPr>
          <w:rFonts w:ascii="Arial" w:cs="Arial" w:eastAsia="Arial" w:hAnsi="Arial"/>
          <w:sz w:val="18"/>
          <w:szCs w:val="18"/>
          <w:color w:val="auto"/>
        </w:rPr>
        <w:t>As discussed in Note J to the Consolidated Financial Statements, effective January 1, 2007, the Company adopted the recognition and disclosure provisions of Financial Accounting Standards Board Interpretation No. 48, “Accounting for Uncertainty in Income Taxes — an interpretation of FASB Statement No. 109.”</w:t>
      </w:r>
    </w:p>
    <w:p>
      <w:pPr>
        <w:spacing w:after="0" w:line="82" w:lineRule="exact"/>
        <w:rPr>
          <w:sz w:val="20"/>
          <w:szCs w:val="20"/>
          <w:color w:val="auto"/>
        </w:rPr>
      </w:pPr>
    </w:p>
    <w:p>
      <w:pPr>
        <w:ind w:firstLine="219"/>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Fidelity National Financial, Inc.’s internal control over financial reporting as of December 31, 2008,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and our report dated March 2, 2009 expressed an unqualified opinion on the effectiveness of the Company’s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March 2, 2009</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9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0" w:lineRule="exact"/>
              <w:rPr>
                <w:sz w:val="20"/>
                <w:szCs w:val="20"/>
                <w:color w:val="auto"/>
              </w:rPr>
            </w:pPr>
            <w:r>
              <w:rPr>
                <w:rFonts w:ascii="Arial" w:cs="Arial" w:eastAsia="Arial" w:hAnsi="Arial"/>
                <w:sz w:val="14"/>
                <w:szCs w:val="14"/>
                <w:b w:val="1"/>
                <w:bCs w:val="1"/>
                <w:color w:val="auto"/>
              </w:rPr>
              <w:t>2008</w:t>
            </w: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2"/>
              </w:rPr>
              <w:t>thousands,</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2"/>
              <w:spacing w:after="0" w:line="140"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9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53"/>
              <w:spacing w:after="0" w:line="118" w:lineRule="exact"/>
              <w:rPr>
                <w:sz w:val="20"/>
                <w:szCs w:val="20"/>
                <w:color w:val="auto"/>
              </w:rPr>
            </w:pPr>
            <w:r>
              <w:rPr>
                <w:rFonts w:ascii="Arial" w:cs="Arial" w:eastAsia="Arial" w:hAnsi="Arial"/>
                <w:sz w:val="13"/>
                <w:szCs w:val="13"/>
                <w:b w:val="1"/>
                <w:bCs w:val="1"/>
                <w:color w:val="auto"/>
              </w:rPr>
              <w:t>(In</w:t>
            </w:r>
          </w:p>
        </w:tc>
        <w:tc>
          <w:tcPr>
            <w:tcW w:w="640" w:type="dxa"/>
            <w:vAlign w:val="bottom"/>
            <w:gridSpan w:val="2"/>
            <w:vMerge w:val="continue"/>
          </w:tcPr>
          <w:p>
            <w:pPr>
              <w:spacing w:after="0"/>
              <w:rPr>
                <w:sz w:val="10"/>
                <w:szCs w:val="10"/>
                <w:color w:val="auto"/>
              </w:rPr>
            </w:pPr>
          </w:p>
        </w:tc>
        <w:tc>
          <w:tcPr>
            <w:tcW w:w="840" w:type="dxa"/>
            <w:vAlign w:val="bottom"/>
            <w:gridSpan w:val="2"/>
          </w:tcPr>
          <w:p>
            <w:pPr>
              <w:jc w:val="right"/>
              <w:ind w:right="432"/>
              <w:spacing w:after="0" w:line="118" w:lineRule="exact"/>
              <w:rPr>
                <w:sz w:val="20"/>
                <w:szCs w:val="20"/>
                <w:color w:val="auto"/>
              </w:rPr>
            </w:pPr>
            <w:r>
              <w:rPr>
                <w:rFonts w:ascii="Arial" w:cs="Arial" w:eastAsia="Arial" w:hAnsi="Arial"/>
                <w:sz w:val="13"/>
                <w:szCs w:val="13"/>
                <w:b w:val="1"/>
                <w:bCs w:val="1"/>
                <w:color w:val="auto"/>
                <w:w w:val="72"/>
              </w:rPr>
              <w:t>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9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4"/>
          </w:tcPr>
          <w:p>
            <w:pPr>
              <w:ind w:left="700"/>
              <w:spacing w:after="0"/>
              <w:rPr>
                <w:sz w:val="20"/>
                <w:szCs w:val="20"/>
                <w:color w:val="auto"/>
              </w:rPr>
            </w:pPr>
            <w:r>
              <w:rPr>
                <w:rFonts w:ascii="Arial" w:cs="Arial" w:eastAsia="Arial" w:hAnsi="Arial"/>
                <w:sz w:val="14"/>
                <w:szCs w:val="14"/>
                <w:b w:val="1"/>
                <w:bCs w:val="1"/>
                <w:color w:val="auto"/>
              </w:rPr>
              <w:t>share data)</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00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9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Fixed maturities available for sale, at fair value, at December 31, 2008 and 2007, includes pledged fixed maturities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 $267,353 and $335,270, respectively, related to secured trust deposits and $103,586 and $264,202,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respectively, related to the securities lending program</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2,853,829</w:t>
            </w:r>
          </w:p>
        </w:tc>
        <w:tc>
          <w:tcPr>
            <w:tcW w:w="3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2,824,572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000" w:type="dxa"/>
            <w:vAlign w:val="bottom"/>
          </w:tcPr>
          <w:p>
            <w:pPr>
              <w:ind w:left="200"/>
              <w:spacing w:after="0"/>
              <w:rPr>
                <w:sz w:val="20"/>
                <w:szCs w:val="20"/>
                <w:color w:val="auto"/>
              </w:rPr>
            </w:pPr>
            <w:r>
              <w:rPr>
                <w:rFonts w:ascii="Arial" w:cs="Arial" w:eastAsia="Arial" w:hAnsi="Arial"/>
                <w:sz w:val="18"/>
                <w:szCs w:val="18"/>
                <w:color w:val="auto"/>
              </w:rPr>
              <w:t>Equity securities, at fair value</w:t>
            </w:r>
          </w:p>
        </w:tc>
        <w:tc>
          <w:tcPr>
            <w:tcW w:w="120" w:type="dxa"/>
            <w:vAlign w:val="bottom"/>
          </w:tcPr>
          <w:p>
            <w:pPr>
              <w:spacing w:after="0"/>
              <w:rPr>
                <w:sz w:val="18"/>
                <w:szCs w:val="18"/>
                <w:color w:val="auto"/>
              </w:rPr>
            </w:pPr>
          </w:p>
        </w:tc>
        <w:tc>
          <w:tcPr>
            <w:tcW w:w="1080" w:type="dxa"/>
            <w:vAlign w:val="bottom"/>
            <w:gridSpan w:val="2"/>
          </w:tcPr>
          <w:p>
            <w:pPr>
              <w:jc w:val="right"/>
              <w:ind w:right="289"/>
              <w:spacing w:after="0"/>
              <w:rPr>
                <w:sz w:val="20"/>
                <w:szCs w:val="20"/>
                <w:color w:val="auto"/>
              </w:rPr>
            </w:pPr>
            <w:r>
              <w:rPr>
                <w:rFonts w:ascii="Arial" w:cs="Arial" w:eastAsia="Arial" w:hAnsi="Arial"/>
                <w:sz w:val="18"/>
                <w:szCs w:val="18"/>
                <w:color w:val="auto"/>
              </w:rPr>
              <w:t>71,516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93,272</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unconsolidated affiliates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644,539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738,356</w:t>
            </w:r>
          </w:p>
        </w:tc>
        <w:tc>
          <w:tcPr>
            <w:tcW w:w="0" w:type="dxa"/>
            <w:vAlign w:val="bottom"/>
          </w:tcPr>
          <w:p>
            <w:pPr>
              <w:spacing w:after="0"/>
              <w:rPr>
                <w:sz w:val="1"/>
                <w:szCs w:val="1"/>
                <w:color w:val="auto"/>
              </w:rPr>
            </w:pPr>
          </w:p>
        </w:tc>
      </w:tr>
      <w:tr>
        <w:trPr>
          <w:trHeight w:val="213"/>
        </w:trPr>
        <w:tc>
          <w:tcPr>
            <w:tcW w:w="9000" w:type="dxa"/>
            <w:vAlign w:val="bottom"/>
          </w:tcPr>
          <w:p>
            <w:pPr>
              <w:ind w:left="200"/>
              <w:spacing w:after="0"/>
              <w:rPr>
                <w:sz w:val="20"/>
                <w:szCs w:val="20"/>
                <w:color w:val="auto"/>
              </w:rPr>
            </w:pPr>
            <w:r>
              <w:rPr>
                <w:rFonts w:ascii="Arial" w:cs="Arial" w:eastAsia="Arial" w:hAnsi="Arial"/>
                <w:sz w:val="18"/>
                <w:szCs w:val="18"/>
                <w:color w:val="auto"/>
              </w:rPr>
              <w:t>Other long-term investments</w:t>
            </w:r>
          </w:p>
        </w:tc>
        <w:tc>
          <w:tcPr>
            <w:tcW w:w="120" w:type="dxa"/>
            <w:vAlign w:val="bottom"/>
          </w:tcPr>
          <w:p>
            <w:pPr>
              <w:spacing w:after="0"/>
              <w:rPr>
                <w:sz w:val="18"/>
                <w:szCs w:val="18"/>
                <w:color w:val="auto"/>
              </w:rPr>
            </w:pPr>
          </w:p>
        </w:tc>
        <w:tc>
          <w:tcPr>
            <w:tcW w:w="1080" w:type="dxa"/>
            <w:vAlign w:val="bottom"/>
            <w:gridSpan w:val="2"/>
          </w:tcPr>
          <w:p>
            <w:pPr>
              <w:jc w:val="right"/>
              <w:ind w:right="289"/>
              <w:spacing w:after="0"/>
              <w:rPr>
                <w:sz w:val="20"/>
                <w:szCs w:val="20"/>
                <w:color w:val="auto"/>
              </w:rPr>
            </w:pPr>
            <w:r>
              <w:rPr>
                <w:rFonts w:ascii="Arial" w:cs="Arial" w:eastAsia="Arial" w:hAnsi="Arial"/>
                <w:sz w:val="18"/>
                <w:szCs w:val="18"/>
                <w:color w:val="auto"/>
              </w:rPr>
              <w:t>18,259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18,255</w:t>
            </w:r>
          </w:p>
        </w:tc>
        <w:tc>
          <w:tcPr>
            <w:tcW w:w="0" w:type="dxa"/>
            <w:vAlign w:val="bottom"/>
          </w:tcPr>
          <w:p>
            <w:pPr>
              <w:spacing w:after="0"/>
              <w:rPr>
                <w:sz w:val="1"/>
                <w:szCs w:val="1"/>
                <w:color w:val="auto"/>
              </w:rPr>
            </w:pPr>
          </w:p>
        </w:tc>
      </w:tr>
      <w:tr>
        <w:trPr>
          <w:trHeight w:val="201"/>
        </w:trPr>
        <w:tc>
          <w:tcPr>
            <w:tcW w:w="9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Short-term investments, at December 31, 2008 and 2007 includes $115,184 and $178,568, respectively, of pledged</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9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short-term investments related to secured trust deposits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788,350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427,366</w:t>
            </w:r>
          </w:p>
        </w:tc>
        <w:tc>
          <w:tcPr>
            <w:tcW w:w="0" w:type="dxa"/>
            <w:vAlign w:val="bottom"/>
          </w:tcPr>
          <w:p>
            <w:pPr>
              <w:spacing w:after="0"/>
              <w:rPr>
                <w:sz w:val="1"/>
                <w:szCs w:val="1"/>
                <w:color w:val="auto"/>
              </w:rPr>
            </w:pPr>
          </w:p>
        </w:tc>
      </w:tr>
      <w:tr>
        <w:trPr>
          <w:trHeight w:val="219"/>
        </w:trPr>
        <w:tc>
          <w:tcPr>
            <w:tcW w:w="9000" w:type="dxa"/>
            <w:vAlign w:val="bottom"/>
          </w:tcPr>
          <w:p>
            <w:pPr>
              <w:ind w:left="400"/>
              <w:spacing w:after="0"/>
              <w:rPr>
                <w:sz w:val="20"/>
                <w:szCs w:val="20"/>
                <w:color w:val="auto"/>
              </w:rPr>
            </w:pPr>
            <w:r>
              <w:rPr>
                <w:rFonts w:ascii="Arial" w:cs="Arial" w:eastAsia="Arial" w:hAnsi="Arial"/>
                <w:sz w:val="18"/>
                <w:szCs w:val="18"/>
                <w:color w:val="auto"/>
              </w:rPr>
              <w:t>Total investments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4,376,493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4,101,821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December 31, 2008 and 2007, includes pledged cash of $109,587 and $193,484,</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respectively, related to secured trust deposits and $107,626 and $271,807, respectively, related to the securities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lending program</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315,297</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569,562</w:t>
            </w:r>
          </w:p>
        </w:tc>
        <w:tc>
          <w:tcPr>
            <w:tcW w:w="0" w:type="dxa"/>
            <w:vAlign w:val="bottom"/>
          </w:tcPr>
          <w:p>
            <w:pPr>
              <w:spacing w:after="0"/>
              <w:rPr>
                <w:sz w:val="1"/>
                <w:szCs w:val="1"/>
                <w:color w:val="auto"/>
              </w:rPr>
            </w:pPr>
          </w:p>
        </w:tc>
      </w:tr>
      <w:tr>
        <w:trPr>
          <w:trHeight w:val="213"/>
        </w:trPr>
        <w:tc>
          <w:tcPr>
            <w:tcW w:w="9000" w:type="dxa"/>
            <w:vAlign w:val="bottom"/>
          </w:tcPr>
          <w:p>
            <w:pPr>
              <w:spacing w:after="0"/>
              <w:rPr>
                <w:sz w:val="20"/>
                <w:szCs w:val="20"/>
                <w:color w:val="auto"/>
              </w:rPr>
            </w:pPr>
            <w:r>
              <w:rPr>
                <w:rFonts w:ascii="Arial" w:cs="Arial" w:eastAsia="Arial" w:hAnsi="Arial"/>
                <w:sz w:val="18"/>
                <w:szCs w:val="18"/>
                <w:color w:val="auto"/>
                <w:w w:val="96"/>
              </w:rPr>
              <w:t>Trade and notes receivables, net of allowance of $32,627 and $13,091 at December 31, 2008 and 2007, respectively</w:t>
            </w:r>
          </w:p>
        </w:tc>
        <w:tc>
          <w:tcPr>
            <w:tcW w:w="120" w:type="dxa"/>
            <w:vAlign w:val="bottom"/>
          </w:tcPr>
          <w:p>
            <w:pPr>
              <w:spacing w:after="0"/>
              <w:rPr>
                <w:sz w:val="18"/>
                <w:szCs w:val="18"/>
                <w:color w:val="auto"/>
              </w:rPr>
            </w:pPr>
          </w:p>
        </w:tc>
        <w:tc>
          <w:tcPr>
            <w:tcW w:w="1080" w:type="dxa"/>
            <w:vAlign w:val="bottom"/>
            <w:gridSpan w:val="2"/>
          </w:tcPr>
          <w:p>
            <w:pPr>
              <w:jc w:val="right"/>
              <w:ind w:right="289"/>
              <w:spacing w:after="0"/>
              <w:rPr>
                <w:sz w:val="20"/>
                <w:szCs w:val="20"/>
                <w:color w:val="auto"/>
              </w:rPr>
            </w:pPr>
            <w:r>
              <w:rPr>
                <w:rFonts w:ascii="Arial" w:cs="Arial" w:eastAsia="Arial" w:hAnsi="Arial"/>
                <w:sz w:val="18"/>
                <w:szCs w:val="18"/>
                <w:color w:val="auto"/>
              </w:rPr>
              <w:t>290,692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227,849</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1,581,658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1,344,580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0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1080" w:type="dxa"/>
            <w:vAlign w:val="bottom"/>
            <w:gridSpan w:val="2"/>
          </w:tcPr>
          <w:p>
            <w:pPr>
              <w:jc w:val="right"/>
              <w:ind w:right="289"/>
              <w:spacing w:after="0"/>
              <w:rPr>
                <w:sz w:val="20"/>
                <w:szCs w:val="20"/>
                <w:color w:val="auto"/>
              </w:rPr>
            </w:pPr>
            <w:r>
              <w:rPr>
                <w:rFonts w:ascii="Arial" w:cs="Arial" w:eastAsia="Arial" w:hAnsi="Arial"/>
                <w:sz w:val="18"/>
                <w:szCs w:val="18"/>
                <w:color w:val="auto"/>
              </w:rPr>
              <w:t>632,527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467,831</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85,728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93,413</w:t>
            </w:r>
          </w:p>
        </w:tc>
        <w:tc>
          <w:tcPr>
            <w:tcW w:w="0" w:type="dxa"/>
            <w:vAlign w:val="bottom"/>
          </w:tcPr>
          <w:p>
            <w:pPr>
              <w:spacing w:after="0"/>
              <w:rPr>
                <w:sz w:val="1"/>
                <w:szCs w:val="1"/>
                <w:color w:val="auto"/>
              </w:rPr>
            </w:pPr>
          </w:p>
        </w:tc>
      </w:tr>
      <w:tr>
        <w:trPr>
          <w:trHeight w:val="213"/>
        </w:trPr>
        <w:tc>
          <w:tcPr>
            <w:tcW w:w="900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18"/>
                <w:szCs w:val="18"/>
                <w:color w:val="auto"/>
              </w:rPr>
            </w:pPr>
          </w:p>
        </w:tc>
        <w:tc>
          <w:tcPr>
            <w:tcW w:w="1080" w:type="dxa"/>
            <w:vAlign w:val="bottom"/>
            <w:gridSpan w:val="2"/>
          </w:tcPr>
          <w:p>
            <w:pPr>
              <w:jc w:val="right"/>
              <w:ind w:right="289"/>
              <w:spacing w:after="0"/>
              <w:rPr>
                <w:sz w:val="20"/>
                <w:szCs w:val="20"/>
                <w:color w:val="auto"/>
              </w:rPr>
            </w:pPr>
            <w:r>
              <w:rPr>
                <w:rFonts w:ascii="Arial" w:cs="Arial" w:eastAsia="Arial" w:hAnsi="Arial"/>
                <w:sz w:val="18"/>
                <w:szCs w:val="18"/>
                <w:color w:val="auto"/>
              </w:rPr>
              <w:t>92,510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117,508</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Title plants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431,591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331,888</w:t>
            </w:r>
          </w:p>
        </w:tc>
        <w:tc>
          <w:tcPr>
            <w:tcW w:w="0" w:type="dxa"/>
            <w:vAlign w:val="bottom"/>
          </w:tcPr>
          <w:p>
            <w:pPr>
              <w:spacing w:after="0"/>
              <w:rPr>
                <w:sz w:val="1"/>
                <w:szCs w:val="1"/>
                <w:color w:val="auto"/>
              </w:rPr>
            </w:pPr>
          </w:p>
        </w:tc>
      </w:tr>
      <w:tr>
        <w:trPr>
          <w:trHeight w:val="213"/>
        </w:trPr>
        <w:tc>
          <w:tcPr>
            <w:tcW w:w="9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080" w:type="dxa"/>
            <w:vAlign w:val="bottom"/>
            <w:gridSpan w:val="2"/>
          </w:tcPr>
          <w:p>
            <w:pPr>
              <w:jc w:val="right"/>
              <w:ind w:right="289"/>
              <w:spacing w:after="0"/>
              <w:rPr>
                <w:sz w:val="20"/>
                <w:szCs w:val="20"/>
                <w:color w:val="auto"/>
              </w:rPr>
            </w:pPr>
            <w:r>
              <w:rPr>
                <w:rFonts w:ascii="Arial" w:cs="Arial" w:eastAsia="Arial" w:hAnsi="Arial"/>
                <w:sz w:val="18"/>
                <w:szCs w:val="18"/>
                <w:color w:val="auto"/>
              </w:rPr>
              <w:t>307,155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266,156</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115,371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67,245</w:t>
            </w:r>
          </w:p>
        </w:tc>
        <w:tc>
          <w:tcPr>
            <w:tcW w:w="0" w:type="dxa"/>
            <w:vAlign w:val="bottom"/>
          </w:tcPr>
          <w:p>
            <w:pPr>
              <w:spacing w:after="0"/>
              <w:rPr>
                <w:sz w:val="1"/>
                <w:szCs w:val="1"/>
                <w:color w:val="auto"/>
              </w:rPr>
            </w:pPr>
          </w:p>
        </w:tc>
      </w:tr>
      <w:tr>
        <w:trPr>
          <w:trHeight w:val="220"/>
        </w:trPr>
        <w:tc>
          <w:tcPr>
            <w:tcW w:w="9000" w:type="dxa"/>
            <w:vAlign w:val="bottom"/>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139,218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8,368,240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7,587,853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ind w:left="37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9000" w:type="dxa"/>
            <w:vAlign w:val="bottom"/>
          </w:tcPr>
          <w:p>
            <w:pPr>
              <w:ind w:left="200"/>
              <w:spacing w:after="0" w:line="201" w:lineRule="exact"/>
              <w:rPr>
                <w:sz w:val="20"/>
                <w:szCs w:val="20"/>
                <w:color w:val="auto"/>
              </w:rPr>
            </w:pPr>
            <w:r>
              <w:rPr>
                <w:rFonts w:ascii="Arial" w:cs="Arial" w:eastAsia="Arial" w:hAnsi="Arial"/>
                <w:sz w:val="18"/>
                <w:szCs w:val="18"/>
                <w:color w:val="auto"/>
              </w:rPr>
              <w:t>Accounts payable and accrued liabilities, at December 31, 2008 and 2007, includes $107,627 and $271,807,</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000" w:type="dxa"/>
            <w:vAlign w:val="bottom"/>
          </w:tcPr>
          <w:p>
            <w:pPr>
              <w:ind w:left="400"/>
              <w:spacing w:after="0"/>
              <w:rPr>
                <w:sz w:val="20"/>
                <w:szCs w:val="20"/>
                <w:color w:val="auto"/>
              </w:rPr>
            </w:pPr>
            <w:r>
              <w:rPr>
                <w:rFonts w:ascii="Arial" w:cs="Arial" w:eastAsia="Arial" w:hAnsi="Arial"/>
                <w:sz w:val="18"/>
                <w:szCs w:val="18"/>
                <w:color w:val="auto"/>
              </w:rPr>
              <w:t>respectively, of security loans related to the securities lending program</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9"/>
              <w:spacing w:after="0"/>
              <w:rPr>
                <w:sz w:val="20"/>
                <w:szCs w:val="20"/>
                <w:color w:val="auto"/>
              </w:rPr>
            </w:pPr>
            <w:r>
              <w:rPr>
                <w:rFonts w:ascii="Arial" w:cs="Arial" w:eastAsia="Arial" w:hAnsi="Arial"/>
                <w:sz w:val="18"/>
                <w:szCs w:val="18"/>
                <w:color w:val="auto"/>
              </w:rPr>
              <w:t>828,945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823,109</w:t>
            </w:r>
          </w:p>
        </w:tc>
        <w:tc>
          <w:tcPr>
            <w:tcW w:w="0" w:type="dxa"/>
            <w:vAlign w:val="bottom"/>
          </w:tcPr>
          <w:p>
            <w:pPr>
              <w:spacing w:after="0"/>
              <w:rPr>
                <w:sz w:val="1"/>
                <w:szCs w:val="1"/>
                <w:color w:val="auto"/>
              </w:rPr>
            </w:pPr>
          </w:p>
        </w:tc>
      </w:tr>
      <w:tr>
        <w:trPr>
          <w:trHeight w:val="214"/>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to related parties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9,953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13,890</w:t>
            </w:r>
          </w:p>
        </w:tc>
        <w:tc>
          <w:tcPr>
            <w:tcW w:w="0" w:type="dxa"/>
            <w:vAlign w:val="bottom"/>
          </w:tcPr>
          <w:p>
            <w:pPr>
              <w:spacing w:after="0"/>
              <w:rPr>
                <w:sz w:val="1"/>
                <w:szCs w:val="1"/>
                <w:color w:val="auto"/>
              </w:rPr>
            </w:pPr>
          </w:p>
        </w:tc>
      </w:tr>
      <w:tr>
        <w:trPr>
          <w:trHeight w:val="213"/>
        </w:trPr>
        <w:tc>
          <w:tcPr>
            <w:tcW w:w="900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080" w:type="dxa"/>
            <w:vAlign w:val="bottom"/>
            <w:gridSpan w:val="2"/>
          </w:tcPr>
          <w:p>
            <w:pPr>
              <w:jc w:val="right"/>
              <w:ind w:right="289"/>
              <w:spacing w:after="0"/>
              <w:rPr>
                <w:sz w:val="20"/>
                <w:szCs w:val="20"/>
                <w:color w:val="auto"/>
              </w:rPr>
            </w:pPr>
            <w:r>
              <w:rPr>
                <w:rFonts w:ascii="Arial" w:cs="Arial" w:eastAsia="Arial" w:hAnsi="Arial"/>
                <w:sz w:val="18"/>
                <w:szCs w:val="18"/>
                <w:color w:val="auto"/>
              </w:rPr>
              <w:t>109,023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114,705</w:t>
            </w:r>
          </w:p>
        </w:tc>
        <w:tc>
          <w:tcPr>
            <w:tcW w:w="0" w:type="dxa"/>
            <w:vAlign w:val="bottom"/>
          </w:tcPr>
          <w:p>
            <w:pPr>
              <w:spacing w:after="0"/>
              <w:rPr>
                <w:sz w:val="1"/>
                <w:szCs w:val="1"/>
                <w:color w:val="auto"/>
              </w:rPr>
            </w:pPr>
          </w:p>
        </w:tc>
      </w:tr>
      <w:tr>
        <w:trPr>
          <w:trHeight w:val="201"/>
        </w:trPr>
        <w:tc>
          <w:tcPr>
            <w:tcW w:w="9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Notes payable, at December 31, 2008 and 2007, includes a note payable to FIS with a balance of $6,199 and</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9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$7,059, respectively</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1,350,849</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1,167,739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000" w:type="dxa"/>
            <w:vAlign w:val="bottom"/>
          </w:tcPr>
          <w:p>
            <w:pPr>
              <w:ind w:left="200"/>
              <w:spacing w:after="0"/>
              <w:rPr>
                <w:sz w:val="20"/>
                <w:szCs w:val="20"/>
                <w:color w:val="auto"/>
              </w:rPr>
            </w:pPr>
            <w:r>
              <w:rPr>
                <w:rFonts w:ascii="Arial" w:cs="Arial" w:eastAsia="Arial" w:hAnsi="Arial"/>
                <w:sz w:val="18"/>
                <w:szCs w:val="18"/>
                <w:color w:val="auto"/>
              </w:rPr>
              <w:t>Reserve for claim losses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2,738,625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1,419,910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Secured trust deposits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474,073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689,935</w:t>
            </w:r>
          </w:p>
        </w:tc>
        <w:tc>
          <w:tcPr>
            <w:tcW w:w="0" w:type="dxa"/>
            <w:vAlign w:val="bottom"/>
          </w:tcPr>
          <w:p>
            <w:pPr>
              <w:spacing w:after="0"/>
              <w:rPr>
                <w:sz w:val="1"/>
                <w:szCs w:val="1"/>
                <w:color w:val="auto"/>
              </w:rPr>
            </w:pPr>
          </w:p>
        </w:tc>
      </w:tr>
      <w:tr>
        <w:trPr>
          <w:trHeight w:val="220"/>
        </w:trPr>
        <w:tc>
          <w:tcPr>
            <w:tcW w:w="9000" w:type="dxa"/>
            <w:vAlign w:val="bottom"/>
          </w:tcPr>
          <w:p>
            <w:pPr>
              <w:ind w:left="200"/>
              <w:spacing w:after="0"/>
              <w:rPr>
                <w:sz w:val="20"/>
                <w:szCs w:val="20"/>
                <w:color w:val="auto"/>
              </w:rPr>
            </w:pPr>
            <w:r>
              <w:rPr>
                <w:rFonts w:ascii="Arial" w:cs="Arial" w:eastAsia="Arial" w:hAnsi="Arial"/>
                <w:sz w:val="18"/>
                <w:szCs w:val="18"/>
                <w:color w:val="auto"/>
              </w:rPr>
              <w:t>Deferred tax liabilities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w w:val="87"/>
              </w:rPr>
              <w:t>5,511,468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4,289,897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000" w:type="dxa"/>
            <w:vAlign w:val="bottom"/>
          </w:tcPr>
          <w:p>
            <w:pPr>
              <w:ind w:left="200"/>
              <w:spacing w:after="0"/>
              <w:rPr>
                <w:sz w:val="20"/>
                <w:szCs w:val="20"/>
                <w:color w:val="auto"/>
              </w:rPr>
            </w:pPr>
            <w:r>
              <w:rPr>
                <w:rFonts w:ascii="Arial" w:cs="Arial" w:eastAsia="Arial" w:hAnsi="Arial"/>
                <w:sz w:val="18"/>
                <w:szCs w:val="18"/>
                <w:color w:val="auto"/>
              </w:rPr>
              <w:t>Minority interests</w:t>
            </w:r>
          </w:p>
        </w:tc>
        <w:tc>
          <w:tcPr>
            <w:tcW w:w="120" w:type="dxa"/>
            <w:vAlign w:val="bottom"/>
          </w:tcPr>
          <w:p>
            <w:pPr>
              <w:spacing w:after="0"/>
              <w:rPr>
                <w:sz w:val="18"/>
                <w:szCs w:val="18"/>
                <w:color w:val="auto"/>
              </w:rPr>
            </w:pPr>
          </w:p>
        </w:tc>
        <w:tc>
          <w:tcPr>
            <w:tcW w:w="1080" w:type="dxa"/>
            <w:vAlign w:val="bottom"/>
            <w:gridSpan w:val="2"/>
          </w:tcPr>
          <w:p>
            <w:pPr>
              <w:jc w:val="right"/>
              <w:ind w:right="289"/>
              <w:spacing w:after="0"/>
              <w:rPr>
                <w:sz w:val="20"/>
                <w:szCs w:val="20"/>
                <w:color w:val="auto"/>
              </w:rPr>
            </w:pPr>
            <w:r>
              <w:rPr>
                <w:rFonts w:ascii="Arial" w:cs="Arial" w:eastAsia="Arial" w:hAnsi="Arial"/>
                <w:sz w:val="18"/>
                <w:szCs w:val="18"/>
                <w:color w:val="auto"/>
              </w:rPr>
              <w:t>51,199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53,868</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9000" w:type="dxa"/>
            <w:vAlign w:val="bottom"/>
          </w:tcPr>
          <w:p>
            <w:pPr>
              <w:ind w:left="200"/>
              <w:spacing w:after="0" w:line="201" w:lineRule="exact"/>
              <w:rPr>
                <w:sz w:val="20"/>
                <w:szCs w:val="20"/>
                <w:color w:val="auto"/>
              </w:rPr>
            </w:pPr>
            <w:r>
              <w:rPr>
                <w:rFonts w:ascii="Arial" w:cs="Arial" w:eastAsia="Arial" w:hAnsi="Arial"/>
                <w:sz w:val="18"/>
                <w:szCs w:val="18"/>
                <w:color w:val="auto"/>
                <w:w w:val="97"/>
              </w:rPr>
              <w:t>Common stock, Class A, $0.0001 par value; authorized, 600,000,000 shares as of December 31, 2008 and 2007;</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000" w:type="dxa"/>
            <w:vAlign w:val="bottom"/>
          </w:tcPr>
          <w:p>
            <w:pPr>
              <w:ind w:left="400"/>
              <w:spacing w:after="0"/>
              <w:rPr>
                <w:sz w:val="20"/>
                <w:szCs w:val="20"/>
                <w:color w:val="auto"/>
              </w:rPr>
            </w:pPr>
            <w:r>
              <w:rPr>
                <w:rFonts w:ascii="Arial" w:cs="Arial" w:eastAsia="Arial" w:hAnsi="Arial"/>
                <w:sz w:val="18"/>
                <w:szCs w:val="18"/>
                <w:color w:val="auto"/>
              </w:rPr>
              <w:t>issued, 228,391,066 shares and 223,069,076 shares at December 31, 2008 and 2007, respectively</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$0.0001 par value; authorized, 50,000,000 shares; issued and outstanding, none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90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3,325,209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3,236,866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(deficit) earnings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w w:val="98"/>
              </w:rPr>
              <w:t>(188,954)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213,103</w:t>
            </w:r>
          </w:p>
        </w:tc>
        <w:tc>
          <w:tcPr>
            <w:tcW w:w="0" w:type="dxa"/>
            <w:vAlign w:val="bottom"/>
          </w:tcPr>
          <w:p>
            <w:pPr>
              <w:spacing w:after="0"/>
              <w:rPr>
                <w:sz w:val="1"/>
                <w:szCs w:val="1"/>
                <w:color w:val="auto"/>
              </w:rPr>
            </w:pPr>
          </w:p>
        </w:tc>
      </w:tr>
      <w:tr>
        <w:trPr>
          <w:trHeight w:val="219"/>
        </w:trPr>
        <w:tc>
          <w:tcPr>
            <w:tcW w:w="90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3,136,278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3,449,991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(91,757)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(16,630)</w:t>
            </w:r>
          </w:p>
        </w:tc>
        <w:tc>
          <w:tcPr>
            <w:tcW w:w="0" w:type="dxa"/>
            <w:vAlign w:val="bottom"/>
          </w:tcPr>
          <w:p>
            <w:pPr>
              <w:spacing w:after="0"/>
              <w:rPr>
                <w:sz w:val="1"/>
                <w:szCs w:val="1"/>
                <w:color w:val="auto"/>
              </w:rPr>
            </w:pPr>
          </w:p>
        </w:tc>
      </w:tr>
      <w:tr>
        <w:trPr>
          <w:trHeight w:val="201"/>
        </w:trPr>
        <w:tc>
          <w:tcPr>
            <w:tcW w:w="9000" w:type="dxa"/>
            <w:vAlign w:val="bottom"/>
          </w:tcPr>
          <w:p>
            <w:pPr>
              <w:ind w:left="200"/>
              <w:spacing w:after="0" w:line="201" w:lineRule="exact"/>
              <w:rPr>
                <w:sz w:val="20"/>
                <w:szCs w:val="20"/>
                <w:color w:val="auto"/>
              </w:rPr>
            </w:pPr>
            <w:r>
              <w:rPr>
                <w:rFonts w:ascii="Arial" w:cs="Arial" w:eastAsia="Arial" w:hAnsi="Arial"/>
                <w:sz w:val="18"/>
                <w:szCs w:val="18"/>
                <w:color w:val="auto"/>
                <w:w w:val="95"/>
              </w:rPr>
              <w:t>Less treasury stock, 13,488,288 shares and 10,032,449 shares as of December 31, 2008 and 2007, respectively, at</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9000" w:type="dxa"/>
            <w:vAlign w:val="bottom"/>
          </w:tcPr>
          <w:p>
            <w:pPr>
              <w:ind w:left="40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0"/>
                <w:szCs w:val="20"/>
                <w:color w:val="auto"/>
              </w:rPr>
            </w:pPr>
          </w:p>
        </w:tc>
        <w:tc>
          <w:tcPr>
            <w:tcW w:w="1080" w:type="dxa"/>
            <w:vAlign w:val="bottom"/>
            <w:gridSpan w:val="2"/>
          </w:tcPr>
          <w:p>
            <w:pPr>
              <w:jc w:val="right"/>
              <w:ind w:right="229"/>
              <w:spacing w:after="0"/>
              <w:rPr>
                <w:sz w:val="20"/>
                <w:szCs w:val="20"/>
                <w:color w:val="auto"/>
              </w:rPr>
            </w:pPr>
            <w:r>
              <w:rPr>
                <w:rFonts w:ascii="Arial" w:cs="Arial" w:eastAsia="Arial" w:hAnsi="Arial"/>
                <w:sz w:val="18"/>
                <w:szCs w:val="18"/>
                <w:color w:val="auto"/>
                <w:w w:val="98"/>
              </w:rPr>
              <w:t>(238,948)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(189,273)</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2,805,573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3,244,088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0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8,368,240</w:t>
            </w:r>
          </w:p>
        </w:tc>
        <w:tc>
          <w:tcPr>
            <w:tcW w:w="3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7,587,853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15"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725233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0"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32"/>
              <w:spacing w:after="0" w:line="140" w:lineRule="exact"/>
              <w:rPr>
                <w:sz w:val="20"/>
                <w:szCs w:val="20"/>
                <w:color w:val="auto"/>
              </w:rPr>
            </w:pPr>
            <w:r>
              <w:rPr>
                <w:rFonts w:ascii="Arial" w:cs="Arial" w:eastAsia="Arial" w:hAnsi="Arial"/>
                <w:sz w:val="14"/>
                <w:szCs w:val="14"/>
                <w:b w:val="1"/>
                <w:bCs w:val="1"/>
                <w:color w:val="auto"/>
                <w:w w:val="89"/>
              </w:rPr>
              <w:t>2007</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2"/>
              <w:spacing w:after="0" w:line="140"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8"/>
          </w:tcPr>
          <w:p>
            <w:pPr>
              <w:jc w:val="center"/>
              <w:ind w:left="532"/>
              <w:spacing w:after="0" w:line="140" w:lineRule="exact"/>
              <w:rPr>
                <w:sz w:val="20"/>
                <w:szCs w:val="20"/>
                <w:color w:val="auto"/>
              </w:rPr>
            </w:pPr>
            <w:r>
              <w:rPr>
                <w:rFonts w:ascii="Arial" w:cs="Arial" w:eastAsia="Arial" w:hAnsi="Arial"/>
                <w:sz w:val="14"/>
                <w:szCs w:val="14"/>
                <w:b w:val="1"/>
                <w:bCs w:val="1"/>
                <w:color w:val="auto"/>
                <w:w w:val="90"/>
              </w:rPr>
              <w:t>(In thousands, except per share data)</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00"/>
              <w:spacing w:after="0"/>
              <w:rPr>
                <w:sz w:val="20"/>
                <w:szCs w:val="20"/>
                <w:color w:val="auto"/>
              </w:rPr>
            </w:pPr>
            <w:r>
              <w:rPr>
                <w:rFonts w:ascii="Arial" w:cs="Arial" w:eastAsia="Arial" w:hAnsi="Arial"/>
                <w:sz w:val="18"/>
                <w:szCs w:val="18"/>
                <w:color w:val="auto"/>
              </w:rPr>
              <w:t>Direct title insurance premiums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1,140,266</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1,601,768</w:t>
            </w:r>
          </w:p>
        </w:tc>
        <w:tc>
          <w:tcPr>
            <w:tcW w:w="5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1,957,064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Agency title insurance premiums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1,554,743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2,198,690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2,649,136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00"/>
              <w:spacing w:after="0"/>
              <w:rPr>
                <w:sz w:val="20"/>
                <w:szCs w:val="20"/>
                <w:color w:val="auto"/>
              </w:rPr>
            </w:pPr>
            <w:r>
              <w:rPr>
                <w:rFonts w:ascii="Arial" w:cs="Arial" w:eastAsia="Arial" w:hAnsi="Arial"/>
                <w:sz w:val="18"/>
                <w:szCs w:val="18"/>
                <w:color w:val="auto"/>
              </w:rPr>
              <w:t>Escrow, title-related and other fees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1,148,539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1,132,415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1,114,047</w:t>
            </w: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 processing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3,094,370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00"/>
              <w:spacing w:after="0"/>
              <w:rPr>
                <w:sz w:val="20"/>
                <w:szCs w:val="20"/>
                <w:color w:val="auto"/>
              </w:rPr>
            </w:pPr>
            <w:r>
              <w:rPr>
                <w:rFonts w:ascii="Arial" w:cs="Arial" w:eastAsia="Arial" w:hAnsi="Arial"/>
                <w:sz w:val="18"/>
                <w:szCs w:val="18"/>
                <w:color w:val="auto"/>
              </w:rPr>
              <w:t>Specialty insurance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373,392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386,427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394,613</w:t>
            </w: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investment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134,370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185,417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206,607</w:t>
            </w:r>
          </w:p>
        </w:tc>
        <w:tc>
          <w:tcPr>
            <w:tcW w:w="0" w:type="dxa"/>
            <w:vAlign w:val="bottom"/>
          </w:tcPr>
          <w:p>
            <w:pPr>
              <w:spacing w:after="0"/>
              <w:rPr>
                <w:sz w:val="1"/>
                <w:szCs w:val="1"/>
                <w:color w:val="auto"/>
              </w:rPr>
            </w:pPr>
          </w:p>
        </w:tc>
      </w:tr>
      <w:tr>
        <w:trPr>
          <w:trHeight w:val="220"/>
        </w:trPr>
        <w:tc>
          <w:tcPr>
            <w:tcW w:w="7520" w:type="dxa"/>
            <w:vAlign w:val="bottom"/>
          </w:tcPr>
          <w:p>
            <w:pPr>
              <w:ind w:left="200"/>
              <w:spacing w:after="0"/>
              <w:rPr>
                <w:sz w:val="20"/>
                <w:szCs w:val="20"/>
                <w:color w:val="auto"/>
              </w:rPr>
            </w:pPr>
            <w:r>
              <w:rPr>
                <w:rFonts w:ascii="Arial" w:cs="Arial" w:eastAsia="Arial" w:hAnsi="Arial"/>
                <w:sz w:val="18"/>
                <w:szCs w:val="18"/>
                <w:color w:val="auto"/>
              </w:rPr>
              <w:t>Realized gains and losses, net</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(22,215)</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18,458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18,562</w:t>
            </w: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4,329,095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5,523,175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9,434,399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Personnel costs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1,355,845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1,700,935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3,225,319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00"/>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1,208,647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1,109,438</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2,075,101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Agent commissions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1,218,044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1,698,215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2,035,423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142,759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130,092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460,750</w:t>
            </w: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claim losses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630,404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653,876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486,334</w:t>
            </w:r>
          </w:p>
        </w:tc>
        <w:tc>
          <w:tcPr>
            <w:tcW w:w="0" w:type="dxa"/>
            <w:vAlign w:val="bottom"/>
          </w:tcPr>
          <w:p>
            <w:pPr>
              <w:spacing w:after="0"/>
              <w:rPr>
                <w:sz w:val="1"/>
                <w:szCs w:val="1"/>
                <w:color w:val="auto"/>
              </w:rPr>
            </w:pPr>
          </w:p>
        </w:tc>
      </w:tr>
      <w:tr>
        <w:trPr>
          <w:trHeight w:val="220"/>
        </w:trPr>
        <w:tc>
          <w:tcPr>
            <w:tcW w:w="75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68,789</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54,941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209,972</w:t>
            </w: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4,624,488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5,347,497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8,492,899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520" w:type="dxa"/>
            <w:vAlign w:val="bottom"/>
          </w:tcPr>
          <w:p>
            <w:pPr>
              <w:spacing w:after="0"/>
              <w:rPr>
                <w:sz w:val="20"/>
                <w:szCs w:val="20"/>
                <w:color w:val="auto"/>
              </w:rPr>
            </w:pPr>
            <w:r>
              <w:rPr>
                <w:rFonts w:ascii="Arial" w:cs="Arial" w:eastAsia="Arial" w:hAnsi="Arial"/>
                <w:sz w:val="18"/>
                <w:szCs w:val="18"/>
                <w:color w:val="auto"/>
                <w:w w:val="99"/>
              </w:rPr>
              <w:t>(Loss) earnings before income taxes, equity in (losses) income of unconsolidated affiliates, and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52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(295,393)</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175,678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941,500</w:t>
            </w:r>
          </w:p>
        </w:tc>
        <w:tc>
          <w:tcPr>
            <w:tcW w:w="0" w:type="dxa"/>
            <w:vAlign w:val="bottom"/>
          </w:tcPr>
          <w:p>
            <w:pPr>
              <w:spacing w:after="0"/>
              <w:rPr>
                <w:sz w:val="1"/>
                <w:szCs w:val="1"/>
                <w:color w:val="auto"/>
              </w:rPr>
            </w:pPr>
          </w:p>
        </w:tc>
      </w:tr>
      <w:tr>
        <w:trPr>
          <w:trHeight w:val="215"/>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(125,542)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46,776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350,871</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w w:val="97"/>
              </w:rPr>
              <w:t>(Loss) earnings before equity in (losses) income of unconsolidated affiliates and minority interest</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(169,851)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128,902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590,629</w:t>
            </w:r>
          </w:p>
        </w:tc>
        <w:tc>
          <w:tcPr>
            <w:tcW w:w="0" w:type="dxa"/>
            <w:vAlign w:val="bottom"/>
          </w:tcPr>
          <w:p>
            <w:pPr>
              <w:spacing w:after="0"/>
              <w:rPr>
                <w:sz w:val="1"/>
                <w:szCs w:val="1"/>
                <w:color w:val="auto"/>
              </w:rPr>
            </w:pPr>
          </w:p>
        </w:tc>
      </w:tr>
      <w:tr>
        <w:trPr>
          <w:trHeight w:val="214"/>
        </w:trPr>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(losses) income of unconsolidated affiliates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(Loss) earnings before minority interest</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(183,226)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129,737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592,331</w:t>
            </w:r>
          </w:p>
        </w:tc>
        <w:tc>
          <w:tcPr>
            <w:tcW w:w="0" w:type="dxa"/>
            <w:vAlign w:val="bottom"/>
          </w:tcPr>
          <w:p>
            <w:pPr>
              <w:spacing w:after="0"/>
              <w:rPr>
                <w:sz w:val="1"/>
                <w:szCs w:val="1"/>
                <w:color w:val="auto"/>
              </w:rPr>
            </w:pPr>
          </w:p>
        </w:tc>
      </w:tr>
      <w:tr>
        <w:trPr>
          <w:trHeight w:val="215"/>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154,570</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200"/>
              <w:spacing w:after="0"/>
              <w:rPr>
                <w:sz w:val="20"/>
                <w:szCs w:val="20"/>
                <w:color w:val="auto"/>
              </w:rPr>
            </w:pPr>
            <w:r>
              <w:rPr>
                <w:rFonts w:ascii="Arial" w:cs="Arial" w:eastAsia="Arial" w:hAnsi="Arial"/>
                <w:sz w:val="18"/>
                <w:szCs w:val="18"/>
                <w:color w:val="auto"/>
              </w:rPr>
              <w:t>Net (loss) earnings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5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(179,016)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129,769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437,761</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basic basis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209,974</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216,583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182,031</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diluted basis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209,974</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219,989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182,861</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5"/>
              </w:rPr>
              <w:t>Year Ended December 31,</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760" w:type="dxa"/>
            <w:vAlign w:val="bottom"/>
            <w:tcBorders>
              <w:bottom w:val="single" w:sz="8" w:color="auto"/>
            </w:tcBorders>
          </w:tcPr>
          <w:p>
            <w:pPr>
              <w:jc w:val="right"/>
              <w:ind w:right="153"/>
              <w:spacing w:after="0" w:line="140"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Borders>
              <w:bottom w:val="single" w:sz="8" w:color="auto"/>
            </w:tcBorders>
          </w:tcPr>
          <w:p>
            <w:pPr>
              <w:jc w:val="right"/>
              <w:ind w:right="117"/>
              <w:spacing w:after="0" w:line="140" w:lineRule="exact"/>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jc w:val="right"/>
              <w:ind w:right="120"/>
              <w:spacing w:after="0" w:line="140"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spacing w:after="0" w:line="140"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(179,016)</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$ 129,769</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$ 437,761</w:t>
            </w:r>
          </w:p>
        </w:tc>
        <w:tc>
          <w:tcPr>
            <w:tcW w:w="0" w:type="dxa"/>
            <w:vAlign w:val="bottom"/>
          </w:tcPr>
          <w:p>
            <w:pPr>
              <w:spacing w:after="0"/>
              <w:rPr>
                <w:sz w:val="1"/>
                <w:szCs w:val="1"/>
                <w:color w:val="auto"/>
              </w:rPr>
            </w:pPr>
          </w:p>
        </w:tc>
      </w:tr>
      <w:tr>
        <w:trPr>
          <w:trHeight w:val="219"/>
        </w:trPr>
        <w:tc>
          <w:tcPr>
            <w:tcW w:w="7840" w:type="dxa"/>
            <w:vAlign w:val="bottom"/>
            <w:gridSpan w:val="2"/>
          </w:tcPr>
          <w:p>
            <w:pPr>
              <w:spacing w:after="0"/>
              <w:rPr>
                <w:sz w:val="20"/>
                <w:szCs w:val="20"/>
                <w:color w:val="auto"/>
              </w:rPr>
            </w:pPr>
            <w:r>
              <w:rPr>
                <w:rFonts w:ascii="Arial" w:cs="Arial" w:eastAsia="Arial" w:hAnsi="Arial"/>
                <w:sz w:val="18"/>
                <w:szCs w:val="18"/>
                <w:color w:val="auto"/>
              </w:rPr>
              <w:t>Other comprehensive (loss) earnings:</w:t>
            </w: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(losses) gains on investments and other financial instruments, net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(37,580)</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44,516</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25,632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ind w:left="180"/>
              <w:spacing w:after="0"/>
              <w:rPr>
                <w:sz w:val="20"/>
                <w:szCs w:val="20"/>
                <w:color w:val="auto"/>
              </w:rPr>
            </w:pPr>
            <w:r>
              <w:rPr>
                <w:rFonts w:ascii="Arial" w:cs="Arial" w:eastAsia="Arial" w:hAnsi="Arial"/>
                <w:sz w:val="18"/>
                <w:szCs w:val="18"/>
                <w:color w:val="auto"/>
              </w:rPr>
              <w:t>Unrealized losses on investments in unconsolidated affiliates</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(45,103)</w:t>
            </w:r>
          </w:p>
        </w:tc>
        <w:tc>
          <w:tcPr>
            <w:tcW w:w="5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unrealized (loss) gain</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(7,651)</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2,285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ind w:left="180"/>
              <w:spacing w:after="0"/>
              <w:rPr>
                <w:sz w:val="20"/>
                <w:szCs w:val="20"/>
                <w:color w:val="auto"/>
              </w:rPr>
            </w:pPr>
            <w:r>
              <w:rPr>
                <w:rFonts w:ascii="Arial" w:cs="Arial" w:eastAsia="Arial" w:hAnsi="Arial"/>
                <w:sz w:val="18"/>
                <w:szCs w:val="18"/>
                <w:color w:val="auto"/>
              </w:rPr>
              <w:t>Reclassification adjustments for losses (gains) included in net earnings</w:t>
            </w:r>
          </w:p>
        </w:tc>
        <w:tc>
          <w:tcPr>
            <w:tcW w:w="760" w:type="dxa"/>
            <w:vAlign w:val="bottom"/>
          </w:tcPr>
          <w:p>
            <w:pPr>
              <w:jc w:val="right"/>
              <w:spacing w:after="0"/>
              <w:rPr>
                <w:sz w:val="20"/>
                <w:szCs w:val="20"/>
                <w:color w:val="auto"/>
              </w:rPr>
            </w:pPr>
            <w:r>
              <w:rPr>
                <w:rFonts w:ascii="Arial" w:cs="Arial" w:eastAsia="Arial" w:hAnsi="Arial"/>
                <w:sz w:val="18"/>
                <w:szCs w:val="18"/>
                <w:color w:val="auto"/>
              </w:rPr>
              <w:t>33,096</w:t>
            </w:r>
          </w:p>
        </w:tc>
        <w:tc>
          <w:tcPr>
            <w:tcW w:w="120" w:type="dxa"/>
            <w:vAlign w:val="bottom"/>
          </w:tcPr>
          <w:p>
            <w:pPr>
              <w:spacing w:after="0"/>
              <w:rPr>
                <w:sz w:val="18"/>
                <w:szCs w:val="18"/>
                <w:color w:val="auto"/>
              </w:rPr>
            </w:pPr>
          </w:p>
        </w:tc>
        <w:tc>
          <w:tcPr>
            <w:tcW w:w="1780" w:type="dxa"/>
            <w:vAlign w:val="bottom"/>
            <w:gridSpan w:val="3"/>
          </w:tcPr>
          <w:p>
            <w:pPr>
              <w:jc w:val="right"/>
              <w:ind w:right="480"/>
              <w:spacing w:after="0"/>
              <w:rPr>
                <w:sz w:val="20"/>
                <w:szCs w:val="20"/>
                <w:color w:val="auto"/>
              </w:rPr>
            </w:pPr>
            <w:r>
              <w:rPr>
                <w:rFonts w:ascii="Arial" w:cs="Arial" w:eastAsia="Arial" w:hAnsi="Arial"/>
                <w:sz w:val="18"/>
                <w:szCs w:val="18"/>
                <w:color w:val="auto"/>
              </w:rPr>
              <w:t>(11,101)</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(13,398)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adjustments relating to minority interests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Minimum pension liability adjustment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(17,889)</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10,716</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earnings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(75,127)</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46,416</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15,821</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 earnings</w:t>
            </w: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40" w:type="dxa"/>
            <w:vAlign w:val="bottom"/>
            <w:gridSpan w:val="2"/>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(254,143)</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$ 176,185</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$ 453,582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4" w:name="page65"/>
    <w:bookmarkEnd w:id="64"/>
    <w:p>
      <w:pPr>
        <w:spacing w:after="0" w:line="1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2"/>
                <w:szCs w:val="12"/>
                <w:b w:val="1"/>
                <w:bCs w:val="1"/>
                <w:color w:val="auto"/>
                <w:w w:val="98"/>
              </w:rPr>
              <w:t>Accumulated</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80" w:type="dxa"/>
            <w:vAlign w:val="bottom"/>
            <w:gridSpan w:val="3"/>
          </w:tcPr>
          <w:p>
            <w:pPr>
              <w:jc w:val="center"/>
              <w:ind w:left="110"/>
              <w:spacing w:after="0" w:line="133" w:lineRule="exact"/>
              <w:rPr>
                <w:sz w:val="20"/>
                <w:szCs w:val="20"/>
                <w:color w:val="auto"/>
              </w:rPr>
            </w:pPr>
            <w:r>
              <w:rPr>
                <w:rFonts w:ascii="Arial" w:cs="Arial" w:eastAsia="Arial" w:hAnsi="Arial"/>
                <w:sz w:val="12"/>
                <w:szCs w:val="12"/>
                <w:b w:val="1"/>
                <w:bCs w:val="1"/>
                <w:color w:val="auto"/>
                <w:w w:val="93"/>
              </w:rPr>
              <w:t>Common Stock</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Investment by</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560"/>
              <w:spacing w:after="0" w:line="133" w:lineRule="exact"/>
              <w:rPr>
                <w:sz w:val="20"/>
                <w:szCs w:val="20"/>
                <w:color w:val="auto"/>
              </w:rPr>
            </w:pPr>
            <w:r>
              <w:rPr>
                <w:rFonts w:ascii="Arial" w:cs="Arial" w:eastAsia="Arial" w:hAnsi="Arial"/>
                <w:sz w:val="12"/>
                <w:szCs w:val="12"/>
                <w:b w:val="1"/>
                <w:bCs w:val="1"/>
                <w:color w:val="auto"/>
              </w:rPr>
              <w:t>Other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80" w:type="dxa"/>
            <w:vAlign w:val="bottom"/>
            <w:gridSpan w:val="3"/>
          </w:tcPr>
          <w:p>
            <w:pPr>
              <w:jc w:val="center"/>
              <w:ind w:left="90"/>
              <w:spacing w:after="0"/>
              <w:rPr>
                <w:sz w:val="20"/>
                <w:szCs w:val="20"/>
                <w:color w:val="auto"/>
              </w:rPr>
            </w:pPr>
            <w:r>
              <w:rPr>
                <w:rFonts w:ascii="Arial" w:cs="Arial" w:eastAsia="Arial" w:hAnsi="Arial"/>
                <w:sz w:val="12"/>
                <w:szCs w:val="12"/>
                <w:b w:val="1"/>
                <w:bCs w:val="1"/>
                <w:color w:val="auto"/>
                <w:w w:val="90"/>
              </w:rPr>
              <w:t>Class A</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Class B</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Arial" w:cs="Arial" w:eastAsia="Arial" w:hAnsi="Arial"/>
                <w:sz w:val="12"/>
                <w:szCs w:val="12"/>
                <w:b w:val="1"/>
                <w:bCs w:val="1"/>
                <w:color w:val="auto"/>
              </w:rPr>
              <w:t>Parent /Additional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Retained</w:t>
            </w:r>
          </w:p>
        </w:tc>
        <w:tc>
          <w:tcPr>
            <w:tcW w:w="1240" w:type="dxa"/>
            <w:vAlign w:val="bottom"/>
            <w:gridSpan w:val="4"/>
          </w:tcPr>
          <w:p>
            <w:pPr>
              <w:ind w:left="120"/>
              <w:spacing w:after="0"/>
              <w:rPr>
                <w:sz w:val="20"/>
                <w:szCs w:val="20"/>
                <w:color w:val="auto"/>
              </w:rPr>
            </w:pPr>
            <w:r>
              <w:rPr>
                <w:rFonts w:ascii="Arial" w:cs="Arial" w:eastAsia="Arial" w:hAnsi="Arial"/>
                <w:sz w:val="12"/>
                <w:szCs w:val="12"/>
                <w:b w:val="1"/>
                <w:bCs w:val="1"/>
                <w:color w:val="auto"/>
              </w:rPr>
              <w:t>Comprehensive</w:t>
            </w:r>
          </w:p>
        </w:tc>
        <w:tc>
          <w:tcPr>
            <w:tcW w:w="1720" w:type="dxa"/>
            <w:vAlign w:val="bottom"/>
            <w:gridSpan w:val="4"/>
          </w:tcPr>
          <w:p>
            <w:pPr>
              <w:jc w:val="right"/>
              <w:ind w:right="600"/>
              <w:spacing w:after="0"/>
              <w:rPr>
                <w:sz w:val="20"/>
                <w:szCs w:val="20"/>
                <w:color w:val="auto"/>
              </w:rPr>
            </w:pPr>
            <w:r>
              <w:rPr>
                <w:rFonts w:ascii="Arial" w:cs="Arial" w:eastAsia="Arial" w:hAnsi="Arial"/>
                <w:sz w:val="12"/>
                <w:szCs w:val="12"/>
                <w:b w:val="1"/>
                <w:bCs w:val="1"/>
                <w:color w:val="auto"/>
              </w:rPr>
              <w:t>Treasury Stock</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540" w:type="dxa"/>
            <w:vAlign w:val="bottom"/>
            <w:tcBorders>
              <w:top w:val="single" w:sz="8" w:color="auto"/>
            </w:tcBorders>
          </w:tcPr>
          <w:p>
            <w:pPr>
              <w:ind w:left="80"/>
              <w:spacing w:after="0" w:line="127" w:lineRule="exact"/>
              <w:rPr>
                <w:sz w:val="20"/>
                <w:szCs w:val="20"/>
                <w:color w:val="auto"/>
              </w:rPr>
            </w:pPr>
            <w:r>
              <w:rPr>
                <w:rFonts w:ascii="Arial" w:cs="Arial" w:eastAsia="Arial" w:hAnsi="Arial"/>
                <w:sz w:val="12"/>
                <w:szCs w:val="12"/>
                <w:b w:val="1"/>
                <w:bCs w:val="1"/>
                <w:color w:val="auto"/>
              </w:rPr>
              <w:t>Shares</w:t>
            </w:r>
          </w:p>
        </w:tc>
        <w:tc>
          <w:tcPr>
            <w:tcW w:w="2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spacing w:after="0" w:line="127" w:lineRule="exact"/>
              <w:rPr>
                <w:sz w:val="20"/>
                <w:szCs w:val="20"/>
                <w:color w:val="auto"/>
              </w:rPr>
            </w:pPr>
            <w:r>
              <w:rPr>
                <w:rFonts w:ascii="Arial" w:cs="Arial" w:eastAsia="Arial" w:hAnsi="Arial"/>
                <w:sz w:val="12"/>
                <w:szCs w:val="12"/>
                <w:b w:val="1"/>
                <w:bCs w:val="1"/>
                <w:color w:val="auto"/>
                <w:w w:val="92"/>
              </w:rPr>
              <w:t>Amount</w:t>
            </w:r>
          </w:p>
        </w:tc>
        <w:tc>
          <w:tcPr>
            <w:tcW w:w="280" w:type="dxa"/>
            <w:vAlign w:val="bottom"/>
          </w:tcPr>
          <w:p>
            <w:pPr>
              <w:spacing w:after="0"/>
              <w:rPr>
                <w:sz w:val="11"/>
                <w:szCs w:val="11"/>
                <w:color w:val="auto"/>
              </w:rPr>
            </w:pPr>
          </w:p>
        </w:tc>
        <w:tc>
          <w:tcPr>
            <w:tcW w:w="600" w:type="dxa"/>
            <w:vAlign w:val="bottom"/>
            <w:tcBorders>
              <w:top w:val="single" w:sz="8" w:color="auto"/>
            </w:tcBorders>
          </w:tcPr>
          <w:p>
            <w:pPr>
              <w:ind w:left="120"/>
              <w:spacing w:after="0" w:line="127" w:lineRule="exact"/>
              <w:rPr>
                <w:sz w:val="20"/>
                <w:szCs w:val="20"/>
                <w:color w:val="auto"/>
              </w:rPr>
            </w:pPr>
            <w:r>
              <w:rPr>
                <w:rFonts w:ascii="Arial" w:cs="Arial" w:eastAsia="Arial" w:hAnsi="Arial"/>
                <w:sz w:val="12"/>
                <w:szCs w:val="12"/>
                <w:b w:val="1"/>
                <w:bCs w:val="1"/>
                <w:color w:val="auto"/>
              </w:rPr>
              <w:t>Shares</w:t>
            </w:r>
          </w:p>
        </w:tc>
        <w:tc>
          <w:tcPr>
            <w:tcW w:w="3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spacing w:after="0" w:line="127" w:lineRule="exact"/>
              <w:rPr>
                <w:sz w:val="20"/>
                <w:szCs w:val="20"/>
                <w:color w:val="auto"/>
              </w:rPr>
            </w:pPr>
            <w:r>
              <w:rPr>
                <w:rFonts w:ascii="Arial" w:cs="Arial" w:eastAsia="Arial" w:hAnsi="Arial"/>
                <w:sz w:val="12"/>
                <w:szCs w:val="12"/>
                <w:b w:val="1"/>
                <w:bCs w:val="1"/>
                <w:color w:val="auto"/>
                <w:w w:val="92"/>
              </w:rPr>
              <w:t>Amount</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ind w:left="20"/>
              <w:spacing w:after="0" w:line="127" w:lineRule="exact"/>
              <w:rPr>
                <w:sz w:val="20"/>
                <w:szCs w:val="20"/>
                <w:color w:val="auto"/>
              </w:rPr>
            </w:pPr>
            <w:r>
              <w:rPr>
                <w:rFonts w:ascii="Arial" w:cs="Arial" w:eastAsia="Arial" w:hAnsi="Arial"/>
                <w:sz w:val="12"/>
                <w:szCs w:val="12"/>
                <w:b w:val="1"/>
                <w:bCs w:val="1"/>
                <w:color w:val="auto"/>
              </w:rPr>
              <w:t>Paid-In Capital</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Earnings (Deficit)</w:t>
            </w:r>
          </w:p>
        </w:tc>
        <w:tc>
          <w:tcPr>
            <w:tcW w:w="1240" w:type="dxa"/>
            <w:vAlign w:val="bottom"/>
            <w:gridSpan w:val="4"/>
          </w:tcPr>
          <w:p>
            <w:pPr>
              <w:ind w:left="120"/>
              <w:spacing w:after="0" w:line="127" w:lineRule="exact"/>
              <w:rPr>
                <w:sz w:val="20"/>
                <w:szCs w:val="20"/>
                <w:color w:val="auto"/>
              </w:rPr>
            </w:pPr>
            <w:r>
              <w:rPr>
                <w:rFonts w:ascii="Arial" w:cs="Arial" w:eastAsia="Arial" w:hAnsi="Arial"/>
                <w:sz w:val="12"/>
                <w:szCs w:val="12"/>
                <w:b w:val="1"/>
                <w:bCs w:val="1"/>
                <w:color w:val="auto"/>
              </w:rPr>
              <w:t>Earnings (Loss)</w:t>
            </w:r>
          </w:p>
        </w:tc>
        <w:tc>
          <w:tcPr>
            <w:tcW w:w="780" w:type="dxa"/>
            <w:vAlign w:val="bottom"/>
            <w:tcBorders>
              <w:top w:val="single" w:sz="8" w:color="auto"/>
            </w:tcBorders>
            <w:gridSpan w:val="2"/>
          </w:tcPr>
          <w:p>
            <w:pPr>
              <w:jc w:val="right"/>
              <w:ind w:right="360"/>
              <w:spacing w:after="0" w:line="127" w:lineRule="exact"/>
              <w:rPr>
                <w:sz w:val="20"/>
                <w:szCs w:val="20"/>
                <w:color w:val="auto"/>
              </w:rPr>
            </w:pPr>
            <w:r>
              <w:rPr>
                <w:rFonts w:ascii="Arial" w:cs="Arial" w:eastAsia="Arial" w:hAnsi="Arial"/>
                <w:sz w:val="12"/>
                <w:szCs w:val="12"/>
                <w:b w:val="1"/>
                <w:bCs w:val="1"/>
                <w:color w:val="auto"/>
                <w:w w:val="99"/>
              </w:rPr>
              <w:t>Shares</w:t>
            </w:r>
          </w:p>
        </w:tc>
        <w:tc>
          <w:tcPr>
            <w:tcW w:w="620" w:type="dxa"/>
            <w:vAlign w:val="bottom"/>
            <w:tcBorders>
              <w:top w:val="single" w:sz="8" w:color="auto"/>
            </w:tcBorders>
          </w:tcPr>
          <w:p>
            <w:pPr>
              <w:jc w:val="right"/>
              <w:ind w:right="9"/>
              <w:spacing w:after="0" w:line="127" w:lineRule="exact"/>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320"/>
              <w:spacing w:after="0" w:line="127"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80" w:type="dxa"/>
            <w:vAlign w:val="bottom"/>
            <w:gridSpan w:val="6"/>
          </w:tcPr>
          <w:p>
            <w:pPr>
              <w:jc w:val="right"/>
              <w:ind w:right="100"/>
              <w:spacing w:after="0" w:line="127" w:lineRule="exact"/>
              <w:rPr>
                <w:sz w:val="20"/>
                <w:szCs w:val="20"/>
                <w:color w:val="auto"/>
              </w:rPr>
            </w:pPr>
            <w:r>
              <w:rPr>
                <w:rFonts w:ascii="Arial" w:cs="Arial" w:eastAsia="Arial" w:hAnsi="Arial"/>
                <w:sz w:val="12"/>
                <w:szCs w:val="12"/>
                <w:b w:val="1"/>
                <w:bCs w:val="1"/>
                <w:color w:val="auto"/>
              </w:rPr>
              <w:t>(In thousands, except share data)</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Balance, December 31, 2005</w:t>
            </w:r>
          </w:p>
        </w:tc>
        <w:tc>
          <w:tcPr>
            <w:tcW w:w="8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31,147</w:t>
            </w:r>
          </w:p>
        </w:tc>
        <w:tc>
          <w:tcPr>
            <w:tcW w:w="2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3</w:t>
            </w:r>
          </w:p>
        </w:tc>
        <w:tc>
          <w:tcPr>
            <w:tcW w:w="90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143,176</w:t>
            </w:r>
          </w:p>
        </w:tc>
        <w:tc>
          <w:tcPr>
            <w:tcW w:w="1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14</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3,254,960</w:t>
            </w:r>
          </w:p>
        </w:tc>
        <w:tc>
          <w:tcPr>
            <w:tcW w:w="28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103,665</w:t>
            </w:r>
          </w:p>
        </w:tc>
        <w:tc>
          <w:tcPr>
            <w:tcW w:w="28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(78,867)</w:t>
            </w:r>
          </w:p>
        </w:tc>
        <w:tc>
          <w:tcPr>
            <w:tcW w:w="7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w w:val="99"/>
              </w:rPr>
              <w:t>3,279,775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tcPr>
          <w:p>
            <w:pPr>
              <w:ind w:left="180"/>
              <w:spacing w:after="0" w:line="128" w:lineRule="exact"/>
              <w:rPr>
                <w:sz w:val="20"/>
                <w:szCs w:val="20"/>
                <w:color w:val="auto"/>
              </w:rPr>
            </w:pPr>
            <w:r>
              <w:rPr>
                <w:rFonts w:ascii="Arial" w:cs="Arial" w:eastAsia="Arial" w:hAnsi="Arial"/>
                <w:sz w:val="14"/>
                <w:szCs w:val="14"/>
                <w:color w:val="auto"/>
              </w:rPr>
              <w:t>Exercise of Old FNF stock</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tcPr>
          <w:p>
            <w:pPr>
              <w:ind w:left="380"/>
              <w:spacing w:after="0"/>
              <w:rPr>
                <w:sz w:val="20"/>
                <w:szCs w:val="20"/>
                <w:color w:val="auto"/>
              </w:rPr>
            </w:pPr>
            <w:r>
              <w:rPr>
                <w:rFonts w:ascii="Arial" w:cs="Arial" w:eastAsia="Arial" w:hAnsi="Arial"/>
                <w:sz w:val="14"/>
                <w:szCs w:val="14"/>
                <w:color w:val="auto"/>
              </w:rPr>
              <w:t>options</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49,051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49,051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shd w:val="clear" w:color="auto" w:fill="CCEEFF"/>
          </w:tcPr>
          <w:p>
            <w:pPr>
              <w:ind w:left="180"/>
              <w:spacing w:after="0" w:line="128" w:lineRule="exact"/>
              <w:rPr>
                <w:sz w:val="20"/>
                <w:szCs w:val="20"/>
                <w:color w:val="auto"/>
              </w:rPr>
            </w:pPr>
            <w:r>
              <w:rPr>
                <w:rFonts w:ascii="Arial" w:cs="Arial" w:eastAsia="Arial" w:hAnsi="Arial"/>
                <w:sz w:val="14"/>
                <w:szCs w:val="14"/>
                <w:color w:val="auto"/>
              </w:rPr>
              <w:t>Exercise of new stock</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options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1,597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1,597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tcPr>
          <w:p>
            <w:pPr>
              <w:ind w:left="180"/>
              <w:spacing w:after="0" w:line="128" w:lineRule="exact"/>
              <w:rPr>
                <w:sz w:val="20"/>
                <w:szCs w:val="20"/>
                <w:color w:val="auto"/>
              </w:rPr>
            </w:pPr>
            <w:r>
              <w:rPr>
                <w:rFonts w:ascii="Arial" w:cs="Arial" w:eastAsia="Arial" w:hAnsi="Arial"/>
                <w:sz w:val="14"/>
                <w:szCs w:val="14"/>
                <w:color w:val="auto"/>
              </w:rPr>
              <w:t>Shares withheld for taxes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tcPr>
          <w:p>
            <w:pPr>
              <w:ind w:left="380"/>
              <w:spacing w:after="0"/>
              <w:rPr>
                <w:sz w:val="20"/>
                <w:szCs w:val="20"/>
                <w:color w:val="auto"/>
              </w:rPr>
            </w:pPr>
            <w:r>
              <w:rPr>
                <w:rFonts w:ascii="Arial" w:cs="Arial" w:eastAsia="Arial" w:hAnsi="Arial"/>
                <w:sz w:val="14"/>
                <w:szCs w:val="14"/>
                <w:color w:val="auto"/>
              </w:rPr>
              <w:t>and Cancelled</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170</w:t>
            </w:r>
          </w:p>
        </w:tc>
        <w:tc>
          <w:tcPr>
            <w:tcW w:w="260" w:type="dxa"/>
            <w:vAlign w:val="bottom"/>
          </w:tcPr>
          <w:p>
            <w:pPr>
              <w:spacing w:after="0"/>
              <w:rPr>
                <w:sz w:val="14"/>
                <w:szCs w:val="14"/>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(55,498)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(55,498)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shd w:val="clear" w:color="auto" w:fill="CCEEFF"/>
          </w:tcPr>
          <w:p>
            <w:pPr>
              <w:ind w:left="180"/>
              <w:spacing w:after="0" w:line="128" w:lineRule="exact"/>
              <w:rPr>
                <w:sz w:val="20"/>
                <w:szCs w:val="20"/>
                <w:color w:val="auto"/>
              </w:rPr>
            </w:pPr>
            <w:r>
              <w:rPr>
                <w:rFonts w:ascii="Arial" w:cs="Arial" w:eastAsia="Arial" w:hAnsi="Arial"/>
                <w:sz w:val="14"/>
                <w:szCs w:val="14"/>
                <w:color w:val="auto"/>
              </w:rPr>
              <w:t>Tax benefit associated with</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380"/>
              <w:spacing w:after="0" w:line="147" w:lineRule="exact"/>
              <w:rPr>
                <w:sz w:val="20"/>
                <w:szCs w:val="20"/>
                <w:color w:val="auto"/>
              </w:rPr>
            </w:pPr>
            <w:r>
              <w:rPr>
                <w:rFonts w:ascii="Arial" w:cs="Arial" w:eastAsia="Arial" w:hAnsi="Arial"/>
                <w:sz w:val="14"/>
                <w:szCs w:val="14"/>
                <w:color w:val="auto"/>
              </w:rPr>
              <w:t>the exercise of stock</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options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81,776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81,776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tcPr>
          <w:p>
            <w:pPr>
              <w:ind w:left="180"/>
              <w:spacing w:after="0" w:line="128" w:lineRule="exact"/>
              <w:rPr>
                <w:sz w:val="20"/>
                <w:szCs w:val="20"/>
                <w:color w:val="auto"/>
              </w:rPr>
            </w:pPr>
            <w:r>
              <w:rPr>
                <w:rFonts w:ascii="Arial" w:cs="Arial" w:eastAsia="Arial" w:hAnsi="Arial"/>
                <w:sz w:val="14"/>
                <w:szCs w:val="14"/>
                <w:color w:val="auto"/>
              </w:rPr>
              <w:t>Closing of Securities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380"/>
              <w:spacing w:after="0" w:line="147" w:lineRule="exact"/>
              <w:rPr>
                <w:sz w:val="20"/>
                <w:szCs w:val="20"/>
                <w:color w:val="auto"/>
              </w:rPr>
            </w:pPr>
            <w:r>
              <w:rPr>
                <w:rFonts w:ascii="Arial" w:cs="Arial" w:eastAsia="Arial" w:hAnsi="Arial"/>
                <w:sz w:val="14"/>
                <w:szCs w:val="14"/>
                <w:color w:val="auto"/>
              </w:rPr>
              <w:t>Exchange and</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tcPr>
          <w:p>
            <w:pPr>
              <w:ind w:left="380"/>
              <w:spacing w:after="0"/>
              <w:rPr>
                <w:sz w:val="20"/>
                <w:szCs w:val="20"/>
                <w:color w:val="auto"/>
              </w:rPr>
            </w:pPr>
            <w:r>
              <w:rPr>
                <w:rFonts w:ascii="Arial" w:cs="Arial" w:eastAsia="Arial" w:hAnsi="Arial"/>
                <w:sz w:val="14"/>
                <w:szCs w:val="14"/>
                <w:color w:val="auto"/>
              </w:rPr>
              <w:t>Distribution Agreement</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188,646</w:t>
            </w:r>
          </w:p>
        </w:tc>
        <w:tc>
          <w:tcPr>
            <w:tcW w:w="260" w:type="dxa"/>
            <w:vAlign w:val="bottom"/>
          </w:tcPr>
          <w:p>
            <w:pPr>
              <w:spacing w:after="0"/>
              <w:rPr>
                <w:sz w:val="14"/>
                <w:szCs w:val="14"/>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19</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(143,176)</w:t>
            </w:r>
          </w:p>
        </w:tc>
        <w:tc>
          <w:tcPr>
            <w:tcW w:w="16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(1,046,315)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(17,189)</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(1,063,499)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shd w:val="clear" w:color="auto" w:fill="CCEEFF"/>
          </w:tcPr>
          <w:p>
            <w:pPr>
              <w:ind w:left="180"/>
              <w:spacing w:after="0" w:line="128" w:lineRule="exact"/>
              <w:rPr>
                <w:sz w:val="20"/>
                <w:szCs w:val="20"/>
                <w:color w:val="auto"/>
              </w:rPr>
            </w:pPr>
            <w:r>
              <w:rPr>
                <w:rFonts w:ascii="Arial" w:cs="Arial" w:eastAsia="Arial" w:hAnsi="Arial"/>
                <w:sz w:val="14"/>
                <w:szCs w:val="14"/>
                <w:color w:val="auto"/>
              </w:rPr>
              <w:t>Issuance of Restricted</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1,545</w:t>
            </w:r>
          </w:p>
        </w:tc>
        <w:tc>
          <w:tcPr>
            <w:tcW w:w="2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180"/>
              <w:spacing w:after="0" w:line="147" w:lineRule="exact"/>
              <w:rPr>
                <w:sz w:val="20"/>
                <w:szCs w:val="20"/>
                <w:color w:val="auto"/>
              </w:rPr>
            </w:pPr>
            <w:r>
              <w:rPr>
                <w:rFonts w:ascii="Arial" w:cs="Arial" w:eastAsia="Arial" w:hAnsi="Arial"/>
                <w:sz w:val="14"/>
                <w:szCs w:val="14"/>
                <w:color w:val="auto"/>
              </w:rPr>
              <w:t>Acquisition of Certegy Inc.</w:t>
            </w:r>
          </w:p>
        </w:tc>
        <w:tc>
          <w:tcPr>
            <w:tcW w:w="8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6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862,296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862,296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shd w:val="clear" w:color="auto" w:fill="CCEEFF"/>
          </w:tcPr>
          <w:p>
            <w:pPr>
              <w:ind w:left="180"/>
              <w:spacing w:after="0" w:line="128" w:lineRule="exact"/>
              <w:rPr>
                <w:sz w:val="20"/>
                <w:szCs w:val="20"/>
                <w:color w:val="auto"/>
              </w:rPr>
            </w:pPr>
            <w:r>
              <w:rPr>
                <w:rFonts w:ascii="Arial" w:cs="Arial" w:eastAsia="Arial" w:hAnsi="Arial"/>
                <w:sz w:val="14"/>
                <w:szCs w:val="14"/>
                <w:color w:val="auto"/>
              </w:rPr>
              <w:t>Issuance of Subsidiary</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380"/>
              <w:spacing w:after="0" w:line="147" w:lineRule="exact"/>
              <w:rPr>
                <w:sz w:val="20"/>
                <w:szCs w:val="20"/>
                <w:color w:val="auto"/>
              </w:rPr>
            </w:pPr>
            <w:r>
              <w:rPr>
                <w:rFonts w:ascii="Arial" w:cs="Arial" w:eastAsia="Arial" w:hAnsi="Arial"/>
                <w:sz w:val="14"/>
                <w:szCs w:val="14"/>
                <w:color w:val="auto"/>
              </w:rPr>
              <w:t>stock, net of minority</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28,343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28,343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tcPr>
          <w:p>
            <w:pPr>
              <w:ind w:left="180"/>
              <w:spacing w:after="0" w:line="128" w:lineRule="exact"/>
              <w:rPr>
                <w:sz w:val="20"/>
                <w:szCs w:val="20"/>
                <w:color w:val="auto"/>
              </w:rPr>
            </w:pPr>
            <w:r>
              <w:rPr>
                <w:rFonts w:ascii="Arial" w:cs="Arial" w:eastAsia="Arial" w:hAnsi="Arial"/>
                <w:sz w:val="14"/>
                <w:szCs w:val="14"/>
                <w:color w:val="auto"/>
              </w:rPr>
              <w:t>Other comprehensive</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380"/>
              <w:spacing w:after="0" w:line="147" w:lineRule="exact"/>
              <w:rPr>
                <w:sz w:val="20"/>
                <w:szCs w:val="20"/>
                <w:color w:val="auto"/>
              </w:rPr>
            </w:pPr>
            <w:r>
              <w:rPr>
                <w:rFonts w:ascii="Arial" w:cs="Arial" w:eastAsia="Arial" w:hAnsi="Arial"/>
                <w:sz w:val="14"/>
                <w:szCs w:val="14"/>
                <w:color w:val="auto"/>
              </w:rPr>
              <w:t>earnings — unrealized</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tcPr>
          <w:p>
            <w:pPr>
              <w:ind w:left="380"/>
              <w:spacing w:after="0"/>
              <w:rPr>
                <w:sz w:val="20"/>
                <w:szCs w:val="20"/>
                <w:color w:val="auto"/>
              </w:rPr>
            </w:pPr>
            <w:r>
              <w:rPr>
                <w:rFonts w:ascii="Arial" w:cs="Arial" w:eastAsia="Arial" w:hAnsi="Arial"/>
                <w:sz w:val="14"/>
                <w:szCs w:val="14"/>
                <w:color w:val="auto"/>
              </w:rPr>
              <w:t>loss on foreign currency</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(497)</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shd w:val="clear" w:color="auto" w:fill="CCEEFF"/>
          </w:tcPr>
          <w:p>
            <w:pPr>
              <w:ind w:left="180"/>
              <w:spacing w:after="0" w:line="128" w:lineRule="exact"/>
              <w:rPr>
                <w:sz w:val="20"/>
                <w:szCs w:val="20"/>
                <w:color w:val="auto"/>
              </w:rPr>
            </w:pPr>
            <w:r>
              <w:rPr>
                <w:rFonts w:ascii="Arial" w:cs="Arial" w:eastAsia="Arial" w:hAnsi="Arial"/>
                <w:sz w:val="14"/>
                <w:szCs w:val="14"/>
                <w:color w:val="auto"/>
              </w:rPr>
              <w:t>Other comprehensive</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380"/>
              <w:spacing w:after="0" w:line="147" w:lineRule="exact"/>
              <w:rPr>
                <w:sz w:val="20"/>
                <w:szCs w:val="20"/>
                <w:color w:val="auto"/>
              </w:rPr>
            </w:pPr>
            <w:r>
              <w:rPr>
                <w:rFonts w:ascii="Arial" w:cs="Arial" w:eastAsia="Arial" w:hAnsi="Arial"/>
                <w:sz w:val="14"/>
                <w:szCs w:val="14"/>
                <w:color w:val="auto"/>
              </w:rPr>
              <w:t>earnings — unrealized</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380"/>
              <w:spacing w:after="0" w:line="147" w:lineRule="exact"/>
              <w:rPr>
                <w:sz w:val="20"/>
                <w:szCs w:val="20"/>
                <w:color w:val="auto"/>
              </w:rPr>
            </w:pPr>
            <w:r>
              <w:rPr>
                <w:rFonts w:ascii="Arial" w:cs="Arial" w:eastAsia="Arial" w:hAnsi="Arial"/>
                <w:sz w:val="14"/>
                <w:szCs w:val="14"/>
                <w:color w:val="auto"/>
              </w:rPr>
              <w:t>gain on investments and</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380"/>
              <w:spacing w:after="0" w:line="147" w:lineRule="exact"/>
              <w:rPr>
                <w:sz w:val="20"/>
                <w:szCs w:val="20"/>
                <w:color w:val="auto"/>
              </w:rPr>
            </w:pPr>
            <w:r>
              <w:rPr>
                <w:rFonts w:ascii="Arial" w:cs="Arial" w:eastAsia="Arial" w:hAnsi="Arial"/>
                <w:sz w:val="14"/>
                <w:szCs w:val="14"/>
                <w:color w:val="auto"/>
              </w:rPr>
              <w:t>other financial</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instruments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12,234</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12,234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tcPr>
          <w:p>
            <w:pPr>
              <w:ind w:left="180"/>
              <w:spacing w:after="0" w:line="128" w:lineRule="exact"/>
              <w:rPr>
                <w:sz w:val="20"/>
                <w:szCs w:val="20"/>
                <w:color w:val="auto"/>
              </w:rPr>
            </w:pPr>
            <w:r>
              <w:rPr>
                <w:rFonts w:ascii="Arial" w:cs="Arial" w:eastAsia="Arial" w:hAnsi="Arial"/>
                <w:sz w:val="14"/>
                <w:szCs w:val="14"/>
                <w:color w:val="auto"/>
              </w:rPr>
              <w:t>Other comprehensive</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380"/>
              <w:spacing w:after="0" w:line="147" w:lineRule="exact"/>
              <w:rPr>
                <w:sz w:val="20"/>
                <w:szCs w:val="20"/>
                <w:color w:val="auto"/>
              </w:rPr>
            </w:pPr>
            <w:r>
              <w:rPr>
                <w:rFonts w:ascii="Arial" w:cs="Arial" w:eastAsia="Arial" w:hAnsi="Arial"/>
                <w:sz w:val="14"/>
                <w:szCs w:val="14"/>
                <w:color w:val="auto"/>
              </w:rPr>
              <w:t>earnings — minimum</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380"/>
              <w:spacing w:after="0" w:line="147" w:lineRule="exact"/>
              <w:rPr>
                <w:sz w:val="20"/>
                <w:szCs w:val="20"/>
                <w:color w:val="auto"/>
              </w:rPr>
            </w:pPr>
            <w:r>
              <w:rPr>
                <w:rFonts w:ascii="Arial" w:cs="Arial" w:eastAsia="Arial" w:hAnsi="Arial"/>
                <w:sz w:val="14"/>
                <w:szCs w:val="14"/>
                <w:color w:val="auto"/>
              </w:rPr>
              <w:t>pension liability</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tcPr>
          <w:p>
            <w:pPr>
              <w:ind w:left="380"/>
              <w:spacing w:after="0"/>
              <w:rPr>
                <w:sz w:val="20"/>
                <w:szCs w:val="20"/>
                <w:color w:val="auto"/>
              </w:rPr>
            </w:pPr>
            <w:r>
              <w:rPr>
                <w:rFonts w:ascii="Arial" w:cs="Arial" w:eastAsia="Arial" w:hAnsi="Arial"/>
                <w:sz w:val="14"/>
                <w:szCs w:val="14"/>
                <w:color w:val="auto"/>
              </w:rPr>
              <w:t>adjustment</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6,379</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6,379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shd w:val="clear" w:color="auto" w:fill="CCEEFF"/>
          </w:tcPr>
          <w:p>
            <w:pPr>
              <w:ind w:left="180"/>
              <w:spacing w:after="0" w:line="128" w:lineRule="exact"/>
              <w:rPr>
                <w:sz w:val="20"/>
                <w:szCs w:val="20"/>
                <w:color w:val="auto"/>
              </w:rPr>
            </w:pPr>
            <w:r>
              <w:rPr>
                <w:rFonts w:ascii="Arial" w:cs="Arial" w:eastAsia="Arial" w:hAnsi="Arial"/>
                <w:sz w:val="14"/>
                <w:szCs w:val="14"/>
                <w:color w:val="auto"/>
              </w:rPr>
              <w:t>Other comprehensive</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380"/>
              <w:spacing w:after="0" w:line="147" w:lineRule="exact"/>
              <w:rPr>
                <w:sz w:val="20"/>
                <w:szCs w:val="20"/>
                <w:color w:val="auto"/>
              </w:rPr>
            </w:pPr>
            <w:r>
              <w:rPr>
                <w:rFonts w:ascii="Arial" w:cs="Arial" w:eastAsia="Arial" w:hAnsi="Arial"/>
                <w:sz w:val="14"/>
                <w:szCs w:val="14"/>
                <w:color w:val="auto"/>
              </w:rPr>
              <w:t>earnings — minority</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14,894</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14,894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tcPr>
          <w:p>
            <w:pPr>
              <w:ind w:left="180"/>
              <w:spacing w:after="0" w:line="128" w:lineRule="exact"/>
              <w:rPr>
                <w:sz w:val="20"/>
                <w:szCs w:val="20"/>
                <w:color w:val="auto"/>
              </w:rPr>
            </w:pPr>
            <w:r>
              <w:rPr>
                <w:rFonts w:ascii="Arial" w:cs="Arial" w:eastAsia="Arial" w:hAnsi="Arial"/>
                <w:sz w:val="14"/>
                <w:szCs w:val="14"/>
                <w:color w:val="auto"/>
              </w:rPr>
              <w:t>Capital Contribution to</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380"/>
              <w:spacing w:after="0" w:line="147" w:lineRule="exact"/>
              <w:rPr>
                <w:sz w:val="20"/>
                <w:szCs w:val="20"/>
                <w:color w:val="auto"/>
              </w:rPr>
            </w:pPr>
            <w:r>
              <w:rPr>
                <w:rFonts w:ascii="Arial" w:cs="Arial" w:eastAsia="Arial" w:hAnsi="Arial"/>
                <w:sz w:val="14"/>
                <w:szCs w:val="14"/>
                <w:color w:val="auto"/>
              </w:rPr>
              <w:t>Fidelity National</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380"/>
              <w:spacing w:after="0" w:line="147" w:lineRule="exact"/>
              <w:rPr>
                <w:sz w:val="20"/>
                <w:szCs w:val="20"/>
                <w:color w:val="auto"/>
              </w:rPr>
            </w:pPr>
            <w:r>
              <w:rPr>
                <w:rFonts w:ascii="Arial" w:cs="Arial" w:eastAsia="Arial" w:hAnsi="Arial"/>
                <w:sz w:val="14"/>
                <w:szCs w:val="14"/>
                <w:color w:val="auto"/>
              </w:rPr>
              <w:t>Information Services,</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tcPr>
          <w:p>
            <w:pPr>
              <w:ind w:left="380"/>
              <w:spacing w:after="0"/>
              <w:rPr>
                <w:sz w:val="20"/>
                <w:szCs w:val="20"/>
                <w:color w:val="auto"/>
              </w:rPr>
            </w:pPr>
            <w:r>
              <w:rPr>
                <w:rFonts w:ascii="Arial" w:cs="Arial" w:eastAsia="Arial" w:hAnsi="Arial"/>
                <w:sz w:val="14"/>
                <w:szCs w:val="14"/>
                <w:color w:val="auto"/>
              </w:rPr>
              <w:t>Inc.</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(5,218)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(5,218)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Stock-based compensation</w:t>
            </w:r>
          </w:p>
        </w:tc>
        <w:tc>
          <w:tcPr>
            <w:tcW w:w="8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22,912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22,912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tcPr>
          <w:p>
            <w:pPr>
              <w:ind w:left="180"/>
              <w:spacing w:after="0" w:line="128" w:lineRule="exact"/>
              <w:rPr>
                <w:sz w:val="20"/>
                <w:szCs w:val="20"/>
                <w:color w:val="auto"/>
              </w:rPr>
            </w:pPr>
            <w:r>
              <w:rPr>
                <w:rFonts w:ascii="Arial" w:cs="Arial" w:eastAsia="Arial" w:hAnsi="Arial"/>
                <w:sz w:val="14"/>
                <w:szCs w:val="14"/>
                <w:color w:val="auto"/>
              </w:rPr>
              <w:t>Shares withheld for taxes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tcPr>
          <w:p>
            <w:pPr>
              <w:ind w:left="380"/>
              <w:spacing w:after="0"/>
              <w:rPr>
                <w:sz w:val="20"/>
                <w:szCs w:val="20"/>
                <w:color w:val="auto"/>
              </w:rPr>
            </w:pPr>
            <w:r>
              <w:rPr>
                <w:rFonts w:ascii="Arial" w:cs="Arial" w:eastAsia="Arial" w:hAnsi="Arial"/>
                <w:sz w:val="14"/>
                <w:szCs w:val="14"/>
                <w:color w:val="auto"/>
              </w:rPr>
              <w:t>and in treasury</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95</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(2,028)</w:t>
            </w: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Cash dividends</w:t>
            </w:r>
          </w:p>
        </w:tc>
        <w:tc>
          <w:tcPr>
            <w:tcW w:w="8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(195,910)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(195,910)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180"/>
              <w:spacing w:after="0" w:line="147" w:lineRule="exact"/>
              <w:rPr>
                <w:sz w:val="20"/>
                <w:szCs w:val="20"/>
                <w:color w:val="auto"/>
              </w:rPr>
            </w:pPr>
            <w:r>
              <w:rPr>
                <w:rFonts w:ascii="Arial" w:cs="Arial" w:eastAsia="Arial" w:hAnsi="Arial"/>
                <w:sz w:val="14"/>
                <w:szCs w:val="14"/>
                <w:color w:val="auto"/>
              </w:rPr>
              <w:t>Net earnings</w:t>
            </w:r>
          </w:p>
        </w:tc>
        <w:tc>
          <w:tcPr>
            <w:tcW w:w="8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6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437,761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437,761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9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Balance, December 31, 2006</w:t>
            </w:r>
          </w:p>
        </w:tc>
        <w:tc>
          <w:tcPr>
            <w:tcW w:w="8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221,508</w:t>
            </w:r>
          </w:p>
        </w:tc>
        <w:tc>
          <w:tcPr>
            <w:tcW w:w="2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22</w:t>
            </w:r>
          </w:p>
        </w:tc>
        <w:tc>
          <w:tcPr>
            <w:tcW w:w="90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3,193,904</w:t>
            </w:r>
          </w:p>
        </w:tc>
        <w:tc>
          <w:tcPr>
            <w:tcW w:w="28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345,516</w:t>
            </w:r>
          </w:p>
        </w:tc>
        <w:tc>
          <w:tcPr>
            <w:tcW w:w="28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(63,046)</w:t>
            </w:r>
          </w:p>
        </w:tc>
        <w:tc>
          <w:tcPr>
            <w:tcW w:w="7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95</w:t>
            </w:r>
          </w:p>
        </w:tc>
        <w:tc>
          <w:tcPr>
            <w:tcW w:w="94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(2,028)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w w:val="99"/>
              </w:rPr>
              <w:t>3,474,368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180"/>
              <w:spacing w:after="0" w:line="147" w:lineRule="exact"/>
              <w:rPr>
                <w:sz w:val="20"/>
                <w:szCs w:val="20"/>
                <w:color w:val="auto"/>
              </w:rPr>
            </w:pPr>
            <w:r>
              <w:rPr>
                <w:rFonts w:ascii="Arial" w:cs="Arial" w:eastAsia="Arial" w:hAnsi="Arial"/>
                <w:sz w:val="14"/>
                <w:szCs w:val="14"/>
                <w:color w:val="auto"/>
              </w:rPr>
              <w:t>Exercise of stock options</w:t>
            </w:r>
          </w:p>
        </w:tc>
        <w:tc>
          <w:tcPr>
            <w:tcW w:w="8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1,088</w:t>
            </w:r>
          </w:p>
        </w:tc>
        <w:tc>
          <w:tcPr>
            <w:tcW w:w="260" w:type="dxa"/>
            <w:vAlign w:val="bottom"/>
          </w:tcPr>
          <w:p>
            <w:pPr>
              <w:spacing w:after="0"/>
              <w:rPr>
                <w:sz w:val="12"/>
                <w:szCs w:val="12"/>
                <w:color w:val="auto"/>
              </w:rPr>
            </w:pPr>
          </w:p>
        </w:tc>
        <w:tc>
          <w:tcPr>
            <w:tcW w:w="46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8,409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8,409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Treasury Stock repurchased</w:t>
            </w:r>
          </w:p>
        </w:tc>
        <w:tc>
          <w:tcPr>
            <w:tcW w:w="8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9,675</w:t>
            </w:r>
          </w:p>
        </w:tc>
        <w:tc>
          <w:tcPr>
            <w:tcW w:w="94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(183,148)</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(183,148)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tcPr>
          <w:p>
            <w:pPr>
              <w:ind w:left="180"/>
              <w:spacing w:after="0" w:line="128" w:lineRule="exact"/>
              <w:rPr>
                <w:sz w:val="20"/>
                <w:szCs w:val="20"/>
                <w:color w:val="auto"/>
              </w:rPr>
            </w:pPr>
            <w:r>
              <w:rPr>
                <w:rFonts w:ascii="Arial" w:cs="Arial" w:eastAsia="Arial" w:hAnsi="Arial"/>
                <w:sz w:val="14"/>
                <w:szCs w:val="14"/>
                <w:color w:val="auto"/>
              </w:rPr>
              <w:t>Tax benefit associated with</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380"/>
              <w:spacing w:after="0" w:line="147" w:lineRule="exact"/>
              <w:rPr>
                <w:sz w:val="20"/>
                <w:szCs w:val="20"/>
                <w:color w:val="auto"/>
              </w:rPr>
            </w:pPr>
            <w:r>
              <w:rPr>
                <w:rFonts w:ascii="Arial" w:cs="Arial" w:eastAsia="Arial" w:hAnsi="Arial"/>
                <w:sz w:val="14"/>
                <w:szCs w:val="14"/>
                <w:color w:val="auto"/>
              </w:rPr>
              <w:t>the exercise of stock</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tcPr>
          <w:p>
            <w:pPr>
              <w:ind w:left="380"/>
              <w:spacing w:after="0"/>
              <w:rPr>
                <w:sz w:val="20"/>
                <w:szCs w:val="20"/>
                <w:color w:val="auto"/>
              </w:rPr>
            </w:pPr>
            <w:r>
              <w:rPr>
                <w:rFonts w:ascii="Arial" w:cs="Arial" w:eastAsia="Arial" w:hAnsi="Arial"/>
                <w:sz w:val="14"/>
                <w:szCs w:val="14"/>
                <w:color w:val="auto"/>
              </w:rPr>
              <w:t>options</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4,687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4,687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Issuance of restricted stock</w:t>
            </w:r>
          </w:p>
        </w:tc>
        <w:tc>
          <w:tcPr>
            <w:tcW w:w="8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473</w:t>
            </w:r>
          </w:p>
        </w:tc>
        <w:tc>
          <w:tcPr>
            <w:tcW w:w="2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tcPr>
          <w:p>
            <w:pPr>
              <w:ind w:left="180"/>
              <w:spacing w:after="0" w:line="128" w:lineRule="exact"/>
              <w:rPr>
                <w:sz w:val="20"/>
                <w:szCs w:val="20"/>
                <w:color w:val="auto"/>
              </w:rPr>
            </w:pPr>
            <w:r>
              <w:rPr>
                <w:rFonts w:ascii="Arial" w:cs="Arial" w:eastAsia="Arial" w:hAnsi="Arial"/>
                <w:sz w:val="14"/>
                <w:szCs w:val="14"/>
                <w:color w:val="auto"/>
              </w:rPr>
              <w:t>Other comprehensive</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380"/>
              <w:spacing w:after="0" w:line="147" w:lineRule="exact"/>
              <w:rPr>
                <w:sz w:val="20"/>
                <w:szCs w:val="20"/>
                <w:color w:val="auto"/>
              </w:rPr>
            </w:pPr>
            <w:r>
              <w:rPr>
                <w:rFonts w:ascii="Arial" w:cs="Arial" w:eastAsia="Arial" w:hAnsi="Arial"/>
                <w:sz w:val="14"/>
                <w:szCs w:val="14"/>
                <w:color w:val="auto"/>
              </w:rPr>
              <w:t>earnings — unrealized</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380"/>
              <w:spacing w:after="0" w:line="147" w:lineRule="exact"/>
              <w:rPr>
                <w:sz w:val="20"/>
                <w:szCs w:val="20"/>
                <w:color w:val="auto"/>
              </w:rPr>
            </w:pPr>
            <w:r>
              <w:rPr>
                <w:rFonts w:ascii="Arial" w:cs="Arial" w:eastAsia="Arial" w:hAnsi="Arial"/>
                <w:sz w:val="14"/>
                <w:szCs w:val="14"/>
                <w:color w:val="auto"/>
              </w:rPr>
              <w:t>gain on foreign</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tcPr>
          <w:p>
            <w:pPr>
              <w:ind w:left="380"/>
              <w:spacing w:after="0"/>
              <w:rPr>
                <w:sz w:val="20"/>
                <w:szCs w:val="20"/>
                <w:color w:val="auto"/>
              </w:rPr>
            </w:pPr>
            <w:r>
              <w:rPr>
                <w:rFonts w:ascii="Arial" w:cs="Arial" w:eastAsia="Arial" w:hAnsi="Arial"/>
                <w:sz w:val="14"/>
                <w:szCs w:val="14"/>
                <w:color w:val="auto"/>
              </w:rPr>
              <w:t>currency</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2,285</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2,285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shd w:val="clear" w:color="auto" w:fill="CCEEFF"/>
          </w:tcPr>
          <w:p>
            <w:pPr>
              <w:ind w:left="180"/>
              <w:spacing w:after="0" w:line="128" w:lineRule="exact"/>
              <w:rPr>
                <w:sz w:val="20"/>
                <w:szCs w:val="20"/>
                <w:color w:val="auto"/>
              </w:rPr>
            </w:pPr>
            <w:r>
              <w:rPr>
                <w:rFonts w:ascii="Arial" w:cs="Arial" w:eastAsia="Arial" w:hAnsi="Arial"/>
                <w:sz w:val="14"/>
                <w:szCs w:val="14"/>
                <w:color w:val="auto"/>
              </w:rPr>
              <w:t>Other comprehensive</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380"/>
              <w:spacing w:after="0" w:line="147" w:lineRule="exact"/>
              <w:rPr>
                <w:sz w:val="20"/>
                <w:szCs w:val="20"/>
                <w:color w:val="auto"/>
              </w:rPr>
            </w:pPr>
            <w:r>
              <w:rPr>
                <w:rFonts w:ascii="Arial" w:cs="Arial" w:eastAsia="Arial" w:hAnsi="Arial"/>
                <w:sz w:val="14"/>
                <w:szCs w:val="14"/>
                <w:color w:val="auto"/>
              </w:rPr>
              <w:t>earnings — unrealized</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380"/>
              <w:spacing w:after="0" w:line="147" w:lineRule="exact"/>
              <w:rPr>
                <w:sz w:val="20"/>
                <w:szCs w:val="20"/>
                <w:color w:val="auto"/>
              </w:rPr>
            </w:pPr>
            <w:r>
              <w:rPr>
                <w:rFonts w:ascii="Arial" w:cs="Arial" w:eastAsia="Arial" w:hAnsi="Arial"/>
                <w:sz w:val="14"/>
                <w:szCs w:val="14"/>
                <w:color w:val="auto"/>
              </w:rPr>
              <w:t>gain on investments and</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380"/>
              <w:spacing w:after="0" w:line="147" w:lineRule="exact"/>
              <w:rPr>
                <w:sz w:val="20"/>
                <w:szCs w:val="20"/>
                <w:color w:val="auto"/>
              </w:rPr>
            </w:pPr>
            <w:r>
              <w:rPr>
                <w:rFonts w:ascii="Arial" w:cs="Arial" w:eastAsia="Arial" w:hAnsi="Arial"/>
                <w:sz w:val="14"/>
                <w:szCs w:val="14"/>
                <w:color w:val="auto"/>
              </w:rPr>
              <w:t>other financial</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instruments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33,415</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33,415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tcPr>
          <w:p>
            <w:pPr>
              <w:ind w:left="180"/>
              <w:spacing w:after="0" w:line="128" w:lineRule="exact"/>
              <w:rPr>
                <w:sz w:val="20"/>
                <w:szCs w:val="20"/>
                <w:color w:val="auto"/>
              </w:rPr>
            </w:pPr>
            <w:r>
              <w:rPr>
                <w:rFonts w:ascii="Arial" w:cs="Arial" w:eastAsia="Arial" w:hAnsi="Arial"/>
                <w:sz w:val="14"/>
                <w:szCs w:val="14"/>
                <w:color w:val="auto"/>
              </w:rPr>
              <w:t>Other comprehensive</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380"/>
              <w:spacing w:after="0" w:line="147" w:lineRule="exact"/>
              <w:rPr>
                <w:sz w:val="20"/>
                <w:szCs w:val="20"/>
                <w:color w:val="auto"/>
              </w:rPr>
            </w:pPr>
            <w:r>
              <w:rPr>
                <w:rFonts w:ascii="Arial" w:cs="Arial" w:eastAsia="Arial" w:hAnsi="Arial"/>
                <w:sz w:val="14"/>
                <w:szCs w:val="14"/>
                <w:color w:val="auto"/>
              </w:rPr>
              <w:t>earnings — minimum</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380"/>
              <w:spacing w:after="0" w:line="147" w:lineRule="exact"/>
              <w:rPr>
                <w:sz w:val="20"/>
                <w:szCs w:val="20"/>
                <w:color w:val="auto"/>
              </w:rPr>
            </w:pPr>
            <w:r>
              <w:rPr>
                <w:rFonts w:ascii="Arial" w:cs="Arial" w:eastAsia="Arial" w:hAnsi="Arial"/>
                <w:sz w:val="14"/>
                <w:szCs w:val="14"/>
                <w:color w:val="auto"/>
              </w:rPr>
              <w:t>pension liability</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tcPr>
          <w:p>
            <w:pPr>
              <w:ind w:left="380"/>
              <w:spacing w:after="0"/>
              <w:rPr>
                <w:sz w:val="20"/>
                <w:szCs w:val="20"/>
                <w:color w:val="auto"/>
              </w:rPr>
            </w:pPr>
            <w:r>
              <w:rPr>
                <w:rFonts w:ascii="Arial" w:cs="Arial" w:eastAsia="Arial" w:hAnsi="Arial"/>
                <w:sz w:val="14"/>
                <w:szCs w:val="14"/>
                <w:color w:val="auto"/>
              </w:rPr>
              <w:t>adjustment</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10,716</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10,716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Stock-based compensation</w:t>
            </w:r>
          </w:p>
        </w:tc>
        <w:tc>
          <w:tcPr>
            <w:tcW w:w="8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29,866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29,866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tcPr>
          <w:p>
            <w:pPr>
              <w:ind w:left="180"/>
              <w:spacing w:after="0" w:line="128" w:lineRule="exact"/>
              <w:rPr>
                <w:sz w:val="20"/>
                <w:szCs w:val="20"/>
                <w:color w:val="auto"/>
              </w:rPr>
            </w:pPr>
            <w:r>
              <w:rPr>
                <w:rFonts w:ascii="Arial" w:cs="Arial" w:eastAsia="Arial" w:hAnsi="Arial"/>
                <w:sz w:val="14"/>
                <w:szCs w:val="14"/>
                <w:color w:val="auto"/>
              </w:rPr>
              <w:t>Shares withheld for taxes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tcPr>
          <w:p>
            <w:pPr>
              <w:ind w:left="380"/>
              <w:spacing w:after="0"/>
              <w:rPr>
                <w:sz w:val="20"/>
                <w:szCs w:val="20"/>
                <w:color w:val="auto"/>
              </w:rPr>
            </w:pPr>
            <w:r>
              <w:rPr>
                <w:rFonts w:ascii="Arial" w:cs="Arial" w:eastAsia="Arial" w:hAnsi="Arial"/>
                <w:sz w:val="14"/>
                <w:szCs w:val="14"/>
                <w:color w:val="auto"/>
              </w:rPr>
              <w:t>and in treasury</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262</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(4,097)</w:t>
            </w: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(4,097)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Cash dividends</w:t>
            </w:r>
          </w:p>
        </w:tc>
        <w:tc>
          <w:tcPr>
            <w:tcW w:w="8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(262,182)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(262,182)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180"/>
              <w:spacing w:after="0" w:line="147" w:lineRule="exact"/>
              <w:rPr>
                <w:sz w:val="20"/>
                <w:szCs w:val="20"/>
                <w:color w:val="auto"/>
              </w:rPr>
            </w:pPr>
            <w:r>
              <w:rPr>
                <w:rFonts w:ascii="Arial" w:cs="Arial" w:eastAsia="Arial" w:hAnsi="Arial"/>
                <w:sz w:val="14"/>
                <w:szCs w:val="14"/>
                <w:color w:val="auto"/>
              </w:rPr>
              <w:t>Net earnings</w:t>
            </w:r>
          </w:p>
        </w:tc>
        <w:tc>
          <w:tcPr>
            <w:tcW w:w="8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6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129,769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129,769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9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Balance, December 31, 2007</w:t>
            </w:r>
          </w:p>
        </w:tc>
        <w:tc>
          <w:tcPr>
            <w:tcW w:w="8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223,069</w:t>
            </w:r>
          </w:p>
        </w:tc>
        <w:tc>
          <w:tcPr>
            <w:tcW w:w="26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22</w:t>
            </w:r>
          </w:p>
        </w:tc>
        <w:tc>
          <w:tcPr>
            <w:tcW w:w="90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3,236,866</w:t>
            </w:r>
          </w:p>
        </w:tc>
        <w:tc>
          <w:tcPr>
            <w:tcW w:w="28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213,103</w:t>
            </w:r>
          </w:p>
        </w:tc>
        <w:tc>
          <w:tcPr>
            <w:tcW w:w="28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(16,630)</w:t>
            </w:r>
          </w:p>
        </w:tc>
        <w:tc>
          <w:tcPr>
            <w:tcW w:w="7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10,032</w:t>
            </w:r>
          </w:p>
        </w:tc>
        <w:tc>
          <w:tcPr>
            <w:tcW w:w="94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w w:val="92"/>
              </w:rPr>
              <w:t>$ (189,273)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w w:val="99"/>
              </w:rPr>
              <w:t>3,244,088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tcPr>
          <w:p>
            <w:pPr>
              <w:ind w:left="180"/>
              <w:spacing w:after="0" w:line="128" w:lineRule="exact"/>
              <w:rPr>
                <w:sz w:val="20"/>
                <w:szCs w:val="20"/>
                <w:color w:val="auto"/>
              </w:rPr>
            </w:pPr>
            <w:r>
              <w:rPr>
                <w:rFonts w:ascii="Arial" w:cs="Arial" w:eastAsia="Arial" w:hAnsi="Arial"/>
                <w:sz w:val="14"/>
                <w:szCs w:val="14"/>
                <w:color w:val="auto"/>
              </w:rPr>
              <w:t>Acquisition of</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380"/>
              <w:spacing w:after="0" w:line="147" w:lineRule="exact"/>
              <w:rPr>
                <w:sz w:val="20"/>
                <w:szCs w:val="20"/>
                <w:color w:val="auto"/>
              </w:rPr>
            </w:pPr>
            <w:r>
              <w:rPr>
                <w:rFonts w:ascii="Arial" w:cs="Arial" w:eastAsia="Arial" w:hAnsi="Arial"/>
                <w:sz w:val="14"/>
                <w:szCs w:val="14"/>
                <w:color w:val="auto"/>
              </w:rPr>
              <w:t>LandAmerica title</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tcPr>
          <w:p>
            <w:pPr>
              <w:ind w:left="380"/>
              <w:spacing w:after="0"/>
              <w:rPr>
                <w:sz w:val="20"/>
                <w:szCs w:val="20"/>
                <w:color w:val="auto"/>
              </w:rPr>
            </w:pPr>
            <w:r>
              <w:rPr>
                <w:rFonts w:ascii="Arial" w:cs="Arial" w:eastAsia="Arial" w:hAnsi="Arial"/>
                <w:sz w:val="14"/>
                <w:szCs w:val="14"/>
                <w:color w:val="auto"/>
              </w:rPr>
              <w:t>insurance subsidiaries</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3,177</w:t>
            </w:r>
          </w:p>
        </w:tc>
        <w:tc>
          <w:tcPr>
            <w:tcW w:w="260" w:type="dxa"/>
            <w:vAlign w:val="bottom"/>
          </w:tcPr>
          <w:p>
            <w:pPr>
              <w:spacing w:after="0"/>
              <w:rPr>
                <w:sz w:val="14"/>
                <w:szCs w:val="14"/>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1</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50,001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Exercise of stock options</w:t>
            </w:r>
          </w:p>
        </w:tc>
        <w:tc>
          <w:tcPr>
            <w:tcW w:w="8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775</w:t>
            </w:r>
          </w:p>
        </w:tc>
        <w:tc>
          <w:tcPr>
            <w:tcW w:w="2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5,377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5,377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180"/>
              <w:spacing w:after="0" w:line="147" w:lineRule="exact"/>
              <w:rPr>
                <w:sz w:val="20"/>
                <w:szCs w:val="20"/>
                <w:color w:val="auto"/>
              </w:rPr>
            </w:pPr>
            <w:r>
              <w:rPr>
                <w:rFonts w:ascii="Arial" w:cs="Arial" w:eastAsia="Arial" w:hAnsi="Arial"/>
                <w:sz w:val="14"/>
                <w:szCs w:val="14"/>
                <w:color w:val="auto"/>
              </w:rPr>
              <w:t>Treasury Stock repurchased</w:t>
            </w:r>
          </w:p>
        </w:tc>
        <w:tc>
          <w:tcPr>
            <w:tcW w:w="8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6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3,167</w:t>
            </w:r>
          </w:p>
        </w:tc>
        <w:tc>
          <w:tcPr>
            <w:tcW w:w="94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(45,998)</w:t>
            </w: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(45,998)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shd w:val="clear" w:color="auto" w:fill="CCEEFF"/>
          </w:tcPr>
          <w:p>
            <w:pPr>
              <w:ind w:left="180"/>
              <w:spacing w:after="0" w:line="128" w:lineRule="exact"/>
              <w:rPr>
                <w:sz w:val="20"/>
                <w:szCs w:val="20"/>
                <w:color w:val="auto"/>
              </w:rPr>
            </w:pPr>
            <w:r>
              <w:rPr>
                <w:rFonts w:ascii="Arial" w:cs="Arial" w:eastAsia="Arial" w:hAnsi="Arial"/>
                <w:sz w:val="14"/>
                <w:szCs w:val="14"/>
                <w:color w:val="auto"/>
              </w:rPr>
              <w:t>Tax benefit associated with</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380"/>
              <w:spacing w:after="0" w:line="147" w:lineRule="exact"/>
              <w:rPr>
                <w:sz w:val="20"/>
                <w:szCs w:val="20"/>
                <w:color w:val="auto"/>
              </w:rPr>
            </w:pPr>
            <w:r>
              <w:rPr>
                <w:rFonts w:ascii="Arial" w:cs="Arial" w:eastAsia="Arial" w:hAnsi="Arial"/>
                <w:sz w:val="14"/>
                <w:szCs w:val="14"/>
                <w:color w:val="auto"/>
              </w:rPr>
              <w:t>stock-based</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compensation</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180"/>
              <w:spacing w:after="0" w:line="147" w:lineRule="exact"/>
              <w:rPr>
                <w:sz w:val="20"/>
                <w:szCs w:val="20"/>
                <w:color w:val="auto"/>
              </w:rPr>
            </w:pPr>
            <w:r>
              <w:rPr>
                <w:rFonts w:ascii="Arial" w:cs="Arial" w:eastAsia="Arial" w:hAnsi="Arial"/>
                <w:sz w:val="14"/>
                <w:szCs w:val="14"/>
                <w:color w:val="auto"/>
              </w:rPr>
              <w:t>Issuance of restricted stock</w:t>
            </w:r>
          </w:p>
        </w:tc>
        <w:tc>
          <w:tcPr>
            <w:tcW w:w="8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1,370</w:t>
            </w:r>
          </w:p>
        </w:tc>
        <w:tc>
          <w:tcPr>
            <w:tcW w:w="260" w:type="dxa"/>
            <w:vAlign w:val="bottom"/>
          </w:tcPr>
          <w:p>
            <w:pPr>
              <w:spacing w:after="0"/>
              <w:rPr>
                <w:sz w:val="12"/>
                <w:szCs w:val="12"/>
                <w:color w:val="auto"/>
              </w:rPr>
            </w:pPr>
          </w:p>
        </w:tc>
        <w:tc>
          <w:tcPr>
            <w:tcW w:w="46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shd w:val="clear" w:color="auto" w:fill="CCEEFF"/>
          </w:tcPr>
          <w:p>
            <w:pPr>
              <w:ind w:left="180"/>
              <w:spacing w:after="0" w:line="128" w:lineRule="exact"/>
              <w:rPr>
                <w:sz w:val="20"/>
                <w:szCs w:val="20"/>
                <w:color w:val="auto"/>
              </w:rPr>
            </w:pPr>
            <w:r>
              <w:rPr>
                <w:rFonts w:ascii="Arial" w:cs="Arial" w:eastAsia="Arial" w:hAnsi="Arial"/>
                <w:sz w:val="14"/>
                <w:szCs w:val="14"/>
                <w:color w:val="auto"/>
              </w:rPr>
              <w:t>Other comprehensive</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380"/>
              <w:spacing w:after="0" w:line="147" w:lineRule="exact"/>
              <w:rPr>
                <w:sz w:val="20"/>
                <w:szCs w:val="20"/>
                <w:color w:val="auto"/>
              </w:rPr>
            </w:pPr>
            <w:r>
              <w:rPr>
                <w:rFonts w:ascii="Arial" w:cs="Arial" w:eastAsia="Arial" w:hAnsi="Arial"/>
                <w:sz w:val="14"/>
                <w:szCs w:val="14"/>
                <w:color w:val="auto"/>
              </w:rPr>
              <w:t>earnings — unrealized</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380"/>
              <w:spacing w:after="0" w:line="147" w:lineRule="exact"/>
              <w:rPr>
                <w:sz w:val="20"/>
                <w:szCs w:val="20"/>
                <w:color w:val="auto"/>
              </w:rPr>
            </w:pPr>
            <w:r>
              <w:rPr>
                <w:rFonts w:ascii="Arial" w:cs="Arial" w:eastAsia="Arial" w:hAnsi="Arial"/>
                <w:sz w:val="14"/>
                <w:szCs w:val="14"/>
                <w:color w:val="auto"/>
              </w:rPr>
              <w:t>loss on investments in</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380"/>
              <w:spacing w:after="0" w:line="147" w:lineRule="exact"/>
              <w:rPr>
                <w:sz w:val="20"/>
                <w:szCs w:val="20"/>
                <w:color w:val="auto"/>
              </w:rPr>
            </w:pPr>
            <w:r>
              <w:rPr>
                <w:rFonts w:ascii="Arial" w:cs="Arial" w:eastAsia="Arial" w:hAnsi="Arial"/>
                <w:sz w:val="14"/>
                <w:szCs w:val="14"/>
                <w:color w:val="auto"/>
              </w:rPr>
              <w:t>unconsolidated</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affiliates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(45,103)</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(45,103)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tcPr>
          <w:p>
            <w:pPr>
              <w:ind w:left="180"/>
              <w:spacing w:after="0" w:line="128" w:lineRule="exact"/>
              <w:rPr>
                <w:sz w:val="20"/>
                <w:szCs w:val="20"/>
                <w:color w:val="auto"/>
              </w:rPr>
            </w:pPr>
            <w:r>
              <w:rPr>
                <w:rFonts w:ascii="Arial" w:cs="Arial" w:eastAsia="Arial" w:hAnsi="Arial"/>
                <w:sz w:val="14"/>
                <w:szCs w:val="14"/>
                <w:color w:val="auto"/>
              </w:rPr>
              <w:t>Other comprehensive</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380"/>
              <w:spacing w:after="0" w:line="147" w:lineRule="exact"/>
              <w:rPr>
                <w:sz w:val="20"/>
                <w:szCs w:val="20"/>
                <w:color w:val="auto"/>
              </w:rPr>
            </w:pPr>
            <w:r>
              <w:rPr>
                <w:rFonts w:ascii="Arial" w:cs="Arial" w:eastAsia="Arial" w:hAnsi="Arial"/>
                <w:sz w:val="14"/>
                <w:szCs w:val="14"/>
                <w:color w:val="auto"/>
              </w:rPr>
              <w:t>earnings — unrealized</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tcPr>
          <w:p>
            <w:pPr>
              <w:ind w:left="380"/>
              <w:spacing w:after="0"/>
              <w:rPr>
                <w:sz w:val="20"/>
                <w:szCs w:val="20"/>
                <w:color w:val="auto"/>
              </w:rPr>
            </w:pPr>
            <w:r>
              <w:rPr>
                <w:rFonts w:ascii="Arial" w:cs="Arial" w:eastAsia="Arial" w:hAnsi="Arial"/>
                <w:sz w:val="14"/>
                <w:szCs w:val="14"/>
                <w:color w:val="auto"/>
              </w:rPr>
              <w:t>loss on foreign currency</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(7,651)</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(7,651)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shd w:val="clear" w:color="auto" w:fill="CCEEFF"/>
          </w:tcPr>
          <w:p>
            <w:pPr>
              <w:ind w:left="180"/>
              <w:spacing w:after="0" w:line="128" w:lineRule="exact"/>
              <w:rPr>
                <w:sz w:val="20"/>
                <w:szCs w:val="20"/>
                <w:color w:val="auto"/>
              </w:rPr>
            </w:pPr>
            <w:r>
              <w:rPr>
                <w:rFonts w:ascii="Arial" w:cs="Arial" w:eastAsia="Arial" w:hAnsi="Arial"/>
                <w:sz w:val="14"/>
                <w:szCs w:val="14"/>
                <w:color w:val="auto"/>
              </w:rPr>
              <w:t>Other comprehensive</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380"/>
              <w:spacing w:after="0" w:line="147" w:lineRule="exact"/>
              <w:rPr>
                <w:sz w:val="20"/>
                <w:szCs w:val="20"/>
                <w:color w:val="auto"/>
              </w:rPr>
            </w:pPr>
            <w:r>
              <w:rPr>
                <w:rFonts w:ascii="Arial" w:cs="Arial" w:eastAsia="Arial" w:hAnsi="Arial"/>
                <w:sz w:val="14"/>
                <w:szCs w:val="14"/>
                <w:color w:val="auto"/>
              </w:rPr>
              <w:t>earnings — unrealized</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380"/>
              <w:spacing w:after="0" w:line="147" w:lineRule="exact"/>
              <w:rPr>
                <w:sz w:val="20"/>
                <w:szCs w:val="20"/>
                <w:color w:val="auto"/>
              </w:rPr>
            </w:pPr>
            <w:r>
              <w:rPr>
                <w:rFonts w:ascii="Arial" w:cs="Arial" w:eastAsia="Arial" w:hAnsi="Arial"/>
                <w:sz w:val="14"/>
                <w:szCs w:val="14"/>
                <w:color w:val="auto"/>
              </w:rPr>
              <w:t>loss on investments and</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380"/>
              <w:spacing w:after="0" w:line="147" w:lineRule="exact"/>
              <w:rPr>
                <w:sz w:val="20"/>
                <w:szCs w:val="20"/>
                <w:color w:val="auto"/>
              </w:rPr>
            </w:pPr>
            <w:r>
              <w:rPr>
                <w:rFonts w:ascii="Arial" w:cs="Arial" w:eastAsia="Arial" w:hAnsi="Arial"/>
                <w:sz w:val="14"/>
                <w:szCs w:val="14"/>
                <w:color w:val="auto"/>
              </w:rPr>
              <w:t>other financial</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instruments</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(4,484)</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(4,484)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80" w:type="dxa"/>
            <w:vAlign w:val="bottom"/>
          </w:tcPr>
          <w:p>
            <w:pPr>
              <w:ind w:left="180"/>
              <w:spacing w:after="0" w:line="128" w:lineRule="exact"/>
              <w:rPr>
                <w:sz w:val="20"/>
                <w:szCs w:val="20"/>
                <w:color w:val="auto"/>
              </w:rPr>
            </w:pPr>
            <w:r>
              <w:rPr>
                <w:rFonts w:ascii="Arial" w:cs="Arial" w:eastAsia="Arial" w:hAnsi="Arial"/>
                <w:sz w:val="14"/>
                <w:szCs w:val="14"/>
                <w:color w:val="auto"/>
              </w:rPr>
              <w:t>Other comprehensive</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380"/>
              <w:spacing w:after="0" w:line="147" w:lineRule="exact"/>
              <w:rPr>
                <w:sz w:val="20"/>
                <w:szCs w:val="20"/>
                <w:color w:val="auto"/>
              </w:rPr>
            </w:pPr>
            <w:r>
              <w:rPr>
                <w:rFonts w:ascii="Arial" w:cs="Arial" w:eastAsia="Arial" w:hAnsi="Arial"/>
                <w:sz w:val="14"/>
                <w:szCs w:val="14"/>
                <w:color w:val="auto"/>
              </w:rPr>
              <w:t>earnings — minimum</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380"/>
              <w:spacing w:after="0" w:line="147" w:lineRule="exact"/>
              <w:rPr>
                <w:sz w:val="20"/>
                <w:szCs w:val="20"/>
                <w:color w:val="auto"/>
              </w:rPr>
            </w:pPr>
            <w:r>
              <w:rPr>
                <w:rFonts w:ascii="Arial" w:cs="Arial" w:eastAsia="Arial" w:hAnsi="Arial"/>
                <w:sz w:val="14"/>
                <w:szCs w:val="14"/>
                <w:color w:val="auto"/>
              </w:rPr>
              <w:t>pension liability</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80" w:type="dxa"/>
            <w:vAlign w:val="bottom"/>
          </w:tcPr>
          <w:p>
            <w:pPr>
              <w:ind w:left="380"/>
              <w:spacing w:after="0"/>
              <w:rPr>
                <w:sz w:val="20"/>
                <w:szCs w:val="20"/>
                <w:color w:val="auto"/>
              </w:rPr>
            </w:pPr>
            <w:r>
              <w:rPr>
                <w:rFonts w:ascii="Arial" w:cs="Arial" w:eastAsia="Arial" w:hAnsi="Arial"/>
                <w:sz w:val="14"/>
                <w:szCs w:val="14"/>
                <w:color w:val="auto"/>
              </w:rPr>
              <w:t>adjustment</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(17,889)</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(17,889)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Stock-based compensation</w:t>
            </w:r>
          </w:p>
        </w:tc>
        <w:tc>
          <w:tcPr>
            <w:tcW w:w="8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32,669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32,669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980" w:type="dxa"/>
            <w:vAlign w:val="bottom"/>
          </w:tcPr>
          <w:p>
            <w:pPr>
              <w:ind w:left="180"/>
              <w:spacing w:after="0"/>
              <w:rPr>
                <w:sz w:val="20"/>
                <w:szCs w:val="20"/>
                <w:color w:val="auto"/>
              </w:rPr>
            </w:pPr>
            <w:r>
              <w:rPr>
                <w:rFonts w:ascii="Arial" w:cs="Arial" w:eastAsia="Arial" w:hAnsi="Arial"/>
                <w:sz w:val="14"/>
                <w:szCs w:val="14"/>
                <w:color w:val="auto"/>
              </w:rPr>
              <w:t>Shares withheld for taxes</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rPr>
              <w:t>289</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(3,677)</w:t>
            </w:r>
          </w:p>
        </w:tc>
        <w:tc>
          <w:tcPr>
            <w:tcW w:w="8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(3,677)</w:t>
            </w:r>
          </w:p>
        </w:tc>
        <w:tc>
          <w:tcPr>
            <w:tcW w:w="0" w:type="dxa"/>
            <w:vAlign w:val="bottom"/>
          </w:tcPr>
          <w:p>
            <w:pPr>
              <w:spacing w:after="0"/>
              <w:rPr>
                <w:sz w:val="1"/>
                <w:szCs w:val="1"/>
                <w:color w:val="auto"/>
              </w:rPr>
            </w:pPr>
          </w:p>
        </w:tc>
      </w:tr>
    </w:tbl>
    <w:p>
      <w:pPr>
        <w:sectPr>
          <w:pgSz w:w="11900" w:h="16856" w:orient="portrait"/>
          <w:cols w:equalWidth="0" w:num="1">
            <w:col w:w="11420"/>
          </w:cols>
          <w:pgMar w:left="240" w:top="415" w:right="239"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80" w:type="dxa"/>
            <w:vAlign w:val="bottom"/>
          </w:tcPr>
          <w:p>
            <w:pPr>
              <w:jc w:val="center"/>
              <w:ind w:right="289"/>
              <w:spacing w:after="0"/>
              <w:rPr>
                <w:sz w:val="20"/>
                <w:szCs w:val="20"/>
                <w:color w:val="auto"/>
              </w:rPr>
            </w:pPr>
            <w:r>
              <w:rPr>
                <w:rFonts w:ascii="Arial" w:cs="Arial" w:eastAsia="Arial" w:hAnsi="Arial"/>
                <w:sz w:val="14"/>
                <w:szCs w:val="14"/>
                <w:color w:val="auto"/>
                <w:w w:val="92"/>
              </w:rPr>
              <w:t>and in treasury</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Cash dividends</w:t>
            </w:r>
          </w:p>
        </w:tc>
        <w:tc>
          <w:tcPr>
            <w:tcW w:w="8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460"/>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ind w:left="30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(223,041)</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(223,041)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80" w:type="dxa"/>
            <w:vAlign w:val="bottom"/>
          </w:tcPr>
          <w:p>
            <w:pPr>
              <w:ind w:left="180"/>
              <w:spacing w:after="0" w:line="147" w:lineRule="exact"/>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460"/>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3"/>
          </w:tcPr>
          <w:p>
            <w:pPr>
              <w:ind w:left="30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(179,016)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(179,016)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980" w:type="dxa"/>
            <w:vAlign w:val="bottom"/>
            <w:shd w:val="clear" w:color="auto" w:fill="CCEEFF"/>
          </w:tcPr>
          <w:p>
            <w:pPr>
              <w:jc w:val="center"/>
              <w:ind w:right="269"/>
              <w:spacing w:after="0" w:line="147" w:lineRule="exact"/>
              <w:rPr>
                <w:sz w:val="20"/>
                <w:szCs w:val="20"/>
                <w:color w:val="auto"/>
              </w:rPr>
            </w:pPr>
            <w:r>
              <w:rPr>
                <w:rFonts w:ascii="Arial" w:cs="Arial" w:eastAsia="Arial" w:hAnsi="Arial"/>
                <w:sz w:val="14"/>
                <w:szCs w:val="14"/>
                <w:color w:val="auto"/>
                <w:w w:val="90"/>
              </w:rPr>
              <w:t>Balance, December 31, 2008</w:t>
            </w:r>
          </w:p>
        </w:tc>
        <w:tc>
          <w:tcPr>
            <w:tcW w:w="8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228,391</w:t>
            </w:r>
          </w:p>
        </w:tc>
        <w:tc>
          <w:tcPr>
            <w:tcW w:w="7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   23</w:t>
            </w:r>
          </w:p>
        </w:tc>
        <w:tc>
          <w:tcPr>
            <w:tcW w:w="900" w:type="dxa"/>
            <w:vAlign w:val="bottom"/>
            <w:gridSpan w:val="2"/>
            <w:shd w:val="clear" w:color="auto" w:fill="CCEEFF"/>
          </w:tcPr>
          <w:p>
            <w:pPr>
              <w:ind w:left="460"/>
              <w:spacing w:after="0" w:line="147"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ind w:left="300"/>
              <w:spacing w:after="0" w:line="147"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3,325,209</w:t>
            </w:r>
          </w:p>
        </w:tc>
        <w:tc>
          <w:tcPr>
            <w:tcW w:w="4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(188,954)</w:t>
            </w:r>
          </w:p>
        </w:tc>
        <w:tc>
          <w:tcPr>
            <w:tcW w:w="3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(91,757)</w:t>
            </w:r>
          </w:p>
        </w:tc>
        <w:tc>
          <w:tcPr>
            <w:tcW w:w="7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13,488</w:t>
            </w:r>
          </w:p>
        </w:tc>
        <w:tc>
          <w:tcPr>
            <w:tcW w:w="94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w w:val="92"/>
              </w:rPr>
              <w:t>$ (238,948)</w:t>
            </w:r>
          </w:p>
        </w:tc>
        <w:tc>
          <w:tcPr>
            <w:tcW w:w="82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w w:val="89"/>
              </w:rPr>
              <w:t>$  2,805,573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9"/>
              </w:rPr>
              <w:t>Year Ended December 31,</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760" w:type="dxa"/>
            <w:vAlign w:val="bottom"/>
            <w:tcBorders>
              <w:bottom w:val="single" w:sz="8" w:color="auto"/>
            </w:tcBorders>
          </w:tcPr>
          <w:p>
            <w:pPr>
              <w:jc w:val="right"/>
              <w:ind w:right="152"/>
              <w:spacing w:after="0" w:line="140"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2"/>
              <w:spacing w:after="0" w:line="140" w:lineRule="exact"/>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2"/>
              <w:spacing w:after="0" w:line="140"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tcPr>
          <w:p>
            <w:pPr>
              <w:jc w:val="right"/>
              <w:spacing w:after="0" w:line="140" w:lineRule="exact"/>
              <w:rPr>
                <w:sz w:val="20"/>
                <w:szCs w:val="20"/>
                <w:color w:val="auto"/>
              </w:rPr>
            </w:pPr>
            <w:r>
              <w:rPr>
                <w:rFonts w:ascii="Arial" w:cs="Arial" w:eastAsia="Arial" w:hAnsi="Arial"/>
                <w:sz w:val="14"/>
                <w:szCs w:val="14"/>
                <w:b w:val="1"/>
                <w:bCs w:val="1"/>
                <w:color w:val="auto"/>
                <w:w w:val="89"/>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Net (loss) earnings</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 (179,016)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129,769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437,761</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 to reconcile net (loss) earnings to net cash provided by operating activities: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jc w:val="right"/>
              <w:spacing w:after="0"/>
              <w:rPr>
                <w:sz w:val="20"/>
                <w:szCs w:val="20"/>
                <w:color w:val="auto"/>
              </w:rPr>
            </w:pPr>
            <w:r>
              <w:rPr>
                <w:rFonts w:ascii="Arial" w:cs="Arial" w:eastAsia="Arial" w:hAnsi="Arial"/>
                <w:sz w:val="18"/>
                <w:szCs w:val="18"/>
                <w:color w:val="auto"/>
              </w:rPr>
              <w:t>142,759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130,092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460,750</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Minority interest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154,570</w:t>
            </w: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Equity in losses (income) of unconsolidated affiliates</w:t>
            </w:r>
          </w:p>
        </w:tc>
        <w:tc>
          <w:tcPr>
            <w:tcW w:w="760" w:type="dxa"/>
            <w:vAlign w:val="bottom"/>
          </w:tcPr>
          <w:p>
            <w:pPr>
              <w:jc w:val="right"/>
              <w:spacing w:after="0"/>
              <w:rPr>
                <w:sz w:val="20"/>
                <w:szCs w:val="20"/>
                <w:color w:val="auto"/>
              </w:rPr>
            </w:pPr>
            <w:r>
              <w:rPr>
                <w:rFonts w:ascii="Arial" w:cs="Arial" w:eastAsia="Arial" w:hAnsi="Arial"/>
                <w:sz w:val="18"/>
                <w:szCs w:val="18"/>
                <w:color w:val="auto"/>
              </w:rPr>
              <w:t>13,375</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(1,702)</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sales of investments and other assets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22,215</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(18,458)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(18,562)</w:t>
            </w: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Stock-based compensation cost</w:t>
            </w:r>
          </w:p>
        </w:tc>
        <w:tc>
          <w:tcPr>
            <w:tcW w:w="760" w:type="dxa"/>
            <w:vAlign w:val="bottom"/>
          </w:tcPr>
          <w:p>
            <w:pPr>
              <w:jc w:val="right"/>
              <w:spacing w:after="0"/>
              <w:rPr>
                <w:sz w:val="20"/>
                <w:szCs w:val="20"/>
                <w:color w:val="auto"/>
              </w:rPr>
            </w:pPr>
            <w:r>
              <w:rPr>
                <w:rFonts w:ascii="Arial" w:cs="Arial" w:eastAsia="Arial" w:hAnsi="Arial"/>
                <w:sz w:val="18"/>
                <w:szCs w:val="18"/>
                <w:color w:val="auto"/>
              </w:rPr>
              <w:t>32,669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29,866</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64,984</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 associated with the exercise of stock options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(4,687)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(81,776)</w:t>
            </w: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Transaction fee income</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(12,293)</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 net of effects from acquisitions: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Net (increase) decrease in secured trust deposits</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(662)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(11,700)</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 trade receivables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22,286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98,540</w:t>
            </w: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Net (increase) decrease in prepaid expenses and other assets</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(65,193)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(20,087)</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(227,034)</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 accounts payable, accrued liabilities, deferred revenue and other</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(115,584)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(83,664)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(173,771)</w:t>
            </w: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Net increase in reserve for claim losses</w:t>
            </w:r>
          </w:p>
        </w:tc>
        <w:tc>
          <w:tcPr>
            <w:tcW w:w="760" w:type="dxa"/>
            <w:vAlign w:val="bottom"/>
          </w:tcPr>
          <w:p>
            <w:pPr>
              <w:jc w:val="right"/>
              <w:spacing w:after="0"/>
              <w:rPr>
                <w:sz w:val="20"/>
                <w:szCs w:val="20"/>
                <w:color w:val="auto"/>
              </w:rPr>
            </w:pPr>
            <w:r>
              <w:rPr>
                <w:rFonts w:ascii="Arial" w:cs="Arial" w:eastAsia="Arial" w:hAnsi="Arial"/>
                <w:sz w:val="18"/>
                <w:szCs w:val="18"/>
                <w:color w:val="auto"/>
              </w:rPr>
              <w:t>202,912</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199,274</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114,866</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increase in income taxes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(72,007)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(32,527)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(97,480)</w:t>
            </w:r>
          </w:p>
        </w:tc>
      </w:tr>
      <w:tr>
        <w:trPr>
          <w:trHeight w:val="227"/>
        </w:trPr>
        <w:tc>
          <w:tcPr>
            <w:tcW w:w="20" w:type="dxa"/>
            <w:vAlign w:val="bottom"/>
          </w:tcPr>
          <w:p>
            <w:pPr>
              <w:spacing w:after="0"/>
              <w:rPr>
                <w:sz w:val="19"/>
                <w:szCs w:val="19"/>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4,587</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341,096</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719,446</w:t>
            </w:r>
          </w:p>
        </w:tc>
        <w:tc>
          <w:tcPr>
            <w:tcW w:w="10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Proceeds from sales of investment securities available for sale</w:t>
            </w:r>
          </w:p>
        </w:tc>
        <w:tc>
          <w:tcPr>
            <w:tcW w:w="760" w:type="dxa"/>
            <w:vAlign w:val="bottom"/>
          </w:tcPr>
          <w:p>
            <w:pPr>
              <w:jc w:val="right"/>
              <w:spacing w:after="0"/>
              <w:rPr>
                <w:sz w:val="20"/>
                <w:szCs w:val="20"/>
                <w:color w:val="auto"/>
              </w:rPr>
            </w:pPr>
            <w:r>
              <w:rPr>
                <w:rFonts w:ascii="Arial" w:cs="Arial" w:eastAsia="Arial" w:hAnsi="Arial"/>
                <w:sz w:val="18"/>
                <w:szCs w:val="18"/>
                <w:color w:val="auto"/>
              </w:rPr>
              <w:t>632,639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4,632,657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2,981,431</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maturities of investment securities available for sale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292,107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466,744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302,842</w:t>
            </w: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Proceeds from sales of assets</w:t>
            </w:r>
          </w:p>
        </w:tc>
        <w:tc>
          <w:tcPr>
            <w:tcW w:w="760" w:type="dxa"/>
            <w:vAlign w:val="bottom"/>
          </w:tcPr>
          <w:p>
            <w:pPr>
              <w:jc w:val="right"/>
              <w:spacing w:after="0"/>
              <w:rPr>
                <w:sz w:val="20"/>
                <w:szCs w:val="20"/>
                <w:color w:val="auto"/>
              </w:rPr>
            </w:pPr>
            <w:r>
              <w:rPr>
                <w:rFonts w:ascii="Arial" w:cs="Arial" w:eastAsia="Arial" w:hAnsi="Arial"/>
                <w:sz w:val="18"/>
                <w:szCs w:val="18"/>
                <w:color w:val="auto"/>
              </w:rPr>
              <w:t>3,746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8,064</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4,656</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Collections of notes receivable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8,480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4,337</w:t>
            </w: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Cash (expended) received as collateral on loaned securities, net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(3,567)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5,942</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to title plants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(11,453)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(18,493)</w:t>
            </w: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Additions to property and equipment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(84,183)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(83,852)</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(145,387)</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to capitalized software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(29,335)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(180,875)</w:t>
            </w: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Additions to notes receivable</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(4,458)</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investment securities available for sale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(570,662)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(5,168,015)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(2,958,834)</w:t>
            </w: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Net proceeds from (purchases of) short-term investment activities</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(185,569)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421,006</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213,340</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of FIS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(145,562)</w:t>
            </w: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Contributions to investments in unconsolidated affiliates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(509,173)</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sale of partial interest in Sedgwick CMS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53,872</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Acquisition of businesses, net of cash acquired</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(143,240)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(245,825)</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(172,955)</w:t>
            </w: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(514,782)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(114,016)</w:t>
            </w:r>
          </w:p>
        </w:tc>
      </w:tr>
      <w:tr>
        <w:trPr>
          <w:trHeight w:val="219"/>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380,397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570,468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642,203</w:t>
            </w: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Debt service payments</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(263,491)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(29,431)</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(873,109)</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(1,004)</w:t>
            </w: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(223,041)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(262,182)</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(195,910)</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Subsidiary dividends paid to minority interest shareholders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(40,896)</w:t>
            </w: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760" w:type="dxa"/>
            <w:vAlign w:val="bottom"/>
          </w:tcPr>
          <w:p>
            <w:pPr>
              <w:jc w:val="right"/>
              <w:spacing w:after="0"/>
              <w:rPr>
                <w:sz w:val="20"/>
                <w:szCs w:val="20"/>
                <w:color w:val="auto"/>
              </w:rPr>
            </w:pPr>
            <w:r>
              <w:rPr>
                <w:rFonts w:ascii="Arial" w:cs="Arial" w:eastAsia="Arial" w:hAnsi="Arial"/>
                <w:sz w:val="18"/>
                <w:szCs w:val="18"/>
                <w:color w:val="auto"/>
              </w:rPr>
              <w:t>5,377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8,409</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50,648</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subsidiary stock options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45,852</w:t>
            </w: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Tax benefit associated with the exercise of stock options</w:t>
            </w:r>
          </w:p>
        </w:tc>
        <w:tc>
          <w:tcPr>
            <w:tcW w:w="760" w:type="dxa"/>
            <w:vAlign w:val="bottom"/>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4,687</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81,776</w:t>
            </w: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Subsidiary purchases of treasury stock</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(145,689)</w:t>
            </w:r>
          </w:p>
        </w:tc>
      </w:tr>
      <w:tr>
        <w:trPr>
          <w:trHeight w:val="213"/>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Purchases of treasury stock</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(45,998)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(187,245)</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provided by financing activities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101,778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(436,129)</w:t>
            </w:r>
          </w:p>
        </w:tc>
      </w:tr>
      <w:tr>
        <w:trPr>
          <w:trHeight w:val="208"/>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w w:val="94"/>
              </w:rPr>
              <w:t>Net (decrease) increase in cash and cash equivalents, excluding pledged cash related to secured</w:t>
            </w: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7500" w:type="dxa"/>
            <w:vAlign w:val="bottom"/>
          </w:tcPr>
          <w:p>
            <w:pPr>
              <w:ind w:left="380"/>
              <w:spacing w:after="0"/>
              <w:rPr>
                <w:sz w:val="20"/>
                <w:szCs w:val="20"/>
                <w:color w:val="auto"/>
              </w:rPr>
            </w:pPr>
            <w:r>
              <w:rPr>
                <w:rFonts w:ascii="Arial" w:cs="Arial" w:eastAsia="Arial" w:hAnsi="Arial"/>
                <w:sz w:val="18"/>
                <w:szCs w:val="18"/>
                <w:color w:val="auto"/>
              </w:rPr>
              <w:t>trust deposits</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(170,368)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(71,908)</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169,301</w:t>
            </w:r>
          </w:p>
        </w:tc>
      </w:tr>
      <w:tr>
        <w:trPr>
          <w:trHeight w:val="202"/>
        </w:trPr>
        <w:tc>
          <w:tcPr>
            <w:tcW w:w="20" w:type="dxa"/>
            <w:vAlign w:val="bottom"/>
          </w:tcPr>
          <w:p>
            <w:pPr>
              <w:spacing w:after="0"/>
              <w:rPr>
                <w:sz w:val="17"/>
                <w:szCs w:val="17"/>
                <w:color w:val="auto"/>
              </w:rPr>
            </w:pPr>
          </w:p>
        </w:tc>
        <w:tc>
          <w:tcPr>
            <w:tcW w:w="75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Cash and cash equivalents, excluding pledged cash related to secured trust deposits, at</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7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beginning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376,078</w:t>
            </w: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447,986</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278,685</w:t>
            </w:r>
          </w:p>
        </w:tc>
      </w:tr>
      <w:tr>
        <w:trPr>
          <w:trHeight w:val="208"/>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w w:val="96"/>
              </w:rPr>
              <w:t>Cash and cash equivalents, excluding pledged cash related to secured trust deposits, at end of</w:t>
            </w: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7500" w:type="dxa"/>
            <w:vAlign w:val="bottom"/>
          </w:tcPr>
          <w:p>
            <w:pPr>
              <w:ind w:left="380"/>
              <w:spacing w:after="0"/>
              <w:rPr>
                <w:sz w:val="20"/>
                <w:szCs w:val="20"/>
                <w:color w:val="auto"/>
              </w:rPr>
            </w:pPr>
            <w:r>
              <w:rPr>
                <w:rFonts w:ascii="Arial" w:cs="Arial" w:eastAsia="Arial" w:hAnsi="Arial"/>
                <w:sz w:val="18"/>
                <w:szCs w:val="18"/>
                <w:color w:val="auto"/>
              </w:rPr>
              <w:t>year</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$ 205,710</w:t>
            </w:r>
          </w:p>
        </w:tc>
        <w:tc>
          <w:tcPr>
            <w:tcW w:w="2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376,078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447,986</w:t>
            </w: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415"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725233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Significant Accounting Policies</w:t>
      </w:r>
    </w:p>
    <w:p>
      <w:pPr>
        <w:spacing w:after="0" w:line="119" w:lineRule="exact"/>
        <w:rPr>
          <w:sz w:val="20"/>
          <w:szCs w:val="20"/>
          <w:color w:val="auto"/>
        </w:rPr>
      </w:pPr>
    </w:p>
    <w:p>
      <w:pPr>
        <w:ind w:right="180" w:firstLine="219"/>
        <w:spacing w:after="0" w:line="267" w:lineRule="auto"/>
        <w:rPr>
          <w:sz w:val="20"/>
          <w:szCs w:val="20"/>
          <w:color w:val="auto"/>
        </w:rPr>
      </w:pPr>
      <w:r>
        <w:rPr>
          <w:rFonts w:ascii="Arial" w:cs="Arial" w:eastAsia="Arial" w:hAnsi="Arial"/>
          <w:sz w:val="18"/>
          <w:szCs w:val="18"/>
          <w:color w:val="auto"/>
        </w:rPr>
        <w:t>The following describes the significant accounting policies of Fidelity National Financial, Inc. and its subsidiaries (collectively, the “Company” or “FNF”) which have been followed in preparing the accompanying Consolidated Financial Statements.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3" w:lineRule="exact"/>
        <w:rPr>
          <w:sz w:val="20"/>
          <w:szCs w:val="20"/>
          <w:color w:val="auto"/>
        </w:rPr>
      </w:pPr>
    </w:p>
    <w:p>
      <w:pPr>
        <w:ind w:right="20" w:firstLine="222"/>
        <w:spacing w:after="0" w:line="267" w:lineRule="auto"/>
        <w:rPr>
          <w:sz w:val="20"/>
          <w:szCs w:val="20"/>
          <w:color w:val="auto"/>
        </w:rPr>
      </w:pPr>
      <w:r>
        <w:rPr>
          <w:rFonts w:ascii="Arial" w:cs="Arial" w:eastAsia="Arial" w:hAnsi="Arial"/>
          <w:sz w:val="17"/>
          <w:szCs w:val="17"/>
          <w:color w:val="auto"/>
        </w:rPr>
        <w:t>Fidelity National Financial, Inc. is a holding company that is a provider, through its subsidiaries, of title insurance, specialty insurance, claims management services, and information services. FNF is the nation’s largest title insurance company through its title insurance underwriters — Fidelity National Title, Chicago Title, Commonwealth Title, Lawyers Title, Ticor Title, Security Union Title, and Alamo Title — which collectively issued more title insurance policies in 2007 than any other title company in the United States. FNF also provides flood insurance, personal lines insurance, and home warranty insurance through its specialty insurance subsidiaries. FNF is also a leading provider of outsourced claims management services to large corporate and public sector entities through its minority-owned affiliate, Sedgwick CMS (“Sedgwick”). FNF is also a provider of information services in the human resource, retail, and transportation markets through another minority-owned affiliate, Ceridian Corporation (“Ceridian”).</w:t>
      </w:r>
    </w:p>
    <w:p>
      <w:pPr>
        <w:spacing w:after="0" w:line="78" w:lineRule="exact"/>
        <w:rPr>
          <w:sz w:val="20"/>
          <w:szCs w:val="20"/>
          <w:color w:val="auto"/>
        </w:rPr>
      </w:pPr>
    </w:p>
    <w:p>
      <w:pPr>
        <w:ind w:right="40" w:firstLine="222"/>
        <w:spacing w:after="0" w:line="265" w:lineRule="auto"/>
        <w:rPr>
          <w:sz w:val="20"/>
          <w:szCs w:val="20"/>
          <w:color w:val="auto"/>
        </w:rPr>
      </w:pPr>
      <w:r>
        <w:rPr>
          <w:rFonts w:ascii="Arial" w:cs="Arial" w:eastAsia="Arial" w:hAnsi="Arial"/>
          <w:sz w:val="17"/>
          <w:szCs w:val="17"/>
          <w:color w:val="auto"/>
        </w:rPr>
        <w:t>Prior to October 24, 2006, the Company was known as Fidelity National Title Group, Inc. (“FNT”) and was a majority-owned subsidiary of another publicly traded company, also called Fidelity National Financial, Inc. (“Old FNF”). On October 24, 2006, Old FNF transferred certain assets, including its specialty insurance business, its interest in certain claims management operations, certain timber and real estate holdings, certain smaller operations, cash and certain investment assets, to FNT in return for the issuance of 45,265,956 shares of FNT common stock to Old FNF. Old FNF then distributed to its shareholders all of its shares of FNT common stock, making FNT a stand alone public company (the “2006 Distribution”). On November 9, 2006, Old FNF was then merged with and into another of its subsidiaries, Fidelity National Information Services, Inc. (“FIS”), after which FNT’s name was changed to Fidelity National Financial, Inc. On July 2, 2008, FIS completed the spin-off of its former Lender Processing Services operating segment into a separate publicly traded company, referred to as LPS, by distributing all of its shares of LPS to FIS shareholders through a stock dividend. As a result of these transactions, the Company’s chairman of the board is also executive chairman of the board of FIS and chairman of the board of LPS and other members of our board of directors and our management serve in similar capacities at FIS and LPS.</w:t>
      </w:r>
    </w:p>
    <w:p>
      <w:pPr>
        <w:spacing w:after="0" w:line="82"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Under applicable accounting principles, following these transactions, Old FNF’s historical financial statements, with the exception of equity and earnings per share, became FNF’s historical financial statements, including the results of FIS through the date of FNF’s spin-off from Old FNF. For periods prior to October 24, 2006 the Company’s equity has been derived from FNT’s historical equity and its historical basic and diluted earnings per share have been calculated using FNT’s basic and diluted weighted average shares outstanding.</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FNF currently has three reporting segments as follows:</w:t>
      </w:r>
    </w:p>
    <w:p>
      <w:pPr>
        <w:spacing w:after="0" w:line="113" w:lineRule="exact"/>
        <w:rPr>
          <w:sz w:val="20"/>
          <w:szCs w:val="20"/>
          <w:color w:val="auto"/>
        </w:rPr>
      </w:pPr>
    </w:p>
    <w:p>
      <w:pPr>
        <w:ind w:left="680" w:right="200" w:hanging="447"/>
        <w:spacing w:after="0" w:line="257" w:lineRule="auto"/>
        <w:tabs>
          <w:tab w:leader="none" w:pos="680" w:val="left"/>
        </w:tabs>
        <w:numPr>
          <w:ilvl w:val="0"/>
          <w:numId w:val="28"/>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Fidelity National Title Group. </w:t>
      </w:r>
      <w:r>
        <w:rPr>
          <w:rFonts w:ascii="Arial" w:cs="Arial" w:eastAsia="Arial" w:hAnsi="Arial"/>
          <w:sz w:val="18"/>
          <w:szCs w:val="18"/>
          <w:color w:val="auto"/>
        </w:rPr>
        <w:t>This segment consists of the operation of FNF’s title insurance underwriters and related businesses. This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core title insurance and escrow and other title related services including collection and trust activities, trustee’s sales guarantees, recordings and reconveyances.</w:t>
      </w:r>
    </w:p>
    <w:p>
      <w:pPr>
        <w:spacing w:after="0" w:line="95" w:lineRule="exact"/>
        <w:rPr>
          <w:rFonts w:ascii="Arial" w:cs="Arial" w:eastAsia="Arial" w:hAnsi="Arial"/>
          <w:sz w:val="18"/>
          <w:szCs w:val="18"/>
          <w:b w:val="1"/>
          <w:bCs w:val="1"/>
          <w:color w:val="auto"/>
        </w:rPr>
      </w:pPr>
    </w:p>
    <w:p>
      <w:pPr>
        <w:ind w:left="680" w:right="260" w:hanging="447"/>
        <w:spacing w:after="0" w:line="295" w:lineRule="auto"/>
        <w:tabs>
          <w:tab w:leader="none" w:pos="680" w:val="left"/>
        </w:tabs>
        <w:numPr>
          <w:ilvl w:val="0"/>
          <w:numId w:val="28"/>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Specialty Insurance. </w:t>
      </w:r>
      <w:r>
        <w:rPr>
          <w:rFonts w:ascii="Arial" w:cs="Arial" w:eastAsia="Arial" w:hAnsi="Arial"/>
          <w:sz w:val="16"/>
          <w:szCs w:val="16"/>
          <w:color w:val="auto"/>
        </w:rPr>
        <w:t>The specialty insurance segment consists of certain subsidiaries that issue flood, home warranty, homeowners, automobile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personal lines insurance policies. The Company recently announced that its Board of Directors has authorized the investigation of strategic alternatives for certain of its specialty insurance businesses. The assets to be evaluated include the flood insurance and personal lines insurance businesses, but not the home warranty business. However, there can be no assurance that any transaction will be completed.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jc w:val="both"/>
        <w:ind w:left="680" w:right="180" w:hanging="447"/>
        <w:spacing w:after="0" w:line="257" w:lineRule="auto"/>
        <w:tabs>
          <w:tab w:leader="none" w:pos="680" w:val="left"/>
        </w:tabs>
        <w:numPr>
          <w:ilvl w:val="0"/>
          <w:numId w:val="29"/>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The corporate and other segment consists of the operations of the parent holding company, certain other unallocated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overhead expenses, other smaller operations, and the Company’s share in the operations of certain equity investments, including Sedgwick, Ceridian and Remy International, Inc. (“Remy”).</w:t>
      </w:r>
    </w:p>
    <w:p>
      <w:pPr>
        <w:spacing w:after="0" w:line="82" w:lineRule="exact"/>
        <w:rPr>
          <w:sz w:val="20"/>
          <w:szCs w:val="20"/>
          <w:color w:val="auto"/>
        </w:rPr>
      </w:pPr>
    </w:p>
    <w:p>
      <w:pPr>
        <w:ind w:right="100" w:firstLine="219"/>
        <w:spacing w:after="0" w:line="295" w:lineRule="auto"/>
        <w:rPr>
          <w:sz w:val="20"/>
          <w:szCs w:val="20"/>
          <w:color w:val="auto"/>
        </w:rPr>
      </w:pPr>
      <w:r>
        <w:rPr>
          <w:rFonts w:ascii="Arial" w:cs="Arial" w:eastAsia="Arial" w:hAnsi="Arial"/>
          <w:sz w:val="16"/>
          <w:szCs w:val="16"/>
          <w:color w:val="auto"/>
        </w:rPr>
        <w:t>Through October 23, 2006, the Company’s results also included the operations of FIS as a separate segment. This segment provided transaction processing services, consisting principally of technology solutions for banks and other financial institutions, credit and debit card services and check risk management and related services for retailers and others. This segment also provided lender processing services, consisting principally of technology solutions for mortgage lenders, selected mortgage origination services such as title agency and closing services, default management and mortgage information services.</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3" w:lineRule="exact"/>
        <w:rPr>
          <w:sz w:val="20"/>
          <w:szCs w:val="20"/>
          <w:color w:val="auto"/>
        </w:rPr>
      </w:pPr>
    </w:p>
    <w:p>
      <w:pPr>
        <w:ind w:right="240" w:firstLine="219"/>
        <w:spacing w:after="0" w:line="252"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and majority-owned subsidiaries. All intercompany profits, transactions and balances have been eliminated. The Company’s investments in non-majority-owned partnerships and affiliates are accounted for using the equity method until such time that they become wholly or majority owned. Minority interest expense is recorded on the consolidated statement of earnings relating to majority owned subsidiaries and the appropriate minority interest liability is recorded on the Consolidated Balance Sheets in each period.</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w:t>
      </w:r>
    </w:p>
    <w:p>
      <w:pPr>
        <w:spacing w:after="0" w:line="113"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Fixed maturity securities are purchased to support the investment strategies of the Company, which are developed based on factors including rate of return, maturity, credit risk, tax considerations and regulatory requirements. Fixed maturity securities which may be sold prior to maturity to support the Company’s investment strategies are carried at fair value and are classified as available for sale as of the balance sheet dates. Fair values for fixed maturity securities are principally a function of current interest rates and market conditions and are based on quoted market prices. Discount or premium is recorded for the difference between the purchase price and the principal amount. The discount or premium is amortized or accreted using the interest method and is recorded as an adjustment to interest and investment income. The interest method results in the recognition of a constant rate of return on the investment equal to the prevailing rate at the time of purchase or at the time of subsequent adjustments of book value. Changes in prepayment assumptions are accounted for prospectively.</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Equity securities are considered to be available for sale and carried at fair value as of the balance sheet dates. Fair values are based on quoted market prices.</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Investments in unconsolidated affiliates are recorded using the equity method of accounting (see note D).</w:t>
      </w:r>
    </w:p>
    <w:p>
      <w:pPr>
        <w:spacing w:after="0" w:line="113" w:lineRule="exact"/>
        <w:rPr>
          <w:sz w:val="20"/>
          <w:szCs w:val="20"/>
          <w:color w:val="auto"/>
        </w:rPr>
      </w:pPr>
    </w:p>
    <w:p>
      <w:pPr>
        <w:ind w:right="40" w:firstLine="222"/>
        <w:spacing w:after="0" w:line="267" w:lineRule="auto"/>
        <w:rPr>
          <w:sz w:val="20"/>
          <w:szCs w:val="20"/>
          <w:color w:val="auto"/>
        </w:rPr>
      </w:pPr>
      <w:r>
        <w:rPr>
          <w:rFonts w:ascii="Arial" w:cs="Arial" w:eastAsia="Arial" w:hAnsi="Arial"/>
          <w:sz w:val="18"/>
          <w:szCs w:val="18"/>
          <w:color w:val="auto"/>
        </w:rPr>
        <w:t>Short-term investments, which consist primarily of securities purchased under agreements to resell, commercial paper and money market instruments, which have an original maturity of one year or less, are carried at amortized cost, which approximates fair value.</w:t>
      </w:r>
    </w:p>
    <w:p>
      <w:pPr>
        <w:spacing w:after="0" w:line="73" w:lineRule="exact"/>
        <w:rPr>
          <w:sz w:val="20"/>
          <w:szCs w:val="20"/>
          <w:color w:val="auto"/>
        </w:rPr>
      </w:pPr>
    </w:p>
    <w:p>
      <w:pPr>
        <w:ind w:right="60" w:firstLine="222"/>
        <w:spacing w:after="0" w:line="266" w:lineRule="auto"/>
        <w:rPr>
          <w:sz w:val="20"/>
          <w:szCs w:val="20"/>
          <w:color w:val="auto"/>
        </w:rPr>
      </w:pPr>
      <w:r>
        <w:rPr>
          <w:rFonts w:ascii="Arial" w:cs="Arial" w:eastAsia="Arial" w:hAnsi="Arial"/>
          <w:sz w:val="17"/>
          <w:szCs w:val="17"/>
          <w:color w:val="auto"/>
        </w:rPr>
        <w:t>Realized gains and losses on the sale of investments are determined on the basis of the cost of the specific investments sold and are credited or charged to income on a trade date basis. Unrealized gains or losses on fixed maturity and equity securities which are classified as available for sale, net of applicable deferred income taxes (benefits), are excluded from earnings and credited or charged directly to a separate component of stockholders’ equity. If any unrealized losses on fixed maturity or equity securities are deemed other-than-temporary, such unrealized losses are recognized as realized losses. Unrealized losses are deemed other-than-temporary if factors exist that cause management to believe that the value will not increase to a level sufficient to recover the Company’s cost basis. Some factors considered in evaluating whether or not a decline in fair value is other-than-temporary include: (i) the Company’s ability and intent to retain the investment for a period of time sufficient to allow for a recovery in value; (ii) 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3" w:lineRule="exact"/>
        <w:rPr>
          <w:sz w:val="20"/>
          <w:szCs w:val="20"/>
          <w:color w:val="auto"/>
        </w:rPr>
      </w:pPr>
    </w:p>
    <w:p>
      <w:pPr>
        <w:ind w:right="160" w:firstLine="222"/>
        <w:spacing w:after="0" w:line="267" w:lineRule="auto"/>
        <w:rPr>
          <w:sz w:val="20"/>
          <w:szCs w:val="20"/>
          <w:color w:val="auto"/>
        </w:rPr>
      </w:pPr>
      <w:r>
        <w:rPr>
          <w:rFonts w:ascii="Arial" w:cs="Arial" w:eastAsia="Arial" w:hAnsi="Arial"/>
          <w:sz w:val="18"/>
          <w:szCs w:val="18"/>
          <w:color w:val="auto"/>
        </w:rPr>
        <w:t>Highly liquid instruments purchased with original maturities of three months or less are considered cash equivalents. The carrying amounts reported in the Consolidated Balance Sheets for these instruments approximate their fair value.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3" w:lineRule="exact"/>
        <w:rPr>
          <w:sz w:val="20"/>
          <w:szCs w:val="20"/>
          <w:color w:val="auto"/>
        </w:rPr>
      </w:pPr>
    </w:p>
    <w:p>
      <w:pPr>
        <w:ind w:right="120" w:firstLine="219"/>
        <w:spacing w:after="0" w:line="295" w:lineRule="auto"/>
        <w:rPr>
          <w:sz w:val="20"/>
          <w:szCs w:val="20"/>
          <w:color w:val="auto"/>
        </w:rPr>
      </w:pPr>
      <w:r>
        <w:rPr>
          <w:rFonts w:ascii="Arial" w:cs="Arial" w:eastAsia="Arial" w:hAnsi="Arial"/>
          <w:sz w:val="16"/>
          <w:szCs w:val="16"/>
          <w:color w:val="auto"/>
        </w:rPr>
        <w:t>The fair values of financial instruments presented in the Company’s Consolidated Financial Statements are estimates of the fair values at a specific point in time using available market information and appropriate valuation methodologies. These estimates are subjective in nature and involve uncertainties and significant judgment in the interpretation of current market data. Therefore, the fair values presented are not necessarily indicative of amounts the Company could realize or settle currently. The Company does not necessarily intend to dispose of or liquidate such instruments prior to maturity.</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and Notes Receivables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values reported in the Consolidated Balance Sheets for trade and notes receivables approximate their fair value.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13" w:lineRule="exact"/>
        <w:rPr>
          <w:sz w:val="20"/>
          <w:szCs w:val="20"/>
          <w:color w:val="auto"/>
        </w:rPr>
      </w:pPr>
    </w:p>
    <w:p>
      <w:pPr>
        <w:ind w:right="80" w:firstLine="222"/>
        <w:spacing w:after="0" w:line="252" w:lineRule="auto"/>
        <w:rPr>
          <w:sz w:val="20"/>
          <w:szCs w:val="20"/>
          <w:color w:val="auto"/>
        </w:rPr>
      </w:pPr>
      <w:r>
        <w:rPr>
          <w:rFonts w:ascii="Arial" w:cs="Arial" w:eastAsia="Arial" w:hAnsi="Arial"/>
          <w:sz w:val="18"/>
          <w:szCs w:val="18"/>
          <w:color w:val="auto"/>
        </w:rPr>
        <w:t>Goodwill represents the excess of cost over fair value of identifiable net assets acquired and assumed in a business combination. SFAS No. 142, “Goodwill and Intangible Assets” (“SFAS 142”) provides that goodwill and other intangible assets with indefinite useful lives should not be amortized, but shall be tested for impairment annually, or more frequently if circumstances indicate potential impairment, through a comparison of fair value to its carrying amount. In evaluating the recoverability of goodwill, the Company performs an annual goodwill impairment test based on an analysis of the discounted future cash flows generated by the underlying assets.</w:t>
      </w:r>
    </w:p>
    <w:p>
      <w:pPr>
        <w:spacing w:after="0" w:line="87" w:lineRule="exact"/>
        <w:rPr>
          <w:sz w:val="20"/>
          <w:szCs w:val="20"/>
          <w:color w:val="auto"/>
        </w:rPr>
      </w:pPr>
    </w:p>
    <w:p>
      <w:pPr>
        <w:ind w:right="160" w:firstLine="212"/>
        <w:spacing w:after="0" w:line="331" w:lineRule="auto"/>
        <w:rPr>
          <w:sz w:val="20"/>
          <w:szCs w:val="20"/>
          <w:color w:val="auto"/>
        </w:rPr>
      </w:pPr>
      <w:r>
        <w:rPr>
          <w:rFonts w:ascii="Arial" w:cs="Arial" w:eastAsia="Arial" w:hAnsi="Arial"/>
          <w:sz w:val="16"/>
          <w:szCs w:val="16"/>
          <w:color w:val="auto"/>
        </w:rPr>
        <w:t>As required by SFAS 142, the Company completed its annual goodwill impairment tests in the fourth quarter of each respective year using a September 30 measurement date, and determined fair values were in excess of carrying values. Accordingly, no goodwill impairments have been recorded.</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13" w:lineRule="exact"/>
        <w:rPr>
          <w:sz w:val="20"/>
          <w:szCs w:val="20"/>
          <w:color w:val="auto"/>
        </w:rPr>
      </w:pPr>
    </w:p>
    <w:p>
      <w:pPr>
        <w:ind w:firstLine="222"/>
        <w:spacing w:after="0" w:line="282" w:lineRule="auto"/>
        <w:rPr>
          <w:sz w:val="20"/>
          <w:szCs w:val="20"/>
          <w:color w:val="auto"/>
        </w:rPr>
      </w:pPr>
      <w:r>
        <w:rPr>
          <w:rFonts w:ascii="Arial" w:cs="Arial" w:eastAsia="Arial" w:hAnsi="Arial"/>
          <w:sz w:val="16"/>
          <w:szCs w:val="16"/>
          <w:color w:val="auto"/>
        </w:rPr>
        <w:t>Capitalized software includes software acquired in business acquisitions, purchased software and internally developed capitalized software. Purchased software is recorded at cost and amortized using the straight-line method over a 3-year period and software acquired in a business acquisition is recorded at its fair value upon acquisition and amortized using straight-line and accelerated methods over its estimated useful life. Capitalized computer software development costs are accounted for in accordance with either SFAS 86, “Accounting for the Costs of Computer Software to Be Sold, Leased, or Otherwise Marketed” (“SFAS 86”), or with American Institute of Certified Public Accountants’ Statement of Position (“SOP”) No. 98-1, “Accounting for the Costs of Computer Software Developed or Obtained for Internal Use” (“SOP 98-1”). After the technological feasibility of the software has been established (for SFAS 86 software), or at the beginning of application development (for SOP 98-1 software), software development costs, which include salaries and related payroll costs and costs of independent contractors incurred during development, are capitalized. Research and development costs incurred prior to the establishment of technological feasibility (for SFAS 86 software), or prior to application development (for SOP 98-1 software), of a product are expensed as incurred and are not significant. The cost of internally developed computer software that is subject to the provisions of SFAS 86 is amortized on a product-by-product basis commencing on the date of general release of the products, generally the greater of (1) the straight-line method over its estimated useful life, which ranges from three to seven years or (2) the ratio of current revenues to total anticipated revenue over its useful life. The cost of purchased software that is subject to the provisions of SOP 98-1 is amortized on a straight-line basis over its estimated useful life.</w:t>
      </w:r>
    </w:p>
    <w:p>
      <w:pPr>
        <w:spacing w:after="0" w:line="70" w:lineRule="exact"/>
        <w:rPr>
          <w:sz w:val="20"/>
          <w:szCs w:val="20"/>
          <w:color w:val="auto"/>
        </w:rPr>
      </w:pPr>
    </w:p>
    <w:p>
      <w:pPr>
        <w:ind w:right="60" w:firstLine="212"/>
        <w:spacing w:after="0" w:line="267" w:lineRule="auto"/>
        <w:rPr>
          <w:sz w:val="20"/>
          <w:szCs w:val="20"/>
          <w:color w:val="auto"/>
        </w:rPr>
      </w:pPr>
      <w:r>
        <w:rPr>
          <w:rFonts w:ascii="Arial" w:cs="Arial" w:eastAsia="Arial" w:hAnsi="Arial"/>
          <w:sz w:val="18"/>
          <w:szCs w:val="18"/>
          <w:color w:val="auto"/>
        </w:rPr>
        <w:t>At December 31, 2008, capitalized software costs were $190.1 million, less accumulated amortization of $104.4 million. At December 31, 2007, capitalized software costs were $176.0 million, less accumulated amortization of $82.6 million.</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right="60" w:firstLine="212"/>
        <w:spacing w:after="0" w:line="267" w:lineRule="auto"/>
        <w:rPr>
          <w:sz w:val="20"/>
          <w:szCs w:val="20"/>
          <w:color w:val="auto"/>
        </w:rPr>
      </w:pPr>
      <w:r>
        <w:rPr>
          <w:rFonts w:ascii="Arial" w:cs="Arial" w:eastAsia="Arial" w:hAnsi="Arial"/>
          <w:sz w:val="18"/>
          <w:szCs w:val="18"/>
          <w:color w:val="auto"/>
        </w:rPr>
        <w:t>Amortization expense relating to computer software was $36.8 million, $24.5 million, and $127.4 million for the years ended December 31, 2008, 2007, and 2006, respectively, and, in 2006, was primarily made up of amortization expense recorded by FIS.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3" w:lineRule="exact"/>
        <w:rPr>
          <w:sz w:val="20"/>
          <w:szCs w:val="20"/>
          <w:color w:val="auto"/>
        </w:rPr>
      </w:pPr>
    </w:p>
    <w:p>
      <w:pPr>
        <w:ind w:right="100" w:firstLine="219"/>
        <w:spacing w:after="0" w:line="269" w:lineRule="auto"/>
        <w:rPr>
          <w:sz w:val="20"/>
          <w:szCs w:val="20"/>
          <w:color w:val="auto"/>
        </w:rPr>
      </w:pPr>
      <w:r>
        <w:rPr>
          <w:rFonts w:ascii="Arial" w:cs="Arial" w:eastAsia="Arial" w:hAnsi="Arial"/>
          <w:sz w:val="17"/>
          <w:szCs w:val="17"/>
          <w:color w:val="auto"/>
        </w:rPr>
        <w:t>The Company has other intangible assets, not including software, which consist primarily of customer relationships and contracts and trademarks which are generally recorded in connection with acquisitions at their fair value. SFAS 142 requires that intangible assets with estimable lives be amortized over their respective estimated useful lives to their estimated residual values and reviewed for impairment in accordance with SFAS 144. Customer relationships are amortized over their estimated useful lives using an accelerated method which takes into consideration expected customer attrition rates over a ten-year period. Contractual relationships are generally amortized over their contractual life. Trademarks are considered intangible assets with indefinite lives and are reviewed for impairment at least annually in accordance with SFAS 142.</w:t>
      </w:r>
    </w:p>
    <w:p>
      <w:pPr>
        <w:spacing w:after="0" w:line="72" w:lineRule="exact"/>
        <w:rPr>
          <w:sz w:val="20"/>
          <w:szCs w:val="20"/>
          <w:color w:val="auto"/>
        </w:rPr>
      </w:pPr>
    </w:p>
    <w:p>
      <w:pPr>
        <w:ind w:firstLine="222"/>
        <w:spacing w:after="0" w:line="304" w:lineRule="auto"/>
        <w:rPr>
          <w:sz w:val="20"/>
          <w:szCs w:val="20"/>
          <w:color w:val="auto"/>
        </w:rPr>
      </w:pPr>
      <w:r>
        <w:rPr>
          <w:rFonts w:ascii="Arial" w:cs="Arial" w:eastAsia="Arial" w:hAnsi="Arial"/>
          <w:sz w:val="16"/>
          <w:szCs w:val="16"/>
          <w:color w:val="auto"/>
        </w:rPr>
        <w:t>During 2008, in accordance with SFAS 144, the Company determined that the carrying value of certain of its intangible assets, software and license fees may not be recoverable and recorded impairment expense of $8.5 million relating to the impairment of these assets. This expense amount was included in other operating expenses in the Consolidated Statements of Earnings for the year ended December 31, 2008. There was no such expense recorded in 2007 or 2006.</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Title Plants</w:t>
      </w:r>
    </w:p>
    <w:p>
      <w:pPr>
        <w:spacing w:after="0" w:line="113" w:lineRule="exact"/>
        <w:rPr>
          <w:sz w:val="20"/>
          <w:szCs w:val="20"/>
          <w:color w:val="auto"/>
        </w:rPr>
      </w:pPr>
    </w:p>
    <w:p>
      <w:pPr>
        <w:ind w:right="60" w:firstLine="219"/>
        <w:spacing w:after="0" w:line="295" w:lineRule="auto"/>
        <w:rPr>
          <w:sz w:val="20"/>
          <w:szCs w:val="20"/>
          <w:color w:val="auto"/>
        </w:rPr>
      </w:pPr>
      <w:r>
        <w:rPr>
          <w:rFonts w:ascii="Arial" w:cs="Arial" w:eastAsia="Arial" w:hAnsi="Arial"/>
          <w:sz w:val="16"/>
          <w:szCs w:val="16"/>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3"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Property and equipment are recorded at cost, less depreciation. Depreciation is computed primarily using the straight-line method based on the estimated useful lives of the related assets: thirty years for buildings and three to seven years for furniture, fixtures and equipment. Leasehold improvements are amortized on a straight-line basis over the lesser of the term of the applicable lease or the estimated useful lives of such assets.</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Reserve for Claim Losses</w:t>
      </w:r>
    </w:p>
    <w:p>
      <w:pPr>
        <w:spacing w:after="0" w:line="113" w:lineRule="exact"/>
        <w:rPr>
          <w:sz w:val="20"/>
          <w:szCs w:val="20"/>
          <w:color w:val="auto"/>
        </w:rPr>
      </w:pPr>
    </w:p>
    <w:p>
      <w:pPr>
        <w:ind w:right="260" w:firstLine="219"/>
        <w:spacing w:after="0" w:line="291" w:lineRule="auto"/>
        <w:rPr>
          <w:sz w:val="20"/>
          <w:szCs w:val="20"/>
          <w:color w:val="auto"/>
        </w:rPr>
      </w:pPr>
      <w:r>
        <w:rPr>
          <w:rFonts w:ascii="Arial" w:cs="Arial" w:eastAsia="Arial" w:hAnsi="Arial"/>
          <w:sz w:val="16"/>
          <w:szCs w:val="16"/>
          <w:color w:val="auto"/>
        </w:rPr>
        <w:t>The Company’s reserve for claim losses includes known claims for title and specialty insurance as well as losses the Company expects to incur, net of recoupments. Each known claim is reserved based on a review by the Company as to the estimated amount of the claim and the costs required to settle the claim. Reserves for claims which are incurred but not reported are established at the time premium revenue is recognized based on historical loss experience and other factors, including industry trends, claim loss history, current legal environment, geographic considerations and type of policy written. For specialty insurance, reserve for claims incurred but not reported are estimated based on historical loss experience.</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reserve for claim losses also includes reserves for losses arising from the escrow, closing and disbursement functions due to fraud or operational error.</w:t>
      </w:r>
    </w:p>
    <w:p>
      <w:pPr>
        <w:spacing w:after="0" w:line="136" w:lineRule="exact"/>
        <w:rPr>
          <w:sz w:val="20"/>
          <w:szCs w:val="20"/>
          <w:color w:val="auto"/>
        </w:rPr>
      </w:pPr>
    </w:p>
    <w:p>
      <w:pPr>
        <w:ind w:right="180" w:firstLine="222"/>
        <w:spacing w:after="0" w:line="257" w:lineRule="auto"/>
        <w:rPr>
          <w:sz w:val="20"/>
          <w:szCs w:val="20"/>
          <w:color w:val="auto"/>
        </w:rPr>
      </w:pPr>
      <w:r>
        <w:rPr>
          <w:rFonts w:ascii="Arial" w:cs="Arial" w:eastAsia="Arial" w:hAnsi="Arial"/>
          <w:sz w:val="18"/>
          <w:szCs w:val="18"/>
          <w:color w:val="auto"/>
        </w:rPr>
        <w:t>If a loss is related to a policy issued by an independent agent, the Company may proceed against the independent agent pursuant to the terms of the agency agreement. In any event, the Company may proceed against third parties who are responsible for any loss under the title insurance policy under rights of subrogation.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Secured Trust Deposits</w:t>
      </w:r>
    </w:p>
    <w:p>
      <w:pPr>
        <w:spacing w:after="0" w:line="113" w:lineRule="exact"/>
        <w:rPr>
          <w:sz w:val="20"/>
          <w:szCs w:val="20"/>
          <w:color w:val="auto"/>
        </w:rPr>
      </w:pPr>
    </w:p>
    <w:p>
      <w:pPr>
        <w:ind w:right="80" w:firstLine="222"/>
        <w:spacing w:after="0" w:line="254" w:lineRule="auto"/>
        <w:rPr>
          <w:sz w:val="20"/>
          <w:szCs w:val="20"/>
          <w:color w:val="auto"/>
        </w:rPr>
      </w:pPr>
      <w:r>
        <w:rPr>
          <w:rFonts w:ascii="Arial" w:cs="Arial" w:eastAsia="Arial" w:hAnsi="Arial"/>
          <w:sz w:val="18"/>
          <w:szCs w:val="18"/>
          <w:color w:val="auto"/>
        </w:rPr>
        <w:t>In the state of Illinois, a trust company is permitted to commingle and invest customers’ assets with those of the Company, pending completion of real estate transactions. Accordingly, the Company’s Consolidated Balance Sheets reflect a secured trust deposit liability of $474.1 million and $689.9 million at December 31, 2008 and 2007, respectively, representing customers’ assets held by us and corresponding assets including cash and investments pledged as security for those trust balances.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3" w:lineRule="exact"/>
        <w:rPr>
          <w:sz w:val="20"/>
          <w:szCs w:val="20"/>
          <w:color w:val="auto"/>
        </w:rPr>
      </w:pPr>
    </w:p>
    <w:p>
      <w:pPr>
        <w:ind w:right="200" w:firstLine="219"/>
        <w:spacing w:after="0" w:line="252" w:lineRule="auto"/>
        <w:rPr>
          <w:sz w:val="20"/>
          <w:szCs w:val="20"/>
          <w:color w:val="auto"/>
        </w:rPr>
      </w:pPr>
      <w:r>
        <w:rPr>
          <w:rFonts w:ascii="Arial" w:cs="Arial" w:eastAsia="Arial" w:hAnsi="Arial"/>
          <w:sz w:val="18"/>
          <w:szCs w:val="18"/>
          <w:color w:val="auto"/>
        </w:rPr>
        <w:t>The Company recognizes deferred tax assets and liabilities for temporary differences between the financial reporting basis and the tax basis of the Company’s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is applied to the years during which temporary differences are expected to be settled and reflected in the financial statements in the period enacted.</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Reinsurance</w:t>
      </w:r>
    </w:p>
    <w:p>
      <w:pPr>
        <w:spacing w:after="0" w:line="113" w:lineRule="exact"/>
        <w:rPr>
          <w:sz w:val="20"/>
          <w:szCs w:val="20"/>
          <w:color w:val="auto"/>
        </w:rPr>
      </w:pPr>
    </w:p>
    <w:p>
      <w:pPr>
        <w:ind w:right="140" w:firstLine="222"/>
        <w:spacing w:after="0" w:line="291" w:lineRule="auto"/>
        <w:rPr>
          <w:sz w:val="20"/>
          <w:szCs w:val="20"/>
          <w:color w:val="auto"/>
        </w:rPr>
      </w:pPr>
      <w:r>
        <w:rPr>
          <w:rFonts w:ascii="Arial" w:cs="Arial" w:eastAsia="Arial" w:hAnsi="Arial"/>
          <w:sz w:val="16"/>
          <w:szCs w:val="16"/>
          <w:color w:val="auto"/>
        </w:rPr>
        <w:t>In a limited number of situations, the Company limits its maximum loss exposure by reinsuring certain risks with other insurers. The Company also earns a small amount of additional income, which is reflected in the Company’s direct premiums, by assuming reinsurance for certain risks of other insurers. The Company also cedes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3"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i w:val="1"/>
          <w:iCs w:val="1"/>
          <w:color w:val="auto"/>
        </w:rPr>
        <w:t xml:space="preserve">Fidelity National Title Group. </w:t>
      </w:r>
      <w:r>
        <w:rPr>
          <w:rFonts w:ascii="Arial" w:cs="Arial" w:eastAsia="Arial" w:hAnsi="Arial"/>
          <w:sz w:val="16"/>
          <w:szCs w:val="16"/>
          <w:color w:val="auto"/>
        </w:rPr>
        <w:t>Direct title insurance premiums and escrow and other title-related fees are recognized as revenue at the time of closing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transaction as the earnings process is considered complete, whereas premium revenues from agency operations and agency commissions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During 2008, the Company re-evaluated and refined the method that it uses use to estimate this accrual, which resulted in a reduction in revenue from agency title insurance premiums of $138.5 million compared to the revenues that would have been accrued under our prior method. The impact of this adjustment was a decrease of $11.8 million in pre-tax earnings and $7.6 million in net income, or approximately $0.04 per share, compared to the amounts that would have been recorded under our prior method. The Company believes that this adjustment is properly reflected as a change in accounting estimate in 2008.</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 xml:space="preserve">Specialty Insurance. </w:t>
      </w:r>
      <w:r>
        <w:rPr>
          <w:rFonts w:ascii="Arial" w:cs="Arial" w:eastAsia="Arial" w:hAnsi="Arial"/>
          <w:sz w:val="16"/>
          <w:szCs w:val="16"/>
          <w:color w:val="auto"/>
        </w:rPr>
        <w:t>Revenues from home warranty and personal lines insurance policies are recognized over the life of the policy, which is one year.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commissions related to the sale of flood insurance are recognized when the policy is reported.</w:t>
      </w:r>
    </w:p>
    <w:p>
      <w:pPr>
        <w:spacing w:after="0" w:line="102" w:lineRule="exact"/>
        <w:rPr>
          <w:sz w:val="20"/>
          <w:szCs w:val="20"/>
          <w:color w:val="auto"/>
        </w:rPr>
      </w:pPr>
    </w:p>
    <w:p>
      <w:pPr>
        <w:ind w:right="40" w:firstLine="222"/>
        <w:spacing w:after="0" w:line="267" w:lineRule="auto"/>
        <w:rPr>
          <w:sz w:val="20"/>
          <w:szCs w:val="20"/>
          <w:color w:val="auto"/>
        </w:rPr>
      </w:pPr>
      <w:r>
        <w:rPr>
          <w:rFonts w:ascii="Arial" w:cs="Arial" w:eastAsia="Arial" w:hAnsi="Arial"/>
          <w:sz w:val="18"/>
          <w:szCs w:val="18"/>
          <w:i w:val="1"/>
          <w:iCs w:val="1"/>
          <w:color w:val="auto"/>
        </w:rPr>
        <w:t xml:space="preserve">Fidelity National Information Services, Inc. </w:t>
      </w:r>
      <w:r>
        <w:rPr>
          <w:rFonts w:ascii="Arial" w:cs="Arial" w:eastAsia="Arial" w:hAnsi="Arial"/>
          <w:sz w:val="18"/>
          <w:szCs w:val="18"/>
          <w:color w:val="auto"/>
        </w:rPr>
        <w:t>In this segment, the Company earned revenues from processing services, software licensing and software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data and information services.</w:t>
      </w:r>
    </w:p>
    <w:p>
      <w:pPr>
        <w:spacing w:after="0" w:line="73" w:lineRule="exact"/>
        <w:rPr>
          <w:sz w:val="20"/>
          <w:szCs w:val="20"/>
          <w:color w:val="auto"/>
        </w:rPr>
      </w:pPr>
    </w:p>
    <w:p>
      <w:pPr>
        <w:ind w:right="40" w:firstLine="219"/>
        <w:spacing w:after="0" w:line="291" w:lineRule="auto"/>
        <w:rPr>
          <w:sz w:val="20"/>
          <w:szCs w:val="20"/>
          <w:color w:val="auto"/>
        </w:rPr>
      </w:pPr>
      <w:r>
        <w:rPr>
          <w:rFonts w:ascii="Arial" w:cs="Arial" w:eastAsia="Arial" w:hAnsi="Arial"/>
          <w:sz w:val="16"/>
          <w:szCs w:val="16"/>
          <w:color w:val="auto"/>
        </w:rPr>
        <w:t>The Company recognized revenues relating to bank processing services and mortgage processing services along with software licensing and software related services. Several of the Company’s contracts included a software license and one or more of the following services: data processing, development, implementation, conversion, training, programming, maintenance and application management. In some cases, these services were offered in combination with one another and in other cases the Company offered them individually. Revenues from bank and mortgage processing services were typically volume-based depending on factors such as the estimated number of accounts, transactions processed and computer resources utilized.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right="120" w:firstLine="219"/>
        <w:spacing w:after="0" w:line="267" w:lineRule="auto"/>
        <w:rPr>
          <w:sz w:val="20"/>
          <w:szCs w:val="20"/>
          <w:color w:val="auto"/>
        </w:rPr>
      </w:pPr>
      <w:r>
        <w:rPr>
          <w:rFonts w:ascii="Arial" w:cs="Arial" w:eastAsia="Arial" w:hAnsi="Arial"/>
          <w:sz w:val="17"/>
          <w:szCs w:val="17"/>
          <w:color w:val="auto"/>
        </w:rPr>
        <w:t>The substantial majority of the revenues in this business were from outsourced data processing and application management arrangements. Revenues from these arrangements were recognized as services were performed in accordance with SEC Staff Accounting Bulletin No. 104 (“SAB 104”), “Revenue Recognition” and related interpretations. SAB 104 sets forth guidance as to when revenue is realized or realizable and earned when all of the following criteria are met: (1) persuasive evidence of an arrangement exists; (2) delivery has occurred or services have been rendered; (3) the seller’s price to the buyer is fixed and determinable; and (4) collectability is reasonably assured. Revenue and deferred costs related to implementation, conversion and programming services associated with the Company’s data processing and application management agreements were deferred during the implementation phase and subsequently recognized using the straight-line method over the term of the related agreement. The Company evaluated these deferred costs for impairment in the event any indications of impairment existed.</w:t>
      </w:r>
    </w:p>
    <w:p>
      <w:pPr>
        <w:spacing w:after="0" w:line="74" w:lineRule="exact"/>
        <w:rPr>
          <w:sz w:val="20"/>
          <w:szCs w:val="20"/>
          <w:color w:val="auto"/>
        </w:rPr>
      </w:pPr>
    </w:p>
    <w:p>
      <w:pPr>
        <w:ind w:firstLine="222"/>
        <w:spacing w:after="0" w:line="250" w:lineRule="auto"/>
        <w:rPr>
          <w:sz w:val="20"/>
          <w:szCs w:val="20"/>
          <w:color w:val="auto"/>
        </w:rPr>
      </w:pPr>
      <w:r>
        <w:rPr>
          <w:rFonts w:ascii="Arial" w:cs="Arial" w:eastAsia="Arial" w:hAnsi="Arial"/>
          <w:sz w:val="18"/>
          <w:szCs w:val="18"/>
          <w:color w:val="auto"/>
        </w:rPr>
        <w:t>In the event that the Company’s arrangements with its customers included more than one product or service, the Company determined whether the individual elements could be recognized separately in accordance with the provisions of EITF No. 00-21, “Revenue Arrangements with Multiple Deliverables” (“EITF 00-21”). EITF 00-21 addresses the determination of whether an arrangement involving more than one deliverable contains more than one unit of accounting and how the arrangement consideration should be measured and allocated to the separate units of accounting. If all of the products and services were software related products and services as determined under the provisions of SOP 97-2 (“SOP 97-2”), entitled “Software Revenue Recognition,” and SOP 98-9, entitled “Modification of SOP No. 97-2, Software Revenue Recognition, with Respect to Certain Transactions,” the Company applied these pronouncements and related interpretations to determine the appropriate units of accounting and how the arrangement consideration should be measured and allocated to the separate units of accounting.</w:t>
      </w:r>
    </w:p>
    <w:p>
      <w:pPr>
        <w:spacing w:after="0" w:line="89" w:lineRule="exact"/>
        <w:rPr>
          <w:sz w:val="20"/>
          <w:szCs w:val="20"/>
          <w:color w:val="auto"/>
        </w:rPr>
      </w:pPr>
    </w:p>
    <w:p>
      <w:pPr>
        <w:ind w:right="80" w:firstLine="219"/>
        <w:spacing w:after="0" w:line="265" w:lineRule="auto"/>
        <w:rPr>
          <w:sz w:val="20"/>
          <w:szCs w:val="20"/>
          <w:color w:val="auto"/>
        </w:rPr>
      </w:pPr>
      <w:r>
        <w:rPr>
          <w:rFonts w:ascii="Arial" w:cs="Arial" w:eastAsia="Arial" w:hAnsi="Arial"/>
          <w:sz w:val="17"/>
          <w:szCs w:val="17"/>
          <w:color w:val="auto"/>
        </w:rPr>
        <w:t>The Company recognized software license and maintenance fees as well as associated development, implementation, training, conversion and programming fees in accordance with SOP 97-2 and SOP 98-9. Initial license fees were recognized when a contract exists, the fee was fixed or determinable, software delivery had occurred and collection of the receivable was deemed probable, provided that vendor-specific objective evidence, or VSOE, had been established for each element or for the undelivered elements. The Company determined the fair value of each element or the undelivered elements in multi-element software arrangements based on VSOE. If the arrangement was subject to accounting under SOP 97-2, VSOE for each element was based on the price charged when the same element was sold separately. If evidence of fair value of all undelivered elements existed but evidence did not exist for one or more delivered elements, then revenue was recognized using the residual method. Under the residual method, the fair value of the undelivered elements is deferred and the remaining portion of the arrangement fee is recognized as revenue. If evidence of fair value does not exist for one or more undelivered elements of a contract, then all revenue is deferred until all elements are delivered or fair value is determined for all remaining undelivered elements. Revenue from maintenance and support was recognized ratably over the term of the agreement. The Company recorded deferred revenue for maintenance amounts invoiced prior to revenue recognition.</w:t>
      </w:r>
    </w:p>
    <w:p>
      <w:pPr>
        <w:spacing w:after="0" w:line="79" w:lineRule="exact"/>
        <w:rPr>
          <w:sz w:val="20"/>
          <w:szCs w:val="20"/>
          <w:color w:val="auto"/>
        </w:rPr>
      </w:pPr>
    </w:p>
    <w:p>
      <w:pPr>
        <w:ind w:right="180" w:firstLine="219"/>
        <w:spacing w:after="0" w:line="267" w:lineRule="auto"/>
        <w:rPr>
          <w:sz w:val="20"/>
          <w:szCs w:val="20"/>
          <w:color w:val="auto"/>
        </w:rPr>
      </w:pPr>
      <w:r>
        <w:rPr>
          <w:rFonts w:ascii="Arial" w:cs="Arial" w:eastAsia="Arial" w:hAnsi="Arial"/>
          <w:sz w:val="17"/>
          <w:szCs w:val="17"/>
          <w:color w:val="auto"/>
        </w:rPr>
        <w:t xml:space="preserve">With respect to a small percentage of revenues, the Company used contract accounting, as required by SOP 97-2, when the arrangement with the customer included significant customization, modification, or production of software. For elements accounted for under contract accounting, revenue was recognized in accordance with SOP 81-1, </w:t>
      </w:r>
      <w:r>
        <w:rPr>
          <w:rFonts w:ascii="Arial" w:cs="Arial" w:eastAsia="Arial" w:hAnsi="Arial"/>
          <w:sz w:val="17"/>
          <w:szCs w:val="17"/>
          <w:i w:val="1"/>
          <w:iCs w:val="1"/>
          <w:color w:val="auto"/>
        </w:rPr>
        <w:t>Accounting for Performance of Construction Type and Certain Production-Type Contracts,</w:t>
      </w:r>
      <w:r>
        <w:rPr>
          <w:rFonts w:ascii="Arial" w:cs="Arial" w:eastAsia="Arial" w:hAnsi="Arial"/>
          <w:sz w:val="17"/>
          <w:szCs w:val="17"/>
          <w:color w:val="auto"/>
        </w:rPr>
        <w:t xml:space="preserve"> using the percentage-of-completion method since reasonably dependable estimates of revenues and contract hours applicable to various elements of a contract could be made. Revenues in excess of billings on these agreements were recorded as unbilled receivables and were included in accounts receivable. Billings in excess of revenue recognized on these agreements were recorded as deferred revenue until revenue recognition criteria were met. Changes in estimates for revenues, costs and profits were recognized in the period in which they were determinable. When the Company’s estimate indicated that the entire contract would be performed at a loss, a provision for the entire loss was recorded in that accounting period.</w:t>
      </w:r>
    </w:p>
    <w:p>
      <w:pPr>
        <w:spacing w:after="0" w:line="74" w:lineRule="exact"/>
        <w:rPr>
          <w:sz w:val="20"/>
          <w:szCs w:val="20"/>
          <w:color w:val="auto"/>
        </w:rPr>
      </w:pPr>
    </w:p>
    <w:p>
      <w:pPr>
        <w:ind w:right="200" w:firstLine="219"/>
        <w:spacing w:after="0" w:line="257" w:lineRule="auto"/>
        <w:rPr>
          <w:sz w:val="20"/>
          <w:szCs w:val="20"/>
          <w:color w:val="auto"/>
        </w:rPr>
      </w:pPr>
      <w:r>
        <w:rPr>
          <w:rFonts w:ascii="Arial" w:cs="Arial" w:eastAsia="Arial" w:hAnsi="Arial"/>
          <w:sz w:val="18"/>
          <w:szCs w:val="18"/>
          <w:color w:val="auto"/>
        </w:rPr>
        <w:t>The Company recognized revenues from mortgage origination services and default management services. Mortgage origination services consisted of centralized title agency and closing services for various types of lenders. Revenues relating to centralized title agency and closing services were recognized at the time of closing of the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related real estate transaction. Ancillary service fees were recognized when the service is provided. Default management services consisted of services provided to assist customers through the default and foreclosure process, including property preservation and maintenance services (such as lock changes, window replacement, debris removal and lawn service), posting and publication of foreclosure and auction notices, title searches, document preparation and recording services, and referrals for legal and property brokerage services. Revenue derived from these services was recognized as the services were performed in accordance with SAB 104 as described above.</w:t>
      </w:r>
    </w:p>
    <w:p>
      <w:pPr>
        <w:spacing w:after="0" w:line="87" w:lineRule="exact"/>
        <w:rPr>
          <w:sz w:val="20"/>
          <w:szCs w:val="20"/>
          <w:color w:val="auto"/>
        </w:rPr>
      </w:pPr>
    </w:p>
    <w:p>
      <w:pPr>
        <w:jc w:val="both"/>
        <w:ind w:right="60" w:firstLine="219"/>
        <w:spacing w:after="0" w:line="279" w:lineRule="auto"/>
        <w:rPr>
          <w:sz w:val="20"/>
          <w:szCs w:val="20"/>
          <w:color w:val="auto"/>
        </w:rPr>
      </w:pPr>
      <w:r>
        <w:rPr>
          <w:rFonts w:ascii="Arial" w:cs="Arial" w:eastAsia="Arial" w:hAnsi="Arial"/>
          <w:sz w:val="17"/>
          <w:szCs w:val="17"/>
          <w:color w:val="auto"/>
        </w:rPr>
        <w:t>The Company recorded revenue from providing data or data-related services. These services principally included appraisal and valuation services, property records information, real estate tax services, borrower credit and flood zone information and multiple listing software and services. Revenue derived from these services was recognized as the services were performed in accordance with SAB 104 as described above.</w:t>
      </w:r>
    </w:p>
    <w:p>
      <w:pPr>
        <w:spacing w:after="0" w:line="65" w:lineRule="exact"/>
        <w:rPr>
          <w:sz w:val="20"/>
          <w:szCs w:val="20"/>
          <w:color w:val="auto"/>
        </w:rPr>
      </w:pPr>
    </w:p>
    <w:p>
      <w:pPr>
        <w:ind w:right="80" w:firstLine="219"/>
        <w:spacing w:after="0" w:line="270" w:lineRule="auto"/>
        <w:rPr>
          <w:sz w:val="20"/>
          <w:szCs w:val="20"/>
          <w:color w:val="auto"/>
        </w:rPr>
      </w:pPr>
      <w:r>
        <w:rPr>
          <w:rFonts w:ascii="Arial" w:cs="Arial" w:eastAsia="Arial" w:hAnsi="Arial"/>
          <w:sz w:val="17"/>
          <w:szCs w:val="17"/>
          <w:color w:val="auto"/>
        </w:rPr>
        <w:t>The Company’s flood and tax units provided various services including life-of-loan monitoring services. Revenue for life-of-loan services was deferred and recognized ratably over the estimated average life of the loan service period, which was determined based on the Company’s historical experience. The Company evaluated its historical experience on a periodic basis, and adjusted the estimated life of the loan service period prospectively. Revenue derived from software and service arrangements was recognized in accordance with SOP 97-2. Revenues from other services in this segment were recognized as the services were performed in accordance with SAB 104 as described above.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3"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Basic earnings per share is computed by dividing net earnings available to common stockholders by the weighted average number of common shares outstanding during the period. In periods when earnings are positive, diluted earnings per share is calculated by dividing net earnings available to common stockholders by the sum of the weighted average number of common shares outstanding and the impact of assumed conversions of potentially dilutive securities. For periods when the Company recognizes a net loss, diluted earnings per share is equal to basic earnings per share as the impact of assumed conversions of potentially dilutive securities is considered to be antidilutive. The Company has granted certain options, warrants and restricted stock which have been treated as common share equivalents for purposes of calculating diluted earnings per share for periods in which positive earnings have been reported.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the computation of basic and diluted earnings per share: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7"/>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0"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74"/>
              </w:rPr>
              <w:t>thousands,</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0" w:lineRule="exact"/>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0"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00" w:type="dxa"/>
            <w:vAlign w:val="bottom"/>
            <w:gridSpan w:val="2"/>
          </w:tcPr>
          <w:p>
            <w:pPr>
              <w:jc w:val="right"/>
              <w:spacing w:after="0" w:line="140" w:lineRule="exact"/>
              <w:rPr>
                <w:sz w:val="20"/>
                <w:szCs w:val="20"/>
                <w:color w:val="auto"/>
              </w:rPr>
            </w:pPr>
            <w:r>
              <w:rPr>
                <w:rFonts w:ascii="Arial" w:cs="Arial" w:eastAsia="Arial" w:hAnsi="Arial"/>
                <w:sz w:val="14"/>
                <w:szCs w:val="14"/>
                <w:b w:val="1"/>
                <w:bCs w:val="1"/>
                <w:color w:val="auto"/>
                <w:w w:val="97"/>
              </w:rPr>
              <w:t>except per</w:t>
            </w:r>
          </w:p>
        </w:tc>
        <w:tc>
          <w:tcPr>
            <w:tcW w:w="760" w:type="dxa"/>
            <w:vAlign w:val="bottom"/>
            <w:gridSpan w:val="3"/>
          </w:tcPr>
          <w:p>
            <w:pPr>
              <w:jc w:val="right"/>
              <w:ind w:right="20"/>
              <w:spacing w:after="0" w:line="140" w:lineRule="exact"/>
              <w:rPr>
                <w:sz w:val="20"/>
                <w:szCs w:val="20"/>
                <w:color w:val="auto"/>
              </w:rPr>
            </w:pPr>
            <w:r>
              <w:rPr>
                <w:rFonts w:ascii="Arial" w:cs="Arial" w:eastAsia="Arial" w:hAnsi="Arial"/>
                <w:sz w:val="14"/>
                <w:szCs w:val="14"/>
                <w:b w:val="1"/>
                <w:bCs w:val="1"/>
                <w:color w:val="auto"/>
                <w:w w:val="96"/>
              </w:rPr>
              <w:t>share data)</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(179,016)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9"/>
              <w:spacing w:after="0"/>
              <w:rPr>
                <w:sz w:val="20"/>
                <w:szCs w:val="20"/>
                <w:color w:val="auto"/>
              </w:rPr>
            </w:pPr>
            <w:r>
              <w:rPr>
                <w:rFonts w:ascii="Arial" w:cs="Arial" w:eastAsia="Arial" w:hAnsi="Arial"/>
                <w:sz w:val="18"/>
                <w:szCs w:val="18"/>
                <w:color w:val="auto"/>
                <w:w w:val="89"/>
              </w:rPr>
              <w:t>129,769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437,761</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during the year, basic basis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w w:val="98"/>
              </w:rPr>
              <w:t>209,974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69"/>
              <w:spacing w:after="0" w:line="206" w:lineRule="exact"/>
              <w:rPr>
                <w:sz w:val="20"/>
                <w:szCs w:val="20"/>
                <w:color w:val="auto"/>
              </w:rPr>
            </w:pPr>
            <w:r>
              <w:rPr>
                <w:rFonts w:ascii="Arial" w:cs="Arial" w:eastAsia="Arial" w:hAnsi="Arial"/>
                <w:sz w:val="18"/>
                <w:szCs w:val="18"/>
                <w:color w:val="auto"/>
                <w:w w:val="89"/>
              </w:rPr>
              <w:t>216,583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line="206" w:lineRule="exact"/>
              <w:rPr>
                <w:sz w:val="20"/>
                <w:szCs w:val="20"/>
                <w:color w:val="auto"/>
              </w:rPr>
            </w:pPr>
            <w:r>
              <w:rPr>
                <w:rFonts w:ascii="Arial" w:cs="Arial" w:eastAsia="Arial" w:hAnsi="Arial"/>
                <w:sz w:val="18"/>
                <w:szCs w:val="18"/>
                <w:color w:val="auto"/>
                <w:w w:val="89"/>
              </w:rPr>
              <w:t>182,031</w:t>
            </w:r>
          </w:p>
        </w:tc>
        <w:tc>
          <w:tcPr>
            <w:tcW w:w="0" w:type="dxa"/>
            <w:vAlign w:val="bottom"/>
          </w:tcPr>
          <w:p>
            <w:pPr>
              <w:spacing w:after="0"/>
              <w:rPr>
                <w:sz w:val="1"/>
                <w:szCs w:val="1"/>
                <w:color w:val="auto"/>
              </w:rPr>
            </w:pPr>
          </w:p>
        </w:tc>
      </w:tr>
      <w:tr>
        <w:trPr>
          <w:trHeight w:val="215"/>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Plus: Common equivalent shares assumed from conversion of options</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tcPr>
          <w:p>
            <w:pPr>
              <w:spacing w:after="0"/>
              <w:rPr>
                <w:sz w:val="20"/>
                <w:szCs w:val="20"/>
                <w:color w:val="auto"/>
              </w:rPr>
            </w:pPr>
            <w:r>
              <w:rPr>
                <w:rFonts w:ascii="Arial" w:cs="Arial" w:eastAsia="Arial" w:hAnsi="Arial"/>
                <w:sz w:val="18"/>
                <w:szCs w:val="18"/>
                <w:color w:val="auto"/>
              </w:rPr>
              <w:t>Weighted average shares outstanding during the year, diluted basis</w:t>
            </w: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209,974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69"/>
              <w:spacing w:after="0"/>
              <w:rPr>
                <w:sz w:val="20"/>
                <w:szCs w:val="20"/>
                <w:color w:val="auto"/>
              </w:rPr>
            </w:pPr>
            <w:r>
              <w:rPr>
                <w:rFonts w:ascii="Arial" w:cs="Arial" w:eastAsia="Arial" w:hAnsi="Arial"/>
                <w:sz w:val="18"/>
                <w:szCs w:val="18"/>
                <w:color w:val="auto"/>
                <w:w w:val="89"/>
              </w:rPr>
              <w:t>219,989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182,861</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9"/>
              <w:spacing w:after="0"/>
              <w:rPr>
                <w:sz w:val="20"/>
                <w:szCs w:val="20"/>
                <w:color w:val="auto"/>
              </w:rPr>
            </w:pPr>
            <w:r>
              <w:rPr>
                <w:rFonts w:ascii="Arial" w:cs="Arial" w:eastAsia="Arial" w:hAnsi="Arial"/>
                <w:sz w:val="18"/>
                <w:szCs w:val="18"/>
                <w:color w:val="auto"/>
              </w:rPr>
              <w:t>0.60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8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(0.85)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9"/>
              <w:spacing w:after="0"/>
              <w:rPr>
                <w:sz w:val="20"/>
                <w:szCs w:val="20"/>
                <w:color w:val="auto"/>
              </w:rPr>
            </w:pPr>
            <w:r>
              <w:rPr>
                <w:rFonts w:ascii="Arial" w:cs="Arial" w:eastAsia="Arial" w:hAnsi="Arial"/>
                <w:sz w:val="18"/>
                <w:szCs w:val="18"/>
                <w:color w:val="auto"/>
              </w:rPr>
              <w:t>0.59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both"/>
        <w:ind w:right="100" w:firstLine="222"/>
        <w:spacing w:after="0" w:line="297" w:lineRule="auto"/>
        <w:rPr>
          <w:sz w:val="20"/>
          <w:szCs w:val="20"/>
          <w:color w:val="auto"/>
        </w:rPr>
      </w:pPr>
      <w:r>
        <w:rPr>
          <w:rFonts w:ascii="Arial" w:cs="Arial" w:eastAsia="Arial" w:hAnsi="Arial"/>
          <w:sz w:val="17"/>
          <w:szCs w:val="17"/>
          <w:color w:val="auto"/>
        </w:rPr>
        <w:t>For the years ended December 31, 2008, 2007, and 2006, options to purchase 23,219,283 shares, 5,382,074 shares and 2,297,140 shares, respectively, of the Company’s common stock were not included in the computation of diluted earnings per share because they were anti-dilutive.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13" w:lineRule="exact"/>
        <w:rPr>
          <w:sz w:val="20"/>
          <w:szCs w:val="20"/>
          <w:color w:val="auto"/>
        </w:rPr>
      </w:pPr>
    </w:p>
    <w:p>
      <w:pPr>
        <w:jc w:val="both"/>
        <w:ind w:firstLine="219"/>
        <w:spacing w:after="0" w:line="273" w:lineRule="auto"/>
        <w:rPr>
          <w:sz w:val="20"/>
          <w:szCs w:val="20"/>
          <w:color w:val="auto"/>
        </w:rPr>
      </w:pPr>
      <w:r>
        <w:rPr>
          <w:rFonts w:ascii="Arial" w:cs="Arial" w:eastAsia="Arial" w:hAnsi="Arial"/>
          <w:sz w:val="17"/>
          <w:szCs w:val="17"/>
          <w:color w:val="auto"/>
        </w:rPr>
        <w:t>The Company has historically conducted business with FIS and its subsidiaries. Beginning on October 24, 2006, the Company’s financial statements reflect transactions with FIS, which is a related party. Prior to October 24, 2006, these transactions were eliminated because FIS’ results of operations were included in our consolidated results. On July 2, 2008, FIS completed the spin-off of its lender processing services segment into a separate publicly traded company, LPS. As part of the spin-off of LPS, a number of the agreements that were previously between FNF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FIS were amended and renegotiated to reflect the revised relationships between FNF and FIS and the new relationships between FNF and LPS. A summary of the agreements that were in effect with FIS and LPS through December 31, 2008, is as follows:</w:t>
      </w:r>
    </w:p>
    <w:p>
      <w:pPr>
        <w:spacing w:after="0" w:line="73" w:lineRule="exact"/>
        <w:rPr>
          <w:sz w:val="20"/>
          <w:szCs w:val="20"/>
          <w:color w:val="auto"/>
        </w:rPr>
      </w:pPr>
    </w:p>
    <w:p>
      <w:pPr>
        <w:ind w:left="220" w:right="80" w:hanging="213"/>
        <w:spacing w:after="0" w:line="265" w:lineRule="auto"/>
        <w:tabs>
          <w:tab w:leader="none" w:pos="220" w:val="left"/>
        </w:tabs>
        <w:numPr>
          <w:ilvl w:val="0"/>
          <w:numId w:val="30"/>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Title agency services by LPS. </w:t>
      </w:r>
      <w:r>
        <w:rPr>
          <w:rFonts w:ascii="Arial" w:cs="Arial" w:eastAsia="Arial" w:hAnsi="Arial"/>
          <w:sz w:val="17"/>
          <w:szCs w:val="17"/>
          <w:color w:val="auto"/>
        </w:rPr>
        <w:t>The historical FIS subsidiaries who are party to these agreements became subsidiaries of LPS in connection with the spin-off.</w:t>
      </w:r>
      <w:r>
        <w:rPr>
          <w:rFonts w:ascii="Arial" w:cs="Arial" w:eastAsia="Arial" w:hAnsi="Arial"/>
          <w:sz w:val="17"/>
          <w:szCs w:val="17"/>
          <w:i w:val="1"/>
          <w:iCs w:val="1"/>
          <w:color w:val="auto"/>
        </w:rPr>
        <w:t xml:space="preserve"> </w:t>
      </w:r>
      <w:r>
        <w:rPr>
          <w:rFonts w:ascii="Arial" w:cs="Arial" w:eastAsia="Arial" w:hAnsi="Arial"/>
          <w:sz w:val="17"/>
          <w:szCs w:val="17"/>
          <w:color w:val="auto"/>
        </w:rPr>
        <w:t>These agreements allow LPS to provide services to existing customers through loan facilitation transactions, primarily with large national lenders. The arrangement involves the provision of title agency services by LPS, which results in the issuance of title policies on behalf of title insurance underwriters owned by the Company. Subject to certain early termination provisions for cause, each of these agreements may be terminated upon five years’ prior written notice, which notice may not be given until after the fifth anniversary of the effective date of each agreement, which ranges from July 2004 through September 2006 (thus effectively resulting in a minimum ten-year term and a rolling one-year term thereafter). Under these agreements, LPS retains commissions which, in aggregate, are equal to approximately 89% of the total title premium from title policies that LPS places with the Company’s subsidiaries. LPS also performs similar functions in connection with trustee sale guarantees, a form of title insurance that the Company’s subsidiaries issue as part of the foreclosure process on a defaulted loan. Effective as of January 1, 2009, this agreement was amended to provide that LPS will retain approximately 87% of the total title premiums.</w:t>
      </w:r>
    </w:p>
    <w:p>
      <w:pPr>
        <w:spacing w:after="0" w:line="95" w:lineRule="exact"/>
        <w:rPr>
          <w:rFonts w:ascii="Arial" w:cs="Arial" w:eastAsia="Arial" w:hAnsi="Arial"/>
          <w:sz w:val="17"/>
          <w:szCs w:val="17"/>
          <w:b w:val="1"/>
          <w:bCs w:val="1"/>
          <w:color w:val="auto"/>
        </w:rPr>
      </w:pPr>
    </w:p>
    <w:p>
      <w:pPr>
        <w:ind w:left="220" w:right="140" w:hanging="213"/>
        <w:spacing w:after="0" w:line="287" w:lineRule="auto"/>
        <w:tabs>
          <w:tab w:leader="none" w:pos="220" w:val="left"/>
        </w:tabs>
        <w:numPr>
          <w:ilvl w:val="0"/>
          <w:numId w:val="30"/>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Information Technology (“IT”), data processing services and software development services from FIS and LPS. </w:t>
      </w:r>
      <w:r>
        <w:rPr>
          <w:rFonts w:ascii="Arial" w:cs="Arial" w:eastAsia="Arial" w:hAnsi="Arial"/>
          <w:sz w:val="16"/>
          <w:szCs w:val="16"/>
          <w:color w:val="auto"/>
        </w:rPr>
        <w:t>These agreements govern IT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and software development provided to the Company by FIS and LPS, primarily consisting of infrastructure support and data center management. Subject to certain early termination provisions (including the payment of minimum monthly service and termination fees), both of these agreements expire on or about June 30, 2013 with an option to renew for one or two additional years. In connection with the spin-off, the agreement with FIS was amended so that certain of the services, primarily those related to infrastructure support and data center management, continue to be provided by FIS on revised terms and conditions. The Company also entered into a new agreement with LPS for the provision of certain of the services that were previously provided under the agreement with FIS, primarily those related to software application development services and other IT-related services for the Company.</w:t>
      </w:r>
    </w:p>
    <w:p>
      <w:pPr>
        <w:spacing w:after="0" w:line="73" w:lineRule="exact"/>
        <w:rPr>
          <w:rFonts w:ascii="Arial" w:cs="Arial" w:eastAsia="Arial" w:hAnsi="Arial"/>
          <w:sz w:val="16"/>
          <w:szCs w:val="16"/>
          <w:b w:val="1"/>
          <w:bCs w:val="1"/>
          <w:color w:val="auto"/>
        </w:rPr>
      </w:pPr>
    </w:p>
    <w:p>
      <w:pPr>
        <w:ind w:left="220" w:right="20" w:hanging="213"/>
        <w:spacing w:after="0" w:line="250" w:lineRule="auto"/>
        <w:tabs>
          <w:tab w:leader="none" w:pos="220" w:val="left"/>
        </w:tabs>
        <w:numPr>
          <w:ilvl w:val="0"/>
          <w:numId w:val="30"/>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Administrative corporate support services to and from FIS and LPS. </w:t>
      </w:r>
      <w:r>
        <w:rPr>
          <w:rFonts w:ascii="Arial" w:cs="Arial" w:eastAsia="Arial" w:hAnsi="Arial"/>
          <w:sz w:val="18"/>
          <w:szCs w:val="18"/>
          <w:color w:val="auto"/>
        </w:rPr>
        <w:t>The Company has provided certain administrative corporate support services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management, statutory accounting, claims administration, corporate aviation and other administrative support services to FIS and, since July 2, 2008, to LPS. On a lesser scale, until recently, FIS has provided similar support services to the Company. The pricing of these administrative services is at cost. In connection with the spin-off, the Company entered into an agreement to provide LPS with certain corporate services, amended the agreement with FIS to reflect the change in the services provided to FIS, and terminated the agreement for FIS to provide services to the Company. All of these administrative services are provided on an at-cost basis. The term of these administrative corporate services agreements is two years, subject to early termination because the services are no longer required by the party receiving the services or upon mutual agreement of the parties and subject to extension in certain circumstances.</w:t>
      </w:r>
    </w:p>
    <w:p>
      <w:pPr>
        <w:spacing w:after="0" w:line="102" w:lineRule="exact"/>
        <w:rPr>
          <w:rFonts w:ascii="Arial" w:cs="Arial" w:eastAsia="Arial" w:hAnsi="Arial"/>
          <w:sz w:val="18"/>
          <w:szCs w:val="18"/>
          <w:b w:val="1"/>
          <w:bCs w:val="1"/>
          <w:color w:val="auto"/>
        </w:rPr>
      </w:pPr>
    </w:p>
    <w:p>
      <w:pPr>
        <w:ind w:left="220" w:right="60" w:hanging="213"/>
        <w:spacing w:after="0" w:line="295" w:lineRule="auto"/>
        <w:tabs>
          <w:tab w:leader="none" w:pos="220" w:val="left"/>
        </w:tabs>
        <w:numPr>
          <w:ilvl w:val="0"/>
          <w:numId w:val="30"/>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Other real estate, tax, and title support related services by LPS. </w:t>
      </w:r>
      <w:r>
        <w:rPr>
          <w:rFonts w:ascii="Arial" w:cs="Arial" w:eastAsia="Arial" w:hAnsi="Arial"/>
          <w:sz w:val="16"/>
          <w:szCs w:val="16"/>
          <w:color w:val="auto"/>
        </w:rPr>
        <w:t>The historical FIS subsidiaries who are party to these agreements with the Company became</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of LPS in connection with the spin-off. Under these arrangements, the Company pays LPS for providing other real estate related services to the Company, which consist primarily of real estate, tax data and title related data services required by the Company’s title insurance operations and flood zone determination and reporting services used by the Company’s title insurers in connection with properties that may be located in special flood hazard areas.</w:t>
      </w:r>
    </w:p>
    <w:p>
      <w:pPr>
        <w:spacing w:after="0" w:line="68" w:lineRule="exact"/>
        <w:rPr>
          <w:rFonts w:ascii="Arial" w:cs="Arial" w:eastAsia="Arial" w:hAnsi="Arial"/>
          <w:sz w:val="16"/>
          <w:szCs w:val="16"/>
          <w:b w:val="1"/>
          <w:bCs w:val="1"/>
          <w:color w:val="auto"/>
        </w:rPr>
      </w:pPr>
    </w:p>
    <w:p>
      <w:pPr>
        <w:ind w:left="220" w:hanging="213"/>
        <w:spacing w:after="0" w:line="267" w:lineRule="auto"/>
        <w:tabs>
          <w:tab w:leader="none" w:pos="220" w:val="left"/>
        </w:tabs>
        <w:numPr>
          <w:ilvl w:val="0"/>
          <w:numId w:val="30"/>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Title plant access and title production services by LPS. </w:t>
      </w:r>
      <w:r>
        <w:rPr>
          <w:rFonts w:ascii="Arial" w:cs="Arial" w:eastAsia="Arial" w:hAnsi="Arial"/>
          <w:sz w:val="17"/>
          <w:szCs w:val="17"/>
          <w:color w:val="auto"/>
        </w:rPr>
        <w:t>The historical FIS subsidiaries who are party to these agreements with the Company became</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of LPS in connection with the spin-off. Under these agreements, the Company’s title insurers provide LPS with title plant access for real property located in various states, including online database access, physical access to title records, use of space, image system use, and use of special software, as well as other title production services. For the title plant access, LPS pays monthly fees (subject to certain minimum charges) based on the number of title reports or products ordered and other services received. For the title production services, LPS pays for services based on the number of properties searched, subject to certain minimum use. The title plant access agreement has a term of 3 years beginning in November 2006 and is automatically renewable for successive 3 year terms unless either party gives 30 days’ prior written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notice. The title production services agreement can be terminated by either party upon 30 days’ prior written notice.</w:t>
      </w:r>
    </w:p>
    <w:p>
      <w:pPr>
        <w:spacing w:after="0" w:line="126" w:lineRule="exact"/>
        <w:rPr>
          <w:sz w:val="20"/>
          <w:szCs w:val="20"/>
          <w:color w:val="auto"/>
        </w:rPr>
      </w:pPr>
    </w:p>
    <w:p>
      <w:pPr>
        <w:ind w:left="600" w:right="20" w:hanging="593"/>
        <w:spacing w:after="0" w:line="326" w:lineRule="auto"/>
        <w:tabs>
          <w:tab w:leader="none" w:pos="600" w:val="left"/>
        </w:tabs>
        <w:numPr>
          <w:ilvl w:val="0"/>
          <w:numId w:val="31"/>
        </w:numPr>
        <w:rPr>
          <w:rFonts w:ascii="Arial" w:cs="Arial" w:eastAsia="Arial" w:hAnsi="Arial"/>
          <w:sz w:val="14"/>
          <w:szCs w:val="14"/>
          <w:b w:val="1"/>
          <w:bCs w:val="1"/>
          <w:color w:val="auto"/>
        </w:rPr>
      </w:pPr>
      <w:r>
        <w:rPr>
          <w:rFonts w:ascii="Arial" w:cs="Arial" w:eastAsia="Arial" w:hAnsi="Arial"/>
          <w:sz w:val="14"/>
          <w:szCs w:val="14"/>
          <w:i w:val="1"/>
          <w:iCs w:val="1"/>
          <w:color w:val="auto"/>
        </w:rPr>
        <w:t xml:space="preserve">Real estate management, real estate lease and equipment lease agreements. </w:t>
      </w:r>
      <w:r>
        <w:rPr>
          <w:rFonts w:ascii="Arial" w:cs="Arial" w:eastAsia="Arial" w:hAnsi="Arial"/>
          <w:sz w:val="14"/>
          <w:szCs w:val="14"/>
          <w:color w:val="auto"/>
        </w:rPr>
        <w:t>Included in the Company’s revenues are amounts received related to leases</w:t>
      </w:r>
      <w:r>
        <w:rPr>
          <w:rFonts w:ascii="Arial" w:cs="Arial" w:eastAsia="Arial" w:hAnsi="Arial"/>
          <w:sz w:val="14"/>
          <w:szCs w:val="14"/>
          <w:i w:val="1"/>
          <w:iCs w:val="1"/>
          <w:color w:val="auto"/>
        </w:rPr>
        <w:t xml:space="preserve"> </w:t>
      </w:r>
      <w:r>
        <w:rPr>
          <w:rFonts w:ascii="Arial" w:cs="Arial" w:eastAsia="Arial" w:hAnsi="Arial"/>
          <w:sz w:val="14"/>
          <w:szCs w:val="14"/>
          <w:color w:val="auto"/>
        </w:rPr>
        <w:t>of certain equipment to FIS and to LPS and the sublease of certain office space, furniture and furnishings to FIS and to LPS. In addition, the Company’s expenses include expenses for a lease of office space and equipment for the Company’s corporate headquarters and business operations as well as expenses for property management services for the Company’s corporate headquarters building. These expenses were paid to FIS for services provided prior to the spin-off and to LPS for services provided on and after the spin-off. In connection with the spin-off and the transfer of certain real property from FIS to LPS, the Company terminated its real estate lease with FIS and entered into a new lease with LPS with terms that are similar to those of the terminated FIS lease. In addition, the Company amended its sublease with FIS to take into account a reduction in the office space leased by FIS, and entered into a new sublease with LPS for its sublease of office space in the Company’s headquarters’ building. The rents paid by the Company to FIS and LPS and paid to the Company by FIS and LPS under the leases and subleases are based on the same rate per square foot. The lease term for all of the leases and subleases expires on June 30, 2011. The Company also entered into a new property management agreement with LPS since LPS has replaced FIS as the principal owner and manager of the Jacksonville headquarters campus. The management fees charged to the Company are reflective of the actual operating costs of the property managed and are partially recovered by the Company in rents charged under the sublease by the Company to FIS and LPS. The term of the property management agreements coincides with that of the leases and subleases, which expire on June 30, 2011.</w:t>
      </w:r>
    </w:p>
    <w:p>
      <w:pPr>
        <w:spacing w:after="0" w:line="269" w:lineRule="exact"/>
        <w:rPr>
          <w:rFonts w:ascii="Arial" w:cs="Arial" w:eastAsia="Arial" w:hAnsi="Arial"/>
          <w:sz w:val="14"/>
          <w:szCs w:val="14"/>
          <w:b w:val="1"/>
          <w:bCs w:val="1"/>
          <w:color w:val="auto"/>
        </w:rPr>
      </w:pPr>
    </w:p>
    <w:p>
      <w:pPr>
        <w:ind w:left="600" w:hanging="593"/>
        <w:spacing w:after="0" w:line="269" w:lineRule="auto"/>
        <w:tabs>
          <w:tab w:leader="none" w:pos="600" w:val="left"/>
        </w:tabs>
        <w:numPr>
          <w:ilvl w:val="0"/>
          <w:numId w:val="31"/>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Licensing, cost sharing, business processing and other agreements. </w:t>
      </w:r>
      <w:r>
        <w:rPr>
          <w:rFonts w:ascii="Arial" w:cs="Arial" w:eastAsia="Arial" w:hAnsi="Arial"/>
          <w:sz w:val="17"/>
          <w:szCs w:val="17"/>
          <w:color w:val="auto"/>
        </w:rPr>
        <w:t>The historical FIS subsidiaries who are party to these agreements with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became subsidiaries of LPS in connection with the spin-off. These agreements provide for the reimbursement of certain amounts from the Company related to various licensing and cost sharing agreements, as well as the payment of certain amounts by LPS to the Company in connection with the use of certain intellectual property, including software and business processes, and other assets or services. The software licenses have various terms, but generally may be terminated on 90 days’ prior notice. The business processing license and services agreement has a 10-year term, but in connection with the spin-off, its term was amended and will expire on July 2, 2009.</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 August 31, 2007, the Company completed the acquisition of Property Insight, LLC (“Property Insight”), a former FIS subsidiary, from FIS for</w:t>
      </w:r>
    </w:p>
    <w:p>
      <w:pPr>
        <w:spacing w:after="0" w:line="2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$95 million in cash. Property Insight is a leading provider of title plant services for the Company, as well as various national and regional underwriters. Property Insight primarily manages, maintains and updates the title plants that are owned by the Company. Additionally, Property Insight manages potential title plant construction for the Company. Prior to August 31, 2007, the title plant assets of several of FNF’s title insurance subsidiaries were managed or maintained by Property Insight, as a subsidiary of FIS. The underlying title plant information and software were owned by each of the Company’s title insurance underwriters, but Property Insight managed and updated the information in return for either (i) a cash management fee or (ii) the right to sell that information to title insurers, including title insurance underwriters that the Company owns and other third party customers. In most cases, Property Insight was responsible for keeping the title plant assets current and fully functioning, for which the Company paid a fee to Property Insight based on the Company’s use of, or access to, the title plant. In addition, each applicable title insurance underwriter owned by the Company in turn received a royalty on sales of access to its title plant assets. The Company is also a party to agreements with LPS that permit LPS and certain of its subsidiaries to access and use (but not resell) the starters databases and back plant databases of the Company’s title insurance subsidiaries. Starters databases are the Company’s databases of previously issued title policies and back plant databases contain historical records relating to title that are not regularly updated. Prior to July 2, 2008, these agreements were between FNF and FIS.</w:t>
      </w:r>
    </w:p>
    <w:p>
      <w:pPr>
        <w:spacing w:after="0" w:line="65" w:lineRule="exact"/>
        <w:rPr>
          <w:sz w:val="20"/>
          <w:szCs w:val="20"/>
          <w:color w:val="auto"/>
        </w:rPr>
      </w:pPr>
    </w:p>
    <w:p>
      <w:pPr>
        <w:ind w:firstLine="219"/>
        <w:spacing w:after="0" w:line="304" w:lineRule="auto"/>
        <w:rPr>
          <w:sz w:val="20"/>
          <w:szCs w:val="20"/>
          <w:color w:val="auto"/>
        </w:rPr>
      </w:pPr>
      <w:r>
        <w:rPr>
          <w:rFonts w:ascii="Arial" w:cs="Arial" w:eastAsia="Arial" w:hAnsi="Arial"/>
          <w:sz w:val="16"/>
          <w:szCs w:val="16"/>
          <w:color w:val="auto"/>
        </w:rPr>
        <w:t>The Company’s payments to FIS for management and maintenance of title plant assets by Property Insight were $14.0 million for the period from January 1 through August 31, 2007, and $5.5 million for the period from October 24, through December 31, 2006. The Company’s revenues from title plant royalties were $3.7 million for the period from January 1 through August 31, 2007, and $0.4 million for the period from October 24 through December 31, 2006.</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right="40" w:firstLine="219"/>
        <w:spacing w:after="0" w:line="270" w:lineRule="auto"/>
        <w:rPr>
          <w:sz w:val="20"/>
          <w:szCs w:val="20"/>
          <w:color w:val="auto"/>
        </w:rPr>
      </w:pPr>
      <w:r>
        <w:rPr>
          <w:rFonts w:ascii="Arial" w:cs="Arial" w:eastAsia="Arial" w:hAnsi="Arial"/>
          <w:sz w:val="17"/>
          <w:szCs w:val="17"/>
          <w:color w:val="auto"/>
        </w:rPr>
        <w:t>Through August 31, 2007, the Company paid amounts to Property Insight for capitalized software development and for title plant construction. These amounts included capitalized software development costs of $5.4 million for the period from January 1 through August 31, 2007, and $1.9 million for the period from October 24 through December 31, 2006, and amounts paid for capitalized title plant construction costs of $10.3 million for the period from January 1 through August 31, 2007, and $2.7 million for the period from October 24 through December 31, 2006. During the year ended December 31, 2008, the Company paid FIS $0.8 million for capitalized software development costs.</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 detail of related party items between the Company and FIS and LPS that were included in revenues and expenses for the periods presented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0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Full Year</w:t>
            </w:r>
          </w:p>
        </w:tc>
        <w:tc>
          <w:tcPr>
            <w:tcW w:w="300" w:type="dxa"/>
            <w:vAlign w:val="bottom"/>
          </w:tcPr>
          <w:p>
            <w:pPr>
              <w:spacing w:after="0"/>
              <w:rPr>
                <w:sz w:val="14"/>
                <w:szCs w:val="14"/>
                <w:color w:val="auto"/>
              </w:rPr>
            </w:pPr>
          </w:p>
        </w:tc>
        <w:tc>
          <w:tcPr>
            <w:tcW w:w="1340" w:type="dxa"/>
            <w:vAlign w:val="bottom"/>
            <w:gridSpan w:val="3"/>
            <w:vMerge w:val="restart"/>
          </w:tcPr>
          <w:p>
            <w:pPr>
              <w:jc w:val="right"/>
              <w:ind w:right="649"/>
              <w:spacing w:after="0"/>
              <w:rPr>
                <w:sz w:val="20"/>
                <w:szCs w:val="20"/>
                <w:color w:val="auto"/>
              </w:rPr>
            </w:pPr>
            <w:r>
              <w:rPr>
                <w:rFonts w:ascii="Arial" w:cs="Arial" w:eastAsia="Arial" w:hAnsi="Arial"/>
                <w:sz w:val="14"/>
                <w:szCs w:val="14"/>
                <w:b w:val="1"/>
                <w:bCs w:val="1"/>
                <w:color w:val="auto"/>
              </w:rPr>
              <w:t>Full Year</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24 -</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9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(In millions)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Agency title premiums earned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212.3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149.4</w:t>
            </w:r>
          </w:p>
        </w:tc>
        <w:tc>
          <w:tcPr>
            <w:tcW w:w="6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Rental revenue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Title plant revenue</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Interest revenue</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8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246.2</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149.9</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Agency title commissions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187.9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132.2</w:t>
            </w:r>
          </w:p>
        </w:tc>
        <w:tc>
          <w:tcPr>
            <w:tcW w:w="6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costs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46.8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Corporate services allocated</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49"/>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Title insurance information expense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Other real-estate related information</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9"/>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and services expense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9"/>
              <w:spacing w:after="0"/>
              <w:rPr>
                <w:sz w:val="20"/>
                <w:szCs w:val="20"/>
                <w:color w:val="auto"/>
              </w:rPr>
            </w:pPr>
            <w:r>
              <w:rPr>
                <w:rFonts w:ascii="Arial" w:cs="Arial" w:eastAsia="Arial" w:hAnsi="Arial"/>
                <w:sz w:val="18"/>
                <w:szCs w:val="18"/>
                <w:color w:val="auto"/>
              </w:rPr>
              <w:t>53.7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Rental expense</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49"/>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License and cost sharing agreements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right="20" w:firstLine="219"/>
        <w:spacing w:after="0" w:line="269" w:lineRule="auto"/>
        <w:rPr>
          <w:sz w:val="20"/>
          <w:szCs w:val="20"/>
          <w:color w:val="auto"/>
        </w:rPr>
      </w:pPr>
      <w:r>
        <w:rPr>
          <w:rFonts w:ascii="Arial" w:cs="Arial" w:eastAsia="Arial" w:hAnsi="Arial"/>
          <w:sz w:val="17"/>
          <w:szCs w:val="17"/>
          <w:color w:val="auto"/>
        </w:rPr>
        <w:t>The Company believes the amounts earned by the Company or charged to it under each of the foregoing arrangements are fair and reasonable. The Company believes the title commissions paid are consistent with the average rate that would be available to a third party title agent given the amount and the geographic distribution of the business produced and the low risk of loss profile of the business placed. The information technology infrastructure support and data center management services provided to the Company are priced within the range of prices that FIS and LPS offer to their unaffiliated third party customers for the same types of services. However, the amounts FNF earned or was charged under these arrangements were not negotiated at arm’s-length, and may not represent the terms that the Company might have obtained from an unrelated third party.</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Amounts due to FIS and LPS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0"/>
              </w:rPr>
              <w:t>December 31,</w:t>
            </w:r>
          </w:p>
        </w:tc>
        <w:tc>
          <w:tcPr>
            <w:tcW w:w="1260" w:type="dxa"/>
            <w:vAlign w:val="bottom"/>
            <w:gridSpan w:val="4"/>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9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140"/>
        </w:trPr>
        <w:tc>
          <w:tcPr>
            <w:tcW w:w="9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4"/>
          </w:tcPr>
          <w:p>
            <w:pPr>
              <w:ind w:left="600"/>
              <w:spacing w:after="0" w:line="140" w:lineRule="exact"/>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FIS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3"/>
        </w:trPr>
        <w:tc>
          <w:tcPr>
            <w:tcW w:w="9000" w:type="dxa"/>
            <w:vAlign w:val="bottom"/>
          </w:tcPr>
          <w:p>
            <w:pPr>
              <w:spacing w:after="0"/>
              <w:rPr>
                <w:sz w:val="20"/>
                <w:szCs w:val="20"/>
                <w:color w:val="auto"/>
              </w:rPr>
            </w:pPr>
            <w:r>
              <w:rPr>
                <w:rFonts w:ascii="Arial" w:cs="Arial" w:eastAsia="Arial" w:hAnsi="Arial"/>
                <w:sz w:val="18"/>
                <w:szCs w:val="18"/>
                <w:color w:val="auto"/>
              </w:rPr>
              <w:t>Due to FIS</w:t>
            </w: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Due to LPS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Prior to September 30, 2007, FNF had a note receivable balance of $12.5 million due from a subsidiary of FIS. The Company earned interest revenue of</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$0.5 million on this note for the year ended December 31, 2007. On September 30, 2007, the Company acquired certain leasing assets from FIS for $15 million.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As part of this acquisition, the Company assumed $134.9 million in non-recourse notes payable (see note I), the $12.5 million note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due to a subsidiary of FIS was forgiven, and the Company entered into an unsecured note payable to FIS in the amount of $7.3 million. The balance on this note at December 31, 2008 and 2007 was $6.2 million and $7.1 million, respectively, and the Company’s related interest expense was $0.3 million and $0.1 million for the years ended December 31, 2008 and 2007, respectively. Also, as a result of related party transactions, as of December 31, 2008 and 2007, the Company owed $6.9 million and $13.9 million, respectively, to FIS, and, as of December 31, 2008, the Company owed $3.0 million to LPS.</w:t>
      </w:r>
    </w:p>
    <w:p>
      <w:pPr>
        <w:spacing w:after="0" w:line="56" w:lineRule="exact"/>
        <w:rPr>
          <w:sz w:val="20"/>
          <w:szCs w:val="20"/>
          <w:color w:val="auto"/>
        </w:rPr>
      </w:pPr>
    </w:p>
    <w:p>
      <w:pPr>
        <w:ind w:right="560" w:firstLine="222"/>
        <w:spacing w:after="0" w:line="304" w:lineRule="auto"/>
        <w:rPr>
          <w:sz w:val="20"/>
          <w:szCs w:val="20"/>
          <w:color w:val="auto"/>
        </w:rPr>
      </w:pPr>
      <w:r>
        <w:rPr>
          <w:rFonts w:ascii="Arial" w:cs="Arial" w:eastAsia="Arial" w:hAnsi="Arial"/>
          <w:sz w:val="16"/>
          <w:szCs w:val="16"/>
          <w:color w:val="auto"/>
        </w:rPr>
        <w:t>In August 2007, FNF’s Chairman of the Board, William P. Foley, II, planned to sell 1,000,000 shares of FNF stock on the open market. Because the Company was actively purchasing shares of treasury stock on the open market at the same time, the Company agreed to purchase 1,000,000 shares from Mr. Foley on August 8, 2007, for $22.1 million, or $22.09 per share, the market price at the time of the purchase.</w:t>
      </w:r>
    </w:p>
    <w:p>
      <w:pPr>
        <w:spacing w:after="0" w:line="48" w:lineRule="exact"/>
        <w:rPr>
          <w:sz w:val="20"/>
          <w:szCs w:val="20"/>
          <w:color w:val="auto"/>
        </w:rPr>
      </w:pPr>
    </w:p>
    <w:p>
      <w:pPr>
        <w:ind w:right="120" w:firstLine="222"/>
        <w:spacing w:after="0" w:line="297" w:lineRule="auto"/>
        <w:rPr>
          <w:sz w:val="20"/>
          <w:szCs w:val="20"/>
          <w:color w:val="auto"/>
        </w:rPr>
      </w:pPr>
      <w:r>
        <w:rPr>
          <w:rFonts w:ascii="Arial" w:cs="Arial" w:eastAsia="Arial" w:hAnsi="Arial"/>
          <w:sz w:val="17"/>
          <w:szCs w:val="17"/>
          <w:color w:val="auto"/>
        </w:rPr>
        <w:t>On December 6, 2007, the Company sold 1,000 shares of Series B Preferred Stock of Remy to its Chairman of the Board, William P. Foley, II, for a total of $1.0 million, or $1,000 per share. This per share price was equal to the per share price that the Company paid to acquire the shares.</w:t>
      </w:r>
    </w:p>
    <w:p>
      <w:pPr>
        <w:spacing w:after="0" w:line="50"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In February 2009, the Company transferred our ownership interest in Fidelity National Real Estate Solutions, Inc. (“FNRES”) to LPS in exchange for all of the outstanding shares of Investment Property Exchange Services, Inc. (“IPEX”), a company that facilitates real estate exchanges under Section 1031 of the Internal Revenue Code.</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113" w:lineRule="exact"/>
        <w:rPr>
          <w:sz w:val="20"/>
          <w:szCs w:val="20"/>
          <w:color w:val="auto"/>
        </w:rPr>
      </w:pPr>
    </w:p>
    <w:p>
      <w:pPr>
        <w:ind w:right="260" w:firstLine="219"/>
        <w:spacing w:after="0" w:line="267" w:lineRule="auto"/>
        <w:rPr>
          <w:sz w:val="20"/>
          <w:szCs w:val="20"/>
          <w:color w:val="auto"/>
        </w:rPr>
      </w:pPr>
      <w:r>
        <w:rPr>
          <w:rFonts w:ascii="Arial" w:cs="Arial" w:eastAsia="Arial" w:hAnsi="Arial"/>
          <w:sz w:val="18"/>
          <w:szCs w:val="18"/>
          <w:color w:val="auto"/>
        </w:rPr>
        <w:t>The Company accounts for stock-based compensation plans using the fair value method. Using the fair value method of accounting, compensation cost is measured based on the fair value of the award at the grant date and recognized over the service period.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3" w:lineRule="exact"/>
        <w:rPr>
          <w:sz w:val="20"/>
          <w:szCs w:val="20"/>
          <w:color w:val="auto"/>
        </w:rPr>
      </w:pPr>
    </w:p>
    <w:p>
      <w:pPr>
        <w:ind w:right="40" w:firstLine="219"/>
        <w:spacing w:after="0" w:line="251" w:lineRule="auto"/>
        <w:rPr>
          <w:sz w:val="20"/>
          <w:szCs w:val="20"/>
          <w:color w:val="auto"/>
        </w:rPr>
      </w:pPr>
      <w:r>
        <w:rPr>
          <w:rFonts w:ascii="Arial" w:cs="Arial" w:eastAsia="Arial" w:hAnsi="Arial"/>
          <w:sz w:val="18"/>
          <w:szCs w:val="18"/>
          <w:color w:val="auto"/>
        </w:rPr>
        <w:t>The functional currency for the foreign operations of the Company is either the U.S. Dollar or the local currency. For foreign operations where the local currency is the functional currency, the translation of foreign currencies into U.S. Dollars is performed for balance sheet accounts using exchange rates in effect at the balance sheet date and for revenue and expense accounts using a weighted average exchange rate during the period. The unrealized gains and losses resulting from the translation are included in accumulated other comprehensive earnings in the Consolidated Statements of Stockholders’ Equity and are excluded from net earnings. Gains or losses resulting from foreign currency transactions are included in realized gains and losses and are insignificant in 2008, 2007, and 2006.</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113" w:lineRule="exact"/>
        <w:rPr>
          <w:sz w:val="20"/>
          <w:szCs w:val="20"/>
          <w:color w:val="auto"/>
        </w:rPr>
      </w:pPr>
    </w:p>
    <w:p>
      <w:pPr>
        <w:ind w:right="60" w:firstLine="219"/>
        <w:spacing w:after="0" w:line="254" w:lineRule="auto"/>
        <w:rPr>
          <w:sz w:val="20"/>
          <w:szCs w:val="20"/>
          <w:color w:val="auto"/>
        </w:rPr>
      </w:pPr>
      <w:r>
        <w:rPr>
          <w:rFonts w:ascii="Arial" w:cs="Arial" w:eastAsia="Arial" w:hAnsi="Arial"/>
          <w:sz w:val="18"/>
          <w:szCs w:val="18"/>
          <w:color w:val="auto"/>
        </w:rPr>
        <w:t>The preparation of these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Reclassifications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Certain reclassifications have been made in the 2007 and 2006 Consolidated Financial Statements to conform to the classifications used in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Acquisitions</w:t>
      </w:r>
    </w:p>
    <w:p>
      <w:pPr>
        <w:spacing w:after="0" w:line="119" w:lineRule="exact"/>
        <w:rPr>
          <w:sz w:val="20"/>
          <w:szCs w:val="20"/>
          <w:color w:val="auto"/>
        </w:rPr>
      </w:pPr>
    </w:p>
    <w:p>
      <w:pPr>
        <w:jc w:val="both"/>
        <w:ind w:right="40" w:firstLine="219"/>
        <w:spacing w:after="0" w:line="304" w:lineRule="auto"/>
        <w:rPr>
          <w:sz w:val="20"/>
          <w:szCs w:val="20"/>
          <w:color w:val="auto"/>
        </w:rPr>
      </w:pPr>
      <w:r>
        <w:rPr>
          <w:rFonts w:ascii="Arial" w:cs="Arial" w:eastAsia="Arial" w:hAnsi="Arial"/>
          <w:sz w:val="16"/>
          <w:szCs w:val="16"/>
          <w:color w:val="auto"/>
        </w:rPr>
        <w:t>The results of operations and financial position of the entities acquired during any year are included in the Consolidated Financial Statements from and after the date of acquisition. Based on the Company’s valuation, any differences between the fair value of the identifiable assets and liabilities and the purchase price paid are recorded as goodwill. The only significant acquisitions in the three years ended December 31, 2008, were the acquisitions of</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certain underwriters from LandAmerica Financial Group, Inc. (“LFG”) in 2008 and the acquisition of an equity interest in Ceridian in 2007.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Acquisition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Acquisition of Commonwealth Land Title Insurance Company, Lawyers Title Insurance Corporation, and United Capital Title Insurance Company</w:t>
      </w:r>
    </w:p>
    <w:p>
      <w:pPr>
        <w:spacing w:after="0" w:line="125" w:lineRule="exact"/>
        <w:rPr>
          <w:sz w:val="20"/>
          <w:szCs w:val="20"/>
          <w:color w:val="auto"/>
        </w:rPr>
      </w:pPr>
    </w:p>
    <w:p>
      <w:pPr>
        <w:ind w:right="20" w:firstLine="222"/>
        <w:spacing w:after="0" w:line="287" w:lineRule="auto"/>
        <w:rPr>
          <w:sz w:val="20"/>
          <w:szCs w:val="20"/>
          <w:color w:val="auto"/>
        </w:rPr>
      </w:pPr>
      <w:r>
        <w:rPr>
          <w:rFonts w:ascii="Arial" w:cs="Arial" w:eastAsia="Arial" w:hAnsi="Arial"/>
          <w:sz w:val="16"/>
          <w:szCs w:val="16"/>
          <w:color w:val="auto"/>
        </w:rPr>
        <w:t>On December 22, 2008, FNF completed the acquisition of LFG’s two principal title insurance underwriters, Commonwealth Land Title Insurance Company (“Commonwealth”) and Lawyers Title Insurance Corporation (“Lawyers”), as well as United Capital Title Insurance Company (“United”) (collectively, the “LFG Underwriters”). The total purchase price for Commonwealth and Lawyers was $238.0 million, net of cash acquired of $8.8 million, and was comprised of $134.8 million paid in cash by two of FNF’s title insurance underwriters, Fidelity National Title Insurance Company and Chicago Title Insurance Company, a $50 million subordinated note due in 2013 (see note I), and $50 million in FNF common stock (3,176,620 shares valued at $15.74 per share at the time of closing). In addition, Fidelity National Title Insurance Company purchased United from an indirect subsidiary of LFG for a purchase price of approximately $12 million, equal to an estimate (subject to post-closing adjustment) of the statutory net worth of United at the time of closing.</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total purchase price was as follows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Cash paid by FNF’s title insurance underwriters, net of cash acquired</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w:t>
            </w:r>
          </w:p>
        </w:tc>
      </w:tr>
      <w:tr>
        <w:trPr>
          <w:trHeight w:val="213"/>
        </w:trPr>
        <w:tc>
          <w:tcPr>
            <w:tcW w:w="10640" w:type="dxa"/>
            <w:vAlign w:val="bottom"/>
          </w:tcPr>
          <w:p>
            <w:pPr>
              <w:spacing w:after="0"/>
              <w:rPr>
                <w:sz w:val="20"/>
                <w:szCs w:val="20"/>
                <w:color w:val="auto"/>
              </w:rPr>
            </w:pPr>
            <w:r>
              <w:rPr>
                <w:rFonts w:ascii="Arial" w:cs="Arial" w:eastAsia="Arial" w:hAnsi="Arial"/>
                <w:sz w:val="18"/>
                <w:szCs w:val="18"/>
                <w:color w:val="auto"/>
              </w:rPr>
              <w:t>Subordinated note payable to LFG (see note I)</w:t>
            </w: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3"/>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FNF common stock (3,176,620 shares valued at $15.74 per share)</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r>
      <w:tr>
        <w:trPr>
          <w:trHeight w:val="220"/>
        </w:trPr>
        <w:tc>
          <w:tcPr>
            <w:tcW w:w="10640" w:type="dxa"/>
            <w:vAlign w:val="bottom"/>
          </w:tcPr>
          <w:p>
            <w:pPr>
              <w:spacing w:after="0"/>
              <w:rPr>
                <w:sz w:val="20"/>
                <w:szCs w:val="20"/>
                <w:color w:val="auto"/>
              </w:rPr>
            </w:pPr>
            <w:r>
              <w:rPr>
                <w:rFonts w:ascii="Arial" w:cs="Arial" w:eastAsia="Arial" w:hAnsi="Arial"/>
                <w:sz w:val="18"/>
                <w:szCs w:val="18"/>
                <w:color w:val="auto"/>
              </w:rPr>
              <w:t>Transaction costs</w:t>
            </w: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r>
      <w:tr>
        <w:trPr>
          <w:trHeight w:val="213"/>
        </w:trPr>
        <w:tc>
          <w:tcPr>
            <w:tcW w:w="106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w:t>
            </w:r>
          </w:p>
        </w:tc>
      </w:tr>
      <w:tr>
        <w:trPr>
          <w:trHeight w:val="20"/>
        </w:trPr>
        <w:tc>
          <w:tcPr>
            <w:tcW w:w="10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ind w:right="60" w:firstLine="219"/>
        <w:spacing w:after="0" w:line="273" w:lineRule="auto"/>
        <w:rPr>
          <w:sz w:val="20"/>
          <w:szCs w:val="20"/>
          <w:color w:val="auto"/>
        </w:rPr>
      </w:pPr>
      <w:r>
        <w:rPr>
          <w:rFonts w:ascii="Arial" w:cs="Arial" w:eastAsia="Arial" w:hAnsi="Arial"/>
          <w:sz w:val="17"/>
          <w:szCs w:val="17"/>
          <w:color w:val="auto"/>
        </w:rPr>
        <w:t>The purchase price has been initially allocated to the LFG Underwriters’ assets acquired and liabilities assumed based on our best estimates of their fair values as of December 22, 2008. Goodwill has been recorded based on the amount that the purchase price exceeds the fair value of the net assets acquired. This estimate is preliminary and subject to adjustments as the Company completes its valuation process, which it expects to have substantially complete by the end of the first quarter of 2009. The initial purchase price allocation is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Cash and Investments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Trade and notes receivable</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Title plants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Reserve for claim losses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(1,115.8)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assumed</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19"/>
        </w:trPr>
        <w:tc>
          <w:tcPr>
            <w:tcW w:w="962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10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vMerge w:val="restart"/>
          </w:tcPr>
          <w:p>
            <w:pPr>
              <w:ind w:left="200"/>
              <w:spacing w:after="0"/>
              <w:rPr>
                <w:sz w:val="20"/>
                <w:szCs w:val="20"/>
                <w:color w:val="auto"/>
              </w:rPr>
            </w:pPr>
            <w:r>
              <w:rPr>
                <w:rFonts w:ascii="Arial" w:cs="Arial" w:eastAsia="Arial" w:hAnsi="Arial"/>
                <w:sz w:val="18"/>
                <w:szCs w:val="18"/>
                <w:color w:val="auto"/>
              </w:rPr>
              <w:t>The following table summarizes the other liabilities assumed in the acquisition of the LFG Underwriters (in millions):</w:t>
            </w:r>
          </w:p>
        </w:tc>
        <w:tc>
          <w:tcPr>
            <w:tcW w:w="1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96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6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Estimated facility closure costs</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Estimated employee termination costs</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Other merger related costs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Other operating liabilities</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right="220" w:firstLine="219"/>
        <w:spacing w:after="0" w:line="254" w:lineRule="auto"/>
        <w:rPr>
          <w:sz w:val="20"/>
          <w:szCs w:val="20"/>
          <w:color w:val="auto"/>
        </w:rPr>
      </w:pPr>
      <w:r>
        <w:rPr>
          <w:rFonts w:ascii="Arial" w:cs="Arial" w:eastAsia="Arial" w:hAnsi="Arial"/>
          <w:sz w:val="18"/>
          <w:szCs w:val="18"/>
          <w:color w:val="auto"/>
        </w:rPr>
        <w:t>The Company is currently evaluating various agreements, including leases, vendor and agency agreements, title plants, and customer contracts of the LFG Underwriters. This evaluation has resulted in the recognition of certain liabilities associated with exiting activities of the acquired companies. The Company expects to substantially complete this evaluation during the first half of 2009 and will adjust the amounts recorded as of December 31, 2008, to reflect the Company’s revised evaluations.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Unaudited Pro Forma Results</w:t>
      </w:r>
    </w:p>
    <w:p>
      <w:pPr>
        <w:spacing w:after="0" w:line="113"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Selected unaudited pro forma results of operations for years ended December 31, 2008 and 2007, assuming the acquisition of the LFG Underwriters had occurred as of January 1, 2007, and using actual general and administrative expenses prior to the acquisition are presented for comparative purposes below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560" w:type="dxa"/>
            <w:vAlign w:val="bottom"/>
          </w:tcPr>
          <w:p>
            <w:pPr>
              <w:spacing w:after="0"/>
              <w:rPr>
                <w:sz w:val="14"/>
                <w:szCs w:val="14"/>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11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2007</w:t>
            </w:r>
          </w:p>
        </w:tc>
      </w:tr>
      <w:tr>
        <w:trPr>
          <w:trHeight w:val="207"/>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16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$6,413.6</w:t>
            </w:r>
          </w:p>
        </w:tc>
        <w:tc>
          <w:tcPr>
            <w:tcW w:w="17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$8,614.4</w:t>
            </w:r>
          </w:p>
        </w:tc>
      </w:tr>
      <w:tr>
        <w:trPr>
          <w:trHeight w:val="213"/>
        </w:trPr>
        <w:tc>
          <w:tcPr>
            <w:tcW w:w="8560" w:type="dxa"/>
            <w:vAlign w:val="bottom"/>
          </w:tcPr>
          <w:p>
            <w:pPr>
              <w:spacing w:after="0"/>
              <w:rPr>
                <w:sz w:val="20"/>
                <w:szCs w:val="20"/>
                <w:color w:val="auto"/>
              </w:rPr>
            </w:pPr>
            <w:r>
              <w:rPr>
                <w:rFonts w:ascii="Arial" w:cs="Arial" w:eastAsia="Arial" w:hAnsi="Arial"/>
                <w:sz w:val="18"/>
                <w:szCs w:val="18"/>
                <w:color w:val="auto"/>
              </w:rPr>
              <w:t>Net earnings (A)</w:t>
            </w:r>
          </w:p>
        </w:tc>
        <w:tc>
          <w:tcPr>
            <w:tcW w:w="1160" w:type="dxa"/>
            <w:vAlign w:val="bottom"/>
          </w:tcPr>
          <w:p>
            <w:pPr>
              <w:jc w:val="right"/>
              <w:ind w:right="175"/>
              <w:spacing w:after="0"/>
              <w:rPr>
                <w:sz w:val="20"/>
                <w:szCs w:val="20"/>
                <w:color w:val="auto"/>
              </w:rPr>
            </w:pPr>
            <w:r>
              <w:rPr>
                <w:rFonts w:ascii="Arial" w:cs="Arial" w:eastAsia="Arial" w:hAnsi="Arial"/>
                <w:sz w:val="18"/>
                <w:szCs w:val="18"/>
                <w:color w:val="auto"/>
              </w:rPr>
              <w:t>(413.0)</w:t>
            </w:r>
          </w:p>
        </w:tc>
        <w:tc>
          <w:tcPr>
            <w:tcW w:w="1700" w:type="dxa"/>
            <w:vAlign w:val="bottom"/>
            <w:gridSpan w:val="2"/>
          </w:tcPr>
          <w:p>
            <w:pPr>
              <w:jc w:val="right"/>
              <w:ind w:right="249"/>
              <w:spacing w:after="0"/>
              <w:rPr>
                <w:sz w:val="20"/>
                <w:szCs w:val="20"/>
                <w:color w:val="auto"/>
              </w:rPr>
            </w:pPr>
            <w:r>
              <w:rPr>
                <w:rFonts w:ascii="Arial" w:cs="Arial" w:eastAsia="Arial" w:hAnsi="Arial"/>
                <w:sz w:val="18"/>
                <w:szCs w:val="18"/>
                <w:color w:val="auto"/>
              </w:rPr>
              <w:t>82.8</w:t>
            </w:r>
          </w:p>
        </w:tc>
      </w:tr>
      <w:tr>
        <w:trPr>
          <w:trHeight w:val="213"/>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 forma earnings per share — basic</w:t>
            </w:r>
          </w:p>
        </w:tc>
        <w:tc>
          <w:tcPr>
            <w:tcW w:w="11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(1.94)</w:t>
            </w:r>
          </w:p>
        </w:tc>
        <w:tc>
          <w:tcPr>
            <w:tcW w:w="17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0.38</w:t>
            </w:r>
          </w:p>
        </w:tc>
      </w:tr>
      <w:tr>
        <w:trPr>
          <w:trHeight w:val="224"/>
        </w:trPr>
        <w:tc>
          <w:tcPr>
            <w:tcW w:w="8560" w:type="dxa"/>
            <w:vAlign w:val="bottom"/>
          </w:tcPr>
          <w:p>
            <w:pPr>
              <w:spacing w:after="0"/>
              <w:rPr>
                <w:sz w:val="20"/>
                <w:szCs w:val="20"/>
                <w:color w:val="auto"/>
              </w:rPr>
            </w:pPr>
            <w:r>
              <w:rPr>
                <w:rFonts w:ascii="Arial" w:cs="Arial" w:eastAsia="Arial" w:hAnsi="Arial"/>
                <w:sz w:val="18"/>
                <w:szCs w:val="18"/>
                <w:color w:val="auto"/>
              </w:rPr>
              <w:t>Pro forma earnings per share — diluted</w:t>
            </w:r>
          </w:p>
        </w:tc>
        <w:tc>
          <w:tcPr>
            <w:tcW w:w="1160" w:type="dxa"/>
            <w:vAlign w:val="bottom"/>
          </w:tcPr>
          <w:p>
            <w:pPr>
              <w:jc w:val="right"/>
              <w:ind w:right="175"/>
              <w:spacing w:after="0"/>
              <w:rPr>
                <w:sz w:val="20"/>
                <w:szCs w:val="20"/>
                <w:color w:val="auto"/>
              </w:rPr>
            </w:pPr>
            <w:r>
              <w:rPr>
                <w:rFonts w:ascii="Arial" w:cs="Arial" w:eastAsia="Arial" w:hAnsi="Arial"/>
                <w:sz w:val="18"/>
                <w:szCs w:val="18"/>
                <w:color w:val="auto"/>
              </w:rPr>
              <w:t>(1.94)</w:t>
            </w:r>
          </w:p>
        </w:tc>
        <w:tc>
          <w:tcPr>
            <w:tcW w:w="1700" w:type="dxa"/>
            <w:vAlign w:val="bottom"/>
            <w:gridSpan w:val="2"/>
          </w:tcPr>
          <w:p>
            <w:pPr>
              <w:jc w:val="right"/>
              <w:ind w:right="249"/>
              <w:spacing w:after="0"/>
              <w:rPr>
                <w:sz w:val="20"/>
                <w:szCs w:val="20"/>
                <w:color w:val="auto"/>
              </w:rPr>
            </w:pPr>
            <w:r>
              <w:rPr>
                <w:rFonts w:ascii="Arial" w:cs="Arial" w:eastAsia="Arial" w:hAnsi="Arial"/>
                <w:sz w:val="18"/>
                <w:szCs w:val="18"/>
                <w:color w:val="auto"/>
              </w:rPr>
              <w:t>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13042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330" w:lineRule="exact"/>
        <w:rPr>
          <w:sz w:val="20"/>
          <w:szCs w:val="20"/>
          <w:color w:val="auto"/>
        </w:rPr>
      </w:pPr>
    </w:p>
    <w:p>
      <w:pPr>
        <w:ind w:left="400" w:right="320" w:hanging="393"/>
        <w:spacing w:after="0" w:line="279" w:lineRule="auto"/>
        <w:tabs>
          <w:tab w:leader="none" w:pos="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pro forma net earnings for FNF and the LFG Underwriters for 2008 include charges recorded by the LFG Underwriters of $135.1 million for impairments of other intangible assets and goodwill and charges recorded by FNF of $261.6 million for adverse development of loss reserves. The pro forma net earnings for 2007 include charges recorded by FNF of $217.2 million for adverse development of loss reserves.</w:t>
      </w:r>
    </w:p>
    <w:p>
      <w:pPr>
        <w:sectPr>
          <w:pgSz w:w="11900" w:h="16838" w:orient="portrait"/>
          <w:cols w:equalWidth="0" w:num="1">
            <w:col w:w="11420"/>
          </w:cols>
          <w:pgMar w:left="240" w:top="415" w:right="239" w:bottom="747"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725233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747"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Acquisition of Equity Interest in Ceridian</w:t>
      </w:r>
    </w:p>
    <w:p>
      <w:pPr>
        <w:spacing w:after="0" w:line="113" w:lineRule="exact"/>
        <w:rPr>
          <w:sz w:val="20"/>
          <w:szCs w:val="20"/>
          <w:color w:val="auto"/>
        </w:rPr>
      </w:pPr>
    </w:p>
    <w:p>
      <w:pPr>
        <w:ind w:right="140" w:firstLine="222"/>
        <w:spacing w:after="0" w:line="288" w:lineRule="auto"/>
        <w:rPr>
          <w:sz w:val="20"/>
          <w:szCs w:val="20"/>
          <w:color w:val="auto"/>
        </w:rPr>
      </w:pPr>
      <w:r>
        <w:rPr>
          <w:rFonts w:ascii="Arial" w:cs="Arial" w:eastAsia="Arial" w:hAnsi="Arial"/>
          <w:sz w:val="16"/>
          <w:szCs w:val="16"/>
          <w:color w:val="auto"/>
        </w:rPr>
        <w:t>On November 9, 2007, FNF and Thomas H. Lee Partners, LP (“THL”), along with certain co-investors, completed the acquisition of Ceridian for $36 in cash per share of common stock, or approximately $5.3 billion. The Company contributed approximately $527 million of the total $1.6 billion equity funding for the acquisition of Ceridian, resulting in a 33% ownership percentage by the Company, which the Company accounts for using the equity method of accounting for financial statement purposes. On the closing date, the Company recorded income of $12.3 million in fees associated with the syndication of investors in the acquisition of Ceridian. Ceridian is an information services company servicing the human resources, transportation, and retail industries. Specifically, Ceridian offers a range of human resources outsourcing solutions and is a payment processor and issuer of credit, debit, and stored-value cards.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Property Insight, LLC</w:t>
      </w:r>
    </w:p>
    <w:p>
      <w:pPr>
        <w:spacing w:after="0" w:line="113"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On August 31, 2007, the Company completed the acquisition of Property Insight, a former FIS subsidiary, from FIS for $95 million in cash. Property Insight is a leading provider of title plant services for the Company, as well as various national and regional underwriters. Property Insight primarily manages, maintains, and updates the title plants that are owned by the Company. Additionally, Property Insight manages potential title plant construction activities for the Company.</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ATM Holdings, Inc.</w:t>
      </w:r>
    </w:p>
    <w:p>
      <w:pPr>
        <w:spacing w:after="0" w:line="113" w:lineRule="exact"/>
        <w:rPr>
          <w:sz w:val="20"/>
          <w:szCs w:val="20"/>
          <w:color w:val="auto"/>
        </w:rPr>
      </w:pPr>
    </w:p>
    <w:p>
      <w:pPr>
        <w:ind w:right="360" w:firstLine="222"/>
        <w:spacing w:after="0" w:line="267" w:lineRule="auto"/>
        <w:rPr>
          <w:sz w:val="20"/>
          <w:szCs w:val="20"/>
          <w:color w:val="auto"/>
        </w:rPr>
      </w:pPr>
      <w:r>
        <w:rPr>
          <w:rFonts w:ascii="Arial" w:cs="Arial" w:eastAsia="Arial" w:hAnsi="Arial"/>
          <w:sz w:val="18"/>
          <w:szCs w:val="18"/>
          <w:color w:val="auto"/>
        </w:rPr>
        <w:t>On August 13, 2007, the Company completed the acquisition of ATM Holdings, Inc. (“ATM”), a provider of nationwide mortgage vendor management services to the loan origination industry, for $100 million in cash. ATM’s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right="500"/>
        <w:spacing w:after="0" w:line="267" w:lineRule="auto"/>
        <w:rPr>
          <w:sz w:val="20"/>
          <w:szCs w:val="20"/>
          <w:color w:val="auto"/>
        </w:rPr>
      </w:pPr>
      <w:r>
        <w:rPr>
          <w:rFonts w:ascii="Arial" w:cs="Arial" w:eastAsia="Arial" w:hAnsi="Arial"/>
          <w:sz w:val="18"/>
          <w:szCs w:val="18"/>
          <w:color w:val="auto"/>
        </w:rPr>
        <w:t>primary subsidiary is a licensed title insurance agency which provides centralized valuation and appraisal services, as well as title and closing services, to residential mortgage originators, banks and institutional mortgage lenders throughout the United States.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Interest in Remy</w:t>
      </w:r>
    </w:p>
    <w:p>
      <w:pPr>
        <w:spacing w:after="0" w:line="113" w:lineRule="exact"/>
        <w:rPr>
          <w:sz w:val="20"/>
          <w:szCs w:val="20"/>
          <w:color w:val="auto"/>
        </w:rPr>
      </w:pPr>
    </w:p>
    <w:p>
      <w:pPr>
        <w:ind w:firstLine="219"/>
        <w:spacing w:after="0" w:line="266" w:lineRule="auto"/>
        <w:rPr>
          <w:sz w:val="20"/>
          <w:szCs w:val="20"/>
          <w:color w:val="auto"/>
        </w:rPr>
      </w:pPr>
      <w:r>
        <w:rPr>
          <w:rFonts w:ascii="Arial" w:cs="Arial" w:eastAsia="Arial" w:hAnsi="Arial"/>
          <w:sz w:val="17"/>
          <w:szCs w:val="17"/>
          <w:color w:val="auto"/>
        </w:rPr>
        <w:t>The Company held an investment in Remy’s Senior Subordinated Notes (the “Notes”) with a total fair value of $139.9 million until December 6, 2007, at which time Remy implemented a pre-packaged plan of bankruptcy under Chapter 11 of the Bankruptcy Code. Pursuant to the plan of bankruptcy, the Notes were converted into 4,935,065 shares of Remy common stock and rights to buy 19,909 shares of Remy Series B preferred stock. Upon execution of the plan of bankruptcy, the Company purchased all 19,909 shares of the preferred stock for $1,000 per share, or a total of $19.9 million, and then sold 1,000 of those shares to William P. Foley, II, the Company’s chairman of the board, for $1,000 per share, or a total of $1.0 million. The Company now holds a 47% ownership interest in Remy, made up of 4,935,065 shares of Remy common stock with a cost basis of $64.3 million and 18,909 shares of purchased Remy Series B preferred stock with a cost basis of $19.5 million, and will account for this investment using the equity method. As a result of the exchange of the Notes for the shares of common and preferred stock, the Company reversed the unrealized gain of $75.0 million that had previously been recorded in accumulated other comprehensive earnings in relation to the Notes.</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Cascade Timberlands LLC</w:t>
      </w:r>
    </w:p>
    <w:p>
      <w:pPr>
        <w:spacing w:after="0" w:line="113" w:lineRule="exact"/>
        <w:rPr>
          <w:sz w:val="20"/>
          <w:szCs w:val="20"/>
          <w:color w:val="auto"/>
        </w:rPr>
      </w:pPr>
    </w:p>
    <w:p>
      <w:pPr>
        <w:ind w:right="100" w:firstLine="222"/>
        <w:spacing w:after="0" w:line="291" w:lineRule="auto"/>
        <w:rPr>
          <w:sz w:val="20"/>
          <w:szCs w:val="20"/>
          <w:color w:val="auto"/>
        </w:rPr>
      </w:pPr>
      <w:r>
        <w:rPr>
          <w:rFonts w:ascii="Arial" w:cs="Arial" w:eastAsia="Arial" w:hAnsi="Arial"/>
          <w:sz w:val="16"/>
          <w:szCs w:val="16"/>
          <w:color w:val="auto"/>
        </w:rPr>
        <w:t>During 2006, the Company purchased equity interests in Cascade Timberlands LLC (“Cascade Timberlands”) totaling 71% of Cascade Timberlands. As of December 31, 2008, the Company owned approximately 70% of the outstanding interests of Cascade Timberlands which was purchased for $88.5 million. The primary assets of Cascade Timberlands are approximately 266,909 acres of productive timberlands located on the eastern side of the Cascade mountain range extending from Bend, Oregon south on State Highway 20 toward the California border. Cascade Timberlands was created by the secured creditors of Crown Pacific LP upon the conclusion of the bankruptcy case of Crown Pacific LP in December 2004.</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Acquisition of Equity Interest in Sedgwick</w:t>
      </w:r>
    </w:p>
    <w:p>
      <w:pPr>
        <w:spacing w:after="0" w:line="113"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On January 31, 2006, the Company, along with its equity partners, THL and Evercore Capital Partners, completed an acquisition of Sedgwick which resulted in the Company obtaining a 40% interest in Sedgwick for approximately $126 million. In September 2006, the Company invested an additional $6.8 million in Sedgwick, maintaining its 40% ownership interest. During 2008, the Company sold 20% of its interest in Sedgwick (reducing its interest in Sedgwick from 40% to 32%) for proceeds of $53.9 million, resulting in a gain of $24.8 million. Sedgwick, headquartered in Memphis, Tennessee, is a leading provider of outsourced insurance claims management services to large corporate and public sector entities.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Fair Value Measurements</w:t>
      </w:r>
    </w:p>
    <w:p>
      <w:pPr>
        <w:spacing w:after="0" w:line="119" w:lineRule="exact"/>
        <w:rPr>
          <w:sz w:val="20"/>
          <w:szCs w:val="20"/>
          <w:color w:val="auto"/>
        </w:rPr>
      </w:pPr>
    </w:p>
    <w:p>
      <w:pPr>
        <w:ind w:right="240" w:firstLine="222"/>
        <w:spacing w:after="0" w:line="257" w:lineRule="auto"/>
        <w:rPr>
          <w:sz w:val="20"/>
          <w:szCs w:val="20"/>
          <w:color w:val="auto"/>
        </w:rPr>
      </w:pPr>
      <w:r>
        <w:rPr>
          <w:rFonts w:ascii="Arial" w:cs="Arial" w:eastAsia="Arial" w:hAnsi="Arial"/>
          <w:sz w:val="18"/>
          <w:szCs w:val="18"/>
          <w:color w:val="auto"/>
        </w:rPr>
        <w:t>In September 2006, the FASB issued SFAS No. 157, “Fair Value Measurements” (“SFAS 157”). SFAS 157 defines fair value, establishes a framework for measuring fair value, and expands disclosures about fair value measurements by establishing a fair value hierarchy based on the quality of inputs used to measure fair value.</w:t>
      </w:r>
    </w:p>
    <w:p>
      <w:pPr>
        <w:spacing w:after="0" w:line="82" w:lineRule="exact"/>
        <w:rPr>
          <w:sz w:val="20"/>
          <w:szCs w:val="20"/>
          <w:color w:val="auto"/>
        </w:rPr>
      </w:pPr>
    </w:p>
    <w:p>
      <w:pPr>
        <w:ind w:right="160" w:firstLine="222"/>
        <w:spacing w:after="0" w:line="269" w:lineRule="auto"/>
        <w:rPr>
          <w:sz w:val="20"/>
          <w:szCs w:val="20"/>
          <w:color w:val="auto"/>
        </w:rPr>
      </w:pPr>
      <w:r>
        <w:rPr>
          <w:rFonts w:ascii="Arial" w:cs="Arial" w:eastAsia="Arial" w:hAnsi="Arial"/>
          <w:sz w:val="17"/>
          <w:szCs w:val="17"/>
          <w:color w:val="auto"/>
        </w:rPr>
        <w:t>SFAS 157 does not require any new fair value measurements, but applies under other accounting pronouncements that require or permit fair value measurements. SFAS 157 is effective for financial statements for fiscal years beginning after November 15, 2007. The Company adopted SFAS 157 as of January 1, 2008. FASB Staff Position SFAS No. 157-2, “Effective Date of FASB Statement No. 157,” delays the effective date of SFAS 157 with respect to nonfinancial assets and nonfinancial liabilities that are not remeasured at fair value on a recurring basis until fiscal years beginning after November 15, 2008. Accordingly, the Company has not yet applied the disclosure requirements of SFAS 157 to certain such nonfinancial assets for which fair value measurements are determined on a non-recurring basis only when there is an indication of potential impairment.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firstLine="219"/>
        <w:spacing w:after="0" w:line="270" w:lineRule="auto"/>
        <w:rPr>
          <w:sz w:val="20"/>
          <w:szCs w:val="20"/>
          <w:color w:val="auto"/>
        </w:rPr>
      </w:pPr>
      <w:r>
        <w:rPr>
          <w:rFonts w:ascii="Arial" w:cs="Arial" w:eastAsia="Arial" w:hAnsi="Arial"/>
          <w:sz w:val="17"/>
          <w:szCs w:val="17"/>
          <w:color w:val="auto"/>
        </w:rPr>
        <w:t>The fair value hierarchy established by SFAS 157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In accordance with SFAS No. 157, our financial assets and liabilities that are recorded on the Consolidated Balance Sheets are categorized based on the inputs to the valuation techniques as follows:</w:t>
      </w:r>
    </w:p>
    <w:p>
      <w:pPr>
        <w:spacing w:after="0" w:line="74" w:lineRule="exact"/>
        <w:rPr>
          <w:sz w:val="20"/>
          <w:szCs w:val="20"/>
          <w:color w:val="auto"/>
        </w:rPr>
      </w:pPr>
    </w:p>
    <w:p>
      <w:pPr>
        <w:ind w:left="240" w:right="460"/>
        <w:spacing w:after="0" w:line="267" w:lineRule="auto"/>
        <w:rPr>
          <w:sz w:val="20"/>
          <w:szCs w:val="20"/>
          <w:color w:val="auto"/>
        </w:rPr>
      </w:pPr>
      <w:r>
        <w:rPr>
          <w:rFonts w:ascii="Arial" w:cs="Arial" w:eastAsia="Arial" w:hAnsi="Arial"/>
          <w:sz w:val="18"/>
          <w:szCs w:val="18"/>
          <w:color w:val="auto"/>
        </w:rPr>
        <w:t>Level 1. Financial assets and liabilities whose values are based on unadjusted quoted prices for identical assets or liabilities in an active market that the Company has the ability to access.</w:t>
      </w:r>
    </w:p>
    <w:p>
      <w:pPr>
        <w:spacing w:after="0" w:line="73" w:lineRule="exact"/>
        <w:rPr>
          <w:sz w:val="20"/>
          <w:szCs w:val="20"/>
          <w:color w:val="auto"/>
        </w:rPr>
      </w:pPr>
    </w:p>
    <w:p>
      <w:pPr>
        <w:ind w:left="240" w:right="400"/>
        <w:spacing w:after="0" w:line="267" w:lineRule="auto"/>
        <w:rPr>
          <w:sz w:val="20"/>
          <w:szCs w:val="20"/>
          <w:color w:val="auto"/>
        </w:rPr>
      </w:pPr>
      <w:r>
        <w:rPr>
          <w:rFonts w:ascii="Arial" w:cs="Arial" w:eastAsia="Arial" w:hAnsi="Arial"/>
          <w:sz w:val="18"/>
          <w:szCs w:val="18"/>
          <w:color w:val="auto"/>
        </w:rPr>
        <w:t>Level 2. Financial assets and liabilities whose values are based on quoted prices in markets that are not active or model inputs that are observable either directly or indirectly for substantially the full term of the asset or liability.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3. Financial assets and liabilities whose values are based on model inputs that are unobservable.</w:t>
      </w:r>
    </w:p>
    <w:p>
      <w:pPr>
        <w:spacing w:after="0" w:line="113" w:lineRule="exact"/>
        <w:rPr>
          <w:sz w:val="20"/>
          <w:szCs w:val="20"/>
          <w:color w:val="auto"/>
        </w:rPr>
      </w:pPr>
    </w:p>
    <w:p>
      <w:pPr>
        <w:ind w:right="180" w:firstLine="219"/>
        <w:spacing w:after="0" w:line="267" w:lineRule="auto"/>
        <w:rPr>
          <w:sz w:val="20"/>
          <w:szCs w:val="20"/>
          <w:color w:val="auto"/>
        </w:rPr>
      </w:pPr>
      <w:r>
        <w:rPr>
          <w:rFonts w:ascii="Arial" w:cs="Arial" w:eastAsia="Arial" w:hAnsi="Arial"/>
          <w:sz w:val="18"/>
          <w:szCs w:val="18"/>
          <w:color w:val="auto"/>
        </w:rPr>
        <w:t>The following table presents our fair value hierarchy for those assets and liabilities measured at fair value on a recurring basis as of December 31, 2008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Level 2</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 available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$ 2,821,774</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32,055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$ 2,853,829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Equity securities available for sale</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71,516</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71,516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71,516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$ 2,821,774</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32,055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$ 2,925,345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right="80" w:firstLine="219"/>
        <w:spacing w:after="0" w:line="266" w:lineRule="auto"/>
        <w:rPr>
          <w:sz w:val="20"/>
          <w:szCs w:val="20"/>
          <w:color w:val="auto"/>
        </w:rPr>
      </w:pPr>
      <w:r>
        <w:rPr>
          <w:rFonts w:ascii="Arial" w:cs="Arial" w:eastAsia="Arial" w:hAnsi="Arial"/>
          <w:sz w:val="17"/>
          <w:szCs w:val="17"/>
          <w:color w:val="auto"/>
        </w:rPr>
        <w:t>The Company’s level 2 fair value measures for fixed-maturities available for sale are provided by third-party pricing services. The Company utilizes one firm for its taxable bond portfolio and another for its municipal bond portfolio. These pricing services are leading global providers of financial market data, analytics and related services to financial institutions. The Company only relies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The Company’s fixed maturities classified as level 3 consist of auction rate securities with a par value of $88.8 million and fair value at December 31, 2008, of $32.1 million, which were included in the assets of the LFG Underwriters that the Company acquired on December 22, 2008. There is no active market for these auction rate securities and they are valued using models with some non-observable inputs. Fair values for these securities are provided by a third-party pricing service and represent one percent of our total portfolio.</w:t>
      </w:r>
    </w:p>
    <w:p>
      <w:pPr>
        <w:spacing w:after="0" w:line="178" w:lineRule="exact"/>
        <w:rPr>
          <w:sz w:val="20"/>
          <w:szCs w:val="20"/>
          <w:color w:val="auto"/>
        </w:rPr>
      </w:pPr>
    </w:p>
    <w:p>
      <w:pPr>
        <w:ind w:left="220" w:hanging="213"/>
        <w:spacing w:after="0"/>
        <w:tabs>
          <w:tab w:leader="none" w:pos="2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19"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and fair values of the Company’s fixed maturity securities at December 31, 2008 and 2007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December 31, 2008</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right"/>
              <w:ind w:right="780"/>
              <w:spacing w:after="0" w:line="118"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840" w:type="dxa"/>
            <w:vAlign w:val="bottom"/>
            <w:gridSpan w:val="2"/>
          </w:tcPr>
          <w:p>
            <w:pPr>
              <w:jc w:val="center"/>
              <w:ind w:right="200"/>
              <w:spacing w:after="0" w:line="118" w:lineRule="exact"/>
              <w:rPr>
                <w:sz w:val="20"/>
                <w:szCs w:val="20"/>
                <w:color w:val="auto"/>
              </w:rPr>
            </w:pPr>
            <w:r>
              <w:rPr>
                <w:rFonts w:ascii="Arial" w:cs="Arial" w:eastAsia="Arial" w:hAnsi="Arial"/>
                <w:sz w:val="13"/>
                <w:szCs w:val="13"/>
                <w:b w:val="1"/>
                <w:bCs w:val="1"/>
                <w:color w:val="auto"/>
              </w:rPr>
              <w:t>Amortized</w:t>
            </w:r>
          </w:p>
        </w:tc>
        <w:tc>
          <w:tcPr>
            <w:tcW w:w="520" w:type="dxa"/>
            <w:vAlign w:val="bottom"/>
          </w:tcPr>
          <w:p>
            <w:pPr>
              <w:spacing w:after="0"/>
              <w:rPr>
                <w:sz w:val="10"/>
                <w:szCs w:val="10"/>
                <w:color w:val="auto"/>
              </w:rPr>
            </w:pPr>
          </w:p>
        </w:tc>
        <w:tc>
          <w:tcPr>
            <w:tcW w:w="132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Unrealized</w:t>
            </w:r>
          </w:p>
        </w:tc>
        <w:tc>
          <w:tcPr>
            <w:tcW w:w="104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Unrealized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196"/>
              <w:spacing w:after="0" w:line="118"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5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72"/>
              </w:rPr>
              <w:t>(Dollars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7"/>
              </w:rPr>
              <w:t>Gains</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320" w:type="dxa"/>
            <w:vAlign w:val="bottom"/>
            <w:gridSpan w:val="3"/>
          </w:tcPr>
          <w:p>
            <w:pPr>
              <w:ind w:left="120"/>
              <w:spacing w:after="0" w:line="140"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investments (available for sale):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U.S. government and agencies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558,651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526,425</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32,469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(243)</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558,651</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States and political subdivisions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1,049,125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1,029,505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24,550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(4,930)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1,049,125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875,005</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910,533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8,413</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(43,941)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875,005</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bonds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43,510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41,582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1,943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43,510</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Mortgage-backed/Asset-backed securities</w:t>
            </w: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293,188</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292,452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(491)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293,188</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34,350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33,712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34,350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9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2,853,829</w:t>
            </w: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2,834,209</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69,279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(49,659)</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2,853,829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December 31, 2007</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400"/>
              <w:spacing w:after="0" w:line="118" w:lineRule="exact"/>
              <w:rPr>
                <w:sz w:val="20"/>
                <w:szCs w:val="20"/>
                <w:color w:val="auto"/>
              </w:rPr>
            </w:pPr>
            <w:r>
              <w:rPr>
                <w:rFonts w:ascii="Arial" w:cs="Arial" w:eastAsia="Arial" w:hAnsi="Arial"/>
                <w:sz w:val="13"/>
                <w:szCs w:val="13"/>
                <w:b w:val="1"/>
                <w:bCs w:val="1"/>
                <w:color w:val="auto"/>
              </w:rPr>
              <w:t>Carrying</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rPr>
              <w:t>Amortized</w:t>
            </w:r>
          </w:p>
        </w:tc>
        <w:tc>
          <w:tcPr>
            <w:tcW w:w="520" w:type="dxa"/>
            <w:vAlign w:val="bottom"/>
          </w:tcPr>
          <w:p>
            <w:pPr>
              <w:spacing w:after="0"/>
              <w:rPr>
                <w:sz w:val="10"/>
                <w:szCs w:val="10"/>
                <w:color w:val="auto"/>
              </w:rPr>
            </w:pPr>
          </w:p>
        </w:tc>
        <w:tc>
          <w:tcPr>
            <w:tcW w:w="132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Unrealized</w:t>
            </w:r>
          </w:p>
        </w:tc>
        <w:tc>
          <w:tcPr>
            <w:tcW w:w="104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Unrealized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196"/>
              <w:spacing w:after="0" w:line="118"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5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72"/>
              </w:rPr>
              <w:t>(Dollars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7"/>
              </w:rPr>
              <w:t>Gains</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2"/>
              </w:rPr>
              <w:t>Losses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320" w:type="dxa"/>
            <w:vAlign w:val="bottom"/>
            <w:gridSpan w:val="3"/>
          </w:tcPr>
          <w:p>
            <w:pPr>
              <w:ind w:left="120"/>
              <w:spacing w:after="0" w:line="140"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investments (available for sale):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00" w:type="dxa"/>
            <w:vAlign w:val="bottom"/>
          </w:tcPr>
          <w:p>
            <w:pPr>
              <w:spacing w:after="0"/>
              <w:rPr>
                <w:sz w:val="20"/>
                <w:szCs w:val="20"/>
                <w:color w:val="auto"/>
              </w:rPr>
            </w:pPr>
            <w:r>
              <w:rPr>
                <w:rFonts w:ascii="Arial" w:cs="Arial" w:eastAsia="Arial" w:hAnsi="Arial"/>
                <w:sz w:val="18"/>
                <w:szCs w:val="18"/>
                <w:color w:val="auto"/>
              </w:rPr>
              <w:t>U.S. government and agencies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863,181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841,483</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21,990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(292)</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863,181</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States and political subdivisions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1,261,517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1,252,904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9,498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1,261,517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657,445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667,331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4,615</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(14,501)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657,445</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bonds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42,414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42,414</w:t>
            </w:r>
          </w:p>
        </w:tc>
        <w:tc>
          <w:tcPr>
            <w:tcW w:w="0" w:type="dxa"/>
            <w:vAlign w:val="bottom"/>
          </w:tcPr>
          <w:p>
            <w:pPr>
              <w:spacing w:after="0"/>
              <w:rPr>
                <w:sz w:val="1"/>
                <w:szCs w:val="1"/>
                <w:color w:val="auto"/>
              </w:rPr>
            </w:pPr>
          </w:p>
        </w:tc>
      </w:tr>
      <w:tr>
        <w:trPr>
          <w:trHeight w:val="213"/>
        </w:trPr>
        <w:tc>
          <w:tcPr>
            <w:tcW w:w="4900" w:type="dxa"/>
            <w:vAlign w:val="bottom"/>
          </w:tcPr>
          <w:p>
            <w:pPr>
              <w:spacing w:after="0"/>
              <w:rPr>
                <w:sz w:val="20"/>
                <w:szCs w:val="20"/>
                <w:color w:val="auto"/>
              </w:rPr>
            </w:pPr>
            <w:r>
              <w:rPr>
                <w:rFonts w:ascii="Arial" w:cs="Arial" w:eastAsia="Arial" w:hAnsi="Arial"/>
                <w:sz w:val="18"/>
                <w:szCs w:val="18"/>
                <w:color w:val="auto"/>
              </w:rPr>
              <w:t>Mortgage-backed</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2,824,572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2,803,632</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36,653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(15,713)</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2,824,572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right="160" w:firstLine="212"/>
        <w:spacing w:after="0" w:line="254" w:lineRule="auto"/>
        <w:rPr>
          <w:sz w:val="20"/>
          <w:szCs w:val="20"/>
          <w:color w:val="auto"/>
        </w:rPr>
      </w:pPr>
      <w:r>
        <w:rPr>
          <w:rFonts w:ascii="Arial" w:cs="Arial" w:eastAsia="Arial" w:hAnsi="Arial"/>
          <w:sz w:val="18"/>
          <w:szCs w:val="18"/>
          <w:color w:val="auto"/>
        </w:rPr>
        <w:t>At December 31, 2008, the majority of the Company’s mortgage-backed and asset-backed securities were acquired as a result of the acquisition of the LFG Underwriters. They are made up of $150.5 million of agency mortgage-backed securities, $38.8 million of agency collateralized mortgage obligations, $75.2 million of commercial mortgage-backed securities, and $28.7 million of other asset-backed securities. 97% of the Company’s mortgage-backed securities are rated AAA.</w:t>
      </w:r>
    </w:p>
    <w:p>
      <w:pPr>
        <w:spacing w:after="0" w:line="84" w:lineRule="exact"/>
        <w:rPr>
          <w:sz w:val="20"/>
          <w:szCs w:val="20"/>
          <w:color w:val="auto"/>
        </w:rPr>
      </w:pPr>
    </w:p>
    <w:p>
      <w:pPr>
        <w:ind w:right="240" w:firstLine="219"/>
        <w:spacing w:after="0" w:line="267" w:lineRule="auto"/>
        <w:rPr>
          <w:sz w:val="20"/>
          <w:szCs w:val="20"/>
          <w:color w:val="auto"/>
        </w:rPr>
      </w:pPr>
      <w:r>
        <w:rPr>
          <w:rFonts w:ascii="Arial" w:cs="Arial" w:eastAsia="Arial" w:hAnsi="Arial"/>
          <w:sz w:val="18"/>
          <w:szCs w:val="18"/>
          <w:color w:val="auto"/>
        </w:rPr>
        <w:t>The change in unrealized gains (losses) on fixed maturities for the years ended December 31, 2008, 2007, and 2006 was $(1.3) million, $46.1 million, and $16.5 million, respectively.</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certain information regarding contractual maturities of the Company’s fixed maturity securities at December 31,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jc w:val="right"/>
              <w:ind w:right="1260"/>
              <w:spacing w:after="0"/>
              <w:rPr>
                <w:sz w:val="20"/>
                <w:szCs w:val="20"/>
                <w:color w:val="auto"/>
              </w:rPr>
            </w:pPr>
            <w:r>
              <w:rPr>
                <w:rFonts w:ascii="Arial" w:cs="Arial" w:eastAsia="Arial" w:hAnsi="Arial"/>
                <w:sz w:val="14"/>
                <w:szCs w:val="14"/>
                <w:b w:val="1"/>
                <w:bCs w:val="1"/>
                <w:color w:val="auto"/>
              </w:rPr>
              <w:t>December 31, 2008</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5720" w:type="dxa"/>
            <w:vAlign w:val="bottom"/>
            <w:vMerge w:val="restart"/>
          </w:tcPr>
          <w:p>
            <w:pPr>
              <w:spacing w:after="0"/>
              <w:rPr>
                <w:sz w:val="20"/>
                <w:szCs w:val="20"/>
                <w:color w:val="auto"/>
              </w:rPr>
            </w:pPr>
            <w:r>
              <w:rPr>
                <w:rFonts w:ascii="Arial" w:cs="Arial" w:eastAsia="Arial" w:hAnsi="Arial"/>
                <w:sz w:val="14"/>
                <w:szCs w:val="14"/>
                <w:b w:val="1"/>
                <w:bCs w:val="1"/>
                <w:color w:val="auto"/>
              </w:rPr>
              <w:t>Maturity</w:t>
            </w:r>
          </w:p>
        </w:tc>
        <w:tc>
          <w:tcPr>
            <w:tcW w:w="5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tcPr>
          <w:p>
            <w:pPr>
              <w:jc w:val="center"/>
              <w:ind w:right="740"/>
              <w:spacing w:after="0" w:line="118" w:lineRule="exact"/>
              <w:rPr>
                <w:sz w:val="20"/>
                <w:szCs w:val="20"/>
                <w:color w:val="auto"/>
              </w:rPr>
            </w:pPr>
            <w:r>
              <w:rPr>
                <w:rFonts w:ascii="Arial" w:cs="Arial" w:eastAsia="Arial" w:hAnsi="Arial"/>
                <w:sz w:val="13"/>
                <w:szCs w:val="13"/>
                <w:b w:val="1"/>
                <w:bCs w:val="1"/>
                <w:color w:val="auto"/>
              </w:rPr>
              <w:t>Amortized</w:t>
            </w:r>
          </w:p>
        </w:tc>
        <w:tc>
          <w:tcPr>
            <w:tcW w:w="1380" w:type="dxa"/>
            <w:vAlign w:val="bottom"/>
            <w:gridSpan w:val="2"/>
          </w:tcPr>
          <w:p>
            <w:pPr>
              <w:ind w:left="180"/>
              <w:spacing w:after="0" w:line="118"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0"/>
                <w:szCs w:val="10"/>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2"/>
              </w:rPr>
              <w:t>Fair Value</w:t>
            </w:r>
          </w:p>
        </w:tc>
        <w:tc>
          <w:tcPr>
            <w:tcW w:w="660" w:type="dxa"/>
            <w:vAlign w:val="bottom"/>
            <w:vMerge w:val="restart"/>
          </w:tcPr>
          <w:p>
            <w:pPr>
              <w:spacing w:after="0"/>
              <w:rPr>
                <w:sz w:val="10"/>
                <w:szCs w:val="10"/>
                <w:color w:val="auto"/>
              </w:rPr>
            </w:pPr>
          </w:p>
        </w:tc>
        <w:tc>
          <w:tcPr>
            <w:tcW w:w="660" w:type="dxa"/>
            <w:vAlign w:val="bottom"/>
          </w:tcPr>
          <w:p>
            <w:pPr>
              <w:ind w:left="180"/>
              <w:spacing w:after="0" w:line="118"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5720" w:type="dxa"/>
            <w:vAlign w:val="bottom"/>
            <w:tcBorders>
              <w:bottom w:val="single" w:sz="8" w:color="auto"/>
            </w:tcBorders>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tcPr>
          <w:p>
            <w:pPr>
              <w:spacing w:after="0"/>
              <w:rPr>
                <w:sz w:val="14"/>
                <w:szCs w:val="1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60" w:type="dxa"/>
            <w:vAlign w:val="bottom"/>
            <w:gridSpan w:val="5"/>
          </w:tcPr>
          <w:p>
            <w:pPr>
              <w:jc w:val="right"/>
              <w:ind w:right="1160"/>
              <w:spacing w:after="0" w:line="140" w:lineRule="exact"/>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313,583</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315,826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3"/>
        </w:trPr>
        <w:tc>
          <w:tcPr>
            <w:tcW w:w="6260" w:type="dxa"/>
            <w:vAlign w:val="bottom"/>
            <w:gridSpan w:val="2"/>
          </w:tcPr>
          <w:p>
            <w:pPr>
              <w:spacing w:after="0"/>
              <w:rPr>
                <w:sz w:val="20"/>
                <w:szCs w:val="20"/>
                <w:color w:val="auto"/>
              </w:rPr>
            </w:pPr>
            <w:r>
              <w:rPr>
                <w:rFonts w:ascii="Arial" w:cs="Arial" w:eastAsia="Arial" w:hAnsi="Arial"/>
                <w:sz w:val="18"/>
                <w:szCs w:val="18"/>
                <w:color w:val="auto"/>
              </w:rPr>
              <w:t>After one year through five years</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1,123,303</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1,129,429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3"/>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845,396</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848,144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3"/>
        </w:trPr>
        <w:tc>
          <w:tcPr>
            <w:tcW w:w="6260" w:type="dxa"/>
            <w:vAlign w:val="bottom"/>
            <w:gridSpan w:val="2"/>
          </w:tcPr>
          <w:p>
            <w:pPr>
              <w:spacing w:after="0"/>
              <w:rPr>
                <w:sz w:val="20"/>
                <w:szCs w:val="20"/>
                <w:color w:val="auto"/>
              </w:rPr>
            </w:pPr>
            <w:r>
              <w:rPr>
                <w:rFonts w:ascii="Arial" w:cs="Arial" w:eastAsia="Arial" w:hAnsi="Arial"/>
                <w:sz w:val="18"/>
                <w:szCs w:val="18"/>
                <w:color w:val="auto"/>
              </w:rPr>
              <w:t>After ten years</w:t>
            </w: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288,220</w:t>
            </w: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295,974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3"/>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263,707</w:t>
            </w: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264,456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2,834,209</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2,853,829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Subject to call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440,073</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448,612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right="60" w:firstLine="222"/>
        <w:spacing w:after="0" w:line="267" w:lineRule="auto"/>
        <w:rPr>
          <w:sz w:val="20"/>
          <w:szCs w:val="20"/>
          <w:color w:val="auto"/>
        </w:rPr>
      </w:pPr>
      <w:r>
        <w:rPr>
          <w:rFonts w:ascii="Arial" w:cs="Arial" w:eastAsia="Arial" w:hAnsi="Arial"/>
          <w:sz w:val="18"/>
          <w:szCs w:val="18"/>
          <w:color w:val="auto"/>
        </w:rPr>
        <w:t>Fixed maturity securities valued at approximately $194.3 million and $132.6 million were on deposit with various governmental authorities at December 31, 2008 and 2007, respectively, as required by law.</w:t>
      </w:r>
    </w:p>
    <w:p>
      <w:pPr>
        <w:spacing w:after="0" w:line="73" w:lineRule="exact"/>
        <w:rPr>
          <w:sz w:val="20"/>
          <w:szCs w:val="20"/>
          <w:color w:val="auto"/>
        </w:rPr>
      </w:pPr>
    </w:p>
    <w:p>
      <w:pPr>
        <w:ind w:right="420" w:firstLine="222"/>
        <w:spacing w:after="0" w:line="267"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w:t>
      </w:r>
    </w:p>
    <w:p>
      <w:pPr>
        <w:spacing w:after="0" w:line="73" w:lineRule="exact"/>
        <w:rPr>
          <w:sz w:val="20"/>
          <w:szCs w:val="20"/>
          <w:color w:val="auto"/>
        </w:rPr>
      </w:pPr>
    </w:p>
    <w:p>
      <w:pPr>
        <w:ind w:right="220" w:firstLine="222"/>
        <w:spacing w:after="0" w:line="257" w:lineRule="auto"/>
        <w:rPr>
          <w:sz w:val="20"/>
          <w:szCs w:val="20"/>
          <w:color w:val="auto"/>
        </w:rPr>
      </w:pPr>
      <w:r>
        <w:rPr>
          <w:rFonts w:ascii="Arial" w:cs="Arial" w:eastAsia="Arial" w:hAnsi="Arial"/>
          <w:sz w:val="18"/>
          <w:szCs w:val="18"/>
          <w:color w:val="auto"/>
        </w:rPr>
        <w:t>Equity securities at December 31, 2008 and 2007 consisted of investments in various industry groups at a cost basis of $79.8 million and $96.1 million, respectively, and fair value of $71.5 million and $93.3 million, respectively. There were no significant investments in banks, trust and insurance companies at December 31, 2008 or 2007.</w:t>
      </w:r>
    </w:p>
    <w:p>
      <w:pPr>
        <w:spacing w:after="0" w:line="82" w:lineRule="exact"/>
        <w:rPr>
          <w:sz w:val="20"/>
          <w:szCs w:val="20"/>
          <w:color w:val="auto"/>
        </w:rPr>
      </w:pPr>
    </w:p>
    <w:p>
      <w:pPr>
        <w:ind w:right="240" w:firstLine="219"/>
        <w:spacing w:after="0" w:line="257" w:lineRule="auto"/>
        <w:rPr>
          <w:sz w:val="20"/>
          <w:szCs w:val="20"/>
          <w:color w:val="auto"/>
        </w:rPr>
      </w:pPr>
      <w:r>
        <w:rPr>
          <w:rFonts w:ascii="Arial" w:cs="Arial" w:eastAsia="Arial" w:hAnsi="Arial"/>
          <w:sz w:val="18"/>
          <w:szCs w:val="18"/>
          <w:color w:val="auto"/>
        </w:rPr>
        <w:t>The carrying value of the Company’s investment in equity securities is fair value. As of December 31, 2008, gross unrealized gains and gross unrealized losses on equity securities were $2.2 million and $10.5 million, respectively. As of December 31, 2007, gross unrealized gains and gross unrealized losses on equity securities were $6.0 million and $8.8 million, respectively.</w:t>
      </w:r>
    </w:p>
    <w:p>
      <w:pPr>
        <w:spacing w:after="0" w:line="82" w:lineRule="exact"/>
        <w:rPr>
          <w:sz w:val="20"/>
          <w:szCs w:val="20"/>
          <w:color w:val="auto"/>
        </w:rPr>
      </w:pPr>
    </w:p>
    <w:p>
      <w:pPr>
        <w:ind w:right="320" w:firstLine="219"/>
        <w:spacing w:after="0" w:line="267" w:lineRule="auto"/>
        <w:rPr>
          <w:sz w:val="20"/>
          <w:szCs w:val="20"/>
          <w:color w:val="auto"/>
        </w:rPr>
      </w:pPr>
      <w:r>
        <w:rPr>
          <w:rFonts w:ascii="Arial" w:cs="Arial" w:eastAsia="Arial" w:hAnsi="Arial"/>
          <w:sz w:val="18"/>
          <w:szCs w:val="18"/>
          <w:color w:val="auto"/>
        </w:rPr>
        <w:t>The change in unrealized gains (losses) on equity securities for the years ended December 31, 2008, 2007 and 2006 was $(5.5) million, $6.5 million, and $3.0 million, respectively.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and investment income consists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7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0"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4"/>
              <w:spacing w:after="0" w:line="140" w:lineRule="exact"/>
              <w:rPr>
                <w:sz w:val="20"/>
                <w:szCs w:val="20"/>
                <w:color w:val="auto"/>
              </w:rPr>
            </w:pPr>
            <w:r>
              <w:rPr>
                <w:rFonts w:ascii="Arial" w:cs="Arial" w:eastAsia="Arial" w:hAnsi="Arial"/>
                <w:sz w:val="14"/>
                <w:szCs w:val="14"/>
                <w:b w:val="1"/>
                <w:bCs w:val="1"/>
                <w:color w:val="auto"/>
                <w:w w:val="96"/>
              </w:rPr>
              <w:t>2007</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0"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140"/>
        </w:trPr>
        <w:tc>
          <w:tcPr>
            <w:tcW w:w="7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900" w:type="dxa"/>
            <w:vAlign w:val="bottom"/>
            <w:gridSpan w:val="4"/>
          </w:tcPr>
          <w:p>
            <w:pPr>
              <w:jc w:val="center"/>
              <w:ind w:left="40"/>
              <w:spacing w:after="0" w:line="140" w:lineRule="exact"/>
              <w:rPr>
                <w:sz w:val="20"/>
                <w:szCs w:val="20"/>
                <w:color w:val="auto"/>
              </w:rPr>
            </w:pPr>
            <w:r>
              <w:rPr>
                <w:rFonts w:ascii="Arial" w:cs="Arial" w:eastAsia="Arial" w:hAnsi="Arial"/>
                <w:sz w:val="14"/>
                <w:szCs w:val="14"/>
                <w:b w:val="1"/>
                <w:bCs w:val="1"/>
                <w:color w:val="auto"/>
                <w:w w:val="90"/>
              </w:rPr>
              <w:t>(Dollars 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36,223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36,371</w:t>
            </w:r>
          </w:p>
        </w:tc>
      </w:tr>
      <w:tr>
        <w:trPr>
          <w:trHeight w:val="213"/>
        </w:trPr>
        <w:tc>
          <w:tcPr>
            <w:tcW w:w="7880" w:type="dxa"/>
            <w:vAlign w:val="bottom"/>
          </w:tcPr>
          <w:p>
            <w:pPr>
              <w:spacing w:after="0"/>
              <w:rPr>
                <w:sz w:val="20"/>
                <w:szCs w:val="20"/>
                <w:color w:val="auto"/>
              </w:rPr>
            </w:pPr>
            <w:r>
              <w:rPr>
                <w:rFonts w:ascii="Arial" w:cs="Arial" w:eastAsia="Arial" w:hAnsi="Arial"/>
                <w:sz w:val="18"/>
                <w:szCs w:val="18"/>
                <w:color w:val="auto"/>
              </w:rPr>
              <w:t>Fixed maturity securities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102,331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119,879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112,523</w:t>
            </w:r>
          </w:p>
        </w:tc>
      </w:tr>
      <w:tr>
        <w:trPr>
          <w:trHeight w:val="213"/>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8,725</w:t>
            </w:r>
          </w:p>
        </w:tc>
      </w:tr>
      <w:tr>
        <w:trPr>
          <w:trHeight w:val="213"/>
        </w:trPr>
        <w:tc>
          <w:tcPr>
            <w:tcW w:w="78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11,485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18,200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29,141</w:t>
            </w:r>
          </w:p>
        </w:tc>
      </w:tr>
      <w:tr>
        <w:trPr>
          <w:trHeight w:val="213"/>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6,526</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19,847</w:t>
            </w:r>
          </w:p>
        </w:tc>
        <w:tc>
          <w:tcPr>
            <w:tcW w:w="100" w:type="dxa"/>
            <w:vAlign w:val="bottom"/>
            <w:shd w:val="clear" w:color="auto" w:fill="CCEEFF"/>
          </w:tcPr>
          <w:p>
            <w:pPr>
              <w:spacing w:after="0"/>
              <w:rPr>
                <w:sz w:val="18"/>
                <w:szCs w:val="18"/>
                <w:color w:val="auto"/>
              </w:rPr>
            </w:pPr>
          </w:p>
        </w:tc>
      </w:tr>
      <w:tr>
        <w:trPr>
          <w:trHeight w:val="219"/>
        </w:trPr>
        <w:tc>
          <w:tcPr>
            <w:tcW w:w="78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134,370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185,417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206,607</w:t>
            </w:r>
          </w:p>
        </w:tc>
      </w:tr>
      <w:tr>
        <w:trPr>
          <w:trHeight w:val="20"/>
        </w:trPr>
        <w:tc>
          <w:tcPr>
            <w:tcW w:w="7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ind w:right="60" w:firstLine="219"/>
        <w:spacing w:after="0" w:line="291" w:lineRule="auto"/>
        <w:rPr>
          <w:sz w:val="20"/>
          <w:szCs w:val="20"/>
          <w:color w:val="auto"/>
        </w:rPr>
      </w:pPr>
      <w:r>
        <w:rPr>
          <w:rFonts w:ascii="Arial" w:cs="Arial" w:eastAsia="Arial" w:hAnsi="Arial"/>
          <w:sz w:val="16"/>
          <w:szCs w:val="16"/>
          <w:color w:val="auto"/>
        </w:rPr>
        <w:t>The Company lends fixed maturity and equity securities to financial institutions in short-term security lending transactions. The Company’s security lending policy requires that the cash received as collateral be 102% or more of the fair value of the loaned securities. At December 31, 2008 and 2007, the Company had security loans outstanding with fair values of $103.6 million and $264.2 million, respectively. Securities loaned under such transactions may be sold or repledged by the transferee. The Company was liable for cash collateral under its control of $107.6 million and $271.8 million at December 31, 2008 and 2007, respectively, which has been included in cash and cash equivalents and in accounts payable and accrued liabilities.</w:t>
      </w:r>
    </w:p>
    <w:p>
      <w:pPr>
        <w:spacing w:after="0" w:line="58" w:lineRule="exact"/>
        <w:rPr>
          <w:sz w:val="20"/>
          <w:szCs w:val="20"/>
          <w:color w:val="auto"/>
        </w:rPr>
      </w:pPr>
    </w:p>
    <w:p>
      <w:pPr>
        <w:ind w:right="220" w:firstLine="222"/>
        <w:spacing w:after="0" w:line="267" w:lineRule="auto"/>
        <w:rPr>
          <w:sz w:val="20"/>
          <w:szCs w:val="20"/>
          <w:color w:val="auto"/>
        </w:rPr>
      </w:pPr>
      <w:r>
        <w:rPr>
          <w:rFonts w:ascii="Arial" w:cs="Arial" w:eastAsia="Arial" w:hAnsi="Arial"/>
          <w:sz w:val="18"/>
          <w:szCs w:val="18"/>
          <w:color w:val="auto"/>
        </w:rPr>
        <w:t>Net realized (losses) gains related to investments were $(49.4) million, $18.5 million, and $18.6 million for the years ended December 31, 2008, 2007 and 2006, respectively.</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During the years ended December 31, 2008, 2007 and 2006, gross realized gains on sales of fixed maturity securities considered available for sale were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$13.1 million, $11.0 million, and $1.2 million, respectively; gross realized losses were $9.8 million, $2.0 million, and $1.2 million, respectively. Gross proceeds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from the sale and maturity of fixed maturity securities considered available for sale amounted to $1,231.9 million, $4,480.1 million, and $2,476.9 million during</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years ended December 31, 2008, 2007 and 2006, respectively.</w:t>
      </w:r>
    </w:p>
    <w:p>
      <w:pPr>
        <w:spacing w:after="0" w:line="102" w:lineRule="exact"/>
        <w:rPr>
          <w:sz w:val="20"/>
          <w:szCs w:val="20"/>
          <w:color w:val="auto"/>
        </w:rPr>
      </w:pPr>
    </w:p>
    <w:p>
      <w:pPr>
        <w:ind w:right="20" w:firstLine="222"/>
        <w:spacing w:after="0" w:line="304" w:lineRule="auto"/>
        <w:rPr>
          <w:sz w:val="20"/>
          <w:szCs w:val="20"/>
          <w:color w:val="auto"/>
        </w:rPr>
      </w:pPr>
      <w:r>
        <w:rPr>
          <w:rFonts w:ascii="Arial" w:cs="Arial" w:eastAsia="Arial" w:hAnsi="Arial"/>
          <w:sz w:val="16"/>
          <w:szCs w:val="16"/>
          <w:color w:val="auto"/>
        </w:rPr>
        <w:t>During the years ended December 31, 2008, 2007 and 2006, gross realized gains on sales of equity securities considered available for sale were $5.9 million, $34.2 million, and $49.3 million, respectively; gross realized losses were $4.9 million, $28.8 million, and $29.4 million, respectively. Gross proceeds from the sale of equity securities amounted to $79.4 million, $807.3 million, and $648.5 million during the years ended December 31, 2008, 2007 and 2006, respectively.</w:t>
      </w:r>
    </w:p>
    <w:p>
      <w:pPr>
        <w:spacing w:after="0" w:line="48" w:lineRule="exact"/>
        <w:rPr>
          <w:sz w:val="20"/>
          <w:szCs w:val="20"/>
          <w:color w:val="auto"/>
        </w:rPr>
      </w:pPr>
    </w:p>
    <w:p>
      <w:pPr>
        <w:ind w:right="720" w:firstLine="222"/>
        <w:spacing w:after="0" w:line="331" w:lineRule="auto"/>
        <w:rPr>
          <w:sz w:val="20"/>
          <w:szCs w:val="20"/>
          <w:color w:val="auto"/>
        </w:rPr>
      </w:pPr>
      <w:r>
        <w:rPr>
          <w:rFonts w:ascii="Arial" w:cs="Arial" w:eastAsia="Arial" w:hAnsi="Arial"/>
          <w:sz w:val="16"/>
          <w:szCs w:val="16"/>
          <w:color w:val="auto"/>
        </w:rPr>
        <w:t>Net unrealized losses on investment securities and the fair value of the related securities, aggregated by investment category and length of time that individual securities have been in a continuous unrealized loss position at December 31, 2008 and 2007 were as follows (dollars in thousands):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2008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4"/>
                <w:szCs w:val="14"/>
                <w:color w:val="auto"/>
              </w:rPr>
            </w:pPr>
          </w:p>
        </w:tc>
        <w:tc>
          <w:tcPr>
            <w:tcW w:w="26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12 Months or Longer</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w w:val="98"/>
              </w:rPr>
              <w:t>Fair Value</w:t>
            </w:r>
          </w:p>
        </w:tc>
        <w:tc>
          <w:tcPr>
            <w:tcW w:w="70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gridSpan w:val="2"/>
          </w:tcPr>
          <w:p>
            <w:pPr>
              <w:ind w:left="20"/>
              <w:spacing w:after="0" w:line="118" w:lineRule="exact"/>
              <w:rPr>
                <w:sz w:val="20"/>
                <w:szCs w:val="20"/>
                <w:color w:val="auto"/>
              </w:rPr>
            </w:pPr>
            <w:r>
              <w:rPr>
                <w:rFonts w:ascii="Arial" w:cs="Arial" w:eastAsia="Arial" w:hAnsi="Arial"/>
                <w:sz w:val="13"/>
                <w:szCs w:val="13"/>
                <w:b w:val="1"/>
                <w:bCs w:val="1"/>
                <w:color w:val="auto"/>
                <w:w w:val="97"/>
              </w:rPr>
              <w:t>Unrealized</w:t>
            </w:r>
          </w:p>
        </w:tc>
        <w:tc>
          <w:tcPr>
            <w:tcW w:w="700" w:type="dxa"/>
            <w:vAlign w:val="bottom"/>
          </w:tcPr>
          <w:p>
            <w:pPr>
              <w:spacing w:after="0"/>
              <w:rPr>
                <w:sz w:val="10"/>
                <w:szCs w:val="10"/>
                <w:color w:val="auto"/>
              </w:rPr>
            </w:pPr>
          </w:p>
        </w:tc>
        <w:tc>
          <w:tcPr>
            <w:tcW w:w="7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w w:val="95"/>
              </w:rPr>
              <w:t>Fair Value</w:t>
            </w:r>
          </w:p>
        </w:tc>
        <w:tc>
          <w:tcPr>
            <w:tcW w:w="340" w:type="dxa"/>
            <w:vAlign w:val="bottom"/>
            <w:tcBorders>
              <w:top w:val="single" w:sz="8" w:color="auto"/>
            </w:tcBorders>
            <w:vMerge w:val="restart"/>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7"/>
              </w:rPr>
              <w:t>Unrealized</w:t>
            </w:r>
          </w:p>
        </w:tc>
        <w:tc>
          <w:tcPr>
            <w:tcW w:w="660" w:type="dxa"/>
            <w:vAlign w:val="bottom"/>
          </w:tcPr>
          <w:p>
            <w:pPr>
              <w:spacing w:after="0"/>
              <w:rPr>
                <w:sz w:val="10"/>
                <w:szCs w:val="10"/>
                <w:color w:val="auto"/>
              </w:rPr>
            </w:pPr>
          </w:p>
        </w:tc>
        <w:tc>
          <w:tcPr>
            <w:tcW w:w="70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Borders>
              <w:top w:val="single" w:sz="8" w:color="auto"/>
            </w:tcBorders>
            <w:vMerge w:val="restart"/>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20"/>
              <w:spacing w:after="0" w:line="118" w:lineRule="exact"/>
              <w:rPr>
                <w:sz w:val="20"/>
                <w:szCs w:val="20"/>
                <w:color w:val="auto"/>
              </w:rPr>
            </w:pPr>
            <w:r>
              <w:rPr>
                <w:rFonts w:ascii="Arial" w:cs="Arial" w:eastAsia="Arial" w:hAnsi="Arial"/>
                <w:sz w:val="13"/>
                <w:szCs w:val="13"/>
                <w:b w:val="1"/>
                <w:bCs w:val="1"/>
                <w:color w:val="auto"/>
                <w:w w:val="97"/>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2"/>
              </w:rPr>
              <w:t>Losses</w:t>
            </w:r>
          </w:p>
        </w:tc>
        <w:tc>
          <w:tcPr>
            <w:tcW w:w="70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2"/>
              </w:rPr>
              <w:t>Losses</w:t>
            </w:r>
          </w:p>
        </w:tc>
        <w:tc>
          <w:tcPr>
            <w:tcW w:w="66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37,920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37,920</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3"/>
        </w:trPr>
        <w:tc>
          <w:tcPr>
            <w:tcW w:w="3380" w:type="dxa"/>
            <w:vAlign w:val="bottom"/>
          </w:tcPr>
          <w:p>
            <w:pPr>
              <w:spacing w:after="0"/>
              <w:rPr>
                <w:sz w:val="20"/>
                <w:szCs w:val="20"/>
                <w:color w:val="auto"/>
              </w:rPr>
            </w:pPr>
            <w:r>
              <w:rPr>
                <w:rFonts w:ascii="Arial" w:cs="Arial" w:eastAsia="Arial" w:hAnsi="Arial"/>
                <w:sz w:val="18"/>
                <w:szCs w:val="18"/>
                <w:color w:val="auto"/>
              </w:rPr>
              <w:t>States and political subdivisions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w w:val="89"/>
              </w:rPr>
              <w:t>116,364</w:t>
            </w: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10,762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127,126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13"/>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451,615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(26,006)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90,043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(17,935)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541,658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(43,941)</w:t>
            </w:r>
          </w:p>
        </w:tc>
        <w:tc>
          <w:tcPr>
            <w:tcW w:w="0" w:type="dxa"/>
            <w:vAlign w:val="bottom"/>
          </w:tcPr>
          <w:p>
            <w:pPr>
              <w:spacing w:after="0"/>
              <w:rPr>
                <w:sz w:val="1"/>
                <w:szCs w:val="1"/>
                <w:color w:val="auto"/>
              </w:rPr>
            </w:pPr>
          </w:p>
        </w:tc>
      </w:tr>
      <w:tr>
        <w:trPr>
          <w:trHeight w:val="213"/>
        </w:trPr>
        <w:tc>
          <w:tcPr>
            <w:tcW w:w="3380" w:type="dxa"/>
            <w:vAlign w:val="bottom"/>
          </w:tcPr>
          <w:p>
            <w:pPr>
              <w:spacing w:after="0"/>
              <w:rPr>
                <w:sz w:val="20"/>
                <w:szCs w:val="20"/>
                <w:color w:val="auto"/>
              </w:rPr>
            </w:pPr>
            <w:r>
              <w:rPr>
                <w:rFonts w:ascii="Arial" w:cs="Arial" w:eastAsia="Arial" w:hAnsi="Arial"/>
                <w:sz w:val="18"/>
                <w:szCs w:val="18"/>
                <w:color w:val="auto"/>
              </w:rPr>
              <w:t>Foreign securities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3"/>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w w:val="99"/>
              </w:rPr>
              <w:t>Mortgage-backed/ asset-backed securities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42,578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42,578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3"/>
        </w:trPr>
        <w:tc>
          <w:tcPr>
            <w:tcW w:w="3380" w:type="dxa"/>
            <w:vAlign w:val="bottom"/>
          </w:tcPr>
          <w:p>
            <w:pPr>
              <w:spacing w:after="0"/>
              <w:rPr>
                <w:sz w:val="20"/>
                <w:szCs w:val="20"/>
                <w:color w:val="auto"/>
              </w:rPr>
            </w:pPr>
            <w:r>
              <w:rPr>
                <w:rFonts w:ascii="Arial" w:cs="Arial" w:eastAsia="Arial" w:hAnsi="Arial"/>
                <w:sz w:val="18"/>
                <w:szCs w:val="18"/>
                <w:color w:val="auto"/>
              </w:rPr>
              <w:t>Equity securities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22,346</w:t>
            </w:r>
          </w:p>
        </w:tc>
        <w:tc>
          <w:tcPr>
            <w:tcW w:w="1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(10,483)</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22,346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(10,483)</w:t>
            </w:r>
          </w:p>
        </w:tc>
        <w:tc>
          <w:tcPr>
            <w:tcW w:w="0" w:type="dxa"/>
            <w:vAlign w:val="bottom"/>
          </w:tcPr>
          <w:p>
            <w:pPr>
              <w:spacing w:after="0"/>
              <w:rPr>
                <w:sz w:val="1"/>
                <w:szCs w:val="1"/>
                <w:color w:val="auto"/>
              </w:rPr>
            </w:pPr>
          </w:p>
        </w:tc>
      </w:tr>
      <w:tr>
        <w:trPr>
          <w:trHeight w:val="213"/>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2,137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380" w:type="dxa"/>
            <w:vAlign w:val="bottom"/>
            <w:vMerge w:val="restart"/>
          </w:tcPr>
          <w:p>
            <w:pPr>
              <w:ind w:left="200"/>
              <w:spacing w:after="0"/>
              <w:rPr>
                <w:sz w:val="20"/>
                <w:szCs w:val="20"/>
                <w:color w:val="auto"/>
              </w:rPr>
            </w:pPr>
            <w:r>
              <w:rPr>
                <w:rFonts w:ascii="Arial" w:cs="Arial" w:eastAsia="Arial" w:hAnsi="Arial"/>
                <w:sz w:val="18"/>
                <w:szCs w:val="18"/>
                <w:color w:val="auto"/>
              </w:rPr>
              <w:t>Total temporarily impaired securities</w:t>
            </w: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3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w w:val="89"/>
              </w:rPr>
              <w:t>674,982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(41,017)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100,805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(19,125)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775,787</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(60,142)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3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2007</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Less than 12 Months</w:t>
            </w:r>
          </w:p>
        </w:tc>
        <w:tc>
          <w:tcPr>
            <w:tcW w:w="260" w:type="dxa"/>
            <w:vAlign w:val="bottom"/>
          </w:tcPr>
          <w:p>
            <w:pPr>
              <w:spacing w:after="0"/>
              <w:rPr>
                <w:sz w:val="14"/>
                <w:szCs w:val="14"/>
                <w:color w:val="auto"/>
              </w:rPr>
            </w:pPr>
          </w:p>
        </w:tc>
        <w:tc>
          <w:tcPr>
            <w:tcW w:w="288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12 Months or Longer</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318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0" w:lineRule="exact"/>
              <w:rPr>
                <w:sz w:val="20"/>
                <w:szCs w:val="20"/>
                <w:color w:val="auto"/>
              </w:rPr>
            </w:pPr>
            <w:r>
              <w:rPr>
                <w:rFonts w:ascii="Arial" w:cs="Arial" w:eastAsia="Arial" w:hAnsi="Arial"/>
                <w:sz w:val="14"/>
                <w:szCs w:val="14"/>
                <w:b w:val="1"/>
                <w:bCs w:val="1"/>
                <w:color w:val="auto"/>
                <w:w w:val="95"/>
              </w:rPr>
              <w:t>Fair Value</w:t>
            </w: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ind w:left="280"/>
              <w:spacing w:after="0" w:line="140" w:lineRule="exact"/>
              <w:rPr>
                <w:sz w:val="20"/>
                <w:szCs w:val="20"/>
                <w:color w:val="auto"/>
              </w:rPr>
            </w:pPr>
            <w:r>
              <w:rPr>
                <w:rFonts w:ascii="Arial" w:cs="Arial" w:eastAsia="Arial" w:hAnsi="Arial"/>
                <w:sz w:val="14"/>
                <w:szCs w:val="14"/>
                <w:b w:val="1"/>
                <w:bCs w:val="1"/>
                <w:color w:val="auto"/>
                <w:w w:val="86"/>
              </w:rPr>
              <w:t>Unrealized Losses</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Borders>
              <w:top w:val="single" w:sz="8" w:color="auto"/>
            </w:tcBorders>
            <w:gridSpan w:val="2"/>
          </w:tcPr>
          <w:p>
            <w:pPr>
              <w:jc w:val="right"/>
              <w:ind w:right="580"/>
              <w:spacing w:after="0" w:line="140" w:lineRule="exact"/>
              <w:rPr>
                <w:sz w:val="20"/>
                <w:szCs w:val="20"/>
                <w:color w:val="auto"/>
              </w:rPr>
            </w:pPr>
            <w:r>
              <w:rPr>
                <w:rFonts w:ascii="Arial" w:cs="Arial" w:eastAsia="Arial" w:hAnsi="Arial"/>
                <w:sz w:val="14"/>
                <w:szCs w:val="14"/>
                <w:b w:val="1"/>
                <w:bCs w:val="1"/>
                <w:color w:val="auto"/>
                <w:w w:val="95"/>
              </w:rPr>
              <w:t>Fair Value</w:t>
            </w:r>
          </w:p>
        </w:tc>
        <w:tc>
          <w:tcPr>
            <w:tcW w:w="1080" w:type="dxa"/>
            <w:vAlign w:val="bottom"/>
            <w:tcBorders>
              <w:top w:val="single" w:sz="8" w:color="auto"/>
            </w:tcBorders>
            <w:gridSpan w:val="2"/>
          </w:tcPr>
          <w:p>
            <w:pPr>
              <w:spacing w:after="0" w:line="140" w:lineRule="exact"/>
              <w:rPr>
                <w:sz w:val="20"/>
                <w:szCs w:val="20"/>
                <w:color w:val="auto"/>
              </w:rPr>
            </w:pPr>
            <w:r>
              <w:rPr>
                <w:rFonts w:ascii="Arial" w:cs="Arial" w:eastAsia="Arial" w:hAnsi="Arial"/>
                <w:sz w:val="14"/>
                <w:szCs w:val="14"/>
                <w:b w:val="1"/>
                <w:bCs w:val="1"/>
                <w:color w:val="auto"/>
                <w:w w:val="86"/>
              </w:rPr>
              <w:t>Unrealized Losses</w:t>
            </w:r>
          </w:p>
        </w:tc>
        <w:tc>
          <w:tcPr>
            <w:tcW w:w="56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180"/>
              <w:spacing w:after="0" w:line="140" w:lineRule="exact"/>
              <w:rPr>
                <w:sz w:val="20"/>
                <w:szCs w:val="20"/>
                <w:color w:val="auto"/>
              </w:rPr>
            </w:pPr>
            <w:r>
              <w:rPr>
                <w:rFonts w:ascii="Arial" w:cs="Arial" w:eastAsia="Arial" w:hAnsi="Arial"/>
                <w:sz w:val="14"/>
                <w:szCs w:val="14"/>
                <w:b w:val="1"/>
                <w:bCs w:val="1"/>
                <w:color w:val="auto"/>
                <w:w w:val="98"/>
              </w:rPr>
              <w:t>Fair Value</w:t>
            </w:r>
          </w:p>
        </w:tc>
        <w:tc>
          <w:tcPr>
            <w:tcW w:w="4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spacing w:after="0" w:line="140" w:lineRule="exact"/>
              <w:rPr>
                <w:sz w:val="20"/>
                <w:szCs w:val="20"/>
                <w:color w:val="auto"/>
              </w:rPr>
            </w:pPr>
            <w:r>
              <w:rPr>
                <w:rFonts w:ascii="Arial" w:cs="Arial" w:eastAsia="Arial" w:hAnsi="Arial"/>
                <w:sz w:val="14"/>
                <w:szCs w:val="14"/>
                <w:b w:val="1"/>
                <w:bCs w:val="1"/>
                <w:color w:val="auto"/>
                <w:w w:val="86"/>
              </w:rPr>
              <w:t>Unrealized Losses</w:t>
            </w:r>
          </w:p>
        </w:tc>
        <w:tc>
          <w:tcPr>
            <w:tcW w:w="100" w:type="dxa"/>
            <w:vAlign w:val="bottom"/>
          </w:tcPr>
          <w:p>
            <w:pPr>
              <w:spacing w:after="0"/>
              <w:rPr>
                <w:sz w:val="12"/>
                <w:szCs w:val="12"/>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2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$ 103,433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106,550</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w:t>
            </w:r>
          </w:p>
        </w:tc>
      </w:tr>
      <w:tr>
        <w:trPr>
          <w:trHeight w:val="213"/>
        </w:trPr>
        <w:tc>
          <w:tcPr>
            <w:tcW w:w="3180" w:type="dxa"/>
            <w:vAlign w:val="bottom"/>
          </w:tcPr>
          <w:p>
            <w:pPr>
              <w:spacing w:after="0"/>
              <w:rPr>
                <w:sz w:val="20"/>
                <w:szCs w:val="20"/>
                <w:color w:val="auto"/>
              </w:rPr>
            </w:pPr>
            <w:r>
              <w:rPr>
                <w:rFonts w:ascii="Arial" w:cs="Arial" w:eastAsia="Arial" w:hAnsi="Arial"/>
                <w:sz w:val="18"/>
                <w:szCs w:val="18"/>
                <w:color w:val="auto"/>
              </w:rPr>
              <w:t>States and Political Subdivisions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16,860</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$ 180,137</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(732)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196,997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(885)</w:t>
            </w:r>
          </w:p>
        </w:tc>
      </w:tr>
      <w:tr>
        <w:trPr>
          <w:trHeight w:val="213"/>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97,068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(4,671)</w:t>
            </w: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249,452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(9,830)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346,520</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(14,501)</w:t>
            </w:r>
          </w:p>
        </w:tc>
      </w:tr>
      <w:tr>
        <w:trPr>
          <w:trHeight w:val="213"/>
        </w:trPr>
        <w:tc>
          <w:tcPr>
            <w:tcW w:w="3180" w:type="dxa"/>
            <w:vAlign w:val="bottom"/>
          </w:tcPr>
          <w:p>
            <w:pPr>
              <w:spacing w:after="0"/>
              <w:rPr>
                <w:sz w:val="20"/>
                <w:szCs w:val="20"/>
                <w:color w:val="auto"/>
              </w:rPr>
            </w:pPr>
            <w:r>
              <w:rPr>
                <w:rFonts w:ascii="Arial" w:cs="Arial" w:eastAsia="Arial" w:hAnsi="Arial"/>
                <w:sz w:val="18"/>
                <w:szCs w:val="18"/>
                <w:color w:val="auto"/>
              </w:rPr>
              <w:t>Foreign Securities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9,305</w:t>
            </w:r>
          </w:p>
        </w:tc>
        <w:tc>
          <w:tcPr>
            <w:tcW w:w="3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(35)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9,305</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3"/>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42,259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(8,596)</w:t>
            </w:r>
          </w:p>
        </w:tc>
        <w:tc>
          <w:tcPr>
            <w:tcW w:w="15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454</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42,713</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(8,778)</w:t>
            </w:r>
          </w:p>
        </w:tc>
      </w:tr>
      <w:tr>
        <w:trPr>
          <w:trHeight w:val="208"/>
        </w:trPr>
        <w:tc>
          <w:tcPr>
            <w:tcW w:w="3180" w:type="dxa"/>
            <w:vAlign w:val="bottom"/>
          </w:tcPr>
          <w:p>
            <w:pPr>
              <w:ind w:left="200"/>
              <w:spacing w:after="0"/>
              <w:rPr>
                <w:sz w:val="20"/>
                <w:szCs w:val="20"/>
                <w:color w:val="auto"/>
              </w:rPr>
            </w:pPr>
            <w:r>
              <w:rPr>
                <w:rFonts w:ascii="Arial" w:cs="Arial" w:eastAsia="Arial" w:hAnsi="Arial"/>
                <w:sz w:val="18"/>
                <w:szCs w:val="18"/>
                <w:color w:val="auto"/>
              </w:rPr>
              <w:t>Total Temporarily Impaired</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3180" w:type="dxa"/>
            <w:vAlign w:val="bottom"/>
          </w:tcPr>
          <w:p>
            <w:pPr>
              <w:ind w:left="400"/>
              <w:spacing w:after="0"/>
              <w:rPr>
                <w:sz w:val="20"/>
                <w:szCs w:val="20"/>
                <w:color w:val="auto"/>
              </w:rPr>
            </w:pPr>
            <w:r>
              <w:rPr>
                <w:rFonts w:ascii="Arial" w:cs="Arial" w:eastAsia="Arial" w:hAnsi="Arial"/>
                <w:sz w:val="18"/>
                <w:szCs w:val="18"/>
                <w:color w:val="auto"/>
              </w:rPr>
              <w:t>Securities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159,304</w:t>
            </w:r>
          </w:p>
        </w:tc>
        <w:tc>
          <w:tcPr>
            <w:tcW w:w="280" w:type="dxa"/>
            <w:vAlign w:val="bottom"/>
          </w:tcPr>
          <w:p>
            <w:pPr>
              <w:spacing w:after="0"/>
              <w:rPr>
                <w:sz w:val="19"/>
                <w:szCs w:val="19"/>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(13,423)</w:t>
            </w: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$ 542,781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(11,068)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$ 702,085</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(24,491)</w:t>
            </w:r>
          </w:p>
        </w:tc>
      </w:tr>
      <w:tr>
        <w:trPr>
          <w:trHeight w:val="20"/>
        </w:trPr>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ind w:right="40" w:firstLine="212"/>
        <w:spacing w:after="0" w:line="252" w:lineRule="auto"/>
        <w:rPr>
          <w:sz w:val="20"/>
          <w:szCs w:val="20"/>
          <w:color w:val="auto"/>
        </w:rPr>
      </w:pPr>
      <w:r>
        <w:rPr>
          <w:rFonts w:ascii="Arial" w:cs="Arial" w:eastAsia="Arial" w:hAnsi="Arial"/>
          <w:sz w:val="18"/>
          <w:szCs w:val="18"/>
          <w:color w:val="auto"/>
        </w:rPr>
        <w:t>A substantial portion of the Company’s unrealized losses relate to debt securities. These unrealized losses were primarily caused by widening credit spreads that the Company considers to be temporary. Because the Company has the intent and ability to hold these securities and the Company believes in the quality of the holdings and their ratings, the Company does not consider these investments to be other-than-temporarily impaired. The unrealized losses relating to equity securities were caused by market changes that the Company considers to be temporary; the Company expects recovery, and thus does not consider these investments other-than-temporarily impaired.</w:t>
      </w:r>
    </w:p>
    <w:p>
      <w:pPr>
        <w:spacing w:after="0" w:line="87" w:lineRule="exact"/>
        <w:rPr>
          <w:sz w:val="20"/>
          <w:szCs w:val="20"/>
          <w:color w:val="auto"/>
        </w:rPr>
      </w:pPr>
    </w:p>
    <w:p>
      <w:pPr>
        <w:ind w:right="160" w:firstLine="222"/>
        <w:spacing w:after="0" w:line="269" w:lineRule="auto"/>
        <w:rPr>
          <w:sz w:val="20"/>
          <w:szCs w:val="20"/>
          <w:color w:val="auto"/>
        </w:rPr>
      </w:pPr>
      <w:r>
        <w:rPr>
          <w:rFonts w:ascii="Arial" w:cs="Arial" w:eastAsia="Arial" w:hAnsi="Arial"/>
          <w:sz w:val="17"/>
          <w:szCs w:val="17"/>
          <w:color w:val="auto"/>
        </w:rPr>
        <w:t>During 2008, 2007 and 2006, the Company incurred impairment charges relating to investments that it determined to be other than temporarily impaired, which resulted in charges of $59.0 million, $3.1 million, and $9.1 million. The impairment charges in 2008 included $25.4 million related to fixed maturity securities, $30.1 million related to equity securities, and $3.4 million related to other investments that were deemed other-than-temporarily impaired. The impairment charges relating to the fixed maturity securities primarily related to the Company’s conclusion that the credit risk relating to the holdings was high and thus the assets are likely other-than-temporarily impaired. The impairment charges relating to the equity securities were based on the duration of the unrealized loss and inability to predict the time to recover if the investment continued to be held.</w:t>
      </w:r>
    </w:p>
    <w:p>
      <w:pPr>
        <w:spacing w:after="0" w:line="72" w:lineRule="exact"/>
        <w:rPr>
          <w:sz w:val="20"/>
          <w:szCs w:val="20"/>
          <w:color w:val="auto"/>
        </w:rPr>
      </w:pPr>
    </w:p>
    <w:p>
      <w:pPr>
        <w:ind w:right="600" w:firstLine="222"/>
        <w:spacing w:after="0" w:line="267" w:lineRule="auto"/>
        <w:rPr>
          <w:sz w:val="20"/>
          <w:szCs w:val="20"/>
          <w:color w:val="auto"/>
        </w:rPr>
      </w:pPr>
      <w:r>
        <w:rPr>
          <w:rFonts w:ascii="Arial" w:cs="Arial" w:eastAsia="Arial" w:hAnsi="Arial"/>
          <w:sz w:val="18"/>
          <w:szCs w:val="18"/>
          <w:color w:val="auto"/>
        </w:rPr>
        <w:t>Investments in unconsolidated affiliates are recorded using the equity method of accounting and, as of December 31, 2008 and 2007, consisted of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6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Ownership</w:t>
            </w:r>
          </w:p>
        </w:tc>
        <w:tc>
          <w:tcPr>
            <w:tcW w:w="98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04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Ceridian</w:t>
            </w:r>
          </w:p>
        </w:tc>
        <w:tc>
          <w:tcPr>
            <w:tcW w:w="35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$ 453,129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$ 503,118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Sedgwick</w:t>
            </w:r>
          </w:p>
        </w:tc>
        <w:tc>
          <w:tcPr>
            <w:tcW w:w="35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(a)</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115,646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131,160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Remy</w:t>
            </w:r>
          </w:p>
        </w:tc>
        <w:tc>
          <w:tcPr>
            <w:tcW w:w="4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61,786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79,958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w:t>
            </w:r>
          </w:p>
        </w:tc>
        <w:tc>
          <w:tcPr>
            <w:tcW w:w="35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various</w:t>
            </w:r>
          </w:p>
        </w:tc>
        <w:tc>
          <w:tcPr>
            <w:tcW w:w="2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13,978</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$ 644,539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$ 738,356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13042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354" w:lineRule="exact"/>
        <w:rPr>
          <w:sz w:val="20"/>
          <w:szCs w:val="20"/>
          <w:color w:val="auto"/>
        </w:rPr>
      </w:pPr>
    </w:p>
    <w:p>
      <w:pPr>
        <w:ind w:left="440" w:hanging="433"/>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December 31, 2008 and 2007, the company ownership percentage in Sedgwick was 32% and 40%, respectively.</w:t>
      </w:r>
    </w:p>
    <w:p>
      <w:pPr>
        <w:spacing w:after="0" w:line="113" w:lineRule="exact"/>
        <w:rPr>
          <w:sz w:val="20"/>
          <w:szCs w:val="20"/>
          <w:color w:val="auto"/>
        </w:rPr>
      </w:pPr>
    </w:p>
    <w:p>
      <w:pPr>
        <w:ind w:right="400" w:firstLine="222"/>
        <w:spacing w:after="0" w:line="254" w:lineRule="auto"/>
        <w:rPr>
          <w:sz w:val="20"/>
          <w:szCs w:val="20"/>
          <w:color w:val="auto"/>
        </w:rPr>
      </w:pPr>
      <w:r>
        <w:rPr>
          <w:rFonts w:ascii="Arial" w:cs="Arial" w:eastAsia="Arial" w:hAnsi="Arial"/>
          <w:sz w:val="18"/>
          <w:szCs w:val="18"/>
          <w:color w:val="auto"/>
        </w:rPr>
        <w:t>Summarized financial information for Ceridian is presented below for the time period subsequent to November 9, 2007, the date of acquisition. The Company accounts for its equity in Ceridian on a three-month lag. Accordingly, FNF’s net earnings for the year ended December 31, 2008, include the Company’s equity in Ceridian’s earnings for the period from November 10, 2007 through September 30, 2008 and there is no equity in income of Ceridian included in the Company’s 2007 results of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1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2008</w:t>
            </w:r>
          </w:p>
        </w:tc>
      </w:tr>
      <w:tr>
        <w:trPr>
          <w:trHeight w:val="140"/>
        </w:trPr>
        <w:tc>
          <w:tcPr>
            <w:tcW w:w="10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53"/>
              <w:spacing w:after="0" w:line="140" w:lineRule="exact"/>
              <w:rPr>
                <w:sz w:val="20"/>
                <w:szCs w:val="20"/>
                <w:color w:val="auto"/>
              </w:rPr>
            </w:pPr>
            <w:r>
              <w:rPr>
                <w:rFonts w:ascii="Arial" w:cs="Arial" w:eastAsia="Arial" w:hAnsi="Arial"/>
                <w:sz w:val="14"/>
                <w:szCs w:val="14"/>
                <w:b w:val="1"/>
                <w:bCs w:val="1"/>
                <w:color w:val="auto"/>
                <w:w w:val="99"/>
              </w:rPr>
              <w:t>(in millions)</w:t>
            </w:r>
          </w:p>
        </w:tc>
        <w:tc>
          <w:tcPr>
            <w:tcW w:w="100" w:type="dxa"/>
            <w:vAlign w:val="bottom"/>
          </w:tcPr>
          <w:p>
            <w:pPr>
              <w:spacing w:after="0"/>
              <w:rPr>
                <w:sz w:val="12"/>
                <w:szCs w:val="12"/>
                <w:color w:val="auto"/>
              </w:rPr>
            </w:pPr>
          </w:p>
        </w:tc>
      </w:tr>
      <w:tr>
        <w:trPr>
          <w:trHeight w:val="213"/>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CEEFF"/>
          </w:tcPr>
          <w:p>
            <w:pPr>
              <w:spacing w:after="0"/>
              <w:rPr>
                <w:sz w:val="18"/>
                <w:szCs w:val="18"/>
                <w:color w:val="auto"/>
              </w:rPr>
            </w:pPr>
          </w:p>
        </w:tc>
      </w:tr>
      <w:tr>
        <w:trPr>
          <w:trHeight w:val="213"/>
        </w:trPr>
        <w:tc>
          <w:tcPr>
            <w:tcW w:w="1012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4,755.5</w:t>
            </w:r>
          </w:p>
        </w:tc>
        <w:tc>
          <w:tcPr>
            <w:tcW w:w="100" w:type="dxa"/>
            <w:vAlign w:val="bottom"/>
          </w:tcPr>
          <w:p>
            <w:pPr>
              <w:spacing w:after="0"/>
              <w:rPr>
                <w:sz w:val="18"/>
                <w:szCs w:val="18"/>
                <w:color w:val="auto"/>
              </w:rPr>
            </w:pPr>
          </w:p>
        </w:tc>
      </w:tr>
      <w:tr>
        <w:trPr>
          <w:trHeight w:val="213"/>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3,397.9</w:t>
            </w:r>
          </w:p>
        </w:tc>
        <w:tc>
          <w:tcPr>
            <w:tcW w:w="100" w:type="dxa"/>
            <w:vAlign w:val="bottom"/>
            <w:shd w:val="clear" w:color="auto" w:fill="CCEEFF"/>
          </w:tcPr>
          <w:p>
            <w:pPr>
              <w:spacing w:after="0"/>
              <w:rPr>
                <w:sz w:val="18"/>
                <w:szCs w:val="18"/>
                <w:color w:val="auto"/>
              </w:rPr>
            </w:pPr>
          </w:p>
        </w:tc>
      </w:tr>
      <w:tr>
        <w:trPr>
          <w:trHeight w:val="219"/>
        </w:trPr>
        <w:tc>
          <w:tcPr>
            <w:tcW w:w="1012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9,453.4</w:t>
            </w:r>
          </w:p>
        </w:tc>
        <w:tc>
          <w:tcPr>
            <w:tcW w:w="100" w:type="dxa"/>
            <w:vAlign w:val="bottom"/>
          </w:tcPr>
          <w:p>
            <w:pPr>
              <w:spacing w:after="0"/>
              <w:rPr>
                <w:sz w:val="19"/>
                <w:szCs w:val="19"/>
                <w:color w:val="auto"/>
              </w:rPr>
            </w:pPr>
          </w:p>
        </w:tc>
      </w:tr>
      <w:tr>
        <w:trPr>
          <w:trHeight w:val="20"/>
        </w:trPr>
        <w:tc>
          <w:tcPr>
            <w:tcW w:w="10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986.3</w:t>
            </w:r>
          </w:p>
        </w:tc>
      </w:tr>
      <w:tr>
        <w:trPr>
          <w:trHeight w:val="213"/>
        </w:trPr>
        <w:tc>
          <w:tcPr>
            <w:tcW w:w="10120" w:type="dxa"/>
            <w:vAlign w:val="bottom"/>
          </w:tcPr>
          <w:p>
            <w:pPr>
              <w:spacing w:after="0"/>
              <w:rPr>
                <w:sz w:val="20"/>
                <w:szCs w:val="20"/>
                <w:color w:val="auto"/>
              </w:rPr>
            </w:pPr>
            <w:r>
              <w:rPr>
                <w:rFonts w:ascii="Arial" w:cs="Arial" w:eastAsia="Arial" w:hAnsi="Arial"/>
                <w:sz w:val="18"/>
                <w:szCs w:val="18"/>
                <w:color w:val="auto"/>
              </w:rPr>
              <w:t>Long-term obligations, less current portion</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3,516.5</w:t>
            </w:r>
          </w:p>
        </w:tc>
        <w:tc>
          <w:tcPr>
            <w:tcW w:w="100" w:type="dxa"/>
            <w:vAlign w:val="bottom"/>
          </w:tcPr>
          <w:p>
            <w:pPr>
              <w:spacing w:after="0"/>
              <w:rPr>
                <w:sz w:val="18"/>
                <w:szCs w:val="18"/>
                <w:color w:val="auto"/>
              </w:rPr>
            </w:pPr>
          </w:p>
        </w:tc>
      </w:tr>
      <w:tr>
        <w:trPr>
          <w:trHeight w:val="213"/>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3,557.7</w:t>
            </w:r>
          </w:p>
        </w:tc>
        <w:tc>
          <w:tcPr>
            <w:tcW w:w="100" w:type="dxa"/>
            <w:vAlign w:val="bottom"/>
            <w:shd w:val="clear" w:color="auto" w:fill="CCEEFF"/>
          </w:tcPr>
          <w:p>
            <w:pPr>
              <w:spacing w:after="0"/>
              <w:rPr>
                <w:sz w:val="18"/>
                <w:szCs w:val="18"/>
                <w:color w:val="auto"/>
              </w:rPr>
            </w:pPr>
          </w:p>
        </w:tc>
      </w:tr>
      <w:tr>
        <w:trPr>
          <w:trHeight w:val="219"/>
        </w:trPr>
        <w:tc>
          <w:tcPr>
            <w:tcW w:w="1012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8,060.5</w:t>
            </w:r>
          </w:p>
        </w:tc>
        <w:tc>
          <w:tcPr>
            <w:tcW w:w="100" w:type="dxa"/>
            <w:vAlign w:val="bottom"/>
          </w:tcPr>
          <w:p>
            <w:pPr>
              <w:spacing w:after="0"/>
              <w:rPr>
                <w:sz w:val="19"/>
                <w:szCs w:val="19"/>
                <w:color w:val="auto"/>
              </w:rPr>
            </w:pPr>
          </w:p>
        </w:tc>
      </w:tr>
      <w:tr>
        <w:trPr>
          <w:trHeight w:val="215"/>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1,392.9</w:t>
            </w:r>
          </w:p>
        </w:tc>
        <w:tc>
          <w:tcPr>
            <w:tcW w:w="100" w:type="dxa"/>
            <w:vAlign w:val="bottom"/>
            <w:shd w:val="clear" w:color="auto" w:fill="CCEEFF"/>
          </w:tcPr>
          <w:p>
            <w:pPr>
              <w:spacing w:after="0"/>
              <w:rPr>
                <w:sz w:val="18"/>
                <w:szCs w:val="18"/>
                <w:color w:val="auto"/>
              </w:rPr>
            </w:pPr>
          </w:p>
        </w:tc>
      </w:tr>
      <w:tr>
        <w:trPr>
          <w:trHeight w:val="219"/>
        </w:trPr>
        <w:tc>
          <w:tcPr>
            <w:tcW w:w="1012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9,453.4</w:t>
            </w:r>
          </w:p>
        </w:tc>
        <w:tc>
          <w:tcPr>
            <w:tcW w:w="100" w:type="dxa"/>
            <w:vAlign w:val="bottom"/>
          </w:tcPr>
          <w:p>
            <w:pPr>
              <w:spacing w:after="0"/>
              <w:rPr>
                <w:sz w:val="19"/>
                <w:szCs w:val="19"/>
                <w:color w:val="auto"/>
              </w:rPr>
            </w:pPr>
          </w:p>
        </w:tc>
      </w:tr>
      <w:tr>
        <w:trPr>
          <w:trHeight w:val="20"/>
        </w:trPr>
        <w:tc>
          <w:tcPr>
            <w:tcW w:w="10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November 10, 2007,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8"/>
          </w:tcPr>
          <w:p>
            <w:pPr>
              <w:jc w:val="center"/>
              <w:ind w:left="356"/>
              <w:spacing w:after="0"/>
              <w:rPr>
                <w:sz w:val="20"/>
                <w:szCs w:val="20"/>
                <w:color w:val="auto"/>
              </w:rPr>
            </w:pPr>
            <w:r>
              <w:rPr>
                <w:rFonts w:ascii="Arial" w:cs="Arial" w:eastAsia="Arial" w:hAnsi="Arial"/>
                <w:sz w:val="14"/>
                <w:szCs w:val="14"/>
                <w:b w:val="1"/>
                <w:bCs w:val="1"/>
                <w:color w:val="auto"/>
                <w:w w:val="90"/>
              </w:rPr>
              <w:t>through September 30, 2008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center"/>
              <w:ind w:right="240"/>
              <w:spacing w:after="0" w:line="140" w:lineRule="exact"/>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69"/>
              <w:spacing w:after="0"/>
              <w:rPr>
                <w:sz w:val="20"/>
                <w:szCs w:val="20"/>
                <w:color w:val="auto"/>
              </w:rPr>
            </w:pPr>
            <w:r>
              <w:rPr>
                <w:rFonts w:ascii="Arial" w:cs="Arial" w:eastAsia="Arial" w:hAnsi="Arial"/>
                <w:sz w:val="18"/>
                <w:szCs w:val="18"/>
                <w:color w:val="auto"/>
              </w:rPr>
              <w:t>1,417.7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9"/>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3"/>
            <w:shd w:val="clear" w:color="auto" w:fill="CCEEFF"/>
          </w:tcPr>
          <w:p>
            <w:pPr>
              <w:jc w:val="right"/>
              <w:ind w:right="9"/>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1420" w:type="dxa"/>
            <w:vAlign w:val="bottom"/>
            <w:gridSpan w:val="16"/>
          </w:tcPr>
          <w:p>
            <w:pPr>
              <w:ind w:left="200"/>
              <w:spacing w:after="0"/>
              <w:rPr>
                <w:sz w:val="20"/>
                <w:szCs w:val="20"/>
                <w:color w:val="auto"/>
              </w:rPr>
            </w:pPr>
            <w:r>
              <w:rPr>
                <w:rFonts w:ascii="Arial" w:cs="Arial" w:eastAsia="Arial" w:hAnsi="Arial"/>
                <w:sz w:val="18"/>
                <w:szCs w:val="18"/>
                <w:color w:val="auto"/>
                <w:w w:val="95"/>
              </w:rPr>
              <w:t>During the years ended December 31, 2008, 2007, and 2006, the Company recorded an aggregate of $(13.4) million, $0.8 million, and $1.7 million,</w:t>
            </w:r>
          </w:p>
        </w:tc>
        <w:tc>
          <w:tcPr>
            <w:tcW w:w="0" w:type="dxa"/>
            <w:vAlign w:val="bottom"/>
          </w:tcPr>
          <w:p>
            <w:pPr>
              <w:spacing w:after="0"/>
              <w:rPr>
                <w:sz w:val="1"/>
                <w:szCs w:val="1"/>
                <w:color w:val="auto"/>
              </w:rPr>
            </w:pPr>
          </w:p>
        </w:tc>
      </w:tr>
      <w:tr>
        <w:trPr>
          <w:trHeight w:val="224"/>
        </w:trPr>
        <w:tc>
          <w:tcPr>
            <w:tcW w:w="5320" w:type="dxa"/>
            <w:vAlign w:val="bottom"/>
            <w:gridSpan w:val="2"/>
          </w:tcPr>
          <w:p>
            <w:pPr>
              <w:spacing w:after="0"/>
              <w:rPr>
                <w:sz w:val="20"/>
                <w:szCs w:val="20"/>
                <w:color w:val="auto"/>
              </w:rPr>
            </w:pPr>
            <w:r>
              <w:rPr>
                <w:rFonts w:ascii="Arial" w:cs="Arial" w:eastAsia="Arial" w:hAnsi="Arial"/>
                <w:sz w:val="18"/>
                <w:szCs w:val="18"/>
                <w:color w:val="auto"/>
                <w:w w:val="95"/>
              </w:rPr>
              <w:t>respectively, in equity in (losses) earnings of unconsolidated affiliates.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E. Property and Equipment</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Property and equipment consists of the following:</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0"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spacing w:after="0"/>
              <w:rPr>
                <w:sz w:val="12"/>
                <w:szCs w:val="12"/>
                <w:color w:val="auto"/>
              </w:rPr>
            </w:pPr>
          </w:p>
        </w:tc>
        <w:tc>
          <w:tcPr>
            <w:tcW w:w="760" w:type="dxa"/>
            <w:vAlign w:val="bottom"/>
            <w:tcBorders>
              <w:top w:val="single" w:sz="8" w:color="auto"/>
              <w:bottom w:val="single" w:sz="8" w:color="auto"/>
            </w:tcBorders>
          </w:tcPr>
          <w:p>
            <w:pPr>
              <w:jc w:val="right"/>
              <w:ind w:right="169"/>
              <w:spacing w:after="0" w:line="140"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8"/>
          </w:tcPr>
          <w:p>
            <w:pPr>
              <w:jc w:val="center"/>
              <w:ind w:right="240"/>
              <w:spacing w:after="0" w:line="140" w:lineRule="exact"/>
              <w:rPr>
                <w:sz w:val="20"/>
                <w:szCs w:val="20"/>
                <w:color w:val="auto"/>
              </w:rPr>
            </w:pPr>
            <w:r>
              <w:rPr>
                <w:rFonts w:ascii="Arial" w:cs="Arial" w:eastAsia="Arial" w:hAnsi="Arial"/>
                <w:sz w:val="14"/>
                <w:szCs w:val="14"/>
                <w:b w:val="1"/>
                <w:bCs w:val="1"/>
                <w:color w:val="auto"/>
                <w:w w:val="90"/>
              </w:rPr>
              <w:t>(Dollars in thousands)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89,418</w:t>
            </w:r>
          </w:p>
        </w:tc>
        <w:tc>
          <w:tcPr>
            <w:tcW w:w="1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91,670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Buildings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39,465</w:t>
            </w:r>
          </w:p>
        </w:tc>
        <w:tc>
          <w:tcPr>
            <w:tcW w:w="1460" w:type="dxa"/>
            <w:vAlign w:val="bottom"/>
            <w:gridSpan w:val="4"/>
          </w:tcPr>
          <w:p>
            <w:pPr>
              <w:jc w:val="right"/>
              <w:ind w:right="100"/>
              <w:spacing w:after="0"/>
              <w:rPr>
                <w:sz w:val="20"/>
                <w:szCs w:val="20"/>
                <w:color w:val="auto"/>
              </w:rPr>
            </w:pPr>
            <w:r>
              <w:rPr>
                <w:rFonts w:ascii="Arial" w:cs="Arial" w:eastAsia="Arial" w:hAnsi="Arial"/>
                <w:sz w:val="18"/>
                <w:szCs w:val="18"/>
                <w:color w:val="auto"/>
              </w:rPr>
              <w:t>32,798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82,025</w:t>
            </w:r>
          </w:p>
        </w:tc>
        <w:tc>
          <w:tcPr>
            <w:tcW w:w="1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79,092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550,989</w:t>
            </w:r>
          </w:p>
        </w:tc>
        <w:tc>
          <w:tcPr>
            <w:tcW w:w="1460" w:type="dxa"/>
            <w:vAlign w:val="bottom"/>
            <w:gridSpan w:val="4"/>
          </w:tcPr>
          <w:p>
            <w:pPr>
              <w:jc w:val="right"/>
              <w:ind w:right="100"/>
              <w:spacing w:after="0"/>
              <w:rPr>
                <w:sz w:val="20"/>
                <w:szCs w:val="20"/>
                <w:color w:val="auto"/>
              </w:rPr>
            </w:pPr>
            <w:r>
              <w:rPr>
                <w:rFonts w:ascii="Arial" w:cs="Arial" w:eastAsia="Arial" w:hAnsi="Arial"/>
                <w:sz w:val="18"/>
                <w:szCs w:val="18"/>
                <w:color w:val="auto"/>
              </w:rPr>
              <w:t>485,593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761,897</w:t>
            </w:r>
          </w:p>
        </w:tc>
        <w:tc>
          <w:tcPr>
            <w:tcW w:w="1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689,153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8"/>
              </w:rPr>
              <w:t>(454,742)</w:t>
            </w:r>
          </w:p>
        </w:tc>
        <w:tc>
          <w:tcPr>
            <w:tcW w:w="1460" w:type="dxa"/>
            <w:vAlign w:val="bottom"/>
            <w:gridSpan w:val="4"/>
          </w:tcPr>
          <w:p>
            <w:pPr>
              <w:jc w:val="right"/>
              <w:ind w:right="40"/>
              <w:spacing w:after="0"/>
              <w:rPr>
                <w:sz w:val="20"/>
                <w:szCs w:val="20"/>
                <w:color w:val="auto"/>
              </w:rPr>
            </w:pPr>
            <w:r>
              <w:rPr>
                <w:rFonts w:ascii="Arial" w:cs="Arial" w:eastAsia="Arial" w:hAnsi="Arial"/>
                <w:sz w:val="18"/>
                <w:szCs w:val="18"/>
                <w:color w:val="auto"/>
              </w:rPr>
              <w:t>(422,997)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7"/>
              </w:rPr>
              <w:t>$ 307,155</w:t>
            </w:r>
          </w:p>
        </w:tc>
        <w:tc>
          <w:tcPr>
            <w:tcW w:w="14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$ 266,156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 Goodwill</w:t>
            </w: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3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Goodwill consists of the following:</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Fidelity National</w:t>
            </w:r>
          </w:p>
        </w:tc>
        <w:tc>
          <w:tcPr>
            <w:tcW w:w="1320" w:type="dxa"/>
            <w:vAlign w:val="bottom"/>
            <w:gridSpan w:val="2"/>
          </w:tcPr>
          <w:p>
            <w:pPr>
              <w:jc w:val="right"/>
              <w:ind w:right="629"/>
              <w:spacing w:after="0"/>
              <w:rPr>
                <w:sz w:val="20"/>
                <w:szCs w:val="20"/>
                <w:color w:val="auto"/>
              </w:rPr>
            </w:pPr>
            <w:r>
              <w:rPr>
                <w:rFonts w:ascii="Arial" w:cs="Arial" w:eastAsia="Arial" w:hAnsi="Arial"/>
                <w:sz w:val="14"/>
                <w:szCs w:val="14"/>
                <w:b w:val="1"/>
                <w:bCs w:val="1"/>
                <w:color w:val="auto"/>
                <w:w w:val="97"/>
              </w:rPr>
              <w:t>Specialty</w:t>
            </w: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Corporate</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Title Group, Inc.</w:t>
            </w:r>
          </w:p>
        </w:tc>
        <w:tc>
          <w:tcPr>
            <w:tcW w:w="1320" w:type="dxa"/>
            <w:vAlign w:val="bottom"/>
            <w:gridSpan w:val="2"/>
          </w:tcPr>
          <w:p>
            <w:pPr>
              <w:jc w:val="right"/>
              <w:ind w:right="609"/>
              <w:spacing w:after="0"/>
              <w:rPr>
                <w:sz w:val="20"/>
                <w:szCs w:val="20"/>
                <w:color w:val="auto"/>
              </w:rPr>
            </w:pPr>
            <w:r>
              <w:rPr>
                <w:rFonts w:ascii="Arial" w:cs="Arial" w:eastAsia="Arial" w:hAnsi="Arial"/>
                <w:sz w:val="14"/>
                <w:szCs w:val="14"/>
                <w:b w:val="1"/>
                <w:bCs w:val="1"/>
                <w:color w:val="auto"/>
                <w:w w:val="93"/>
              </w:rPr>
              <w:t>Insurance</w:t>
            </w: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and Other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b w:val="1"/>
                <w:bCs w:val="1"/>
                <w:color w:val="auto"/>
              </w:rPr>
              <w:t>(Dollars</w:t>
            </w:r>
          </w:p>
        </w:tc>
        <w:tc>
          <w:tcPr>
            <w:tcW w:w="1320" w:type="dxa"/>
            <w:vAlign w:val="bottom"/>
            <w:gridSpan w:val="4"/>
          </w:tcPr>
          <w:p>
            <w:pPr>
              <w:jc w:val="right"/>
              <w:ind w:right="400"/>
              <w:spacing w:after="0" w:line="140" w:lineRule="exact"/>
              <w:rPr>
                <w:sz w:val="20"/>
                <w:szCs w:val="20"/>
                <w:color w:val="auto"/>
              </w:rPr>
            </w:pPr>
            <w:r>
              <w:rPr>
                <w:rFonts w:ascii="Arial" w:cs="Arial" w:eastAsia="Arial" w:hAnsi="Arial"/>
                <w:sz w:val="14"/>
                <w:szCs w:val="14"/>
                <w:b w:val="1"/>
                <w:bCs w:val="1"/>
                <w:color w:val="auto"/>
                <w:w w:val="98"/>
              </w:rPr>
              <w:t>in thousands)</w:t>
            </w:r>
          </w:p>
        </w:tc>
        <w:tc>
          <w:tcPr>
            <w:tcW w:w="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10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1,087,813</w:t>
            </w:r>
          </w:p>
        </w:tc>
        <w:tc>
          <w:tcPr>
            <w:tcW w:w="6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589"/>
              <w:spacing w:after="0"/>
              <w:rPr>
                <w:sz w:val="20"/>
                <w:szCs w:val="20"/>
                <w:color w:val="auto"/>
              </w:rPr>
            </w:pPr>
            <w:r>
              <w:rPr>
                <w:rFonts w:ascii="Arial" w:cs="Arial" w:eastAsia="Arial" w:hAnsi="Arial"/>
                <w:sz w:val="18"/>
                <w:szCs w:val="18"/>
                <w:color w:val="auto"/>
                <w:w w:val="91"/>
              </w:rPr>
              <w:t>$ 28,717</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$ 42,643</w:t>
            </w:r>
          </w:p>
        </w:tc>
        <w:tc>
          <w:tcPr>
            <w:tcW w:w="12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$ 1,159,173</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158,517</w:t>
            </w:r>
          </w:p>
        </w:tc>
        <w:tc>
          <w:tcPr>
            <w:tcW w:w="1320" w:type="dxa"/>
            <w:vAlign w:val="bottom"/>
            <w:gridSpan w:val="2"/>
          </w:tcPr>
          <w:p>
            <w:pPr>
              <w:jc w:val="right"/>
              <w:ind w:right="58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26,890</w:t>
            </w:r>
          </w:p>
        </w:tc>
        <w:tc>
          <w:tcPr>
            <w:tcW w:w="120" w:type="dxa"/>
            <w:vAlign w:val="bottom"/>
          </w:tcPr>
          <w:p>
            <w:pPr>
              <w:spacing w:after="0"/>
              <w:rPr>
                <w:sz w:val="18"/>
                <w:szCs w:val="18"/>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8"/>
                <w:szCs w:val="18"/>
                <w:color w:val="auto"/>
              </w:rPr>
              <w:t>185,407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1,246,330</w:t>
            </w:r>
          </w:p>
        </w:tc>
        <w:tc>
          <w:tcPr>
            <w:tcW w:w="6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589"/>
              <w:spacing w:after="0"/>
              <w:rPr>
                <w:sz w:val="20"/>
                <w:szCs w:val="20"/>
                <w:color w:val="auto"/>
              </w:rPr>
            </w:pPr>
            <w:r>
              <w:rPr>
                <w:rFonts w:ascii="Arial" w:cs="Arial" w:eastAsia="Arial" w:hAnsi="Arial"/>
                <w:sz w:val="18"/>
                <w:szCs w:val="18"/>
                <w:color w:val="auto"/>
              </w:rPr>
              <w:t>28,717</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69,533</w:t>
            </w:r>
          </w:p>
        </w:tc>
        <w:tc>
          <w:tcPr>
            <w:tcW w:w="12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1,344,580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237,966</w:t>
            </w:r>
          </w:p>
        </w:tc>
        <w:tc>
          <w:tcPr>
            <w:tcW w:w="1320" w:type="dxa"/>
            <w:vAlign w:val="bottom"/>
            <w:gridSpan w:val="2"/>
          </w:tcPr>
          <w:p>
            <w:pPr>
              <w:jc w:val="right"/>
              <w:ind w:right="58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18"/>
                <w:szCs w:val="18"/>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8"/>
                <w:szCs w:val="18"/>
                <w:color w:val="auto"/>
              </w:rPr>
              <w:t>237,078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2008</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1,484,296</w:t>
            </w:r>
          </w:p>
        </w:tc>
        <w:tc>
          <w:tcPr>
            <w:tcW w:w="6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589"/>
              <w:spacing w:after="0"/>
              <w:rPr>
                <w:sz w:val="20"/>
                <w:szCs w:val="20"/>
                <w:color w:val="auto"/>
              </w:rPr>
            </w:pPr>
            <w:r>
              <w:rPr>
                <w:rFonts w:ascii="Arial" w:cs="Arial" w:eastAsia="Arial" w:hAnsi="Arial"/>
                <w:sz w:val="18"/>
                <w:szCs w:val="18"/>
                <w:color w:val="auto"/>
                <w:w w:val="91"/>
              </w:rPr>
              <w:t>$ 28,717</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68,645</w:t>
            </w:r>
          </w:p>
        </w:tc>
        <w:tc>
          <w:tcPr>
            <w:tcW w:w="12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$ 1,581,658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8"/>
                <w:szCs w:val="18"/>
                <w:color w:val="auto"/>
              </w:rPr>
              <w:t>82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Other Intangible Assets</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intangible assets consist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9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8"/>
              <w:spacing w:after="0" w:line="140"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4"/>
              <w:spacing w:after="0" w:line="140"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0"/>
        </w:trPr>
        <w:tc>
          <w:tcPr>
            <w:tcW w:w="9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6"/>
          </w:tcPr>
          <w:p>
            <w:pPr>
              <w:jc w:val="right"/>
              <w:ind w:right="520"/>
              <w:spacing w:after="0" w:line="140" w:lineRule="exact"/>
              <w:rPr>
                <w:sz w:val="20"/>
                <w:szCs w:val="20"/>
                <w:color w:val="auto"/>
              </w:rPr>
            </w:pPr>
            <w:r>
              <w:rPr>
                <w:rFonts w:ascii="Arial" w:cs="Arial" w:eastAsia="Arial" w:hAnsi="Arial"/>
                <w:sz w:val="14"/>
                <w:szCs w:val="14"/>
                <w:b w:val="1"/>
                <w:bCs w:val="1"/>
                <w:color w:val="auto"/>
              </w:rPr>
              <w:t>(Dollars in thousands)</w:t>
            </w:r>
          </w:p>
        </w:tc>
      </w:tr>
      <w:tr>
        <w:trPr>
          <w:trHeight w:val="213"/>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and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204,389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201,921</w:t>
            </w:r>
          </w:p>
        </w:tc>
      </w:tr>
      <w:tr>
        <w:trPr>
          <w:trHeight w:val="213"/>
        </w:trPr>
        <w:tc>
          <w:tcPr>
            <w:tcW w:w="91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25,563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25,563</w:t>
            </w:r>
          </w:p>
        </w:tc>
      </w:tr>
      <w:tr>
        <w:trPr>
          <w:trHeight w:val="27"/>
        </w:trPr>
        <w:tc>
          <w:tcPr>
            <w:tcW w:w="9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9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229,952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227,484</w:t>
            </w:r>
          </w:p>
        </w:tc>
      </w:tr>
      <w:tr>
        <w:trPr>
          <w:trHeight w:val="213"/>
        </w:trPr>
        <w:tc>
          <w:tcPr>
            <w:tcW w:w="91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(137,442)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(109,976)</w:t>
            </w:r>
          </w:p>
        </w:tc>
      </w:tr>
      <w:tr>
        <w:trPr>
          <w:trHeight w:val="27"/>
        </w:trPr>
        <w:tc>
          <w:tcPr>
            <w:tcW w:w="9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9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92,510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117,508</w:t>
            </w:r>
          </w:p>
        </w:tc>
      </w:tr>
      <w:tr>
        <w:trPr>
          <w:trHeight w:val="20"/>
        </w:trPr>
        <w:tc>
          <w:tcPr>
            <w:tcW w:w="9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Amortization expense for amortizable intangible assets, which consist primarily of customer relationships, was $22.3 million, $23.8 million, and</w:t>
      </w:r>
    </w:p>
    <w:p>
      <w:pPr>
        <w:spacing w:after="0" w:line="2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$162.0 million for the years ended December 31, 2008, 2007, and 2006, respectively. Other represents non-amortizable intangible assets such as trademarks and licenses. Estimated amortization expense for the next five years for assets owned at December 31, 2008, is $17.2 million in 2009, $14.9 million in 2010, $11.8 million in 2011, $9.4 million in 2012 and $7.9 million in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Accounts Payable and Accrued Liabilities</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payable and accrued liabilities consist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0"/>
        </w:trPr>
        <w:tc>
          <w:tcPr>
            <w:tcW w:w="9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
              <w:spacing w:after="0" w:line="140"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spacing w:after="0"/>
              <w:rPr>
                <w:sz w:val="12"/>
                <w:szCs w:val="12"/>
                <w:color w:val="auto"/>
              </w:rPr>
            </w:pPr>
          </w:p>
        </w:tc>
        <w:tc>
          <w:tcPr>
            <w:tcW w:w="700" w:type="dxa"/>
            <w:vAlign w:val="bottom"/>
            <w:tcBorders>
              <w:top w:val="single" w:sz="8" w:color="auto"/>
              <w:bottom w:val="single" w:sz="8" w:color="auto"/>
            </w:tcBorders>
          </w:tcPr>
          <w:p>
            <w:pPr>
              <w:jc w:val="right"/>
              <w:ind w:right="117"/>
              <w:spacing w:after="0" w:line="140"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60" w:type="dxa"/>
            <w:vAlign w:val="bottom"/>
            <w:gridSpan w:val="7"/>
          </w:tcPr>
          <w:p>
            <w:pPr>
              <w:jc w:val="center"/>
              <w:ind w:right="100"/>
              <w:spacing w:after="0" w:line="140" w:lineRule="exact"/>
              <w:rPr>
                <w:sz w:val="20"/>
                <w:szCs w:val="20"/>
                <w:color w:val="auto"/>
              </w:rPr>
            </w:pPr>
            <w:r>
              <w:rPr>
                <w:rFonts w:ascii="Arial" w:cs="Arial" w:eastAsia="Arial" w:hAnsi="Arial"/>
                <w:sz w:val="14"/>
                <w:szCs w:val="14"/>
                <w:b w:val="1"/>
                <w:bCs w:val="1"/>
                <w:color w:val="auto"/>
                <w:w w:val="90"/>
              </w:rPr>
              <w:t>(Dollars in thousands)</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Accrued benefits</w:t>
            </w: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$ 235,813</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$ 200,793</w:t>
            </w:r>
          </w:p>
        </w:tc>
        <w:tc>
          <w:tcPr>
            <w:tcW w:w="0" w:type="dxa"/>
            <w:vAlign w:val="bottom"/>
          </w:tcPr>
          <w:p>
            <w:pPr>
              <w:spacing w:after="0"/>
              <w:rPr>
                <w:sz w:val="1"/>
                <w:szCs w:val="1"/>
                <w:color w:val="auto"/>
              </w:rPr>
            </w:pPr>
          </w:p>
        </w:tc>
      </w:tr>
      <w:tr>
        <w:trPr>
          <w:trHeight w:val="213"/>
        </w:trPr>
        <w:tc>
          <w:tcPr>
            <w:tcW w:w="9000" w:type="dxa"/>
            <w:vAlign w:val="bottom"/>
          </w:tcPr>
          <w:p>
            <w:pPr>
              <w:spacing w:after="0"/>
              <w:rPr>
                <w:sz w:val="20"/>
                <w:szCs w:val="20"/>
                <w:color w:val="auto"/>
              </w:rPr>
            </w:pPr>
            <w:r>
              <w:rPr>
                <w:rFonts w:ascii="Arial" w:cs="Arial" w:eastAsia="Arial" w:hAnsi="Arial"/>
                <w:sz w:val="18"/>
                <w:szCs w:val="18"/>
                <w:color w:val="auto"/>
              </w:rPr>
              <w:t>Salaries and incentives</w:t>
            </w: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100,418</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121,524</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Security loans</w:t>
            </w: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107,627</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271,807</w:t>
            </w:r>
          </w:p>
        </w:tc>
        <w:tc>
          <w:tcPr>
            <w:tcW w:w="0" w:type="dxa"/>
            <w:vAlign w:val="bottom"/>
          </w:tcPr>
          <w:p>
            <w:pPr>
              <w:spacing w:after="0"/>
              <w:rPr>
                <w:sz w:val="1"/>
                <w:szCs w:val="1"/>
                <w:color w:val="auto"/>
              </w:rPr>
            </w:pPr>
          </w:p>
        </w:tc>
      </w:tr>
      <w:tr>
        <w:trPr>
          <w:trHeight w:val="213"/>
        </w:trPr>
        <w:tc>
          <w:tcPr>
            <w:tcW w:w="9000" w:type="dxa"/>
            <w:vAlign w:val="bottom"/>
          </w:tcPr>
          <w:p>
            <w:pPr>
              <w:spacing w:after="0"/>
              <w:rPr>
                <w:sz w:val="20"/>
                <w:szCs w:val="20"/>
                <w:color w:val="auto"/>
              </w:rPr>
            </w:pPr>
            <w:r>
              <w:rPr>
                <w:rFonts w:ascii="Arial" w:cs="Arial" w:eastAsia="Arial" w:hAnsi="Arial"/>
                <w:sz w:val="18"/>
                <w:szCs w:val="18"/>
                <w:color w:val="auto"/>
              </w:rPr>
              <w:t>Accrued rent</w:t>
            </w: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78,624</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28,141</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56,471</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46,767</w:t>
            </w:r>
          </w:p>
        </w:tc>
        <w:tc>
          <w:tcPr>
            <w:tcW w:w="0" w:type="dxa"/>
            <w:vAlign w:val="bottom"/>
          </w:tcPr>
          <w:p>
            <w:pPr>
              <w:spacing w:after="0"/>
              <w:rPr>
                <w:sz w:val="1"/>
                <w:szCs w:val="1"/>
                <w:color w:val="auto"/>
              </w:rPr>
            </w:pPr>
          </w:p>
        </w:tc>
      </w:tr>
      <w:tr>
        <w:trPr>
          <w:trHeight w:val="213"/>
        </w:trPr>
        <w:tc>
          <w:tcPr>
            <w:tcW w:w="9000" w:type="dxa"/>
            <w:vAlign w:val="bottom"/>
          </w:tcPr>
          <w:p>
            <w:pPr>
              <w:spacing w:after="0"/>
              <w:rPr>
                <w:sz w:val="20"/>
                <w:szCs w:val="20"/>
                <w:color w:val="auto"/>
              </w:rPr>
            </w:pPr>
            <w:r>
              <w:rPr>
                <w:rFonts w:ascii="Arial" w:cs="Arial" w:eastAsia="Arial" w:hAnsi="Arial"/>
                <w:sz w:val="18"/>
                <w:szCs w:val="18"/>
                <w:color w:val="auto"/>
              </w:rPr>
              <w:t>Accrued recording fees and transfer taxes</w:t>
            </w:r>
          </w:p>
        </w:tc>
        <w:tc>
          <w:tcPr>
            <w:tcW w:w="1220" w:type="dxa"/>
            <w:vAlign w:val="bottom"/>
            <w:gridSpan w:val="4"/>
          </w:tcPr>
          <w:p>
            <w:pPr>
              <w:jc w:val="right"/>
              <w:ind w:right="260"/>
              <w:spacing w:after="0"/>
              <w:rPr>
                <w:sz w:val="20"/>
                <w:szCs w:val="20"/>
                <w:color w:val="auto"/>
              </w:rPr>
            </w:pPr>
            <w:r>
              <w:rPr>
                <w:rFonts w:ascii="Arial" w:cs="Arial" w:eastAsia="Arial" w:hAnsi="Arial"/>
                <w:sz w:val="18"/>
                <w:szCs w:val="18"/>
                <w:color w:val="auto"/>
              </w:rPr>
              <w:t>27,118</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32,690</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Accrued premium taxes</w:t>
            </w: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8,873</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16,430</w:t>
            </w:r>
          </w:p>
        </w:tc>
        <w:tc>
          <w:tcPr>
            <w:tcW w:w="0" w:type="dxa"/>
            <w:vAlign w:val="bottom"/>
          </w:tcPr>
          <w:p>
            <w:pPr>
              <w:spacing w:after="0"/>
              <w:rPr>
                <w:sz w:val="1"/>
                <w:szCs w:val="1"/>
                <w:color w:val="auto"/>
              </w:rPr>
            </w:pPr>
          </w:p>
        </w:tc>
      </w:tr>
      <w:tr>
        <w:trPr>
          <w:trHeight w:val="220"/>
        </w:trPr>
        <w:tc>
          <w:tcPr>
            <w:tcW w:w="900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26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214,001</w:t>
            </w:r>
          </w:p>
        </w:tc>
        <w:tc>
          <w:tcPr>
            <w:tcW w:w="26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$ 828,945</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$ 823,109</w:t>
            </w: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Arial" w:cs="Arial" w:eastAsia="Arial" w:hAnsi="Arial"/>
                <w:sz w:val="18"/>
                <w:szCs w:val="18"/>
                <w:b w:val="1"/>
                <w:bCs w:val="1"/>
                <w:color w:val="auto"/>
              </w:rPr>
              <w:t>I. Notes Payable</w:t>
            </w: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9000" w:type="dxa"/>
            <w:vAlign w:val="bottom"/>
          </w:tcPr>
          <w:p>
            <w:pPr>
              <w:ind w:left="220"/>
              <w:spacing w:after="0"/>
              <w:rPr>
                <w:sz w:val="20"/>
                <w:szCs w:val="20"/>
                <w:color w:val="auto"/>
              </w:rPr>
            </w:pPr>
            <w:r>
              <w:rPr>
                <w:rFonts w:ascii="Arial" w:cs="Arial" w:eastAsia="Arial" w:hAnsi="Arial"/>
                <w:sz w:val="18"/>
                <w:szCs w:val="18"/>
                <w:color w:val="auto"/>
              </w:rPr>
              <w:t>Notes payable consist of the following:</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9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0"/>
        </w:trPr>
        <w:tc>
          <w:tcPr>
            <w:tcW w:w="900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205"/>
              <w:spacing w:after="0" w:line="140"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197"/>
              <w:spacing w:after="0" w:line="140"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60" w:type="dxa"/>
            <w:vAlign w:val="bottom"/>
            <w:gridSpan w:val="7"/>
          </w:tcPr>
          <w:p>
            <w:pPr>
              <w:jc w:val="center"/>
              <w:ind w:right="340"/>
              <w:spacing w:after="0" w:line="140" w:lineRule="exact"/>
              <w:rPr>
                <w:sz w:val="20"/>
                <w:szCs w:val="20"/>
                <w:color w:val="auto"/>
              </w:rPr>
            </w:pPr>
            <w:r>
              <w:rPr>
                <w:rFonts w:ascii="Arial" w:cs="Arial" w:eastAsia="Arial" w:hAnsi="Arial"/>
                <w:sz w:val="14"/>
                <w:szCs w:val="14"/>
                <w:b w:val="1"/>
                <w:bCs w:val="1"/>
                <w:color w:val="auto"/>
                <w:w w:val="90"/>
              </w:rPr>
              <w:t>(Dollars in thousands)</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 net of discount, interest payable semi-annually at 5.25%, due March 2013</w:t>
            </w:r>
          </w:p>
        </w:tc>
        <w:tc>
          <w:tcPr>
            <w:tcW w:w="960" w:type="dxa"/>
            <w:vAlign w:val="bottom"/>
            <w:gridSpan w:val="3"/>
            <w:shd w:val="clear" w:color="auto" w:fill="CCEEFF"/>
          </w:tcPr>
          <w:p>
            <w:pPr>
              <w:jc w:val="right"/>
              <w:ind w:right="49"/>
              <w:spacing w:after="0"/>
              <w:rPr>
                <w:sz w:val="20"/>
                <w:szCs w:val="20"/>
                <w:color w:val="auto"/>
              </w:rPr>
            </w:pPr>
            <w:r>
              <w:rPr>
                <w:rFonts w:ascii="Arial" w:cs="Arial" w:eastAsia="Arial" w:hAnsi="Arial"/>
                <w:sz w:val="18"/>
                <w:szCs w:val="18"/>
                <w:color w:val="auto"/>
                <w:w w:val="96"/>
              </w:rPr>
              <w:t>$  249,217</w:t>
            </w:r>
          </w:p>
        </w:tc>
        <w:tc>
          <w:tcPr>
            <w:tcW w:w="26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249,033</w:t>
            </w:r>
          </w:p>
        </w:tc>
        <w:tc>
          <w:tcPr>
            <w:tcW w:w="0" w:type="dxa"/>
            <w:vAlign w:val="bottom"/>
          </w:tcPr>
          <w:p>
            <w:pPr>
              <w:spacing w:after="0"/>
              <w:rPr>
                <w:sz w:val="1"/>
                <w:szCs w:val="1"/>
                <w:color w:val="auto"/>
              </w:rPr>
            </w:pPr>
          </w:p>
        </w:tc>
      </w:tr>
      <w:tr>
        <w:trPr>
          <w:trHeight w:val="213"/>
        </w:trPr>
        <w:tc>
          <w:tcPr>
            <w:tcW w:w="9000" w:type="dxa"/>
            <w:vAlign w:val="bottom"/>
          </w:tcPr>
          <w:p>
            <w:pPr>
              <w:spacing w:after="0"/>
              <w:rPr>
                <w:sz w:val="20"/>
                <w:szCs w:val="20"/>
                <w:color w:val="auto"/>
              </w:rPr>
            </w:pPr>
            <w:r>
              <w:rPr>
                <w:rFonts w:ascii="Arial" w:cs="Arial" w:eastAsia="Arial" w:hAnsi="Arial"/>
                <w:sz w:val="18"/>
                <w:szCs w:val="18"/>
                <w:color w:val="auto"/>
              </w:rPr>
              <w:t>Unsecured notes, net of discount, interest payable semi-annually at 7.30%, due August 2011</w:t>
            </w:r>
          </w:p>
        </w:tc>
        <w:tc>
          <w:tcPr>
            <w:tcW w:w="960" w:type="dxa"/>
            <w:vAlign w:val="bottom"/>
            <w:gridSpan w:val="3"/>
          </w:tcPr>
          <w:p>
            <w:pPr>
              <w:jc w:val="right"/>
              <w:ind w:right="49"/>
              <w:spacing w:after="0"/>
              <w:rPr>
                <w:sz w:val="20"/>
                <w:szCs w:val="20"/>
                <w:color w:val="auto"/>
              </w:rPr>
            </w:pPr>
            <w:r>
              <w:rPr>
                <w:rFonts w:ascii="Arial" w:cs="Arial" w:eastAsia="Arial" w:hAnsi="Arial"/>
                <w:sz w:val="18"/>
                <w:szCs w:val="18"/>
                <w:color w:val="auto"/>
              </w:rPr>
              <w:t>241,081</w:t>
            </w:r>
          </w:p>
        </w:tc>
        <w:tc>
          <w:tcPr>
            <w:tcW w:w="26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240,981</w:t>
            </w:r>
          </w:p>
        </w:tc>
        <w:tc>
          <w:tcPr>
            <w:tcW w:w="0" w:type="dxa"/>
            <w:vAlign w:val="bottom"/>
          </w:tcPr>
          <w:p>
            <w:pPr>
              <w:spacing w:after="0"/>
              <w:rPr>
                <w:sz w:val="1"/>
                <w:szCs w:val="1"/>
                <w:color w:val="auto"/>
              </w:rPr>
            </w:pPr>
          </w:p>
        </w:tc>
      </w:tr>
      <w:tr>
        <w:trPr>
          <w:trHeight w:val="201"/>
        </w:trPr>
        <w:tc>
          <w:tcPr>
            <w:tcW w:w="9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Syndicated credit agreement, unsecured, interest payable monthly at LIBOR plus 0.36% (3.53% at December 31,</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 unused portion of $515 million at December 31, 2008, due October 2011</w:t>
            </w:r>
          </w:p>
        </w:tc>
        <w:tc>
          <w:tcPr>
            <w:tcW w:w="960" w:type="dxa"/>
            <w:vAlign w:val="bottom"/>
            <w:gridSpan w:val="3"/>
            <w:shd w:val="clear" w:color="auto" w:fill="CCEEFF"/>
          </w:tcPr>
          <w:p>
            <w:pPr>
              <w:jc w:val="right"/>
              <w:ind w:right="49"/>
              <w:spacing w:after="0"/>
              <w:rPr>
                <w:sz w:val="20"/>
                <w:szCs w:val="20"/>
                <w:color w:val="auto"/>
              </w:rPr>
            </w:pPr>
            <w:r>
              <w:rPr>
                <w:rFonts w:ascii="Arial" w:cs="Arial" w:eastAsia="Arial" w:hAnsi="Arial"/>
                <w:sz w:val="18"/>
                <w:szCs w:val="18"/>
                <w:color w:val="auto"/>
              </w:rPr>
              <w:t>585,000</w:t>
            </w:r>
          </w:p>
        </w:tc>
        <w:tc>
          <w:tcPr>
            <w:tcW w:w="26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535,000</w:t>
            </w:r>
          </w:p>
        </w:tc>
        <w:tc>
          <w:tcPr>
            <w:tcW w:w="0" w:type="dxa"/>
            <w:vAlign w:val="bottom"/>
          </w:tcPr>
          <w:p>
            <w:pPr>
              <w:spacing w:after="0"/>
              <w:rPr>
                <w:sz w:val="1"/>
                <w:szCs w:val="1"/>
                <w:color w:val="auto"/>
              </w:rPr>
            </w:pPr>
          </w:p>
        </w:tc>
      </w:tr>
      <w:tr>
        <w:trPr>
          <w:trHeight w:val="201"/>
        </w:trPr>
        <w:tc>
          <w:tcPr>
            <w:tcW w:w="9000" w:type="dxa"/>
            <w:vAlign w:val="bottom"/>
          </w:tcPr>
          <w:p>
            <w:pPr>
              <w:spacing w:after="0" w:line="201" w:lineRule="exact"/>
              <w:rPr>
                <w:sz w:val="20"/>
                <w:szCs w:val="20"/>
                <w:color w:val="auto"/>
              </w:rPr>
            </w:pPr>
            <w:r>
              <w:rPr>
                <w:rFonts w:ascii="Arial" w:cs="Arial" w:eastAsia="Arial" w:hAnsi="Arial"/>
                <w:sz w:val="18"/>
                <w:szCs w:val="18"/>
                <w:color w:val="auto"/>
                <w:w w:val="95"/>
              </w:rPr>
              <w:t>Bank promissory notes, nonrecourse, secured, interest payable monthly at various fixed rates (3.7%-10.67%), various</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000" w:type="dxa"/>
            <w:vAlign w:val="bottom"/>
          </w:tcPr>
          <w:p>
            <w:pPr>
              <w:ind w:left="200"/>
              <w:spacing w:after="0"/>
              <w:rPr>
                <w:sz w:val="20"/>
                <w:szCs w:val="20"/>
                <w:color w:val="auto"/>
              </w:rPr>
            </w:pPr>
            <w:r>
              <w:rPr>
                <w:rFonts w:ascii="Arial" w:cs="Arial" w:eastAsia="Arial" w:hAnsi="Arial"/>
                <w:sz w:val="18"/>
                <w:szCs w:val="18"/>
                <w:color w:val="auto"/>
              </w:rPr>
              <w:t>maturities</w:t>
            </w:r>
          </w:p>
        </w:tc>
        <w:tc>
          <w:tcPr>
            <w:tcW w:w="960" w:type="dxa"/>
            <w:vAlign w:val="bottom"/>
            <w:gridSpan w:val="3"/>
          </w:tcPr>
          <w:p>
            <w:pPr>
              <w:jc w:val="right"/>
              <w:ind w:right="49"/>
              <w:spacing w:after="0"/>
              <w:rPr>
                <w:sz w:val="20"/>
                <w:szCs w:val="20"/>
                <w:color w:val="auto"/>
              </w:rPr>
            </w:pPr>
            <w:r>
              <w:rPr>
                <w:rFonts w:ascii="Arial" w:cs="Arial" w:eastAsia="Arial" w:hAnsi="Arial"/>
                <w:sz w:val="18"/>
                <w:szCs w:val="18"/>
                <w:color w:val="auto"/>
              </w:rPr>
              <w:t>197,536</w:t>
            </w:r>
          </w:p>
        </w:tc>
        <w:tc>
          <w:tcPr>
            <w:tcW w:w="260" w:type="dxa"/>
            <w:vAlign w:val="bottom"/>
          </w:tcPr>
          <w:p>
            <w:pPr>
              <w:spacing w:after="0"/>
              <w:rPr>
                <w:sz w:val="19"/>
                <w:szCs w:val="19"/>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133,148</w:t>
            </w:r>
          </w:p>
        </w:tc>
        <w:tc>
          <w:tcPr>
            <w:tcW w:w="0" w:type="dxa"/>
            <w:vAlign w:val="bottom"/>
          </w:tcPr>
          <w:p>
            <w:pPr>
              <w:spacing w:after="0"/>
              <w:rPr>
                <w:sz w:val="1"/>
                <w:szCs w:val="1"/>
                <w:color w:val="auto"/>
              </w:rPr>
            </w:pPr>
          </w:p>
        </w:tc>
      </w:tr>
      <w:tr>
        <w:trPr>
          <w:trHeight w:val="202"/>
        </w:trPr>
        <w:tc>
          <w:tcPr>
            <w:tcW w:w="9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Subordinated note payable to LandAmerica Financial Group, Inc., interest payable annually at 2.36%, due</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2013</w:t>
            </w:r>
          </w:p>
        </w:tc>
        <w:tc>
          <w:tcPr>
            <w:tcW w:w="960" w:type="dxa"/>
            <w:vAlign w:val="bottom"/>
            <w:gridSpan w:val="3"/>
            <w:shd w:val="clear" w:color="auto" w:fill="CCEEFF"/>
          </w:tcPr>
          <w:p>
            <w:pPr>
              <w:jc w:val="right"/>
              <w:ind w:right="49"/>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900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$ 1,350,849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$ 1,167,739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ind w:left="5620"/>
              <w:spacing w:after="0"/>
              <w:rPr>
                <w:sz w:val="20"/>
                <w:szCs w:val="20"/>
                <w:color w:val="auto"/>
              </w:rPr>
            </w:pPr>
            <w:r>
              <w:rPr>
                <w:rFonts w:ascii="Arial" w:cs="Arial" w:eastAsia="Arial" w:hAnsi="Arial"/>
                <w:sz w:val="18"/>
                <w:szCs w:val="18"/>
                <w:color w:val="auto"/>
              </w:rPr>
              <w:t>83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9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90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right="200" w:firstLine="222"/>
        <w:spacing w:after="0" w:line="257" w:lineRule="auto"/>
        <w:rPr>
          <w:sz w:val="20"/>
          <w:szCs w:val="20"/>
          <w:color w:val="auto"/>
        </w:rPr>
      </w:pPr>
      <w:r>
        <w:rPr>
          <w:rFonts w:ascii="Arial" w:cs="Arial" w:eastAsia="Arial" w:hAnsi="Arial"/>
          <w:sz w:val="18"/>
          <w:szCs w:val="18"/>
          <w:color w:val="auto"/>
        </w:rPr>
        <w:t>On December 22, 2008, in connection with the acquisition of the LFG Underwriters, the Company entered into a $50 million subordinated note payable to LFG, due December 2013. This note bears interest at 2.36%, payable annually. In addition, the combined net assets of the LFG Underwriters included $15.7 million of notes payable which are included on FNF’s consolidated balance sheet at December 31, 2008.</w:t>
      </w:r>
    </w:p>
    <w:p>
      <w:pPr>
        <w:spacing w:after="0" w:line="82" w:lineRule="exact"/>
        <w:rPr>
          <w:sz w:val="20"/>
          <w:szCs w:val="20"/>
          <w:color w:val="auto"/>
        </w:rPr>
      </w:pPr>
    </w:p>
    <w:p>
      <w:pPr>
        <w:ind w:right="100" w:firstLine="212"/>
        <w:spacing w:after="0" w:line="291" w:lineRule="auto"/>
        <w:rPr>
          <w:sz w:val="20"/>
          <w:szCs w:val="20"/>
          <w:color w:val="auto"/>
        </w:rPr>
      </w:pPr>
      <w:r>
        <w:rPr>
          <w:rFonts w:ascii="Arial" w:cs="Arial" w:eastAsia="Arial" w:hAnsi="Arial"/>
          <w:sz w:val="16"/>
          <w:szCs w:val="16"/>
          <w:color w:val="auto"/>
        </w:rPr>
        <w:t>At December 31, 2008, the carrying value of the Company’s outstanding notes payable was approximately $71.8 million lower than its estimated fair value. The carrying value of the Company’s notes payable was approximately $6.3 million lower than its estimated fair value at December 31, 2007. The fair value of the Company’s unsecured notes payable is based on established market prices for the securities on December 31, 2008 and 2007. The fair value of the Company’s remaining fixed rate and variable rate notes payable is estimated using discounted cash flow analyses based on current market interest rates and comparison of interest rates being paid to the Company’s current incremental borrowing rates for similar types of borrowing arrangements.</w:t>
      </w:r>
    </w:p>
    <w:p>
      <w:pPr>
        <w:spacing w:after="0" w:line="58"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color w:val="auto"/>
        </w:rPr>
        <w:t>Effective October 24, 2006, the Company entered into a credit agreement (the “Credit Agreement”) with Bank of America, N.A. as Administrative Agent and Swing Line Lender, and other financial institutions party thereto. Effective October 11, 2007, the Company exercised an option to increase the amount of its credit facility by an additional $300 million. The Credit Agreement provides for a $1.1 billion unsecured revolving credit facility, including the additional $300 million, maturing on the fifth anniversary of the closing date. Amounts under the revolving credit facility may be borrowed, repaid and reborrowed by the borrower thereunder from time to time until the maturity of the revolving credit facility. Voluntary prepayment of the revolving credit facility under the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 (ii) a rate per annum equal to LIBOR plus a margin of between 0.23%-0.675%, depending on the Company’s then current senior unsecured long-term debt rating from the rating agencies. In addition, the Company pays a commitment fee between 0.07%-0.175% on the entire facility, also depending on the Company’s senior unsecured long-term debt rating.</w:t>
      </w:r>
    </w:p>
    <w:p>
      <w:pPr>
        <w:spacing w:after="0" w:line="63" w:lineRule="exact"/>
        <w:rPr>
          <w:sz w:val="20"/>
          <w:szCs w:val="20"/>
          <w:color w:val="auto"/>
        </w:rPr>
      </w:pPr>
    </w:p>
    <w:p>
      <w:pPr>
        <w:ind w:right="40" w:firstLine="219"/>
        <w:spacing w:after="0" w:line="282" w:lineRule="auto"/>
        <w:rPr>
          <w:sz w:val="20"/>
          <w:szCs w:val="20"/>
          <w:color w:val="auto"/>
        </w:rPr>
      </w:pPr>
      <w:r>
        <w:rPr>
          <w:rFonts w:ascii="Arial" w:cs="Arial" w:eastAsia="Arial" w:hAnsi="Arial"/>
          <w:sz w:val="16"/>
          <w:szCs w:val="16"/>
          <w:color w:val="auto"/>
        </w:rPr>
        <w:t>The Credit Agreement contains affirmative, negative and financial covenants customary for financings of this type, including, among other things, limits on the creation of liens, sales of assets, the incurrence of indebtedness, restricted payments, transactions with affiliates, and certain amendments. The Credit Agreement requires the Company to maintain certain financial ratios and levels of capitalization. The Credit Agreement prohibits us from paying dividends to our stockholders if an event of default has occurred and is continuing or would result therefrom. The Credit Agreement includes customary events of default for facilities of this type (with customary grace periods, as applicable). These events of default include a cross-default provision that, subject to limited exceptions, permits the lenders to declare the Credit Agreement in default if: (i) (A) the Company fails to make any payment after the applicable grace period under any indebtedness with a principal amount (including undrawn committed amounts) in excess of 3% of our net worth, as defined in the Credit Agreement, or (B) the Company fails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The Credit Agreement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 At December 31, 2008, the Company was in compliance with all of the covenants under the Credit Agreement.</w:t>
      </w:r>
    </w:p>
    <w:p>
      <w:pPr>
        <w:spacing w:after="0" w:line="70" w:lineRule="exact"/>
        <w:rPr>
          <w:sz w:val="20"/>
          <w:szCs w:val="20"/>
          <w:color w:val="auto"/>
        </w:rPr>
      </w:pPr>
    </w:p>
    <w:p>
      <w:pPr>
        <w:ind w:firstLine="222"/>
        <w:spacing w:after="0" w:line="251" w:lineRule="auto"/>
        <w:rPr>
          <w:sz w:val="20"/>
          <w:szCs w:val="20"/>
          <w:color w:val="auto"/>
        </w:rPr>
      </w:pPr>
      <w:r>
        <w:rPr>
          <w:rFonts w:ascii="Arial" w:cs="Arial" w:eastAsia="Arial" w:hAnsi="Arial"/>
          <w:sz w:val="18"/>
          <w:szCs w:val="18"/>
          <w:color w:val="auto"/>
        </w:rPr>
        <w:t>In connection with the purchase of certain leasing assets from FIS (see “Transactions with Related Parties” in note A), the Company assumed certain liabilities associated with those assets, including various bank promissory notes, totaling $134.9 million at the date of purchase. The Company has continued to use bank promissory notes with similar terms to finance purchases of assets within our leasing operations. As of December 31, 2008 and 2007, these promissory notes totaled $197.5 million and $133.1 million, respectively, bore interest at various fixed rates and matured at various dates. These promissory notes are non-recourse obligations and are secured by interests in certain leases and underlying equipment. In addition, the Company also assumed a $20 million revolving credit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facility. This facility is also secured by interests in certain leases and underlying equipment and bears interest at Prime-0.5%. As of December 31, 2008,</w:t>
      </w:r>
    </w:p>
    <w:p>
      <w:pPr>
        <w:spacing w:after="0" w:line="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$13.9 million was unused. On September 30, 2007, in connection with the acquisition of certain leasing assets from FIS, the Company also entered into an unsecured note with FIS in the amount of $7.3 million. The note, with a balance of $6.2 million and $7.1 million at December 31, 2008 and 2007, respectively, bears interest at LIBOR+0.45%, includes principal amortization of $0.2 million per quarter and is due October, 2012.</w:t>
      </w:r>
    </w:p>
    <w:p>
      <w:pPr>
        <w:spacing w:after="0" w:line="71" w:lineRule="exact"/>
        <w:rPr>
          <w:sz w:val="20"/>
          <w:szCs w:val="20"/>
          <w:color w:val="auto"/>
        </w:rPr>
      </w:pPr>
    </w:p>
    <w:p>
      <w:pPr>
        <w:ind w:right="20" w:firstLine="222"/>
        <w:spacing w:after="0" w:line="252" w:lineRule="auto"/>
        <w:rPr>
          <w:sz w:val="20"/>
          <w:szCs w:val="20"/>
          <w:color w:val="auto"/>
        </w:rPr>
      </w:pPr>
      <w:r>
        <w:rPr>
          <w:rFonts w:ascii="Arial" w:cs="Arial" w:eastAsia="Arial" w:hAnsi="Arial"/>
          <w:sz w:val="18"/>
          <w:szCs w:val="18"/>
          <w:color w:val="auto"/>
        </w:rPr>
        <w:t>On August 20, 2001, Old FNF completed a public offering of $250.0 million aggregate principal amount of 7.3% notes due August 15, 2011. The notes were priced at 99.597% of par to yield 7.358% annual interest. As such, the Company recorded a discount of $1.0 million, which is netted against the $250.0 million aggregate principal amount of notes. The discount is amortized to interest expense over 10 years, the term of the notes. The Company received net proceeds of $247.0 million, after expenses, which were used to pay down a portion of the amount outstanding under a prior credit agreement. Interest is payable semiannually.</w:t>
      </w:r>
    </w:p>
    <w:p>
      <w:pPr>
        <w:spacing w:after="0" w:line="87" w:lineRule="exact"/>
        <w:rPr>
          <w:sz w:val="20"/>
          <w:szCs w:val="20"/>
          <w:color w:val="auto"/>
        </w:rPr>
      </w:pPr>
    </w:p>
    <w:p>
      <w:pPr>
        <w:jc w:val="both"/>
        <w:ind w:right="60" w:firstLine="222"/>
        <w:spacing w:after="0" w:line="295" w:lineRule="auto"/>
        <w:rPr>
          <w:sz w:val="20"/>
          <w:szCs w:val="20"/>
          <w:color w:val="auto"/>
        </w:rPr>
      </w:pPr>
      <w:r>
        <w:rPr>
          <w:rFonts w:ascii="Arial" w:cs="Arial" w:eastAsia="Arial" w:hAnsi="Arial"/>
          <w:sz w:val="16"/>
          <w:szCs w:val="16"/>
          <w:color w:val="auto"/>
        </w:rPr>
        <w:t>On March 11, 2003, Old FNF issued $250.0 million aggregate principal amount of 5.25% notes, which are unsecured. The notes were priced at 99.247% of par to yield 5.433% annual interest. As such, the Company recorded a discount of $1.9 million, which was netted against the $250.0 million aggregate principal amount of notes. The discount was amortized to interest expense based on the 10-year term of the notes. The Company received net proceeds of approximately $246.2 million, after expenses, which was used to pay a portion of the $1,069.6 million purchase price for FIS. Interest was payable semiannually.</w:t>
      </w:r>
    </w:p>
    <w:p>
      <w:pPr>
        <w:spacing w:after="0" w:line="56"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On January 17, 2006, $241.3 million aggregate principal amount of the Old FNF 7.30% notes due 2011 and the entire $250.0 million aggregate principal amount of the Old FNF 5.25% notes due 2013 were exchanged for FNF notes having identical terms. The remaining principal amount of $8.7 million of the Old FNF 7.30% notes has been redeemed and cancelled.</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Principal maturities of notes payable at December 31, 2008, are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7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87,639</w:t>
            </w: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8"/>
                <w:szCs w:val="18"/>
                <w:color w:val="auto"/>
              </w:rPr>
              <w:t>2010</w:t>
            </w: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58,835</w:t>
            </w:r>
          </w:p>
        </w:tc>
        <w:tc>
          <w:tcPr>
            <w:tcW w:w="0" w:type="dxa"/>
            <w:vAlign w:val="bottom"/>
          </w:tcPr>
          <w:p>
            <w:pPr>
              <w:spacing w:after="0"/>
              <w:rPr>
                <w:sz w:val="1"/>
                <w:szCs w:val="1"/>
                <w:color w:val="auto"/>
              </w:rPr>
            </w:pPr>
          </w:p>
        </w:tc>
      </w:tr>
      <w:tr>
        <w:trPr>
          <w:trHeight w:val="213"/>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870,671</w:t>
            </w:r>
          </w:p>
        </w:tc>
        <w:tc>
          <w:tcPr>
            <w:tcW w:w="0" w:type="dxa"/>
            <w:vAlign w:val="bottom"/>
          </w:tcPr>
          <w:p>
            <w:pPr>
              <w:spacing w:after="0"/>
              <w:rPr>
                <w:sz w:val="1"/>
                <w:szCs w:val="1"/>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8"/>
                <w:szCs w:val="18"/>
                <w:color w:val="auto"/>
              </w:rPr>
              <w:t>2012</w:t>
            </w: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20,956</w:t>
            </w:r>
          </w:p>
        </w:tc>
        <w:tc>
          <w:tcPr>
            <w:tcW w:w="0" w:type="dxa"/>
            <w:vAlign w:val="bottom"/>
          </w:tcPr>
          <w:p>
            <w:pPr>
              <w:spacing w:after="0"/>
              <w:rPr>
                <w:sz w:val="1"/>
                <w:szCs w:val="1"/>
                <w:color w:val="auto"/>
              </w:rPr>
            </w:pPr>
          </w:p>
        </w:tc>
      </w:tr>
      <w:tr>
        <w:trPr>
          <w:trHeight w:val="213"/>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309,344</w:t>
            </w:r>
          </w:p>
        </w:tc>
        <w:tc>
          <w:tcPr>
            <w:tcW w:w="0" w:type="dxa"/>
            <w:vAlign w:val="bottom"/>
          </w:tcPr>
          <w:p>
            <w:pPr>
              <w:spacing w:after="0"/>
              <w:rPr>
                <w:sz w:val="1"/>
                <w:szCs w:val="1"/>
                <w:color w:val="auto"/>
              </w:rPr>
            </w:pPr>
          </w:p>
        </w:tc>
      </w:tr>
      <w:tr>
        <w:trPr>
          <w:trHeight w:val="220"/>
        </w:trPr>
        <w:tc>
          <w:tcPr>
            <w:tcW w:w="3180" w:type="dxa"/>
            <w:vAlign w:val="bottom"/>
          </w:tcPr>
          <w:p>
            <w:pPr>
              <w:spacing w:after="0"/>
              <w:rPr>
                <w:sz w:val="20"/>
                <w:szCs w:val="20"/>
                <w:color w:val="auto"/>
              </w:rPr>
            </w:pPr>
            <w:r>
              <w:rPr>
                <w:rFonts w:ascii="Arial" w:cs="Arial" w:eastAsia="Arial" w:hAnsi="Arial"/>
                <w:sz w:val="18"/>
                <w:szCs w:val="18"/>
                <w:color w:val="auto"/>
              </w:rPr>
              <w:t>Thereafter</w:t>
            </w:r>
          </w:p>
        </w:tc>
        <w:tc>
          <w:tcPr>
            <w:tcW w:w="7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1,350,849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7300" w:type="dxa"/>
            <w:vAlign w:val="bottom"/>
            <w:vMerge w:val="restart"/>
          </w:tcPr>
          <w:p>
            <w:pPr>
              <w:jc w:val="right"/>
              <w:ind w:right="4591"/>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180" w:type="dxa"/>
            <w:vAlign w:val="bottom"/>
          </w:tcPr>
          <w:p>
            <w:pPr>
              <w:spacing w:after="0"/>
              <w:rPr>
                <w:sz w:val="24"/>
                <w:szCs w:val="24"/>
                <w:color w:val="auto"/>
              </w:rPr>
            </w:pPr>
          </w:p>
        </w:tc>
        <w:tc>
          <w:tcPr>
            <w:tcW w:w="7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180" w:type="dxa"/>
            <w:vAlign w:val="bottom"/>
            <w:tcBorders>
              <w:bottom w:val="single" w:sz="8" w:color="808080"/>
            </w:tcBorders>
          </w:tcPr>
          <w:p>
            <w:pPr>
              <w:spacing w:after="0"/>
              <w:rPr>
                <w:sz w:val="19"/>
                <w:szCs w:val="19"/>
                <w:color w:val="auto"/>
              </w:rPr>
            </w:pPr>
          </w:p>
        </w:tc>
        <w:tc>
          <w:tcPr>
            <w:tcW w:w="7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Income Taxes</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Income tax (benefit) expense consists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4"/>
              </w:rPr>
              <w:t>Year Ended December 31,</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0"/>
        </w:trPr>
        <w:tc>
          <w:tcPr>
            <w:tcW w:w="42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0"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0" w:lineRule="exact"/>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jc w:val="right"/>
              <w:ind w:right="129"/>
              <w:spacing w:after="0" w:line="140"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140"/>
        </w:trPr>
        <w:tc>
          <w:tcPr>
            <w:tcW w:w="42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4"/>
          </w:tcPr>
          <w:p>
            <w:pPr>
              <w:jc w:val="right"/>
              <w:ind w:right="240"/>
              <w:spacing w:after="0" w:line="140"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(91,847)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55,212</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$ 331,327</w:t>
            </w:r>
          </w:p>
        </w:tc>
      </w:tr>
      <w:tr>
        <w:trPr>
          <w:trHeight w:val="213"/>
        </w:trPr>
        <w:tc>
          <w:tcPr>
            <w:tcW w:w="4260" w:type="dxa"/>
            <w:vAlign w:val="bottom"/>
          </w:tcPr>
          <w:p>
            <w:pPr>
              <w:spacing w:after="0"/>
              <w:rPr>
                <w:sz w:val="20"/>
                <w:szCs w:val="20"/>
                <w:color w:val="auto"/>
              </w:rPr>
            </w:pPr>
            <w:r>
              <w:rPr>
                <w:rFonts w:ascii="Arial" w:cs="Arial" w:eastAsia="Arial" w:hAnsi="Arial"/>
                <w:sz w:val="18"/>
                <w:szCs w:val="18"/>
                <w:color w:val="auto"/>
              </w:rPr>
              <w:t>Deferred</w:t>
            </w: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(33,695)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(8,436)</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19,544</w:t>
            </w:r>
          </w:p>
        </w:tc>
      </w:tr>
      <w:tr>
        <w:trPr>
          <w:trHeight w:val="27"/>
        </w:trPr>
        <w:tc>
          <w:tcPr>
            <w:tcW w:w="42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3"/>
        </w:trPr>
        <w:tc>
          <w:tcPr>
            <w:tcW w:w="426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(125,542)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46,776</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$ 350,871</w:t>
            </w:r>
          </w:p>
        </w:tc>
      </w:tr>
      <w:tr>
        <w:trPr>
          <w:trHeight w:val="20"/>
        </w:trPr>
        <w:tc>
          <w:tcPr>
            <w:tcW w:w="42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 the year ended December 31, 2006, the aggregate amount above includes income tax expense attributable to FIS operations of $118.4 million.</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income tax (benefit) expense for the years ended December 31 was allocated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80" w:type="dxa"/>
            <w:vAlign w:val="bottom"/>
          </w:tcPr>
          <w:p>
            <w:pPr>
              <w:spacing w:after="0"/>
              <w:rPr>
                <w:sz w:val="14"/>
                <w:szCs w:val="14"/>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Statement of earnings</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(125,542)</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46,776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$ 350,871</w:t>
            </w:r>
          </w:p>
        </w:tc>
        <w:tc>
          <w:tcPr>
            <w:tcW w:w="0" w:type="dxa"/>
            <w:vAlign w:val="bottom"/>
          </w:tcPr>
          <w:p>
            <w:pPr>
              <w:spacing w:after="0"/>
              <w:rPr>
                <w:sz w:val="1"/>
                <w:szCs w:val="1"/>
                <w:color w:val="auto"/>
              </w:rPr>
            </w:pPr>
          </w:p>
        </w:tc>
      </w:tr>
      <w:tr>
        <w:trPr>
          <w:trHeight w:val="219"/>
        </w:trPr>
        <w:tc>
          <w:tcPr>
            <w:tcW w:w="78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6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unrealized foreign currency translation gains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Arial" w:cs="Arial" w:eastAsia="Arial" w:hAnsi="Arial"/>
                <w:sz w:val="18"/>
                <w:szCs w:val="18"/>
                <w:color w:val="auto"/>
              </w:rPr>
              <w:t>Minimum pension liability adjustment</w:t>
            </w:r>
          </w:p>
        </w:tc>
        <w:tc>
          <w:tcPr>
            <w:tcW w:w="840" w:type="dxa"/>
            <w:vAlign w:val="bottom"/>
            <w:gridSpan w:val="3"/>
          </w:tcPr>
          <w:p>
            <w:pPr>
              <w:jc w:val="center"/>
              <w:ind w:left="73"/>
              <w:spacing w:after="0"/>
              <w:rPr>
                <w:sz w:val="20"/>
                <w:szCs w:val="20"/>
                <w:color w:val="auto"/>
              </w:rPr>
            </w:pPr>
            <w:r>
              <w:rPr>
                <w:rFonts w:ascii="Arial" w:cs="Arial" w:eastAsia="Arial" w:hAnsi="Arial"/>
                <w:sz w:val="18"/>
                <w:szCs w:val="18"/>
                <w:color w:val="auto"/>
                <w:w w:val="89"/>
              </w:rPr>
              <w:t>(10,437)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6,165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13"/>
        </w:trPr>
        <w:tc>
          <w:tcPr>
            <w:tcW w:w="7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(losses) gains on investment securities: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Arial" w:cs="Arial" w:eastAsia="Arial" w:hAnsi="Arial"/>
                <w:sz w:val="18"/>
                <w:szCs w:val="18"/>
                <w:color w:val="auto"/>
              </w:rPr>
              <w:t>Unrealized holding (losses) gains arising during the year</w:t>
            </w:r>
          </w:p>
        </w:tc>
        <w:tc>
          <w:tcPr>
            <w:tcW w:w="840" w:type="dxa"/>
            <w:vAlign w:val="bottom"/>
            <w:gridSpan w:val="3"/>
          </w:tcPr>
          <w:p>
            <w:pPr>
              <w:jc w:val="center"/>
              <w:ind w:left="73"/>
              <w:spacing w:after="0"/>
              <w:rPr>
                <w:sz w:val="20"/>
                <w:szCs w:val="20"/>
                <w:color w:val="auto"/>
              </w:rPr>
            </w:pPr>
            <w:r>
              <w:rPr>
                <w:rFonts w:ascii="Arial" w:cs="Arial" w:eastAsia="Arial" w:hAnsi="Arial"/>
                <w:sz w:val="18"/>
                <w:szCs w:val="18"/>
                <w:color w:val="auto"/>
                <w:w w:val="89"/>
              </w:rPr>
              <w:t>(20,683)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25,699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15,190</w:t>
            </w:r>
          </w:p>
        </w:tc>
        <w:tc>
          <w:tcPr>
            <w:tcW w:w="0" w:type="dxa"/>
            <w:vAlign w:val="bottom"/>
          </w:tcPr>
          <w:p>
            <w:pPr>
              <w:spacing w:after="0"/>
              <w:rPr>
                <w:sz w:val="1"/>
                <w:szCs w:val="1"/>
                <w:color w:val="auto"/>
              </w:rPr>
            </w:pPr>
          </w:p>
        </w:tc>
      </w:tr>
      <w:tr>
        <w:trPr>
          <w:trHeight w:val="213"/>
        </w:trPr>
        <w:tc>
          <w:tcPr>
            <w:tcW w:w="7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Reclassification adjustment for realized losses (gains) included in net earnings</w:t>
            </w:r>
          </w:p>
        </w:tc>
        <w:tc>
          <w:tcPr>
            <w:tcW w:w="840" w:type="dxa"/>
            <w:vAlign w:val="bottom"/>
            <w:gridSpan w:val="3"/>
            <w:shd w:val="clear" w:color="auto" w:fill="CCEEFF"/>
          </w:tcPr>
          <w:p>
            <w:pPr>
              <w:jc w:val="center"/>
              <w:ind w:left="73"/>
              <w:spacing w:after="0"/>
              <w:rPr>
                <w:sz w:val="20"/>
                <w:szCs w:val="20"/>
                <w:color w:val="auto"/>
              </w:rPr>
            </w:pPr>
            <w:r>
              <w:rPr>
                <w:rFonts w:ascii="Arial" w:cs="Arial" w:eastAsia="Arial" w:hAnsi="Arial"/>
                <w:sz w:val="18"/>
                <w:szCs w:val="18"/>
                <w:color w:val="auto"/>
                <w:w w:val="87"/>
              </w:rPr>
              <w:t>18,215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(6,395)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color w:val="auto"/>
              </w:rPr>
              <w:t>Total income tax (benefit) expense allocated to other comprehensive income</w:t>
            </w: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80" w:type="dxa"/>
            <w:vAlign w:val="bottom"/>
            <w:vMerge w:val="continue"/>
          </w:tcPr>
          <w:p>
            <w:pPr>
              <w:spacing w:after="0"/>
              <w:rPr>
                <w:sz w:val="19"/>
                <w:szCs w:val="19"/>
                <w:color w:val="auto"/>
              </w:rPr>
            </w:pPr>
          </w:p>
        </w:tc>
        <w:tc>
          <w:tcPr>
            <w:tcW w:w="840" w:type="dxa"/>
            <w:vAlign w:val="bottom"/>
            <w:gridSpan w:val="3"/>
          </w:tcPr>
          <w:p>
            <w:pPr>
              <w:jc w:val="center"/>
              <w:ind w:left="73"/>
              <w:spacing w:after="0"/>
              <w:rPr>
                <w:sz w:val="20"/>
                <w:szCs w:val="20"/>
                <w:color w:val="auto"/>
              </w:rPr>
            </w:pPr>
            <w:r>
              <w:rPr>
                <w:rFonts w:ascii="Arial" w:cs="Arial" w:eastAsia="Arial" w:hAnsi="Arial"/>
                <w:sz w:val="18"/>
                <w:szCs w:val="18"/>
                <w:color w:val="auto"/>
                <w:w w:val="89"/>
              </w:rPr>
              <w:t>(12,629)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26,869</w:t>
            </w:r>
          </w:p>
        </w:tc>
        <w:tc>
          <w:tcPr>
            <w:tcW w:w="640" w:type="dxa"/>
            <w:vAlign w:val="bottom"/>
          </w:tcPr>
          <w:p>
            <w:pPr>
              <w:jc w:val="right"/>
              <w:spacing w:after="0"/>
              <w:rPr>
                <w:sz w:val="20"/>
                <w:szCs w:val="20"/>
                <w:color w:val="auto"/>
              </w:rPr>
            </w:pPr>
            <w:r>
              <w:rPr>
                <w:rFonts w:ascii="Arial" w:cs="Arial" w:eastAsia="Arial" w:hAnsi="Arial"/>
                <w:sz w:val="18"/>
                <w:szCs w:val="18"/>
                <w:color w:val="auto"/>
              </w:rPr>
              <w:t>11,144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 (exercise of stock options)</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(4,687)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(81,776)</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color w:val="auto"/>
              </w:rPr>
              <w:t>Total income taxes</w:t>
            </w: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80" w:type="dxa"/>
            <w:vAlign w:val="bottom"/>
            <w:vMerge w:val="continue"/>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(138,468)</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68,958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$ 280,239</w:t>
            </w:r>
          </w:p>
        </w:tc>
        <w:tc>
          <w:tcPr>
            <w:tcW w:w="0" w:type="dxa"/>
            <w:vAlign w:val="bottom"/>
          </w:tcPr>
          <w:p>
            <w:pPr>
              <w:spacing w:after="0"/>
              <w:rPr>
                <w:sz w:val="1"/>
                <w:szCs w:val="1"/>
                <w:color w:val="auto"/>
              </w:rPr>
            </w:pPr>
          </w:p>
        </w:tc>
      </w:tr>
      <w:tr>
        <w:trPr>
          <w:trHeight w:val="20"/>
        </w:trPr>
        <w:tc>
          <w:tcPr>
            <w:tcW w:w="7880" w:type="dxa"/>
            <w:vAlign w:val="bottom"/>
            <w:vMerge w:val="restart"/>
          </w:tcPr>
          <w:p>
            <w:pPr>
              <w:ind w:left="220"/>
              <w:spacing w:after="0"/>
              <w:rPr>
                <w:sz w:val="20"/>
                <w:szCs w:val="20"/>
                <w:color w:val="auto"/>
              </w:rPr>
            </w:pPr>
            <w:r>
              <w:rPr>
                <w:rFonts w:ascii="Arial" w:cs="Arial" w:eastAsia="Arial" w:hAnsi="Arial"/>
                <w:sz w:val="18"/>
                <w:szCs w:val="18"/>
                <w:color w:val="auto"/>
              </w:rPr>
              <w:t>A reconciliation of the federal statutory rate to the Company’s effective tax rate is as follows: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8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8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7880" w:type="dxa"/>
            <w:vAlign w:val="bottom"/>
          </w:tcPr>
          <w:p>
            <w:pPr>
              <w:spacing w:after="0"/>
              <w:rPr>
                <w:sz w:val="12"/>
                <w:szCs w:val="12"/>
                <w:color w:val="auto"/>
              </w:rPr>
            </w:pPr>
          </w:p>
        </w:tc>
        <w:tc>
          <w:tcPr>
            <w:tcW w:w="600" w:type="dxa"/>
            <w:vAlign w:val="bottom"/>
            <w:tcBorders>
              <w:bottom w:val="single" w:sz="8" w:color="auto"/>
            </w:tcBorders>
          </w:tcPr>
          <w:p>
            <w:pPr>
              <w:jc w:val="right"/>
              <w:ind w:right="93"/>
              <w:spacing w:after="0" w:line="140"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3"/>
              <w:spacing w:after="0" w:line="140" w:lineRule="exact"/>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Borders>
              <w:bottom w:val="single" w:sz="8" w:color="auto"/>
            </w:tcBorders>
          </w:tcPr>
          <w:p>
            <w:pPr>
              <w:jc w:val="right"/>
              <w:ind w:right="93"/>
              <w:spacing w:after="0" w:line="140"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7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35.0%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Arial" w:cs="Arial" w:eastAsia="Arial" w:hAnsi="Arial"/>
                <w:sz w:val="18"/>
                <w:szCs w:val="18"/>
                <w:color w:val="auto"/>
              </w:rPr>
              <w:t>Federal benefit of state taxes</w:t>
            </w:r>
          </w:p>
        </w:tc>
        <w:tc>
          <w:tcPr>
            <w:tcW w:w="740" w:type="dxa"/>
            <w:vAlign w:val="bottom"/>
            <w:gridSpan w:val="2"/>
          </w:tcPr>
          <w:p>
            <w:pPr>
              <w:jc w:val="center"/>
              <w:ind w:left="153"/>
              <w:spacing w:after="0"/>
              <w:rPr>
                <w:sz w:val="20"/>
                <w:szCs w:val="20"/>
                <w:color w:val="auto"/>
              </w:rPr>
            </w:pPr>
            <w:r>
              <w:rPr>
                <w:rFonts w:ascii="Arial" w:cs="Arial" w:eastAsia="Arial" w:hAnsi="Arial"/>
                <w:sz w:val="18"/>
                <w:szCs w:val="18"/>
                <w:color w:val="auto"/>
                <w:w w:val="91"/>
              </w:rPr>
              <w:t>(0.9)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6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3"/>
        </w:trPr>
        <w:tc>
          <w:tcPr>
            <w:tcW w:w="7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Deductible dividends paid to FNF 401(k) plan</w:t>
            </w:r>
          </w:p>
        </w:tc>
        <w:tc>
          <w:tcPr>
            <w:tcW w:w="740" w:type="dxa"/>
            <w:vAlign w:val="bottom"/>
            <w:gridSpan w:val="2"/>
            <w:shd w:val="clear" w:color="auto" w:fill="CCEEFF"/>
          </w:tcPr>
          <w:p>
            <w:pPr>
              <w:jc w:val="center"/>
              <w:ind w:left="153"/>
              <w:spacing w:after="0"/>
              <w:rPr>
                <w:sz w:val="20"/>
                <w:szCs w:val="20"/>
                <w:color w:val="auto"/>
              </w:rPr>
            </w:pPr>
            <w:r>
              <w:rPr>
                <w:rFonts w:ascii="Arial" w:cs="Arial" w:eastAsia="Arial" w:hAnsi="Arial"/>
                <w:sz w:val="18"/>
                <w:szCs w:val="18"/>
                <w:color w:val="auto"/>
                <w:w w:val="87"/>
              </w:rPr>
              <w:t>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6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Arial" w:cs="Arial" w:eastAsia="Arial" w:hAnsi="Arial"/>
                <w:sz w:val="18"/>
                <w:szCs w:val="18"/>
                <w:color w:val="auto"/>
              </w:rPr>
              <w:t>Tax exempt interest income</w:t>
            </w:r>
          </w:p>
        </w:tc>
        <w:tc>
          <w:tcPr>
            <w:tcW w:w="740" w:type="dxa"/>
            <w:vAlign w:val="bottom"/>
            <w:gridSpan w:val="2"/>
          </w:tcPr>
          <w:p>
            <w:pPr>
              <w:jc w:val="center"/>
              <w:ind w:left="153"/>
              <w:spacing w:after="0"/>
              <w:rPr>
                <w:sz w:val="20"/>
                <w:szCs w:val="20"/>
                <w:color w:val="auto"/>
              </w:rPr>
            </w:pPr>
            <w:r>
              <w:rPr>
                <w:rFonts w:ascii="Arial" w:cs="Arial" w:eastAsia="Arial" w:hAnsi="Arial"/>
                <w:sz w:val="18"/>
                <w:szCs w:val="18"/>
                <w:color w:val="auto"/>
                <w:w w:val="87"/>
              </w:rPr>
              <w:t>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6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3"/>
        </w:trPr>
        <w:tc>
          <w:tcPr>
            <w:tcW w:w="7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 income taxes</w:t>
            </w:r>
          </w:p>
        </w:tc>
        <w:tc>
          <w:tcPr>
            <w:tcW w:w="740" w:type="dxa"/>
            <w:vAlign w:val="bottom"/>
            <w:gridSpan w:val="2"/>
            <w:shd w:val="clear" w:color="auto" w:fill="CCEEFF"/>
          </w:tcPr>
          <w:p>
            <w:pPr>
              <w:jc w:val="center"/>
              <w:ind w:left="153"/>
              <w:spacing w:after="0"/>
              <w:rPr>
                <w:sz w:val="20"/>
                <w:szCs w:val="20"/>
                <w:color w:val="auto"/>
              </w:rPr>
            </w:pPr>
            <w:r>
              <w:rPr>
                <w:rFonts w:ascii="Arial" w:cs="Arial" w:eastAsia="Arial" w:hAnsi="Arial"/>
                <w:sz w:val="18"/>
                <w:szCs w:val="18"/>
                <w:color w:val="auto"/>
                <w:w w:val="87"/>
              </w:rPr>
              <w:t>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6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Arial" w:cs="Arial" w:eastAsia="Arial" w:hAnsi="Arial"/>
                <w:sz w:val="18"/>
                <w:szCs w:val="18"/>
                <w:color w:val="auto"/>
              </w:rPr>
              <w:t>Non-deductible expenses</w:t>
            </w:r>
          </w:p>
        </w:tc>
        <w:tc>
          <w:tcPr>
            <w:tcW w:w="740" w:type="dxa"/>
            <w:vAlign w:val="bottom"/>
            <w:gridSpan w:val="2"/>
          </w:tcPr>
          <w:p>
            <w:pPr>
              <w:jc w:val="center"/>
              <w:ind w:left="153"/>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6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88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88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26.5%</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7880" w:type="dxa"/>
            <w:vAlign w:val="bottom"/>
            <w:vMerge w:val="restart"/>
          </w:tcPr>
          <w:p>
            <w:pPr>
              <w:ind w:left="5620"/>
              <w:spacing w:after="0"/>
              <w:rPr>
                <w:sz w:val="20"/>
                <w:szCs w:val="20"/>
                <w:color w:val="auto"/>
              </w:rPr>
            </w:pPr>
            <w:r>
              <w:rPr>
                <w:rFonts w:ascii="Arial" w:cs="Arial" w:eastAsia="Arial" w:hAnsi="Arial"/>
                <w:sz w:val="18"/>
                <w:szCs w:val="18"/>
                <w:color w:val="auto"/>
              </w:rPr>
              <w:t>86</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78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8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significant components of deferred tax assets and liabilities at December 31, 2008 and 2007 consist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0"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0"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6"/>
          </w:tcPr>
          <w:p>
            <w:pPr>
              <w:jc w:val="right"/>
              <w:ind w:right="520"/>
              <w:spacing w:after="0" w:line="140"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Net operating loss carryovers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142,778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Insurance reserve discounting</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131,939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Employee benefit accruals</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54,770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52,135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39,080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Pension</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14,730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Amortization of goodwill and intangible assets</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8,789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State income taxes</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17,717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425,052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83,461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(132,550)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38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292,502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83,461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Title plant</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(70,925)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(58,656)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Lease accounting</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(32,372)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(28,042)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Bad debts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Amortization of goodwill and intangible assets</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(28,821)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Insurance reserve discounting</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(18,171)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vMerge w:val="restart"/>
          </w:tcPr>
          <w:p>
            <w:pPr>
              <w:ind w:left="180"/>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9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(153,284)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(144,070)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9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asset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139,218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right="20" w:firstLine="267"/>
        <w:spacing w:after="0" w:line="284" w:lineRule="auto"/>
        <w:rPr>
          <w:sz w:val="20"/>
          <w:szCs w:val="20"/>
          <w:color w:val="auto"/>
        </w:rPr>
      </w:pPr>
      <w:r>
        <w:rPr>
          <w:rFonts w:ascii="Arial" w:cs="Arial" w:eastAsia="Arial" w:hAnsi="Arial"/>
          <w:sz w:val="16"/>
          <w:szCs w:val="16"/>
          <w:color w:val="auto"/>
        </w:rPr>
        <w:t>Management believes that, based on its historical pattern of taxable income, the Company will produce sufficient income in the future to realize its deferred tax assets. The Company changed from a net deferred tax liability position of $60,609 in 2007 to a net deferred tax asset position of $139,218 in 2008. The significant components that make up this change relate to the following items. The Insurance Reserve Discounting changed by $150 million due to the inclusion of the LFG Underwriters’ insurance reserves and the change in the statutory premium reserve amortization related to the 2007 redomestication of two of the FNF underwriters. Investment securities changed by $50.3 million, consisting primarily of the inclusion of the LFG Underwriters’ investment securities and the change in the FAS 115 adjustment for unrealized losses. Amortization of Goodwill and Intangible Assets changed by approximately $38 million consisting primarily of the addition of the LFG Underwriters’ Goodwill and Intangible Assets. The Company has also added a deferred tax asset for the net operating loss attributable to the LFG Underwriters in the amount of $132,550, for which a full valuation allowance has been applied. The deferred tax asset for the net operating loss has been fully valued at this time, as the Company is in the process of determining the probability of its utilization.</w:t>
      </w:r>
    </w:p>
    <w:p>
      <w:pPr>
        <w:spacing w:after="0" w:line="67" w:lineRule="exact"/>
        <w:rPr>
          <w:sz w:val="20"/>
          <w:szCs w:val="20"/>
          <w:color w:val="auto"/>
        </w:rPr>
      </w:pPr>
    </w:p>
    <w:p>
      <w:pPr>
        <w:ind w:right="60" w:firstLine="219"/>
        <w:spacing w:after="0" w:line="267" w:lineRule="auto"/>
        <w:rPr>
          <w:sz w:val="20"/>
          <w:szCs w:val="20"/>
          <w:color w:val="auto"/>
        </w:rPr>
      </w:pPr>
      <w:r>
        <w:rPr>
          <w:rFonts w:ascii="Arial" w:cs="Arial" w:eastAsia="Arial" w:hAnsi="Arial"/>
          <w:sz w:val="18"/>
          <w:szCs w:val="18"/>
          <w:color w:val="auto"/>
        </w:rPr>
        <w:t>Tax benefits of $0.3 million, $4.7 million, and $81.8 million associated with the exercise of employee stock options and the vesting of restricted stock grants were allocated to stockholders’ equity for the years ended December 31, 2008, 2007, and 2006, respectively.</w:t>
      </w:r>
    </w:p>
    <w:p>
      <w:pPr>
        <w:spacing w:after="0" w:line="73" w:lineRule="exact"/>
        <w:rPr>
          <w:sz w:val="20"/>
          <w:szCs w:val="20"/>
          <w:color w:val="auto"/>
        </w:rPr>
      </w:pPr>
    </w:p>
    <w:p>
      <w:pPr>
        <w:ind w:right="100" w:firstLine="222"/>
        <w:spacing w:after="0" w:line="267" w:lineRule="auto"/>
        <w:rPr>
          <w:sz w:val="20"/>
          <w:szCs w:val="20"/>
          <w:color w:val="auto"/>
        </w:rPr>
      </w:pPr>
      <w:r>
        <w:rPr>
          <w:rFonts w:ascii="Arial" w:cs="Arial" w:eastAsia="Arial" w:hAnsi="Arial"/>
          <w:sz w:val="18"/>
          <w:szCs w:val="18"/>
          <w:color w:val="auto"/>
        </w:rPr>
        <w:t>In June 2006, the FASB issued Interpretation No. 48, “Accounting for Uncertainty in Income Taxes — an interpretation of FASB Statement No. 109” (“FIN 48”). FIN 48 requires an evaluation to determine the likelihood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that an uncertain tax position will be sustained upon examination, including resolution of any related appeals or litigation processes. If it is determined that it is more likely than not that an uncertain tax position will be sustained upon examination, the next step is to determine the amount to be recognized. FIN 48 prescribes recognition of the largest amount of tax benefit that is greater than 50 percent likely of being recognized upon ultimate settlement of an uncertain tax position. Such amounts are to be recognized as of the first financial reporting period during which the more-likely-than-not recognition threshold is met. Similarly, an amount that has previously been recognized will be reversed as of the first financial reporting period during which the more-likely-than-not recognition threshold is not met. FIN 48 is effective for fiscal years beginning after December 15, 2006. The Company adopted FIN 48 effective January 1, 2007. As a result of the adoption, the Company had no change to reserves for uncertain tax positions.</w:t>
      </w:r>
    </w:p>
    <w:p>
      <w:pPr>
        <w:spacing w:after="0" w:line="78" w:lineRule="exact"/>
        <w:rPr>
          <w:sz w:val="20"/>
          <w:szCs w:val="20"/>
          <w:color w:val="auto"/>
        </w:rPr>
      </w:pPr>
    </w:p>
    <w:p>
      <w:pPr>
        <w:jc w:val="both"/>
        <w:ind w:right="60" w:firstLine="212"/>
        <w:spacing w:after="0" w:line="254" w:lineRule="auto"/>
        <w:rPr>
          <w:sz w:val="20"/>
          <w:szCs w:val="20"/>
          <w:color w:val="auto"/>
        </w:rPr>
      </w:pPr>
      <w:r>
        <w:rPr>
          <w:rFonts w:ascii="Arial" w:cs="Arial" w:eastAsia="Arial" w:hAnsi="Arial"/>
          <w:sz w:val="18"/>
          <w:szCs w:val="18"/>
          <w:color w:val="auto"/>
        </w:rPr>
        <w:t>As of December 31, 2008 and 2007, FNF had approximately $5.8 million and $5.5 million (including interest of $0.6 million and $0.3 million), respectively, of total gross unrecognized tax benefits that, if recognized, would favorably affect the Company’s income tax rate. These amounts are reported on a gross basis and do not reflect a federal tax benefit on state income taxes. The Company records interest and penalties related to income taxes as a component of income tax expense.</w:t>
      </w:r>
    </w:p>
    <w:p>
      <w:pPr>
        <w:spacing w:after="0" w:line="84" w:lineRule="exact"/>
        <w:rPr>
          <w:sz w:val="20"/>
          <w:szCs w:val="20"/>
          <w:color w:val="auto"/>
        </w:rPr>
      </w:pPr>
    </w:p>
    <w:p>
      <w:pPr>
        <w:ind w:right="280" w:firstLine="219"/>
        <w:spacing w:after="0" w:line="257" w:lineRule="auto"/>
        <w:rPr>
          <w:sz w:val="20"/>
          <w:szCs w:val="20"/>
          <w:color w:val="auto"/>
        </w:rPr>
      </w:pPr>
      <w:r>
        <w:rPr>
          <w:rFonts w:ascii="Arial" w:cs="Arial" w:eastAsia="Arial" w:hAnsi="Arial"/>
          <w:sz w:val="18"/>
          <w:szCs w:val="18"/>
          <w:color w:val="auto"/>
        </w:rPr>
        <w:t>The Internal Revenue Service (“IRS”) has selected the Company to participate in a pilot program (Compliance Assurance Program or CAP) that is a real-time audit. In 2008, the IRS completed its examination of the Company’s tax returns for the tax year ended December 31, 2007. The Company is currently under audit by the Internal Revenue Service for the 2008 tax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Summary of Reserve for Claim Losses</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reserve for claim losses for title and specialty insurance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1"/>
              </w:rPr>
              <w:t>Year Ended December 31,</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820" w:type="dxa"/>
            <w:vAlign w:val="bottom"/>
            <w:tcBorders>
              <w:bottom w:val="single" w:sz="8" w:color="auto"/>
            </w:tcBorders>
          </w:tcPr>
          <w:p>
            <w:pPr>
              <w:jc w:val="right"/>
              <w:ind w:right="193"/>
              <w:spacing w:after="0" w:line="140"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Borders>
              <w:bottom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9"/>
              </w:rPr>
              <w:t>2007</w:t>
            </w:r>
          </w:p>
        </w:tc>
        <w:tc>
          <w:tcPr>
            <w:tcW w:w="700" w:type="dxa"/>
            <w:vAlign w:val="bottom"/>
          </w:tcPr>
          <w:p>
            <w:pPr>
              <w:spacing w:after="0"/>
              <w:rPr>
                <w:sz w:val="12"/>
                <w:szCs w:val="12"/>
                <w:color w:val="auto"/>
              </w:rPr>
            </w:pPr>
          </w:p>
        </w:tc>
        <w:tc>
          <w:tcPr>
            <w:tcW w:w="820" w:type="dxa"/>
            <w:vAlign w:val="bottom"/>
            <w:tcBorders>
              <w:bottom w:val="single" w:sz="8" w:color="auto"/>
            </w:tcBorders>
          </w:tcPr>
          <w:p>
            <w:pPr>
              <w:jc w:val="right"/>
              <w:ind w:right="173"/>
              <w:spacing w:after="0" w:line="140"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w w:val="90"/>
              </w:rPr>
              <w:t>(Dollars in thousands)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$ 1,419,910</w:t>
            </w:r>
          </w:p>
        </w:tc>
        <w:tc>
          <w:tcPr>
            <w:tcW w:w="19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$ 1,220,636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$ 1,113,506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Reserves assumed/transferred(1)</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1,115,803</w:t>
            </w:r>
          </w:p>
        </w:tc>
        <w:tc>
          <w:tcPr>
            <w:tcW w:w="46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Claim loss provision related to:</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377,900</w:t>
            </w:r>
          </w:p>
        </w:tc>
        <w:tc>
          <w:tcPr>
            <w:tcW w:w="1980" w:type="dxa"/>
            <w:vAlign w:val="bottom"/>
            <w:gridSpan w:val="3"/>
          </w:tcPr>
          <w:p>
            <w:pPr>
              <w:jc w:val="right"/>
              <w:ind w:right="700"/>
              <w:spacing w:after="0"/>
              <w:rPr>
                <w:sz w:val="20"/>
                <w:szCs w:val="20"/>
                <w:color w:val="auto"/>
              </w:rPr>
            </w:pPr>
            <w:r>
              <w:rPr>
                <w:rFonts w:ascii="Arial" w:cs="Arial" w:eastAsia="Arial" w:hAnsi="Arial"/>
                <w:sz w:val="18"/>
                <w:szCs w:val="18"/>
                <w:color w:val="auto"/>
              </w:rPr>
              <w:t>450,693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454,507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252,504</w:t>
            </w:r>
          </w:p>
        </w:tc>
        <w:tc>
          <w:tcPr>
            <w:tcW w:w="19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203,183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380"/>
              <w:spacing w:after="0"/>
              <w:rPr>
                <w:sz w:val="20"/>
                <w:szCs w:val="20"/>
                <w:color w:val="auto"/>
              </w:rPr>
            </w:pPr>
            <w:r>
              <w:rPr>
                <w:rFonts w:ascii="Arial" w:cs="Arial" w:eastAsia="Arial" w:hAnsi="Arial"/>
                <w:sz w:val="18"/>
                <w:szCs w:val="18"/>
                <w:color w:val="auto"/>
              </w:rPr>
              <w:t>Total claim loss provision</w:t>
            </w: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380" w:type="dxa"/>
            <w:vAlign w:val="bottom"/>
            <w:vMerge w:val="continue"/>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630,404</w:t>
            </w:r>
          </w:p>
        </w:tc>
        <w:tc>
          <w:tcPr>
            <w:tcW w:w="1980" w:type="dxa"/>
            <w:vAlign w:val="bottom"/>
            <w:gridSpan w:val="3"/>
          </w:tcPr>
          <w:p>
            <w:pPr>
              <w:jc w:val="right"/>
              <w:ind w:right="700"/>
              <w:spacing w:after="0"/>
              <w:rPr>
                <w:sz w:val="20"/>
                <w:szCs w:val="20"/>
                <w:color w:val="auto"/>
              </w:rPr>
            </w:pPr>
            <w:r>
              <w:rPr>
                <w:rFonts w:ascii="Arial" w:cs="Arial" w:eastAsia="Arial" w:hAnsi="Arial"/>
                <w:sz w:val="18"/>
                <w:szCs w:val="18"/>
                <w:color w:val="auto"/>
              </w:rPr>
              <w:t>653,876</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486,334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Claims paid, net of recoupments related to:</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8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(119,399)</w:t>
            </w:r>
          </w:p>
        </w:tc>
        <w:tc>
          <w:tcPr>
            <w:tcW w:w="1980" w:type="dxa"/>
            <w:vAlign w:val="bottom"/>
            <w:gridSpan w:val="3"/>
          </w:tcPr>
          <w:p>
            <w:pPr>
              <w:jc w:val="right"/>
              <w:ind w:right="640"/>
              <w:spacing w:after="0"/>
              <w:rPr>
                <w:sz w:val="20"/>
                <w:szCs w:val="20"/>
                <w:color w:val="auto"/>
              </w:rPr>
            </w:pPr>
            <w:r>
              <w:rPr>
                <w:rFonts w:ascii="Arial" w:cs="Arial" w:eastAsia="Arial" w:hAnsi="Arial"/>
                <w:sz w:val="18"/>
                <w:szCs w:val="18"/>
                <w:color w:val="auto"/>
              </w:rPr>
              <w:t>(101,246)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(111,708)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(308,093)</w:t>
            </w: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(353,356)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380"/>
              <w:spacing w:after="0"/>
              <w:rPr>
                <w:sz w:val="20"/>
                <w:szCs w:val="20"/>
                <w:color w:val="auto"/>
              </w:rPr>
            </w:pPr>
            <w:r>
              <w:rPr>
                <w:rFonts w:ascii="Arial" w:cs="Arial" w:eastAsia="Arial" w:hAnsi="Arial"/>
                <w:sz w:val="18"/>
                <w:szCs w:val="18"/>
                <w:color w:val="auto"/>
              </w:rPr>
              <w:t>Total claims paid, net of recoupments</w:t>
            </w: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380" w:type="dxa"/>
            <w:vAlign w:val="bottom"/>
            <w:vMerge w:val="continue"/>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(427,492)</w:t>
            </w:r>
          </w:p>
        </w:tc>
        <w:tc>
          <w:tcPr>
            <w:tcW w:w="1980" w:type="dxa"/>
            <w:vAlign w:val="bottom"/>
            <w:gridSpan w:val="3"/>
          </w:tcPr>
          <w:p>
            <w:pPr>
              <w:jc w:val="right"/>
              <w:ind w:right="640"/>
              <w:spacing w:after="0"/>
              <w:rPr>
                <w:sz w:val="20"/>
                <w:szCs w:val="20"/>
                <w:color w:val="auto"/>
              </w:rPr>
            </w:pPr>
            <w:r>
              <w:rPr>
                <w:rFonts w:ascii="Arial" w:cs="Arial" w:eastAsia="Arial" w:hAnsi="Arial"/>
                <w:sz w:val="18"/>
                <w:szCs w:val="18"/>
                <w:color w:val="auto"/>
              </w:rPr>
              <w:t>(454,602)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(370,689)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$ 2,738,625</w:t>
            </w:r>
          </w:p>
        </w:tc>
        <w:tc>
          <w:tcPr>
            <w:tcW w:w="19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$ 1,419,910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$ 1,220,636</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Ending balance of claim loss reserves for title insurance only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400" w:type="dxa"/>
            <w:vAlign w:val="bottom"/>
            <w:gridSpan w:val="2"/>
            <w:vMerge w:val="continue"/>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$ 2,678,987</w:t>
            </w:r>
          </w:p>
        </w:tc>
        <w:tc>
          <w:tcPr>
            <w:tcW w:w="1980" w:type="dxa"/>
            <w:vAlign w:val="bottom"/>
            <w:gridSpan w:val="3"/>
          </w:tcPr>
          <w:p>
            <w:pPr>
              <w:jc w:val="right"/>
              <w:ind w:right="700"/>
              <w:spacing w:after="0"/>
              <w:rPr>
                <w:sz w:val="20"/>
                <w:szCs w:val="20"/>
                <w:color w:val="auto"/>
              </w:rPr>
            </w:pPr>
            <w:r>
              <w:rPr>
                <w:rFonts w:ascii="Arial" w:cs="Arial" w:eastAsia="Arial" w:hAnsi="Arial"/>
                <w:sz w:val="18"/>
                <w:szCs w:val="18"/>
                <w:color w:val="auto"/>
              </w:rPr>
              <w:t>$ 1,322,622</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$ 1,154,872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title insurance claim losses as a percentage of title insurance premiums only</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19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13.2%</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13042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354" w:lineRule="exact"/>
        <w:rPr>
          <w:sz w:val="20"/>
          <w:szCs w:val="20"/>
          <w:color w:val="auto"/>
        </w:rPr>
      </w:pPr>
    </w:p>
    <w:p>
      <w:pPr>
        <w:ind w:left="440" w:right="580" w:hanging="433"/>
        <w:spacing w:after="0" w:line="267"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2008, the Company assumed $1,115.8 million in additional reserves for claim losses with the acquisition of the LFG Underwriters. In 2006, the Company transferred $8.5 million in reserves to FIS in connection with the distribution of FIS.</w:t>
      </w:r>
    </w:p>
    <w:p>
      <w:pPr>
        <w:spacing w:after="0" w:line="73" w:lineRule="exact"/>
        <w:rPr>
          <w:sz w:val="20"/>
          <w:szCs w:val="20"/>
          <w:color w:val="auto"/>
        </w:rPr>
      </w:pPr>
    </w:p>
    <w:p>
      <w:pPr>
        <w:ind w:right="160" w:firstLine="222"/>
        <w:spacing w:after="0" w:line="267" w:lineRule="auto"/>
        <w:rPr>
          <w:sz w:val="20"/>
          <w:szCs w:val="20"/>
          <w:color w:val="auto"/>
        </w:rPr>
      </w:pPr>
      <w:r>
        <w:rPr>
          <w:rFonts w:ascii="Arial" w:cs="Arial" w:eastAsia="Arial" w:hAnsi="Arial"/>
          <w:sz w:val="17"/>
          <w:szCs w:val="17"/>
          <w:color w:val="auto"/>
        </w:rPr>
        <w:t>Management continually updates loss reserve estimates as new information becomes known, new loss patterns emerge, or as other contributing factors are considered and incorporated into the analysis of reserve for claim losses. A substantial portion of the Company’s reserve for claim losses is attributable to title insurance operations. The prior year title loss provision amount was unfavorable for each of the years presented. Because reported and paid claims continue to exceed expected claims, management modified the Company’s actuarial model in 2008 to more heavily weight the three most recent full years’ data on loss experience and to incorporate that data into the assumptions and factors that determine ultimate expected loss experience for all prior calendar years. In response to the unfavorable prior year development, as well as to address higher expected costs for policies issued in 2005, 2006 and 2007, the title loss provision amounts as a percentage of title premiums increased in 2008 and 2007.</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firstLine="212"/>
        <w:spacing w:after="0" w:line="254" w:lineRule="auto"/>
        <w:rPr>
          <w:sz w:val="20"/>
          <w:szCs w:val="20"/>
          <w:color w:val="auto"/>
        </w:rPr>
      </w:pPr>
      <w:r>
        <w:rPr>
          <w:rFonts w:ascii="Arial" w:cs="Arial" w:eastAsia="Arial" w:hAnsi="Arial"/>
          <w:sz w:val="18"/>
          <w:szCs w:val="18"/>
          <w:color w:val="auto"/>
        </w:rPr>
        <w:t>As a result of the factors described above, during the year ended December 31, 2008, the Company recorded a charge to the provision for claim losses of $261.6 million for development on prior policy years. During the year ended December 31, 2007, the Company recorded charges totaling $217.2 million, resulting from adverse claim loss development on prior policy years. These charges were in addition to the provision for title insurance claim losses of 8.5% and 7.5%, respectively.</w:t>
      </w:r>
    </w:p>
    <w:p>
      <w:pPr>
        <w:spacing w:after="0" w:line="164" w:lineRule="exact"/>
        <w:rPr>
          <w:sz w:val="20"/>
          <w:szCs w:val="20"/>
          <w:color w:val="auto"/>
        </w:rPr>
      </w:pPr>
    </w:p>
    <w:p>
      <w:pPr>
        <w:jc w:val="both"/>
        <w:ind w:right="760" w:firstLine="222"/>
        <w:spacing w:after="0" w:line="257" w:lineRule="auto"/>
        <w:rPr>
          <w:sz w:val="20"/>
          <w:szCs w:val="20"/>
          <w:color w:val="auto"/>
        </w:rPr>
      </w:pPr>
      <w:r>
        <w:rPr>
          <w:rFonts w:ascii="Arial" w:cs="Arial" w:eastAsia="Arial" w:hAnsi="Arial"/>
          <w:sz w:val="18"/>
          <w:szCs w:val="18"/>
          <w:color w:val="auto"/>
        </w:rPr>
        <w:t>Estimating future title loss payments is difficult because of the complex nature of title claims, the long periods of time over which claims are paid, significantly varying dollar amounts of individual claims and other factors. Due to the uncertainty inherent in the process and to the judgment used by management the ultimate liability may be greater or less than our current reserves.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Commitments and Contingencies</w:t>
      </w:r>
    </w:p>
    <w:p>
      <w:pPr>
        <w:spacing w:after="0" w:line="119" w:lineRule="exact"/>
        <w:rPr>
          <w:sz w:val="20"/>
          <w:szCs w:val="20"/>
          <w:color w:val="auto"/>
        </w:rPr>
      </w:pPr>
    </w:p>
    <w:p>
      <w:pPr>
        <w:ind w:right="360" w:firstLine="222"/>
        <w:spacing w:after="0" w:line="279" w:lineRule="auto"/>
        <w:rPr>
          <w:sz w:val="20"/>
          <w:szCs w:val="20"/>
          <w:color w:val="auto"/>
        </w:rPr>
      </w:pPr>
      <w:r>
        <w:rPr>
          <w:rFonts w:ascii="Arial" w:cs="Arial" w:eastAsia="Arial" w:hAnsi="Arial"/>
          <w:sz w:val="17"/>
          <w:szCs w:val="17"/>
          <w:color w:val="auto"/>
        </w:rPr>
        <w:t>In the ordinary course of business, the Company is involved in various pending and threatened litigation matters related to its operations, some of which include claims for punitive or exemplary damages. Management believes that no actions, other than those listed below, depart from customary litigation incidental to the Company’s business. As background to the disclosure below, please note the following:</w:t>
      </w:r>
    </w:p>
    <w:p>
      <w:pPr>
        <w:spacing w:after="0" w:line="65" w:lineRule="exact"/>
        <w:rPr>
          <w:sz w:val="20"/>
          <w:szCs w:val="20"/>
          <w:color w:val="auto"/>
        </w:rPr>
      </w:pPr>
    </w:p>
    <w:p>
      <w:pPr>
        <w:ind w:left="220" w:right="80" w:hanging="213"/>
        <w:spacing w:after="0" w:line="250" w:lineRule="auto"/>
        <w:tabs>
          <w:tab w:leader="none" w:pos="22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104" w:lineRule="exact"/>
        <w:rPr>
          <w:rFonts w:ascii="Arial" w:cs="Arial" w:eastAsia="Arial" w:hAnsi="Arial"/>
          <w:sz w:val="18"/>
          <w:szCs w:val="18"/>
          <w:b w:val="1"/>
          <w:bCs w:val="1"/>
          <w:color w:val="auto"/>
        </w:rPr>
      </w:pPr>
    </w:p>
    <w:p>
      <w:pPr>
        <w:ind w:left="220" w:right="20" w:hanging="213"/>
        <w:spacing w:after="0" w:line="285" w:lineRule="auto"/>
        <w:tabs>
          <w:tab w:leader="none" w:pos="22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addition, the dollar amount of damages sought is frequently not stated with specificity. In those cases where plaintiffs have made a statement with regard to monetary damages, they often specify damages either just above or below a jurisdictional limit regardless of the facts of the case. These limits represent either the jurisdictional threshold for bringing a case in federal court or the maximum they can seek without risking removal from state court to federal court. In the Company’s experience, monetary demands in plaintiffs’ court pleadings bear little relation to the ultimate loss, if any, that the Company may experience. None of the cases described below includes a statement as to the dollar amount of damages demanded. Instead, each of the cases includes a demand in an amount to be proved at trial.</w:t>
      </w:r>
    </w:p>
    <w:p>
      <w:pPr>
        <w:spacing w:after="0" w:line="79" w:lineRule="exact"/>
        <w:rPr>
          <w:rFonts w:ascii="Arial" w:cs="Arial" w:eastAsia="Arial" w:hAnsi="Arial"/>
          <w:sz w:val="16"/>
          <w:szCs w:val="16"/>
          <w:b w:val="1"/>
          <w:bCs w:val="1"/>
          <w:color w:val="auto"/>
        </w:rPr>
      </w:pPr>
    </w:p>
    <w:p>
      <w:pPr>
        <w:ind w:left="220" w:right="160" w:hanging="213"/>
        <w:spacing w:after="0" w:line="273" w:lineRule="auto"/>
        <w:tabs>
          <w:tab w:leader="none" w:pos="220" w:val="left"/>
        </w:tabs>
        <w:numPr>
          <w:ilvl w:val="0"/>
          <w:numId w:val="36"/>
        </w:numPr>
        <w:rPr>
          <w:rFonts w:ascii="Arial" w:cs="Arial" w:eastAsia="Arial" w:hAnsi="Arial"/>
          <w:sz w:val="17"/>
          <w:szCs w:val="17"/>
          <w:b w:val="1"/>
          <w:bCs w:val="1"/>
          <w:color w:val="auto"/>
        </w:rPr>
      </w:pPr>
      <w:r>
        <w:rPr>
          <w:rFonts w:ascii="Arial" w:cs="Arial" w:eastAsia="Arial" w:hAnsi="Arial"/>
          <w:sz w:val="17"/>
          <w:szCs w:val="17"/>
          <w:color w:val="auto"/>
        </w:rPr>
        <w:t>For the reasons specified above, it is not possible to make meaningful estimates of the amount or range of loss that could result from these matters at this time. The Company reviews these matters on an ongoing basis and follows the provisions of Statement of Financial Accounting Standards (“SFAS”) No. 5, “Accounting for Contingencies” when making accrual and disclosure decisions. When assessing reasonably possible and probable outcomes, management bases its decision on its assessment of the ultimate outcome following all appeals.</w:t>
      </w:r>
    </w:p>
    <w:p>
      <w:pPr>
        <w:spacing w:after="0" w:line="84" w:lineRule="exact"/>
        <w:rPr>
          <w:rFonts w:ascii="Arial" w:cs="Arial" w:eastAsia="Arial" w:hAnsi="Arial"/>
          <w:sz w:val="17"/>
          <w:szCs w:val="17"/>
          <w:b w:val="1"/>
          <w:bCs w:val="1"/>
          <w:color w:val="auto"/>
        </w:rPr>
      </w:pPr>
    </w:p>
    <w:p>
      <w:pPr>
        <w:ind w:left="220" w:hanging="213"/>
        <w:spacing w:after="0" w:line="257" w:lineRule="auto"/>
        <w:tabs>
          <w:tab w:leader="none" w:pos="22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 Company intends to vigorously defend each of these matters. In the opinion of the Company’s management, while some of these matters may be material to the Company’s operating results for any particular period if an unfavorable outcome results, none will have a material adverse effect on its overall financial condition.</w:t>
      </w:r>
    </w:p>
    <w:p>
      <w:pPr>
        <w:spacing w:after="0" w:line="81"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There are class actions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pending against several title insurance companies, including Security Union Title Insurance Company, Fidelity National Title Insurance Company, Chicago Title Insurance Company, Ticor Title Insurance Company of Florida, Commonwealth Land Title Insurance Company, Lawyers Title Insurance Corporation, and Ticor Title Insurance Company, alleging improper premiums were charged for title insurance. These cases allege that the named defendant companies failed to provide notice of premium discounts to consumers refinancing their mortgages, and failed to give discounts in refinancing transactions in violation of the filed rates.</w:t>
      </w:r>
    </w:p>
    <w:p>
      <w:pPr>
        <w:spacing w:after="0" w:line="87" w:lineRule="exact"/>
        <w:rPr>
          <w:sz w:val="20"/>
          <w:szCs w:val="20"/>
          <w:color w:val="auto"/>
        </w:rPr>
      </w:pPr>
    </w:p>
    <w:p>
      <w:pPr>
        <w:ind w:right="100" w:firstLine="222"/>
        <w:spacing w:after="0" w:line="283" w:lineRule="auto"/>
        <w:rPr>
          <w:sz w:val="20"/>
          <w:szCs w:val="20"/>
          <w:color w:val="auto"/>
        </w:rPr>
      </w:pPr>
      <w:r>
        <w:rPr>
          <w:rFonts w:ascii="Arial" w:cs="Arial" w:eastAsia="Arial" w:hAnsi="Arial"/>
          <w:sz w:val="16"/>
          <w:szCs w:val="16"/>
          <w:color w:val="auto"/>
        </w:rPr>
        <w:t>In February 2008, thirteen putative class actions were commenced against several title insurance companies, including Fidelity National Title Insurance Company, Chicago Title Insurance Company, Security Union Title Insurance Company and Ticor Title Insurance Company (collectively, the “Fidelity Affiliates”). The complaints also name FNF (together with the Fidelity Affiliates, the “Fidelity Defendants”) as a defendant based on its ownership of the Fidelity Affiliates. The complaints, which are brought on behalf of a putative class of consumers who purchased title insurance in New York, allege that the defendants conspired to inflate rates for title insurance through the Title Insurance Rate Service Association, Inc. (“TIRSA”), a New York State-approved rate service organization which is also named as a defendant. Each of the complaints asserts a cause of action under the Sherman Act and several of the complaints include claims under the Real Estate Settlement Procedures Act as well as New York State statutory and common law claims. The complaints seek monetary damages, including treble damages, as well as injunctive relief. Subsequently, similar complaints were filed in many federal courts. There are now approximately 65 complaints pending alleging that the Fidelity Defendants conspired with their competitors to unlawfully inflate rates for title insurance in every major market in the United States. A motion was filed before the Multidistrict Litigation Panel to consolidate and or coordinate these actions in the United States District Court in the Southern District of New York. However, that motion was denied. The cases are generally being consolidated before one district court judge in each state and scheduled for the filing of consolidated complaints and motion practice.</w:t>
      </w:r>
    </w:p>
    <w:p>
      <w:pPr>
        <w:spacing w:after="0" w:line="64" w:lineRule="exact"/>
        <w:rPr>
          <w:sz w:val="20"/>
          <w:szCs w:val="20"/>
          <w:color w:val="auto"/>
        </w:rPr>
      </w:pPr>
    </w:p>
    <w:p>
      <w:pPr>
        <w:ind w:right="80" w:firstLine="222"/>
        <w:spacing w:after="0" w:line="267" w:lineRule="auto"/>
        <w:rPr>
          <w:sz w:val="20"/>
          <w:szCs w:val="20"/>
          <w:color w:val="auto"/>
        </w:rPr>
      </w:pPr>
      <w:r>
        <w:rPr>
          <w:rFonts w:ascii="Arial" w:cs="Arial" w:eastAsia="Arial" w:hAnsi="Arial"/>
          <w:sz w:val="18"/>
          <w:szCs w:val="18"/>
          <w:color w:val="auto"/>
        </w:rPr>
        <w:t>On September 24, 2007 a third party complaint was filed in the In Re Ameriquest Mortgage Lending Practices Litigation in the United States District Court for the Northern District of Illinois by Ameriquest Mortgage Company</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(“Ameriquest”) and Argent Mortgage Company (“Argent”) against numerous title insurers and agents including Chicago Title Company, Fidelity National Title Company, Fidelity National Title Insurance Company, American Pioneer Title Insurance Company (now known as Ticor Title Insurance Company of Florida), Chicago Title of Michigan, Fidelity National Title Insurance Company of New York, Transnation Title Insurance Company (now known as Lawyers Title Insurance Corporation), Commonwealth Land Title Company, and Ticor Title Insurance Company (collectively, the “FNF Affiliates”). The third party complaint alleges that Ameriquest and Argent have been sued by a class of borrowers alleging that they violated the Truth in Lending Act (“TILA”) by failing to comply with the notice of right to cancel provisions and making misrepresentations in lending to the borrowers, who now seek money damages. Ameriquest and Argent allege that the FNF Affiliates contracted and warranted to close these loans in conformity with the lender’s instructions which correctly followed the requirements of TILA and contained no misrepresentations; therefore, if Ameriquest and Argent are liable to the class, then the FNF Affiliates are liable to them for failing to close the lending transactions as agreed. Ameriquest and Argent seek to recover the cost of resolving the class action against them including their attorney’s fees and costs in the action. The title defendants are organizing to form a defense group and, as requested by the court, are exploring the possibility of filing a single collective response. Recently, the Seventh Circuit, in which these matters are pending, ruled that TILA violations as alleged in these complaints could not be the subject of a class action.</w:t>
      </w:r>
    </w:p>
    <w:p>
      <w:pPr>
        <w:spacing w:after="0" w:line="77" w:lineRule="exact"/>
        <w:rPr>
          <w:sz w:val="20"/>
          <w:szCs w:val="20"/>
          <w:color w:val="auto"/>
        </w:rPr>
      </w:pPr>
    </w:p>
    <w:p>
      <w:pPr>
        <w:ind w:firstLine="219"/>
        <w:spacing w:after="0" w:line="284" w:lineRule="auto"/>
        <w:rPr>
          <w:sz w:val="20"/>
          <w:szCs w:val="20"/>
          <w:color w:val="auto"/>
        </w:rPr>
      </w:pPr>
      <w:r>
        <w:rPr>
          <w:rFonts w:ascii="Arial" w:cs="Arial" w:eastAsia="Arial" w:hAnsi="Arial"/>
          <w:sz w:val="16"/>
          <w:szCs w:val="16"/>
          <w:color w:val="auto"/>
        </w:rPr>
        <w:t>There are class actions pending against FNF, Fidelity National Title Group and several title insurance companies, including Fidelity National Title Insurance Company, Chicago Title Insurance Company, United Title, Inc. and Ticor Title Insurance Company, alleging overcharges for government recording fees. These cases allege that the named defendant companies charged fees in excess of the fees charged by government entities in closing transactions and seek various remedies including compensatory damages, prejudgment interest, punitive damages and attorney’s fees. One case recently filed in Kansas seeks to certify a national class against Chicago Title Insurance Company. Although the Federal District Court in Kansas refused to certify a national class previously filed by the same plaintiff’s attorneys, this suit seeks to overcome that Court’s objections to certification. And, although a similar case filed in Indiana was decertified by the appellate court and the Company has moved to decertify a companion case there the Missouri courts have refused to decertify a case now pending and set for trial June 1, 2009. On January 30, 2009, the court granted the Fidelity defendants’ motion for summary judgment in the recording fee class action in the Federal District Court in Texas, which alleged recording fee overcharges in five states. On January 26, 2009 a recording fee class action was filed in New Jersey.</w:t>
      </w:r>
    </w:p>
    <w:p>
      <w:pPr>
        <w:spacing w:after="0" w:line="67" w:lineRule="exact"/>
        <w:rPr>
          <w:sz w:val="20"/>
          <w:szCs w:val="20"/>
          <w:color w:val="auto"/>
        </w:rPr>
      </w:pPr>
    </w:p>
    <w:p>
      <w:pPr>
        <w:ind w:right="20" w:firstLine="219"/>
        <w:spacing w:after="0" w:line="291" w:lineRule="auto"/>
        <w:rPr>
          <w:sz w:val="20"/>
          <w:szCs w:val="20"/>
          <w:color w:val="auto"/>
        </w:rPr>
      </w:pPr>
      <w:r>
        <w:rPr>
          <w:rFonts w:ascii="Arial" w:cs="Arial" w:eastAsia="Arial" w:hAnsi="Arial"/>
          <w:sz w:val="16"/>
          <w:szCs w:val="16"/>
          <w:color w:val="auto"/>
        </w:rPr>
        <w:t>There are class actions pending against Fidelity National Title Company, Fidelity National Title Company of Washington, Inc., and Chicago Title Insurance Company, alleging that the named defendants in each case charged unnecessary reconveyance fees and unnecessary “junk” fees (wire fees; document download fees) without performing any separate service for those fees which was not already included as a service for the “escrow fee”. Additionally, two of the cases allege that the named defendants wrongfully earned interest or other benefits on escrowed funds from the time funds were deposited into escrow until any disbursement checks cleared the account. Motions for class certification have not yet been filed in any of these cases.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right="60" w:firstLine="222"/>
        <w:spacing w:after="0" w:line="283" w:lineRule="auto"/>
        <w:rPr>
          <w:sz w:val="20"/>
          <w:szCs w:val="20"/>
          <w:color w:val="auto"/>
        </w:rPr>
      </w:pPr>
      <w:r>
        <w:rPr>
          <w:rFonts w:ascii="Arial" w:cs="Arial" w:eastAsia="Arial" w:hAnsi="Arial"/>
          <w:sz w:val="16"/>
          <w:szCs w:val="16"/>
          <w:color w:val="auto"/>
        </w:rPr>
        <w:t>On December 3, 2007, a former title officer for Lawyers Title Insurance Corporation in California filed a putative class action suit against Lawyers and LandAmerica Financial Group, Inc. (“LFG”) (together, the “Defendants”) in the Superior Court of California for Los Angeles County. A similar putative class action was filed against the Defendants by former Lawyers escrow officers in California, in the same court on December 12, 2007. The plaintiffs’ complaints in both lawsuits allege failure to pay overtime and other related violations of the California Labor Code, as well as unfair business practices under the California Business and Professions Code § 17200 on behalf of all current and former California title and escrow officers. The underlying basis for both lawsuits is an alleged misclassification of title and escrow officers as “exempt” employees for purposes of the California Labor Code, which resulted in a failure to pay overtime and provide for required meal and rest breaks. Although such employees were reclassified as “non-exempt” beginning on January 1, 2006, the complaints allege similar violations of the California Labor Code even after that date for alleged “off-the-clock” work. The plaintiffs’ complaints in both cases demand an unspecified amount of back wages, statutory penalties, declaratory and injunctive relief, punitive damages, interest, and attorneys’ fees and costs. The plaintiffs have yet to file a motion for class certification, as the parties have agreed to mediation in May 2009. Should further litigation prove necessary following the mediation, management believes that the Company has meritorious defenses both to class certification and to liability.</w:t>
      </w:r>
    </w:p>
    <w:p>
      <w:pPr>
        <w:spacing w:after="0" w:line="67" w:lineRule="exact"/>
        <w:rPr>
          <w:sz w:val="20"/>
          <w:szCs w:val="20"/>
          <w:color w:val="auto"/>
        </w:rPr>
      </w:pPr>
    </w:p>
    <w:p>
      <w:pPr>
        <w:ind w:right="60" w:firstLine="219"/>
        <w:spacing w:after="0" w:line="252" w:lineRule="auto"/>
        <w:rPr>
          <w:sz w:val="20"/>
          <w:szCs w:val="20"/>
          <w:color w:val="auto"/>
        </w:rPr>
      </w:pPr>
      <w:r>
        <w:rPr>
          <w:rFonts w:ascii="Arial" w:cs="Arial" w:eastAsia="Arial" w:hAnsi="Arial"/>
          <w:sz w:val="18"/>
          <w:szCs w:val="18"/>
          <w:color w:val="auto"/>
        </w:rPr>
        <w:t>Various governmental entities are studying the title insurance product, pricing, business practices, and potential regulatory and legislative changes. The Company receives inquiries and requests for information from state insurance departments, attorneys general and other regulatory agencies from time to time about various matters relating to its business. Sometimes these take the form of civil investigative subpoenas. The Company attempts to cooperate with all such inquiries. From time to time, the Company is assessed fines for violations of regulations or other matters or enters into settlements with such authorities which require the Company to pay money or take other actions.</w:t>
      </w:r>
    </w:p>
    <w:p>
      <w:pPr>
        <w:spacing w:after="0" w:line="87" w:lineRule="exact"/>
        <w:rPr>
          <w:sz w:val="20"/>
          <w:szCs w:val="20"/>
          <w:color w:val="auto"/>
        </w:rPr>
      </w:pPr>
    </w:p>
    <w:p>
      <w:pPr>
        <w:ind w:right="20" w:firstLine="222"/>
        <w:spacing w:after="0" w:line="251" w:lineRule="auto"/>
        <w:rPr>
          <w:sz w:val="20"/>
          <w:szCs w:val="20"/>
          <w:color w:val="auto"/>
        </w:rPr>
      </w:pPr>
      <w:r>
        <w:rPr>
          <w:rFonts w:ascii="Arial" w:cs="Arial" w:eastAsia="Arial" w:hAnsi="Arial"/>
          <w:sz w:val="18"/>
          <w:szCs w:val="18"/>
          <w:color w:val="auto"/>
        </w:rPr>
        <w:t>In January 2007, the State of California adopted regulations that would have significant effects on the title insurance industry in California. The Company, as well as others, has been engaged in discussions with the California Department of Insurance (the “CDI”) regarding possible industry reforms that may result in the CDI’s decision to modify or repeal the regulations prior to their implementation. On June 17, 2008, the CDI filed with the Office of Administrative Law revised title insurance regulations containing substantial changes to the existing regulations. Hearings on the revised regulations were held in August. The Company, through the California Land Title Association, continues to work with the CDI to refine certain aspects of the proposed regulations, including the statistical reporting provisions.</w:t>
      </w:r>
    </w:p>
    <w:p>
      <w:pPr>
        <w:spacing w:after="0" w:line="88" w:lineRule="exact"/>
        <w:rPr>
          <w:sz w:val="20"/>
          <w:szCs w:val="20"/>
          <w:color w:val="auto"/>
        </w:rPr>
      </w:pPr>
    </w:p>
    <w:p>
      <w:pPr>
        <w:ind w:right="20" w:firstLine="222"/>
        <w:spacing w:after="0" w:line="291" w:lineRule="auto"/>
        <w:rPr>
          <w:sz w:val="20"/>
          <w:szCs w:val="20"/>
          <w:color w:val="auto"/>
        </w:rPr>
      </w:pPr>
      <w:r>
        <w:rPr>
          <w:rFonts w:ascii="Arial" w:cs="Arial" w:eastAsia="Arial" w:hAnsi="Arial"/>
          <w:sz w:val="16"/>
          <w:szCs w:val="16"/>
          <w:color w:val="auto"/>
        </w:rPr>
        <w:t>In conducting its operations, the Company routinely holds customers’ assets in escrow, pending completion of real estate transactions. Certain of these amounts are maintained in segregated bank accounts and have not been included in the accompanying Consolidated Balance Sheets. The Company has a contingent liability relating to proper disposition of these balances for our customers, which amounted to $5.7 billion at December 31, 2008. As a result of holding these customers’ assets in escrow, the Company has ongoing programs for realizing economic benefits during the year through favorable borrowing and vendor arrangements with various banks. There were no investments or loans outstanding as of December 31, 2008 and 2007 related to these arrangements.</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Future minimum operating lease payments are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$ 166,626</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2010</w:t>
            </w:r>
          </w:p>
        </w:tc>
        <w:tc>
          <w:tcPr>
            <w:tcW w:w="6800" w:type="dxa"/>
            <w:vAlign w:val="bottom"/>
            <w:gridSpan w:val="3"/>
          </w:tcPr>
          <w:p>
            <w:pPr>
              <w:jc w:val="right"/>
              <w:ind w:right="100"/>
              <w:spacing w:after="0"/>
              <w:rPr>
                <w:sz w:val="20"/>
                <w:szCs w:val="20"/>
                <w:color w:val="auto"/>
              </w:rPr>
            </w:pPr>
            <w:r>
              <w:rPr>
                <w:rFonts w:ascii="Arial" w:cs="Arial" w:eastAsia="Arial" w:hAnsi="Arial"/>
                <w:sz w:val="18"/>
                <w:szCs w:val="18"/>
                <w:color w:val="auto"/>
              </w:rPr>
              <w:t>125,972</w:t>
            </w: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86,451</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2012</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51,112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6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23,542</w:t>
            </w:r>
          </w:p>
        </w:tc>
        <w:tc>
          <w:tcPr>
            <w:tcW w:w="0" w:type="dxa"/>
            <w:vAlign w:val="bottom"/>
          </w:tcPr>
          <w:p>
            <w:pPr>
              <w:spacing w:after="0"/>
              <w:rPr>
                <w:sz w:val="1"/>
                <w:szCs w:val="1"/>
                <w:color w:val="auto"/>
              </w:rPr>
            </w:pPr>
          </w:p>
        </w:tc>
      </w:tr>
      <w:tr>
        <w:trPr>
          <w:trHeight w:val="220"/>
        </w:trPr>
        <w:tc>
          <w:tcPr>
            <w:tcW w:w="4620" w:type="dxa"/>
            <w:vAlign w:val="bottom"/>
          </w:tcPr>
          <w:p>
            <w:pPr>
              <w:spacing w:after="0"/>
              <w:rPr>
                <w:sz w:val="20"/>
                <w:szCs w:val="20"/>
                <w:color w:val="auto"/>
              </w:rPr>
            </w:pPr>
            <w:r>
              <w:rPr>
                <w:rFonts w:ascii="Arial" w:cs="Arial" w:eastAsia="Arial" w:hAnsi="Arial"/>
                <w:sz w:val="18"/>
                <w:szCs w:val="18"/>
                <w:color w:val="auto"/>
              </w:rPr>
              <w:t>Thereafter</w:t>
            </w:r>
          </w:p>
        </w:tc>
        <w:tc>
          <w:tcPr>
            <w:tcW w:w="60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future minimum operating lease payments</w:t>
            </w:r>
          </w:p>
        </w:tc>
        <w:tc>
          <w:tcPr>
            <w:tcW w:w="6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$ 555,283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000" w:type="dxa"/>
            <w:vAlign w:val="bottom"/>
            <w:vMerge w:val="restart"/>
          </w:tcPr>
          <w:p>
            <w:pPr>
              <w:jc w:val="right"/>
              <w:ind w:right="4731"/>
              <w:spacing w:after="0"/>
              <w:rPr>
                <w:sz w:val="20"/>
                <w:szCs w:val="20"/>
                <w:color w:val="auto"/>
              </w:rPr>
            </w:pPr>
            <w:r>
              <w:rPr>
                <w:rFonts w:ascii="Arial" w:cs="Arial" w:eastAsia="Arial" w:hAnsi="Arial"/>
                <w:sz w:val="18"/>
                <w:szCs w:val="18"/>
                <w:color w:val="auto"/>
              </w:rPr>
              <w:t>92</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620" w:type="dxa"/>
            <w:vAlign w:val="bottom"/>
          </w:tcPr>
          <w:p>
            <w:pPr>
              <w:spacing w:after="0"/>
              <w:rPr>
                <w:sz w:val="24"/>
                <w:szCs w:val="24"/>
                <w:color w:val="auto"/>
              </w:rPr>
            </w:pPr>
          </w:p>
        </w:tc>
        <w:tc>
          <w:tcPr>
            <w:tcW w:w="60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62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Rent expense incurred under operating leases during the years ended December 31, 2008, 2007 and 2006 was $141.2 million, $165.6 million, and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$224.4 million, respectively. Rent expense in 2008 and 2007 includes abandoned lease charges related to office closures of $23.4 million and $13.0 million,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02" w:lineRule="exact"/>
        <w:rPr>
          <w:sz w:val="20"/>
          <w:szCs w:val="20"/>
          <w:color w:val="auto"/>
        </w:rPr>
      </w:pPr>
    </w:p>
    <w:p>
      <w:pPr>
        <w:ind w:right="20" w:firstLine="219"/>
        <w:spacing w:after="0" w:line="284" w:lineRule="auto"/>
        <w:rPr>
          <w:sz w:val="20"/>
          <w:szCs w:val="20"/>
          <w:color w:val="auto"/>
        </w:rPr>
      </w:pPr>
      <w:r>
        <w:rPr>
          <w:rFonts w:ascii="Arial" w:cs="Arial" w:eastAsia="Arial" w:hAnsi="Arial"/>
          <w:sz w:val="16"/>
          <w:szCs w:val="16"/>
          <w:color w:val="auto"/>
        </w:rPr>
        <w:t>The Company is party to an off-balance sheet financing arrangement (commonly referred to as a “synthetic lease”). The owner/lessor in this arrangement acquired land and various real property improvements associated with new construction of an office building in Jacksonville, Florida, that are part of FNF’s corporate campus and headquarters. The lease expires on June 28, 2011, with renewal subject to consent of the lessor and the lenders. The lessor is a third-party limited liability company. The synthetic lease facility provides for amounts up to $75.0 million. As of December 31, 2008, the full $75.0 million had been drawn on the facility to finance land costs and related fees and expenses and the outstanding balance was $70.1 million. The lease includes guarantees by the Company of up to 86.7% of the outstanding lease balance, and options to purchase the facilities at the outstanding lease balance. The guarantee becomes effective if the Company declines to purchase the facilities at the end of the lease and also declines to renew the lease. The lessor financed the acquisition of the facilities through funding provided by third-party financial institutions. The Company has no affiliation or relationship with the lessor or any of its employees, directors or affiliates, and transactions with the lessor are limited to the operating lease agreements and the associated rent expense that have been included in other operating expenses in the Consolidated Statements of Earnings.</w:t>
      </w:r>
    </w:p>
    <w:p>
      <w:pPr>
        <w:spacing w:after="0" w:line="63" w:lineRule="exact"/>
        <w:rPr>
          <w:sz w:val="20"/>
          <w:szCs w:val="20"/>
          <w:color w:val="auto"/>
        </w:rPr>
      </w:pPr>
    </w:p>
    <w:p>
      <w:pPr>
        <w:ind w:right="100" w:firstLine="219"/>
        <w:spacing w:after="0" w:line="270" w:lineRule="auto"/>
        <w:rPr>
          <w:sz w:val="20"/>
          <w:szCs w:val="20"/>
          <w:color w:val="auto"/>
        </w:rPr>
      </w:pPr>
      <w:r>
        <w:rPr>
          <w:rFonts w:ascii="Arial" w:cs="Arial" w:eastAsia="Arial" w:hAnsi="Arial"/>
          <w:sz w:val="17"/>
          <w:szCs w:val="17"/>
          <w:color w:val="auto"/>
        </w:rPr>
        <w:t>The Company does not believe the lessor is a variable interest entity, as defined in FASB Interpretation No. 46R, “Consolidation of Variable Interest Entities” (“FIN 46”). In addition, the Company has verified that even if the lessor was determined to be a variable interest entity, the Company would not have to consolidate the lessor nor the assets and liabilities associated with the assets leased to the Company. This is because the assets leased do not exceed 50% of the total fair value of the lessor’s assets excluding any assets that should be excluded from such calculation under FIN 46, nor did the lessor finance 95% or more of the leased balance with non-recourse debt, target equity or similar funding.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Regulation and Stockholders’ Equity</w:t>
      </w:r>
    </w:p>
    <w:p>
      <w:pPr>
        <w:spacing w:after="0" w:line="119" w:lineRule="exact"/>
        <w:rPr>
          <w:sz w:val="20"/>
          <w:szCs w:val="20"/>
          <w:color w:val="auto"/>
        </w:rPr>
      </w:pPr>
    </w:p>
    <w:p>
      <w:pPr>
        <w:ind w:right="40" w:firstLine="219"/>
        <w:spacing w:after="0" w:line="288" w:lineRule="auto"/>
        <w:rPr>
          <w:sz w:val="20"/>
          <w:szCs w:val="20"/>
          <w:color w:val="auto"/>
        </w:rPr>
      </w:pPr>
      <w:r>
        <w:rPr>
          <w:rFonts w:ascii="Arial" w:cs="Arial" w:eastAsia="Arial" w:hAnsi="Arial"/>
          <w:sz w:val="16"/>
          <w:szCs w:val="16"/>
          <w:color w:val="auto"/>
        </w:rPr>
        <w:t>The Company’s insurance subsidiaries, including title insurers, property and casualty insurers, underwritten title companies and insurance agencies, are subject to extensive regulation under applicable state laws. Each of the insurance underwriters is subject to a holding company act in its state of domicile which regulates, among other matters, the ability to pay dividends and enter into transactions with affiliates. The laws of most states in which the Company transacts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w:t>
      </w:r>
    </w:p>
    <w:p>
      <w:pPr>
        <w:spacing w:after="0" w:line="62" w:lineRule="exact"/>
        <w:rPr>
          <w:sz w:val="20"/>
          <w:szCs w:val="20"/>
          <w:color w:val="auto"/>
        </w:rPr>
      </w:pPr>
    </w:p>
    <w:p>
      <w:pPr>
        <w:ind w:right="80" w:firstLine="222"/>
        <w:spacing w:after="0" w:line="254" w:lineRule="auto"/>
        <w:rPr>
          <w:sz w:val="20"/>
          <w:szCs w:val="20"/>
          <w:color w:val="auto"/>
        </w:rPr>
      </w:pPr>
      <w:r>
        <w:rPr>
          <w:rFonts w:ascii="Arial" w:cs="Arial" w:eastAsia="Arial" w:hAnsi="Arial"/>
          <w:sz w:val="18"/>
          <w:szCs w:val="18"/>
          <w:color w:val="auto"/>
        </w:rPr>
        <w:t>Since the Company is governed by both state and federal governments and the applicable insurance laws and regulations are constantly subject to change, it is not possible to predict the potential effects on the Company’s insurance operations, particularly its Fidelity National Title Group segment, of any laws or regulations that may become more restrictive in the future or if new restrictive laws will be enacted. See note L for a description of certain recent regulatory developments in California.</w:t>
      </w:r>
    </w:p>
    <w:p>
      <w:pPr>
        <w:spacing w:after="0" w:line="84"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Pursuant to statutory accounting requirements of the various states in which the Company’s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2008, the combined statutory unearned premium reserve required and reported for the Company’s title insurers was $2,137.2 million. In addition to statutory unearned premium reserves, each of our insurers maintains reserves for known claims and surplus funds for policyholder protection and business operations.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Each of the Company’s insurance subsidiaries is regulated by the insurance regulatory authority in its respective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state of domicile, as well as that of each state in which it is licensed. The insurance commissioners of their respective states of domicile are the primary regulators of the Company’s title insurance subsidiaries. Each of the insurers is subject to periodic regulatory financial examination by regulatory authorities, and certain of these examinations are currently ongoing.</w:t>
      </w:r>
    </w:p>
    <w:p>
      <w:pPr>
        <w:spacing w:after="0" w:line="82" w:lineRule="exact"/>
        <w:rPr>
          <w:sz w:val="20"/>
          <w:szCs w:val="20"/>
          <w:color w:val="auto"/>
        </w:rPr>
      </w:pPr>
    </w:p>
    <w:p>
      <w:pPr>
        <w:ind w:right="160" w:firstLine="219"/>
        <w:spacing w:after="0" w:line="295" w:lineRule="auto"/>
        <w:rPr>
          <w:sz w:val="20"/>
          <w:szCs w:val="20"/>
          <w:color w:val="auto"/>
        </w:rPr>
      </w:pPr>
      <w:r>
        <w:rPr>
          <w:rFonts w:ascii="Arial" w:cs="Arial" w:eastAsia="Arial" w:hAnsi="Arial"/>
          <w:sz w:val="16"/>
          <w:szCs w:val="16"/>
          <w:color w:val="auto"/>
        </w:rPr>
        <w:t>The Company’s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2008, $1,547.4 million of the Company’s net assets are restricted from dividend payments without prior approval from the Departments of Insurance. During 2009, the Company’s title insurers can pay or make distributions to the Company of approximately $214.7 million, without prior approval.</w:t>
      </w:r>
    </w:p>
    <w:p>
      <w:pPr>
        <w:spacing w:after="0" w:line="56" w:lineRule="exact"/>
        <w:rPr>
          <w:sz w:val="20"/>
          <w:szCs w:val="20"/>
          <w:color w:val="auto"/>
        </w:rPr>
      </w:pPr>
    </w:p>
    <w:p>
      <w:pPr>
        <w:ind w:right="520" w:firstLine="219"/>
        <w:spacing w:after="0" w:line="279" w:lineRule="auto"/>
        <w:rPr>
          <w:sz w:val="20"/>
          <w:szCs w:val="20"/>
          <w:color w:val="auto"/>
        </w:rPr>
      </w:pPr>
      <w:r>
        <w:rPr>
          <w:rFonts w:ascii="Arial" w:cs="Arial" w:eastAsia="Arial" w:hAnsi="Arial"/>
          <w:sz w:val="17"/>
          <w:szCs w:val="17"/>
          <w:color w:val="auto"/>
        </w:rPr>
        <w:t>The combined statutory capital and surplus of the Company’s title insurers was $634.9 million and $652.6 million as of December 31, 2008 and 2007, respectively. The combined statutory net earnings of the Company’s title insurance subsidiaries were $170.9 million (excluding the LFG Underwriters), $204.8 million, and $413.8 million for the years ended December 31, 2008, 2007, and 2006, respectively.</w:t>
      </w:r>
    </w:p>
    <w:p>
      <w:pPr>
        <w:spacing w:after="0" w:line="65" w:lineRule="exact"/>
        <w:rPr>
          <w:sz w:val="20"/>
          <w:szCs w:val="20"/>
          <w:color w:val="auto"/>
        </w:rPr>
      </w:pPr>
    </w:p>
    <w:p>
      <w:pPr>
        <w:ind w:right="80" w:firstLine="212"/>
        <w:spacing w:after="0" w:line="257" w:lineRule="auto"/>
        <w:rPr>
          <w:sz w:val="20"/>
          <w:szCs w:val="20"/>
          <w:color w:val="auto"/>
        </w:rPr>
      </w:pPr>
      <w:r>
        <w:rPr>
          <w:rFonts w:ascii="Arial" w:cs="Arial" w:eastAsia="Arial" w:hAnsi="Arial"/>
          <w:sz w:val="18"/>
          <w:szCs w:val="18"/>
          <w:color w:val="auto"/>
        </w:rPr>
        <w:t>As a condition to continued authority to underwrite policies in the states in which the Company’s insurers conduct their business, the insurers are required to pay certain fees and file information regarding their officers, directors and financial condition. In addition, the Company’s escrow and trust business is subject to regulation by various state banking authorities.</w:t>
      </w:r>
    </w:p>
    <w:p>
      <w:pPr>
        <w:spacing w:after="0" w:line="82" w:lineRule="exact"/>
        <w:rPr>
          <w:sz w:val="20"/>
          <w:szCs w:val="20"/>
          <w:color w:val="auto"/>
        </w:rPr>
      </w:pPr>
    </w:p>
    <w:p>
      <w:pPr>
        <w:ind w:right="620" w:firstLine="222"/>
        <w:spacing w:after="0" w:line="331" w:lineRule="auto"/>
        <w:rPr>
          <w:sz w:val="20"/>
          <w:szCs w:val="20"/>
          <w:color w:val="auto"/>
        </w:rPr>
      </w:pPr>
      <w:r>
        <w:rPr>
          <w:rFonts w:ascii="Arial" w:cs="Arial" w:eastAsia="Arial" w:hAnsi="Arial"/>
          <w:sz w:val="16"/>
          <w:szCs w:val="16"/>
          <w:color w:val="auto"/>
        </w:rPr>
        <w:t>Pursuant to statutory requirements of the various states in which the Company’s insurers are domiciled, such insurers must maintain certain levels of minimum capital and surplus. Each of the Company’s underwriters has complied with the minimum statutory requirements as of December 31, 2008.</w:t>
      </w:r>
    </w:p>
    <w:p>
      <w:pPr>
        <w:spacing w:after="0" w:line="26" w:lineRule="exact"/>
        <w:rPr>
          <w:sz w:val="20"/>
          <w:szCs w:val="20"/>
          <w:color w:val="auto"/>
        </w:rPr>
      </w:pPr>
    </w:p>
    <w:p>
      <w:pPr>
        <w:ind w:right="280" w:firstLine="219"/>
        <w:spacing w:after="0" w:line="291" w:lineRule="auto"/>
        <w:rPr>
          <w:sz w:val="20"/>
          <w:szCs w:val="20"/>
          <w:color w:val="auto"/>
        </w:rPr>
      </w:pPr>
      <w:r>
        <w:rPr>
          <w:rFonts w:ascii="Arial" w:cs="Arial" w:eastAsia="Arial" w:hAnsi="Arial"/>
          <w:sz w:val="16"/>
          <w:szCs w:val="16"/>
          <w:color w:val="auto"/>
        </w:rPr>
        <w:t>The Company’s underwritten title companies are also subject to certain regulation by insurance regulatory or banking authorities, primarily relating to minimum net worth. Minimum net worth requirements for each underwritten title company are as follows: $7.5 million for Fidelity National Title Company, $2.5 million for Fidelity National Title Company of California, $3.0 million for Chicago Title Company, $0.4 million for Ticor Title Company of California, Commonwealth Land Title Company, Lawyers Title Company, and Gateway Title Company, and $0.1 million for Napa Valley Title. All of the Company’s underwritten title companies are in compliance with all of their respective minimum net worth requirements at December 31, 2008.</w:t>
      </w:r>
    </w:p>
    <w:p>
      <w:pPr>
        <w:spacing w:after="0" w:line="58"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color w:val="auto"/>
        </w:rPr>
        <w:t>On October 25, 2006, our Board of Directors approved a three-year stock repurchase program under which the Company can repurchase up to 25 million shares of its common stock. The Company may make purchases from time to time in the open market, in block purchases or in privately negotiated transactions, depending on market conditions and other factors. The Company began purchasing shares under this program on a regular basis on April 30, 2007 and, through December 31, 2008, the Company has repurchased a total of 12,840,470 shares for $229.1 million, or an average of $17.84 per share. This includes 3,165,470 shares repurchased in 2008 for $46.0 million, or $14.53 per share and 9,675,000 shares repurchased in 2007 for a total of $183.1 million, or $18.93 per share. Shares repurchased in 2007 include 1,000,000 shares which the Company purchased from its Chairman of the Board, William P. Foley, II. In August 2007, Mr. Foley planned to sell 1,000,000 shares of FNF stock on the open market. Because the Company was actively purchasing shares of treasury stock on the open market at the same time, the Company agreed to purchase 1,000,000 shares from Mr. Foley on August 8, 2007, for $22.1 million, or $22.09 per share, the market price at the time of the purchase. The Company did not repurchase any shares under this plan during 2006.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Employee Benefit Plans</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Purchase Plan</w:t>
      </w:r>
    </w:p>
    <w:p>
      <w:pPr>
        <w:spacing w:after="0" w:line="113" w:lineRule="exact"/>
        <w:rPr>
          <w:sz w:val="20"/>
          <w:szCs w:val="20"/>
          <w:color w:val="auto"/>
        </w:rPr>
      </w:pPr>
    </w:p>
    <w:p>
      <w:pPr>
        <w:ind w:right="120" w:firstLine="222"/>
        <w:spacing w:after="0" w:line="304" w:lineRule="auto"/>
        <w:rPr>
          <w:sz w:val="20"/>
          <w:szCs w:val="20"/>
          <w:color w:val="auto"/>
        </w:rPr>
      </w:pPr>
      <w:r>
        <w:rPr>
          <w:rFonts w:ascii="Arial" w:cs="Arial" w:eastAsia="Arial" w:hAnsi="Arial"/>
          <w:sz w:val="16"/>
          <w:szCs w:val="16"/>
          <w:color w:val="auto"/>
        </w:rPr>
        <w:t>During the three-year period ended December 31, 2008, eligible employees of the Company and its subsidiaries could voluntarily participate in employee stock purchase plans (“ESPPs”) sponsored by the Company and its subsidiaries. Pursuant to the ESPPs, employees may contribute an amount between 3% and 15% of their base salary and certain commissions. The Company and its subsidiaries contribute varying amounts as specified in the ESPPs.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color w:val="auto"/>
        </w:rPr>
        <w:t>The Company and its subsidiaries contributed $15.2 million, $17.2 million, and $24.5 million to the ESPPs in the years ended December 31, 2008, 2007, and 2006, respectively, in accordance with the employer’s matching contribution.</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Profit Sharing Plan</w:t>
      </w:r>
    </w:p>
    <w:p>
      <w:pPr>
        <w:spacing w:after="0" w:line="113"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During the three-year period ended December 31, 2008, the Company and its subsidiaries have offered their employees the opportunity to participate in 401(k) profit sharing plans (the “401(k) Plans”), qualified voluntary contributory savings plans which are available to substantially all Fidelity employees. Eligible employees may contribute up to 40% of their pretax annual compensation, up to the amount allowed pursuant to the Internal Revenue Code. During the years ended December 31, 2007 and 2006, the Company and its subsidiaries matched 50% of each dollar of employee contribution up to six percent of the employee’s total compensation. There was no employer match for the year ended December 31, 2008. The Company’s contributions to the 401(k) Plans for the years ended December 31, 2007 and 2006 were $22.8 million, and $39.5 million, respectively.</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3" w:lineRule="exact"/>
        <w:rPr>
          <w:sz w:val="20"/>
          <w:szCs w:val="20"/>
          <w:color w:val="auto"/>
        </w:rPr>
      </w:pPr>
    </w:p>
    <w:p>
      <w:pPr>
        <w:ind w:right="80" w:firstLine="222"/>
        <w:spacing w:after="0" w:line="288" w:lineRule="auto"/>
        <w:rPr>
          <w:sz w:val="20"/>
          <w:szCs w:val="20"/>
          <w:color w:val="auto"/>
        </w:rPr>
      </w:pPr>
      <w:r>
        <w:rPr>
          <w:rFonts w:ascii="Arial" w:cs="Arial" w:eastAsia="Arial" w:hAnsi="Arial"/>
          <w:sz w:val="16"/>
          <w:szCs w:val="16"/>
          <w:color w:val="auto"/>
        </w:rPr>
        <w:t>In connection with the 2005 distribution of FNT stock by Old FNF, the Company established the FNT 2005 Omnibus Incentive Plan (the “Omnibus Plan”) authorizing the issuance of up to 8 million shares of common stock, subject to the terms of the Omnibus Plan. On October 23, 2006, the stockholders of FNT approved an amendment to increase the number of shares available for issuance under the Omnibus Plan by 15.5 million shares. The increase was in part to provide capacity for options and restricted stock to be issued to replace Old FNF options and restricted stock. The Omnibus Plan provides for the grant of stock options, stock appreciation rights, restricted stock, restricted stock units and performance shares, performance units, other cash and stock-based awards and dividend equivalents. As of December 31, 2008, there were 2,252,300 shares of restricted stock and 23,219,283 stock options outstanding under this plan.</w:t>
      </w:r>
    </w:p>
    <w:p>
      <w:pPr>
        <w:spacing w:after="0" w:line="62" w:lineRule="exact"/>
        <w:rPr>
          <w:sz w:val="20"/>
          <w:szCs w:val="20"/>
          <w:color w:val="auto"/>
        </w:rPr>
      </w:pPr>
    </w:p>
    <w:p>
      <w:pPr>
        <w:ind w:right="20" w:firstLine="222"/>
        <w:spacing w:after="0" w:line="250" w:lineRule="auto"/>
        <w:rPr>
          <w:sz w:val="20"/>
          <w:szCs w:val="20"/>
          <w:color w:val="auto"/>
        </w:rPr>
      </w:pPr>
      <w:r>
        <w:rPr>
          <w:rFonts w:ascii="Arial" w:cs="Arial" w:eastAsia="Arial" w:hAnsi="Arial"/>
          <w:sz w:val="18"/>
          <w:szCs w:val="18"/>
          <w:color w:val="auto"/>
        </w:rPr>
        <w:t>On October 24, 2006, as part of the closing of the 2006 Distribution and spin-off from Old FNF, the Company granted options and restricted stock to replace Old FNF options and Old FNF restricted stock to its employees. The Company issued approximately 10.0 million options with a weighted average strike price of $10.47 per share to replace 5.0 million outstanding Old FNF options granted out of the historical FNF plans in an intrinsic value swap. The Company also issued approximately 0.7 million shares of restricted stock to employees as part of the distribution and to replace Old FNF restricted stock. During 2006, at the closing of the 2006 Distribution the Company also granted 790,000 shares of restricted stock to certain executive officers and the board of directors. Subsequent to the closing of the 2006 Distribution, the Company also granted 754,500 shares of restricted stock to other officers and employees and 2,116,500 options to other officers and employees.</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 detail of Old FNF option activity from December 31, 2005 through the closing of the 2006 Distribution transaction on October 24, 2006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9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Options</w:t>
            </w:r>
          </w:p>
        </w:tc>
        <w:tc>
          <w:tcPr>
            <w:tcW w:w="340" w:type="dxa"/>
            <w:vAlign w:val="bottom"/>
            <w:vMerge w:val="restart"/>
          </w:tcPr>
          <w:p>
            <w:pPr>
              <w:spacing w:after="0"/>
              <w:rPr>
                <w:sz w:val="14"/>
                <w:szCs w:val="14"/>
                <w:color w:val="auto"/>
              </w:rPr>
            </w:pPr>
          </w:p>
        </w:tc>
        <w:tc>
          <w:tcPr>
            <w:tcW w:w="2000" w:type="dxa"/>
            <w:vAlign w:val="bottom"/>
            <w:gridSpan w:val="4"/>
          </w:tcPr>
          <w:p>
            <w:pPr>
              <w:ind w:left="280"/>
              <w:spacing w:after="0"/>
              <w:rPr>
                <w:sz w:val="20"/>
                <w:szCs w:val="20"/>
                <w:color w:val="auto"/>
              </w:rPr>
            </w:pPr>
            <w:r>
              <w:rPr>
                <w:rFonts w:ascii="Arial" w:cs="Arial" w:eastAsia="Arial" w:hAnsi="Arial"/>
                <w:sz w:val="14"/>
                <w:szCs w:val="14"/>
                <w:b w:val="1"/>
                <w:bCs w:val="1"/>
                <w:color w:val="auto"/>
              </w:rPr>
              <w:t>Weighted Average</w:t>
            </w:r>
          </w:p>
        </w:tc>
        <w:tc>
          <w:tcPr>
            <w:tcW w:w="92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Exercisable</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Exercise Price</w:t>
            </w:r>
          </w:p>
        </w:tc>
        <w:tc>
          <w:tcPr>
            <w:tcW w:w="62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15,890,293</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18.47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11,480,299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183,500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39.20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(8,403,694)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12.40</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(204,894)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38.15</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24, 2006</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7,465,205</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right="240" w:firstLine="222"/>
        <w:spacing w:after="0" w:line="257" w:lineRule="auto"/>
        <w:rPr>
          <w:sz w:val="20"/>
          <w:szCs w:val="20"/>
          <w:color w:val="auto"/>
        </w:rPr>
      </w:pPr>
      <w:r>
        <w:rPr>
          <w:rFonts w:ascii="Arial" w:cs="Arial" w:eastAsia="Arial" w:hAnsi="Arial"/>
          <w:sz w:val="18"/>
          <w:szCs w:val="18"/>
          <w:color w:val="auto"/>
        </w:rPr>
        <w:t>Following the closing of the 2006 Distribution on October 24, former Old FNF options and restricted stock held by employees of the Company were converted in an intrinsic value swap to options and restricted stock of the Company as noted above. Options and restricted stock held by FIS employees were converted into FIS options and restricted stock.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 option transactions under the Current Omnibus Plan for 2006, 2007, and 2008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9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Options</w:t>
            </w:r>
          </w:p>
        </w:tc>
        <w:tc>
          <w:tcPr>
            <w:tcW w:w="340" w:type="dxa"/>
            <w:vAlign w:val="bottom"/>
            <w:vMerge w:val="restart"/>
          </w:tcPr>
          <w:p>
            <w:pPr>
              <w:spacing w:after="0"/>
              <w:rPr>
                <w:sz w:val="14"/>
                <w:szCs w:val="14"/>
                <w:color w:val="auto"/>
              </w:rPr>
            </w:pPr>
          </w:p>
        </w:tc>
        <w:tc>
          <w:tcPr>
            <w:tcW w:w="1820" w:type="dxa"/>
            <w:vAlign w:val="bottom"/>
            <w:gridSpan w:val="6"/>
          </w:tcPr>
          <w:p>
            <w:pPr>
              <w:ind w:left="280"/>
              <w:spacing w:after="0"/>
              <w:rPr>
                <w:sz w:val="20"/>
                <w:szCs w:val="20"/>
                <w:color w:val="auto"/>
              </w:rPr>
            </w:pPr>
            <w:r>
              <w:rPr>
                <w:rFonts w:ascii="Arial" w:cs="Arial" w:eastAsia="Arial" w:hAnsi="Arial"/>
                <w:sz w:val="14"/>
                <w:szCs w:val="14"/>
                <w:b w:val="1"/>
                <w:bCs w:val="1"/>
                <w:color w:val="auto"/>
              </w:rPr>
              <w:t>Weighted Average</w:t>
            </w:r>
          </w:p>
        </w:tc>
        <w:tc>
          <w:tcPr>
            <w:tcW w:w="180" w:type="dxa"/>
            <w:vAlign w:val="bottom"/>
          </w:tcPr>
          <w:p>
            <w:pPr>
              <w:spacing w:after="0"/>
              <w:rPr>
                <w:sz w:val="14"/>
                <w:szCs w:val="14"/>
                <w:color w:val="auto"/>
              </w:rPr>
            </w:pPr>
          </w:p>
        </w:tc>
        <w:tc>
          <w:tcPr>
            <w:tcW w:w="92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Exercisable</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16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7"/>
              </w:rPr>
              <w:t>Exercise Price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2,206,500</w:t>
            </w:r>
          </w:p>
        </w:tc>
        <w:tc>
          <w:tcPr>
            <w:tcW w:w="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21.90</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71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2,116,500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23.40</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Granted in intrinsic value swap in connection with 2006 Distribution</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10,009,967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10.47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(158,116)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10.08</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Cancelled</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(33,441)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5.01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Balance, December 31, 2006</w:t>
            </w: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3"/>
            <w:vMerge w:val="restart"/>
          </w:tcPr>
          <w:p>
            <w:pPr>
              <w:ind w:left="280"/>
              <w:spacing w:after="0"/>
              <w:rPr>
                <w:sz w:val="20"/>
                <w:szCs w:val="20"/>
                <w:color w:val="auto"/>
              </w:rPr>
            </w:pPr>
            <w:r>
              <w:rPr>
                <w:rFonts w:ascii="Arial" w:cs="Arial" w:eastAsia="Arial" w:hAnsi="Arial"/>
                <w:sz w:val="18"/>
                <w:szCs w:val="18"/>
                <w:color w:val="auto"/>
                <w:w w:val="99"/>
              </w:rPr>
              <w:t>$</w:t>
            </w:r>
          </w:p>
        </w:tc>
        <w:tc>
          <w:tcPr>
            <w:tcW w:w="1420" w:type="dxa"/>
            <w:vAlign w:val="bottom"/>
            <w:gridSpan w:val="3"/>
            <w:vMerge w:val="restart"/>
          </w:tcPr>
          <w:p>
            <w:pPr>
              <w:jc w:val="right"/>
              <w:ind w:right="440"/>
              <w:spacing w:after="0"/>
              <w:rPr>
                <w:sz w:val="20"/>
                <w:szCs w:val="20"/>
                <w:color w:val="auto"/>
              </w:rPr>
            </w:pPr>
            <w:r>
              <w:rPr>
                <w:rFonts w:ascii="Arial" w:cs="Arial" w:eastAsia="Arial" w:hAnsi="Arial"/>
                <w:sz w:val="18"/>
                <w:szCs w:val="18"/>
                <w:color w:val="auto"/>
              </w:rPr>
              <w:t>14.55</w:t>
            </w:r>
          </w:p>
        </w:tc>
        <w:tc>
          <w:tcPr>
            <w:tcW w:w="18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7,406,280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160" w:type="dxa"/>
            <w:vAlign w:val="bottom"/>
            <w:vMerge w:val="continue"/>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14,141,410</w:t>
            </w:r>
          </w:p>
        </w:tc>
        <w:tc>
          <w:tcPr>
            <w:tcW w:w="400" w:type="dxa"/>
            <w:vAlign w:val="bottom"/>
            <w:gridSpan w:val="3"/>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5,257,997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13.64</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(1,087,946)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7.73</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Cancelled</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(302,627)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21.66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Balance, December 31, 2007</w:t>
            </w: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3"/>
            <w:vMerge w:val="restart"/>
          </w:tcPr>
          <w:p>
            <w:pPr>
              <w:ind w:left="280"/>
              <w:spacing w:after="0"/>
              <w:rPr>
                <w:sz w:val="20"/>
                <w:szCs w:val="20"/>
                <w:color w:val="auto"/>
              </w:rPr>
            </w:pPr>
            <w:r>
              <w:rPr>
                <w:rFonts w:ascii="Arial" w:cs="Arial" w:eastAsia="Arial" w:hAnsi="Arial"/>
                <w:sz w:val="18"/>
                <w:szCs w:val="18"/>
                <w:color w:val="auto"/>
                <w:w w:val="99"/>
              </w:rPr>
              <w:t>$</w:t>
            </w:r>
          </w:p>
        </w:tc>
        <w:tc>
          <w:tcPr>
            <w:tcW w:w="1420" w:type="dxa"/>
            <w:vAlign w:val="bottom"/>
            <w:gridSpan w:val="3"/>
            <w:vMerge w:val="restart"/>
          </w:tcPr>
          <w:p>
            <w:pPr>
              <w:jc w:val="right"/>
              <w:ind w:right="440"/>
              <w:spacing w:after="0"/>
              <w:rPr>
                <w:sz w:val="20"/>
                <w:szCs w:val="20"/>
                <w:color w:val="auto"/>
              </w:rPr>
            </w:pPr>
            <w:r>
              <w:rPr>
                <w:rFonts w:ascii="Arial" w:cs="Arial" w:eastAsia="Arial" w:hAnsi="Arial"/>
                <w:sz w:val="18"/>
                <w:szCs w:val="18"/>
                <w:color w:val="auto"/>
              </w:rPr>
              <w:t>14.57</w:t>
            </w:r>
          </w:p>
        </w:tc>
        <w:tc>
          <w:tcPr>
            <w:tcW w:w="18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9,904,089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160" w:type="dxa"/>
            <w:vAlign w:val="bottom"/>
            <w:vMerge w:val="continue"/>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18,008,834</w:t>
            </w:r>
          </w:p>
        </w:tc>
        <w:tc>
          <w:tcPr>
            <w:tcW w:w="400" w:type="dxa"/>
            <w:vAlign w:val="bottom"/>
            <w:gridSpan w:val="3"/>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6,162,942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7.09</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(775,092)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6.93</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Cancelled</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(177,401)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17.70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Balance, December 31, 2008</w:t>
            </w: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3"/>
            <w:vMerge w:val="restart"/>
          </w:tcPr>
          <w:p>
            <w:pPr>
              <w:ind w:left="280"/>
              <w:spacing w:after="0"/>
              <w:rPr>
                <w:sz w:val="20"/>
                <w:szCs w:val="20"/>
                <w:color w:val="auto"/>
              </w:rPr>
            </w:pPr>
            <w:r>
              <w:rPr>
                <w:rFonts w:ascii="Arial" w:cs="Arial" w:eastAsia="Arial" w:hAnsi="Arial"/>
                <w:sz w:val="18"/>
                <w:szCs w:val="18"/>
                <w:color w:val="auto"/>
                <w:w w:val="99"/>
              </w:rPr>
              <w:t>$</w:t>
            </w:r>
          </w:p>
        </w:tc>
        <w:tc>
          <w:tcPr>
            <w:tcW w:w="1420" w:type="dxa"/>
            <w:vAlign w:val="bottom"/>
            <w:gridSpan w:val="3"/>
            <w:vMerge w:val="restart"/>
          </w:tcPr>
          <w:p>
            <w:pPr>
              <w:jc w:val="right"/>
              <w:ind w:right="440"/>
              <w:spacing w:after="0"/>
              <w:rPr>
                <w:sz w:val="20"/>
                <w:szCs w:val="20"/>
                <w:color w:val="auto"/>
              </w:rPr>
            </w:pPr>
            <w:r>
              <w:rPr>
                <w:rFonts w:ascii="Arial" w:cs="Arial" w:eastAsia="Arial" w:hAnsi="Arial"/>
                <w:sz w:val="18"/>
                <w:szCs w:val="18"/>
                <w:color w:val="auto"/>
              </w:rPr>
              <w:t>12.82</w:t>
            </w:r>
          </w:p>
        </w:tc>
        <w:tc>
          <w:tcPr>
            <w:tcW w:w="180" w:type="dxa"/>
            <w:vAlign w:val="bottom"/>
          </w:tcPr>
          <w:p>
            <w:pPr>
              <w:spacing w:after="0" w:line="20" w:lineRule="exact"/>
              <w:rPr>
                <w:sz w:val="1"/>
                <w:szCs w:val="1"/>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9"/>
              </w:rPr>
              <w:t>11,971,263</w:t>
            </w:r>
          </w:p>
        </w:tc>
        <w:tc>
          <w:tcPr>
            <w:tcW w:w="0" w:type="dxa"/>
            <w:vAlign w:val="bottom"/>
          </w:tcPr>
          <w:p>
            <w:pPr>
              <w:spacing w:after="0" w:line="20" w:lineRule="exact"/>
              <w:rPr>
                <w:sz w:val="1"/>
                <w:szCs w:val="1"/>
                <w:color w:val="auto"/>
              </w:rPr>
            </w:pPr>
          </w:p>
        </w:tc>
      </w:tr>
      <w:tr>
        <w:trPr>
          <w:trHeight w:val="219"/>
        </w:trPr>
        <w:tc>
          <w:tcPr>
            <w:tcW w:w="7160" w:type="dxa"/>
            <w:vAlign w:val="bottom"/>
            <w:vMerge w:val="continue"/>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23,219,283</w:t>
            </w:r>
          </w:p>
        </w:tc>
        <w:tc>
          <w:tcPr>
            <w:tcW w:w="400" w:type="dxa"/>
            <w:vAlign w:val="bottom"/>
            <w:gridSpan w:val="3"/>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ind w:left="220"/>
              <w:spacing w:after="0"/>
              <w:rPr>
                <w:sz w:val="20"/>
                <w:szCs w:val="20"/>
                <w:color w:val="auto"/>
              </w:rPr>
            </w:pPr>
            <w:r>
              <w:rPr>
                <w:rFonts w:ascii="Arial" w:cs="Arial" w:eastAsia="Arial" w:hAnsi="Arial"/>
                <w:sz w:val="18"/>
                <w:szCs w:val="18"/>
                <w:color w:val="auto"/>
                <w:w w:val="90"/>
              </w:rPr>
              <w:t>Restricted stock transactions under the Omnibus Plan in 2006, 2007, and 2008 were as follows: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1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6"/>
              </w:rPr>
              <w:t>Weighted Average</w:t>
            </w:r>
          </w:p>
        </w:tc>
        <w:tc>
          <w:tcPr>
            <w:tcW w:w="0" w:type="dxa"/>
            <w:vAlign w:val="bottom"/>
          </w:tcPr>
          <w:p>
            <w:pPr>
              <w:spacing w:after="0"/>
              <w:rPr>
                <w:sz w:val="1"/>
                <w:szCs w:val="1"/>
                <w:color w:val="auto"/>
              </w:rPr>
            </w:pPr>
          </w:p>
        </w:tc>
      </w:tr>
      <w:tr>
        <w:trPr>
          <w:trHeight w:val="147"/>
        </w:trPr>
        <w:tc>
          <w:tcPr>
            <w:tcW w:w="7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vMerge w:val="restart"/>
          </w:tcPr>
          <w:p>
            <w:pPr>
              <w:spacing w:after="0"/>
              <w:rPr>
                <w:sz w:val="12"/>
                <w:szCs w:val="12"/>
                <w:color w:val="auto"/>
              </w:rPr>
            </w:pPr>
          </w:p>
        </w:tc>
        <w:tc>
          <w:tcPr>
            <w:tcW w:w="1200" w:type="dxa"/>
            <w:vAlign w:val="bottom"/>
            <w:gridSpan w:val="3"/>
          </w:tcPr>
          <w:p>
            <w:pPr>
              <w:ind w:left="60"/>
              <w:spacing w:after="0" w:line="147"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69"/>
        </w:trPr>
        <w:tc>
          <w:tcPr>
            <w:tcW w:w="7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777,500</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3"/>
        </w:trPr>
        <w:tc>
          <w:tcPr>
            <w:tcW w:w="7160" w:type="dxa"/>
            <w:vAlign w:val="bottom"/>
          </w:tcPr>
          <w:p>
            <w:pPr>
              <w:ind w:left="200"/>
              <w:spacing w:after="0"/>
              <w:rPr>
                <w:sz w:val="20"/>
                <w:szCs w:val="20"/>
                <w:color w:val="auto"/>
              </w:rPr>
            </w:pPr>
            <w:r>
              <w:rPr>
                <w:rFonts w:ascii="Arial" w:cs="Arial" w:eastAsia="Arial" w:hAnsi="Arial"/>
                <w:sz w:val="18"/>
                <w:szCs w:val="18"/>
                <w:color w:val="auto"/>
              </w:rPr>
              <w:t>Granted</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1,544,500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Granted in intrinsic value swap in connection with 2006 Distribution</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702,620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13"/>
        </w:trPr>
        <w:tc>
          <w:tcPr>
            <w:tcW w:w="716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(11,250)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(416,721)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19"/>
        </w:trPr>
        <w:tc>
          <w:tcPr>
            <w:tcW w:w="7160" w:type="dxa"/>
            <w:vAlign w:val="bottom"/>
          </w:tcPr>
          <w:p>
            <w:pPr>
              <w:spacing w:after="0"/>
              <w:rPr>
                <w:sz w:val="20"/>
                <w:szCs w:val="20"/>
                <w:color w:val="auto"/>
              </w:rPr>
            </w:pPr>
            <w:r>
              <w:rPr>
                <w:rFonts w:ascii="Arial" w:cs="Arial" w:eastAsia="Arial" w:hAnsi="Arial"/>
                <w:sz w:val="18"/>
                <w:szCs w:val="18"/>
                <w:color w:val="auto"/>
              </w:rPr>
              <w:t>Balance, December 31, 2006</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2,596,649</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510,503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3"/>
        </w:trPr>
        <w:tc>
          <w:tcPr>
            <w:tcW w:w="716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(34,289)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(996,811)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9"/>
        </w:trPr>
        <w:tc>
          <w:tcPr>
            <w:tcW w:w="7160" w:type="dxa"/>
            <w:vAlign w:val="bottom"/>
          </w:tcPr>
          <w:p>
            <w:pPr>
              <w:spacing w:after="0"/>
              <w:rPr>
                <w:sz w:val="20"/>
                <w:szCs w:val="20"/>
                <w:color w:val="auto"/>
              </w:rPr>
            </w:pPr>
            <w:r>
              <w:rPr>
                <w:rFonts w:ascii="Arial" w:cs="Arial" w:eastAsia="Arial" w:hAnsi="Arial"/>
                <w:sz w:val="18"/>
                <w:szCs w:val="18"/>
                <w:color w:val="auto"/>
              </w:rPr>
              <w:t>Balance, December 31, 2007</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2,076,052</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4"/>
        </w:trPr>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Granted</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1,370,358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3"/>
        </w:trPr>
        <w:tc>
          <w:tcPr>
            <w:tcW w:w="716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(28,973)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13"/>
        </w:trPr>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(1,165,137)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19"/>
        </w:trPr>
        <w:tc>
          <w:tcPr>
            <w:tcW w:w="7160" w:type="dxa"/>
            <w:vAlign w:val="bottom"/>
          </w:tcPr>
          <w:p>
            <w:pPr>
              <w:spacing w:after="0"/>
              <w:rPr>
                <w:sz w:val="20"/>
                <w:szCs w:val="20"/>
                <w:color w:val="auto"/>
              </w:rPr>
            </w:pPr>
            <w:r>
              <w:rPr>
                <w:rFonts w:ascii="Arial" w:cs="Arial" w:eastAsia="Arial" w:hAnsi="Arial"/>
                <w:sz w:val="18"/>
                <w:szCs w:val="18"/>
                <w:color w:val="auto"/>
              </w:rPr>
              <w:t>Balance, December 31, 2008</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2,252,300</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information related to stock options outstanding and exercisable as of December 31, 2008:</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ind w:left="200"/>
              <w:spacing w:after="0"/>
              <w:rPr>
                <w:sz w:val="20"/>
                <w:szCs w:val="20"/>
                <w:color w:val="auto"/>
              </w:rPr>
            </w:pPr>
            <w:r>
              <w:rPr>
                <w:rFonts w:ascii="Arial" w:cs="Arial" w:eastAsia="Arial" w:hAnsi="Arial"/>
                <w:sz w:val="12"/>
                <w:szCs w:val="12"/>
                <w:b w:val="1"/>
                <w:bCs w:val="1"/>
                <w:color w:val="auto"/>
              </w:rPr>
              <w:t>Options Outstanding</w:t>
            </w: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5"/>
          </w:tcPr>
          <w:p>
            <w:pPr>
              <w:ind w:left="400"/>
              <w:spacing w:after="0"/>
              <w:rPr>
                <w:sz w:val="20"/>
                <w:szCs w:val="20"/>
                <w:color w:val="auto"/>
              </w:rPr>
            </w:pPr>
            <w:r>
              <w:rPr>
                <w:rFonts w:ascii="Arial" w:cs="Arial" w:eastAsia="Arial" w:hAnsi="Arial"/>
                <w:sz w:val="12"/>
                <w:szCs w:val="12"/>
                <w:b w:val="1"/>
                <w:bCs w:val="1"/>
                <w:color w:val="auto"/>
              </w:rPr>
              <w:t>Options Exercisable</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09"/>
        </w:trPr>
        <w:tc>
          <w:tcPr>
            <w:tcW w:w="2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gridSpan w:val="2"/>
          </w:tcPr>
          <w:p>
            <w:pPr>
              <w:jc w:val="center"/>
              <w:ind w:right="440"/>
              <w:spacing w:after="0" w:line="109" w:lineRule="exact"/>
              <w:rPr>
                <w:sz w:val="20"/>
                <w:szCs w:val="20"/>
                <w:color w:val="auto"/>
              </w:rPr>
            </w:pPr>
            <w:r>
              <w:rPr>
                <w:rFonts w:ascii="Arial" w:cs="Arial" w:eastAsia="Arial" w:hAnsi="Arial"/>
                <w:sz w:val="12"/>
                <w:szCs w:val="12"/>
                <w:b w:val="1"/>
                <w:bCs w:val="1"/>
                <w:color w:val="auto"/>
                <w:w w:val="96"/>
              </w:rPr>
              <w:t>Weighted</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00" w:type="dxa"/>
            <w:vAlign w:val="bottom"/>
            <w:gridSpan w:val="2"/>
          </w:tcPr>
          <w:p>
            <w:pPr>
              <w:jc w:val="center"/>
              <w:ind w:right="440"/>
              <w:spacing w:after="0" w:line="109" w:lineRule="exact"/>
              <w:rPr>
                <w:sz w:val="20"/>
                <w:szCs w:val="20"/>
                <w:color w:val="auto"/>
              </w:rPr>
            </w:pPr>
            <w:r>
              <w:rPr>
                <w:rFonts w:ascii="Arial" w:cs="Arial" w:eastAsia="Arial" w:hAnsi="Arial"/>
                <w:sz w:val="12"/>
                <w:szCs w:val="12"/>
                <w:b w:val="1"/>
                <w:bCs w:val="1"/>
                <w:color w:val="auto"/>
                <w:w w:val="92"/>
              </w:rPr>
              <w:t>Weighted</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3"/>
        </w:trPr>
        <w:tc>
          <w:tcPr>
            <w:tcW w:w="2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jc w:val="center"/>
              <w:ind w:right="440"/>
              <w:spacing w:after="0" w:line="133" w:lineRule="exact"/>
              <w:rPr>
                <w:sz w:val="20"/>
                <w:szCs w:val="20"/>
                <w:color w:val="auto"/>
              </w:rPr>
            </w:pPr>
            <w:r>
              <w:rPr>
                <w:rFonts w:ascii="Arial" w:cs="Arial" w:eastAsia="Arial" w:hAnsi="Arial"/>
                <w:sz w:val="12"/>
                <w:szCs w:val="12"/>
                <w:b w:val="1"/>
                <w:bCs w:val="1"/>
                <w:color w:val="auto"/>
                <w:w w:val="92"/>
              </w:rPr>
              <w:t>Average</w:t>
            </w:r>
          </w:p>
        </w:tc>
        <w:tc>
          <w:tcPr>
            <w:tcW w:w="80" w:type="dxa"/>
            <w:vAlign w:val="bottom"/>
          </w:tcPr>
          <w:p>
            <w:pPr>
              <w:spacing w:after="0"/>
              <w:rPr>
                <w:sz w:val="11"/>
                <w:szCs w:val="11"/>
                <w:color w:val="auto"/>
              </w:rPr>
            </w:pPr>
          </w:p>
        </w:tc>
        <w:tc>
          <w:tcPr>
            <w:tcW w:w="60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2"/>
              </w:rPr>
              <w:t>Weighted</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jc w:val="center"/>
              <w:ind w:right="420"/>
              <w:spacing w:after="0" w:line="133" w:lineRule="exact"/>
              <w:rPr>
                <w:sz w:val="20"/>
                <w:szCs w:val="20"/>
                <w:color w:val="auto"/>
              </w:rPr>
            </w:pPr>
            <w:r>
              <w:rPr>
                <w:rFonts w:ascii="Arial" w:cs="Arial" w:eastAsia="Arial" w:hAnsi="Arial"/>
                <w:sz w:val="12"/>
                <w:szCs w:val="12"/>
                <w:b w:val="1"/>
                <w:bCs w:val="1"/>
                <w:color w:val="auto"/>
                <w:w w:val="92"/>
              </w:rPr>
              <w:t>Average</w:t>
            </w:r>
          </w:p>
        </w:tc>
        <w:tc>
          <w:tcPr>
            <w:tcW w:w="80" w:type="dxa"/>
            <w:vAlign w:val="bottom"/>
          </w:tcPr>
          <w:p>
            <w:pPr>
              <w:spacing w:after="0"/>
              <w:rPr>
                <w:sz w:val="11"/>
                <w:szCs w:val="11"/>
                <w:color w:val="auto"/>
              </w:rPr>
            </w:pPr>
          </w:p>
        </w:tc>
        <w:tc>
          <w:tcPr>
            <w:tcW w:w="1040" w:type="dxa"/>
            <w:vAlign w:val="bottom"/>
            <w:gridSpan w:val="2"/>
          </w:tcPr>
          <w:p>
            <w:pPr>
              <w:jc w:val="center"/>
              <w:ind w:right="520"/>
              <w:spacing w:after="0" w:line="133" w:lineRule="exact"/>
              <w:rPr>
                <w:sz w:val="20"/>
                <w:szCs w:val="20"/>
                <w:color w:val="auto"/>
              </w:rPr>
            </w:pPr>
            <w:r>
              <w:rPr>
                <w:rFonts w:ascii="Arial" w:cs="Arial" w:eastAsia="Arial" w:hAnsi="Arial"/>
                <w:sz w:val="12"/>
                <w:szCs w:val="12"/>
                <w:b w:val="1"/>
                <w:bCs w:val="1"/>
                <w:color w:val="auto"/>
                <w:w w:val="96"/>
              </w:rPr>
              <w:t>Weighted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3"/>
        </w:trPr>
        <w:tc>
          <w:tcPr>
            <w:tcW w:w="2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jc w:val="center"/>
              <w:ind w:right="420"/>
              <w:spacing w:after="0" w:line="133" w:lineRule="exact"/>
              <w:rPr>
                <w:sz w:val="20"/>
                <w:szCs w:val="20"/>
                <w:color w:val="auto"/>
              </w:rPr>
            </w:pPr>
            <w:r>
              <w:rPr>
                <w:rFonts w:ascii="Arial" w:cs="Arial" w:eastAsia="Arial" w:hAnsi="Arial"/>
                <w:sz w:val="12"/>
                <w:szCs w:val="12"/>
                <w:b w:val="1"/>
                <w:bCs w:val="1"/>
                <w:color w:val="auto"/>
                <w:w w:val="94"/>
              </w:rPr>
              <w:t>Remaining</w:t>
            </w:r>
          </w:p>
        </w:tc>
        <w:tc>
          <w:tcPr>
            <w:tcW w:w="80" w:type="dxa"/>
            <w:vAlign w:val="bottom"/>
          </w:tcPr>
          <w:p>
            <w:pPr>
              <w:spacing w:after="0"/>
              <w:rPr>
                <w:sz w:val="11"/>
                <w:szCs w:val="11"/>
                <w:color w:val="auto"/>
              </w:rPr>
            </w:pPr>
          </w:p>
        </w:tc>
        <w:tc>
          <w:tcPr>
            <w:tcW w:w="60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88"/>
              </w:rPr>
              <w:t>Average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jc w:val="center"/>
              <w:ind w:right="440"/>
              <w:spacing w:after="0" w:line="133" w:lineRule="exact"/>
              <w:rPr>
                <w:sz w:val="20"/>
                <w:szCs w:val="20"/>
                <w:color w:val="auto"/>
              </w:rPr>
            </w:pPr>
            <w:r>
              <w:rPr>
                <w:rFonts w:ascii="Arial" w:cs="Arial" w:eastAsia="Arial" w:hAnsi="Arial"/>
                <w:sz w:val="12"/>
                <w:szCs w:val="12"/>
                <w:b w:val="1"/>
                <w:bCs w:val="1"/>
                <w:color w:val="auto"/>
                <w:w w:val="94"/>
              </w:rPr>
              <w:t>Remaining</w:t>
            </w:r>
          </w:p>
        </w:tc>
        <w:tc>
          <w:tcPr>
            <w:tcW w:w="80" w:type="dxa"/>
            <w:vAlign w:val="bottom"/>
          </w:tcPr>
          <w:p>
            <w:pPr>
              <w:spacing w:after="0"/>
              <w:rPr>
                <w:sz w:val="11"/>
                <w:szCs w:val="11"/>
                <w:color w:val="auto"/>
              </w:rPr>
            </w:pPr>
          </w:p>
        </w:tc>
        <w:tc>
          <w:tcPr>
            <w:tcW w:w="1040" w:type="dxa"/>
            <w:vAlign w:val="bottom"/>
            <w:gridSpan w:val="2"/>
          </w:tcPr>
          <w:p>
            <w:pPr>
              <w:jc w:val="center"/>
              <w:ind w:right="520"/>
              <w:spacing w:after="0" w:line="133" w:lineRule="exact"/>
              <w:rPr>
                <w:sz w:val="20"/>
                <w:szCs w:val="20"/>
                <w:color w:val="auto"/>
              </w:rPr>
            </w:pPr>
            <w:r>
              <w:rPr>
                <w:rFonts w:ascii="Arial" w:cs="Arial" w:eastAsia="Arial" w:hAnsi="Arial"/>
                <w:sz w:val="12"/>
                <w:szCs w:val="12"/>
                <w:b w:val="1"/>
                <w:bCs w:val="1"/>
                <w:color w:val="auto"/>
                <w:w w:val="92"/>
              </w:rPr>
              <w:t>Average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3"/>
        </w:trPr>
        <w:tc>
          <w:tcPr>
            <w:tcW w:w="2300" w:type="dxa"/>
            <w:vAlign w:val="bottom"/>
          </w:tcPr>
          <w:p>
            <w:pPr>
              <w:spacing w:after="0" w:line="133" w:lineRule="exact"/>
              <w:rPr>
                <w:sz w:val="20"/>
                <w:szCs w:val="20"/>
                <w:color w:val="auto"/>
              </w:rPr>
            </w:pPr>
            <w:r>
              <w:rPr>
                <w:rFonts w:ascii="Arial" w:cs="Arial" w:eastAsia="Arial" w:hAnsi="Arial"/>
                <w:sz w:val="12"/>
                <w:szCs w:val="12"/>
                <w:b w:val="1"/>
                <w:bCs w:val="1"/>
                <w:color w:val="auto"/>
              </w:rPr>
              <w:t>Range of</w:t>
            </w:r>
          </w:p>
        </w:tc>
        <w:tc>
          <w:tcPr>
            <w:tcW w:w="3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 of</w:t>
            </w:r>
          </w:p>
        </w:tc>
        <w:tc>
          <w:tcPr>
            <w:tcW w:w="1120" w:type="dxa"/>
            <w:vAlign w:val="bottom"/>
            <w:gridSpan w:val="2"/>
          </w:tcPr>
          <w:p>
            <w:pPr>
              <w:jc w:val="center"/>
              <w:ind w:right="440"/>
              <w:spacing w:after="0" w:line="133" w:lineRule="exact"/>
              <w:rPr>
                <w:sz w:val="20"/>
                <w:szCs w:val="20"/>
                <w:color w:val="auto"/>
              </w:rPr>
            </w:pPr>
            <w:r>
              <w:rPr>
                <w:rFonts w:ascii="Arial" w:cs="Arial" w:eastAsia="Arial" w:hAnsi="Arial"/>
                <w:sz w:val="12"/>
                <w:szCs w:val="12"/>
                <w:b w:val="1"/>
                <w:bCs w:val="1"/>
                <w:color w:val="auto"/>
                <w:w w:val="95"/>
              </w:rPr>
              <w:t>Contractual</w:t>
            </w:r>
          </w:p>
        </w:tc>
        <w:tc>
          <w:tcPr>
            <w:tcW w:w="80" w:type="dxa"/>
            <w:vAlign w:val="bottom"/>
          </w:tcPr>
          <w:p>
            <w:pPr>
              <w:spacing w:after="0"/>
              <w:rPr>
                <w:sz w:val="11"/>
                <w:szCs w:val="11"/>
                <w:color w:val="auto"/>
              </w:rPr>
            </w:pPr>
          </w:p>
        </w:tc>
        <w:tc>
          <w:tcPr>
            <w:tcW w:w="60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3"/>
              </w:rPr>
              <w:t>Exercise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600"/>
              <w:spacing w:after="0" w:line="133" w:lineRule="exact"/>
              <w:rPr>
                <w:sz w:val="20"/>
                <w:szCs w:val="20"/>
                <w:color w:val="auto"/>
              </w:rPr>
            </w:pPr>
            <w:r>
              <w:rPr>
                <w:rFonts w:ascii="Arial" w:cs="Arial" w:eastAsia="Arial" w:hAnsi="Arial"/>
                <w:sz w:val="12"/>
                <w:szCs w:val="12"/>
                <w:b w:val="1"/>
                <w:bCs w:val="1"/>
                <w:color w:val="auto"/>
                <w:w w:val="98"/>
              </w:rPr>
              <w:t>Intrinsic</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 of</w:t>
            </w:r>
          </w:p>
        </w:tc>
        <w:tc>
          <w:tcPr>
            <w:tcW w:w="1100" w:type="dxa"/>
            <w:vAlign w:val="bottom"/>
            <w:gridSpan w:val="2"/>
          </w:tcPr>
          <w:p>
            <w:pPr>
              <w:jc w:val="center"/>
              <w:ind w:right="420"/>
              <w:spacing w:after="0" w:line="133" w:lineRule="exact"/>
              <w:rPr>
                <w:sz w:val="20"/>
                <w:szCs w:val="20"/>
                <w:color w:val="auto"/>
              </w:rPr>
            </w:pPr>
            <w:r>
              <w:rPr>
                <w:rFonts w:ascii="Arial" w:cs="Arial" w:eastAsia="Arial" w:hAnsi="Arial"/>
                <w:sz w:val="12"/>
                <w:szCs w:val="12"/>
                <w:b w:val="1"/>
                <w:bCs w:val="1"/>
                <w:color w:val="auto"/>
                <w:w w:val="95"/>
              </w:rPr>
              <w:t>Contractual</w:t>
            </w:r>
          </w:p>
        </w:tc>
        <w:tc>
          <w:tcPr>
            <w:tcW w:w="80" w:type="dxa"/>
            <w:vAlign w:val="bottom"/>
          </w:tcPr>
          <w:p>
            <w:pPr>
              <w:spacing w:after="0"/>
              <w:rPr>
                <w:sz w:val="11"/>
                <w:szCs w:val="11"/>
                <w:color w:val="auto"/>
              </w:rPr>
            </w:pPr>
          </w:p>
        </w:tc>
        <w:tc>
          <w:tcPr>
            <w:tcW w:w="1040" w:type="dxa"/>
            <w:vAlign w:val="bottom"/>
            <w:gridSpan w:val="2"/>
          </w:tcPr>
          <w:p>
            <w:pPr>
              <w:jc w:val="center"/>
              <w:ind w:right="520"/>
              <w:spacing w:after="0" w:line="133" w:lineRule="exact"/>
              <w:rPr>
                <w:sz w:val="20"/>
                <w:szCs w:val="20"/>
                <w:color w:val="auto"/>
              </w:rPr>
            </w:pPr>
            <w:r>
              <w:rPr>
                <w:rFonts w:ascii="Arial" w:cs="Arial" w:eastAsia="Arial" w:hAnsi="Arial"/>
                <w:sz w:val="12"/>
                <w:szCs w:val="12"/>
                <w:b w:val="1"/>
                <w:bCs w:val="1"/>
                <w:color w:val="auto"/>
                <w:w w:val="89"/>
              </w:rPr>
              <w:t>Exercise</w:t>
            </w: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33" w:lineRule="exact"/>
              <w:rPr>
                <w:sz w:val="20"/>
                <w:szCs w:val="20"/>
                <w:color w:val="auto"/>
              </w:rPr>
            </w:pPr>
            <w:r>
              <w:rPr>
                <w:rFonts w:ascii="Arial" w:cs="Arial" w:eastAsia="Arial" w:hAnsi="Arial"/>
                <w:sz w:val="12"/>
                <w:szCs w:val="12"/>
                <w:b w:val="1"/>
                <w:bCs w:val="1"/>
                <w:color w:val="auto"/>
                <w:w w:val="98"/>
              </w:rPr>
              <w:t>Intrinsic</w:t>
            </w:r>
          </w:p>
        </w:tc>
      </w:tr>
      <w:tr>
        <w:trPr>
          <w:trHeight w:val="152"/>
        </w:trPr>
        <w:tc>
          <w:tcPr>
            <w:tcW w:w="2300" w:type="dxa"/>
            <w:vAlign w:val="bottom"/>
          </w:tcPr>
          <w:p>
            <w:pPr>
              <w:spacing w:after="0"/>
              <w:rPr>
                <w:sz w:val="20"/>
                <w:szCs w:val="20"/>
                <w:color w:val="auto"/>
              </w:rPr>
            </w:pPr>
            <w:r>
              <w:rPr>
                <w:rFonts w:ascii="Arial" w:cs="Arial" w:eastAsia="Arial" w:hAnsi="Arial"/>
                <w:sz w:val="12"/>
                <w:szCs w:val="12"/>
                <w:b w:val="1"/>
                <w:bCs w:val="1"/>
                <w:color w:val="auto"/>
              </w:rPr>
              <w:t>Exercise Prices</w:t>
            </w:r>
          </w:p>
        </w:tc>
        <w:tc>
          <w:tcPr>
            <w:tcW w:w="3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Options</w:t>
            </w:r>
          </w:p>
        </w:tc>
        <w:tc>
          <w:tcPr>
            <w:tcW w:w="112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3"/>
              </w:rPr>
              <w:t>Life</w:t>
            </w:r>
          </w:p>
        </w:tc>
        <w:tc>
          <w:tcPr>
            <w:tcW w:w="80" w:type="dxa"/>
            <w:vAlign w:val="bottom"/>
          </w:tcPr>
          <w:p>
            <w:pPr>
              <w:spacing w:after="0"/>
              <w:rPr>
                <w:sz w:val="13"/>
                <w:szCs w:val="13"/>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Price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Value</w:t>
            </w:r>
          </w:p>
        </w:tc>
        <w:tc>
          <w:tcPr>
            <w:tcW w:w="1120" w:type="dxa"/>
            <w:vAlign w:val="bottom"/>
            <w:gridSpan w:val="2"/>
          </w:tcPr>
          <w:p>
            <w:pPr>
              <w:ind w:left="140"/>
              <w:spacing w:after="0"/>
              <w:rPr>
                <w:sz w:val="20"/>
                <w:szCs w:val="20"/>
                <w:color w:val="auto"/>
              </w:rPr>
            </w:pPr>
            <w:r>
              <w:rPr>
                <w:rFonts w:ascii="Arial" w:cs="Arial" w:eastAsia="Arial" w:hAnsi="Arial"/>
                <w:sz w:val="12"/>
                <w:szCs w:val="12"/>
                <w:b w:val="1"/>
                <w:bCs w:val="1"/>
                <w:color w:val="auto"/>
              </w:rPr>
              <w:t>Options</w:t>
            </w:r>
          </w:p>
        </w:tc>
        <w:tc>
          <w:tcPr>
            <w:tcW w:w="110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rPr>
              <w:t>Life</w:t>
            </w:r>
          </w:p>
        </w:tc>
        <w:tc>
          <w:tcPr>
            <w:tcW w:w="80" w:type="dxa"/>
            <w:vAlign w:val="bottom"/>
          </w:tcPr>
          <w:p>
            <w:pPr>
              <w:spacing w:after="0"/>
              <w:rPr>
                <w:sz w:val="13"/>
                <w:szCs w:val="13"/>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Value</w:t>
            </w:r>
          </w:p>
        </w:tc>
      </w:tr>
      <w:tr>
        <w:trPr>
          <w:trHeight w:val="127"/>
        </w:trPr>
        <w:tc>
          <w:tcPr>
            <w:tcW w:w="23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Borders>
              <w:top w:val="single" w:sz="8" w:color="auto"/>
            </w:tcBorders>
            <w:gridSpan w:val="2"/>
          </w:tcPr>
          <w:p>
            <w:pPr>
              <w:jc w:val="right"/>
              <w:spacing w:after="0" w:line="127" w:lineRule="exact"/>
              <w:rPr>
                <w:sz w:val="20"/>
                <w:szCs w:val="20"/>
                <w:color w:val="auto"/>
              </w:rPr>
            </w:pPr>
            <w:r>
              <w:rPr>
                <w:rFonts w:ascii="Arial" w:cs="Arial" w:eastAsia="Arial" w:hAnsi="Arial"/>
                <w:sz w:val="12"/>
                <w:szCs w:val="12"/>
                <w:b w:val="1"/>
                <w:bCs w:val="1"/>
                <w:color w:val="auto"/>
                <w:w w:val="89"/>
              </w:rPr>
              <w:t>(In thousands)</w:t>
            </w:r>
          </w:p>
        </w:tc>
        <w:tc>
          <w:tcPr>
            <w:tcW w:w="4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Borders>
              <w:top w:val="single" w:sz="8" w:color="auto"/>
            </w:tcBorders>
            <w:gridSpan w:val="2"/>
          </w:tcPr>
          <w:p>
            <w:pPr>
              <w:jc w:val="center"/>
              <w:spacing w:after="0" w:line="127" w:lineRule="exact"/>
              <w:rPr>
                <w:sz w:val="20"/>
                <w:szCs w:val="20"/>
                <w:color w:val="auto"/>
              </w:rPr>
            </w:pPr>
            <w:r>
              <w:rPr>
                <w:rFonts w:ascii="Arial" w:cs="Arial" w:eastAsia="Arial" w:hAnsi="Arial"/>
                <w:sz w:val="12"/>
                <w:szCs w:val="12"/>
                <w:b w:val="1"/>
                <w:bCs w:val="1"/>
                <w:color w:val="auto"/>
                <w:w w:val="91"/>
              </w:rPr>
              <w:t>(In thousands)</w:t>
            </w:r>
          </w:p>
        </w:tc>
        <w:tc>
          <w:tcPr>
            <w:tcW w:w="100" w:type="dxa"/>
            <w:vAlign w:val="bottom"/>
          </w:tcPr>
          <w:p>
            <w:pPr>
              <w:spacing w:after="0"/>
              <w:rPr>
                <w:sz w:val="11"/>
                <w:szCs w:val="11"/>
                <w:color w:val="auto"/>
              </w:rPr>
            </w:pPr>
          </w:p>
        </w:tc>
      </w:tr>
      <w:tr>
        <w:trPr>
          <w:trHeight w:val="147"/>
        </w:trPr>
        <w:tc>
          <w:tcPr>
            <w:tcW w:w="23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$0.00 — $5.60</w:t>
            </w:r>
          </w:p>
        </w:tc>
        <w:tc>
          <w:tcPr>
            <w:tcW w:w="1500" w:type="dxa"/>
            <w:vAlign w:val="bottom"/>
            <w:gridSpan w:val="3"/>
            <w:shd w:val="clear" w:color="auto" w:fill="CCEEFF"/>
          </w:tcPr>
          <w:p>
            <w:pPr>
              <w:ind w:left="480"/>
              <w:spacing w:after="0" w:line="147" w:lineRule="exact"/>
              <w:rPr>
                <w:sz w:val="20"/>
                <w:szCs w:val="20"/>
                <w:color w:val="auto"/>
              </w:rPr>
            </w:pPr>
            <w:r>
              <w:rPr>
                <w:rFonts w:ascii="Arial" w:cs="Arial" w:eastAsia="Arial" w:hAnsi="Arial"/>
                <w:sz w:val="14"/>
                <w:szCs w:val="14"/>
                <w:color w:val="auto"/>
              </w:rPr>
              <w:t>1,800,782</w:t>
            </w:r>
          </w:p>
        </w:tc>
        <w:tc>
          <w:tcPr>
            <w:tcW w:w="112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2.32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3.82</w:t>
            </w:r>
          </w:p>
        </w:tc>
        <w:tc>
          <w:tcPr>
            <w:tcW w:w="5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25,089</w:t>
            </w:r>
          </w:p>
        </w:tc>
        <w:tc>
          <w:tcPr>
            <w:tcW w:w="112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color w:val="auto"/>
              </w:rPr>
              <w:t>1,800,782</w:t>
            </w:r>
          </w:p>
        </w:tc>
        <w:tc>
          <w:tcPr>
            <w:tcW w:w="110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2.32</w:t>
            </w:r>
          </w:p>
        </w:tc>
        <w:tc>
          <w:tcPr>
            <w:tcW w:w="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25,087</w:t>
            </w:r>
          </w:p>
        </w:tc>
      </w:tr>
      <w:tr>
        <w:trPr>
          <w:trHeight w:val="147"/>
        </w:trPr>
        <w:tc>
          <w:tcPr>
            <w:tcW w:w="2300" w:type="dxa"/>
            <w:vAlign w:val="bottom"/>
          </w:tcPr>
          <w:p>
            <w:pPr>
              <w:spacing w:after="0" w:line="147" w:lineRule="exact"/>
              <w:rPr>
                <w:sz w:val="20"/>
                <w:szCs w:val="20"/>
                <w:color w:val="auto"/>
              </w:rPr>
            </w:pPr>
            <w:r>
              <w:rPr>
                <w:rFonts w:ascii="Arial" w:cs="Arial" w:eastAsia="Arial" w:hAnsi="Arial"/>
                <w:sz w:val="14"/>
                <w:szCs w:val="14"/>
                <w:color w:val="auto"/>
              </w:rPr>
              <w:t>$5.61 — $12.52</w:t>
            </w:r>
          </w:p>
        </w:tc>
        <w:tc>
          <w:tcPr>
            <w:tcW w:w="1500" w:type="dxa"/>
            <w:vAlign w:val="bottom"/>
            <w:gridSpan w:val="3"/>
          </w:tcPr>
          <w:p>
            <w:pPr>
              <w:ind w:left="480"/>
              <w:spacing w:after="0" w:line="147" w:lineRule="exact"/>
              <w:rPr>
                <w:sz w:val="20"/>
                <w:szCs w:val="20"/>
                <w:color w:val="auto"/>
              </w:rPr>
            </w:pPr>
            <w:r>
              <w:rPr>
                <w:rFonts w:ascii="Arial" w:cs="Arial" w:eastAsia="Arial" w:hAnsi="Arial"/>
                <w:sz w:val="14"/>
                <w:szCs w:val="14"/>
                <w:color w:val="auto"/>
              </w:rPr>
              <w:t>7,174,533</w:t>
            </w:r>
          </w:p>
        </w:tc>
        <w:tc>
          <w:tcPr>
            <w:tcW w:w="1120" w:type="dxa"/>
            <w:vAlign w:val="bottom"/>
            <w:gridSpan w:val="2"/>
          </w:tcPr>
          <w:p>
            <w:pPr>
              <w:jc w:val="right"/>
              <w:ind w:right="440"/>
              <w:spacing w:after="0" w:line="147" w:lineRule="exact"/>
              <w:rPr>
                <w:sz w:val="20"/>
                <w:szCs w:val="20"/>
                <w:color w:val="auto"/>
              </w:rPr>
            </w:pPr>
            <w:r>
              <w:rPr>
                <w:rFonts w:ascii="Arial" w:cs="Arial" w:eastAsia="Arial" w:hAnsi="Arial"/>
                <w:sz w:val="14"/>
                <w:szCs w:val="14"/>
                <w:color w:val="auto"/>
              </w:rPr>
              <w:t>7.24</w:t>
            </w: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7.38</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440"/>
              <w:spacing w:after="0" w:line="147" w:lineRule="exact"/>
              <w:rPr>
                <w:sz w:val="20"/>
                <w:szCs w:val="20"/>
                <w:color w:val="auto"/>
              </w:rPr>
            </w:pPr>
            <w:r>
              <w:rPr>
                <w:rFonts w:ascii="Arial" w:cs="Arial" w:eastAsia="Arial" w:hAnsi="Arial"/>
                <w:sz w:val="14"/>
                <w:szCs w:val="14"/>
                <w:color w:val="auto"/>
              </w:rPr>
              <w:t>74,400</w:t>
            </w:r>
          </w:p>
        </w:tc>
        <w:tc>
          <w:tcPr>
            <w:tcW w:w="112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1,011,591</w:t>
            </w:r>
          </w:p>
        </w:tc>
        <w:tc>
          <w:tcPr>
            <w:tcW w:w="1100" w:type="dxa"/>
            <w:vAlign w:val="bottom"/>
            <w:gridSpan w:val="2"/>
          </w:tcPr>
          <w:p>
            <w:pPr>
              <w:jc w:val="right"/>
              <w:ind w:right="440"/>
              <w:spacing w:after="0" w:line="147" w:lineRule="exact"/>
              <w:rPr>
                <w:sz w:val="20"/>
                <w:szCs w:val="20"/>
                <w:color w:val="auto"/>
              </w:rPr>
            </w:pPr>
            <w:r>
              <w:rPr>
                <w:rFonts w:ascii="Arial" w:cs="Arial" w:eastAsia="Arial" w:hAnsi="Arial"/>
                <w:sz w:val="14"/>
                <w:szCs w:val="14"/>
                <w:color w:val="auto"/>
              </w:rPr>
              <w:t>3.70</w:t>
            </w:r>
          </w:p>
        </w:tc>
        <w:tc>
          <w:tcPr>
            <w:tcW w:w="80" w:type="dxa"/>
            <w:vAlign w:val="bottom"/>
          </w:tcPr>
          <w:p>
            <w:pPr>
              <w:spacing w:after="0"/>
              <w:rPr>
                <w:sz w:val="12"/>
                <w:szCs w:val="12"/>
                <w:color w:val="auto"/>
              </w:rPr>
            </w:pPr>
          </w:p>
        </w:tc>
        <w:tc>
          <w:tcPr>
            <w:tcW w:w="1040" w:type="dxa"/>
            <w:vAlign w:val="bottom"/>
            <w:gridSpan w:val="2"/>
          </w:tcPr>
          <w:p>
            <w:pPr>
              <w:jc w:val="right"/>
              <w:ind w:right="440"/>
              <w:spacing w:after="0" w:line="147" w:lineRule="exact"/>
              <w:rPr>
                <w:sz w:val="20"/>
                <w:szCs w:val="20"/>
                <w:color w:val="auto"/>
              </w:rPr>
            </w:pPr>
            <w:r>
              <w:rPr>
                <w:rFonts w:ascii="Arial" w:cs="Arial" w:eastAsia="Arial" w:hAnsi="Arial"/>
                <w:sz w:val="14"/>
                <w:szCs w:val="14"/>
                <w:color w:val="auto"/>
              </w:rPr>
              <w:t>9.15</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8,703</w:t>
            </w:r>
          </w:p>
        </w:tc>
      </w:tr>
      <w:tr>
        <w:trPr>
          <w:trHeight w:val="147"/>
        </w:trPr>
        <w:tc>
          <w:tcPr>
            <w:tcW w:w="230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$12.53 — $12.77</w:t>
            </w:r>
          </w:p>
        </w:tc>
        <w:tc>
          <w:tcPr>
            <w:tcW w:w="1500" w:type="dxa"/>
            <w:vAlign w:val="bottom"/>
            <w:gridSpan w:val="3"/>
            <w:shd w:val="clear" w:color="auto" w:fill="CCEEFF"/>
          </w:tcPr>
          <w:p>
            <w:pPr>
              <w:ind w:left="480"/>
              <w:spacing w:after="0" w:line="147" w:lineRule="exact"/>
              <w:rPr>
                <w:sz w:val="20"/>
                <w:szCs w:val="20"/>
                <w:color w:val="auto"/>
              </w:rPr>
            </w:pPr>
            <w:r>
              <w:rPr>
                <w:rFonts w:ascii="Arial" w:cs="Arial" w:eastAsia="Arial" w:hAnsi="Arial"/>
                <w:sz w:val="14"/>
                <w:szCs w:val="14"/>
                <w:color w:val="auto"/>
              </w:rPr>
              <w:t>2,268,493</w:t>
            </w:r>
          </w:p>
        </w:tc>
        <w:tc>
          <w:tcPr>
            <w:tcW w:w="112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3.70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12.77</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11,307</w:t>
            </w:r>
          </w:p>
        </w:tc>
        <w:tc>
          <w:tcPr>
            <w:tcW w:w="1120" w:type="dxa"/>
            <w:vAlign w:val="bottom"/>
            <w:gridSpan w:val="2"/>
            <w:shd w:val="clear" w:color="auto" w:fill="CCEEFF"/>
          </w:tcPr>
          <w:p>
            <w:pPr>
              <w:ind w:left="120"/>
              <w:spacing w:after="0" w:line="147" w:lineRule="exact"/>
              <w:rPr>
                <w:sz w:val="20"/>
                <w:szCs w:val="20"/>
                <w:color w:val="auto"/>
              </w:rPr>
            </w:pPr>
            <w:r>
              <w:rPr>
                <w:rFonts w:ascii="Arial" w:cs="Arial" w:eastAsia="Arial" w:hAnsi="Arial"/>
                <w:sz w:val="14"/>
                <w:szCs w:val="14"/>
                <w:color w:val="auto"/>
              </w:rPr>
              <w:t>2,268,493</w:t>
            </w:r>
          </w:p>
        </w:tc>
        <w:tc>
          <w:tcPr>
            <w:tcW w:w="110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3.70</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12.77</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11,307</w:t>
            </w:r>
          </w:p>
        </w:tc>
      </w:tr>
      <w:tr>
        <w:trPr>
          <w:trHeight w:val="181"/>
        </w:trPr>
        <w:tc>
          <w:tcPr>
            <w:tcW w:w="2300" w:type="dxa"/>
            <w:vAlign w:val="bottom"/>
          </w:tcPr>
          <w:p>
            <w:pPr>
              <w:spacing w:after="0"/>
              <w:rPr>
                <w:sz w:val="20"/>
                <w:szCs w:val="20"/>
                <w:color w:val="auto"/>
              </w:rPr>
            </w:pPr>
            <w:r>
              <w:rPr>
                <w:rFonts w:ascii="Arial" w:cs="Arial" w:eastAsia="Arial" w:hAnsi="Arial"/>
                <w:sz w:val="14"/>
                <w:szCs w:val="14"/>
                <w:color w:val="auto"/>
              </w:rPr>
              <w:t>$12.78 — $16.65</w:t>
            </w:r>
          </w:p>
        </w:tc>
        <w:tc>
          <w:tcPr>
            <w:tcW w:w="1500" w:type="dxa"/>
            <w:vAlign w:val="bottom"/>
            <w:gridSpan w:val="3"/>
          </w:tcPr>
          <w:p>
            <w:pPr>
              <w:ind w:left="480"/>
              <w:spacing w:after="0"/>
              <w:rPr>
                <w:sz w:val="20"/>
                <w:szCs w:val="20"/>
                <w:color w:val="auto"/>
              </w:rPr>
            </w:pPr>
            <w:r>
              <w:rPr>
                <w:rFonts w:ascii="Arial" w:cs="Arial" w:eastAsia="Arial" w:hAnsi="Arial"/>
                <w:sz w:val="14"/>
                <w:szCs w:val="14"/>
                <w:color w:val="auto"/>
              </w:rPr>
              <w:t>6,841,827</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6.37</w:t>
            </w:r>
          </w:p>
        </w:tc>
        <w:tc>
          <w:tcPr>
            <w:tcW w:w="8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14.35</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23,232</w:t>
            </w:r>
          </w:p>
        </w:tc>
        <w:tc>
          <w:tcPr>
            <w:tcW w:w="1120" w:type="dxa"/>
            <w:vAlign w:val="bottom"/>
            <w:gridSpan w:val="2"/>
          </w:tcPr>
          <w:p>
            <w:pPr>
              <w:ind w:left="120"/>
              <w:spacing w:after="0"/>
              <w:rPr>
                <w:sz w:val="20"/>
                <w:szCs w:val="20"/>
                <w:color w:val="auto"/>
              </w:rPr>
            </w:pPr>
            <w:r>
              <w:rPr>
                <w:rFonts w:ascii="Arial" w:cs="Arial" w:eastAsia="Arial" w:hAnsi="Arial"/>
                <w:sz w:val="14"/>
                <w:szCs w:val="14"/>
                <w:color w:val="auto"/>
              </w:rPr>
              <w:t>2,948,345</w:t>
            </w:r>
          </w:p>
        </w:tc>
        <w:tc>
          <w:tcPr>
            <w:tcW w:w="1100" w:type="dxa"/>
            <w:vAlign w:val="bottom"/>
            <w:gridSpan w:val="2"/>
          </w:tcPr>
          <w:p>
            <w:pPr>
              <w:jc w:val="right"/>
              <w:ind w:right="440"/>
              <w:spacing w:after="0"/>
              <w:rPr>
                <w:sz w:val="20"/>
                <w:szCs w:val="20"/>
                <w:color w:val="auto"/>
              </w:rPr>
            </w:pPr>
            <w:r>
              <w:rPr>
                <w:rFonts w:ascii="Arial" w:cs="Arial" w:eastAsia="Arial" w:hAnsi="Arial"/>
                <w:sz w:val="14"/>
                <w:szCs w:val="14"/>
                <w:color w:val="auto"/>
              </w:rPr>
              <w:t>5.71</w:t>
            </w:r>
          </w:p>
        </w:tc>
        <w:tc>
          <w:tcPr>
            <w:tcW w:w="8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color w:val="auto"/>
              </w:rPr>
              <w:t>15.30</w:t>
            </w:r>
          </w:p>
        </w:tc>
        <w:tc>
          <w:tcPr>
            <w:tcW w:w="1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7,229</w:t>
            </w:r>
          </w:p>
        </w:tc>
      </w:tr>
      <w:tr>
        <w:trPr>
          <w:trHeight w:val="365"/>
        </w:trPr>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jc w:val="right"/>
              <w:ind w:right="140"/>
              <w:spacing w:after="0"/>
              <w:rPr>
                <w:sz w:val="20"/>
                <w:szCs w:val="20"/>
                <w:color w:val="auto"/>
              </w:rPr>
            </w:pPr>
            <w:r>
              <w:rPr>
                <w:rFonts w:ascii="Arial" w:cs="Arial" w:eastAsia="Arial" w:hAnsi="Arial"/>
                <w:sz w:val="18"/>
                <w:szCs w:val="18"/>
                <w:color w:val="auto"/>
                <w:w w:val="89"/>
              </w:rPr>
              <w:t>96</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23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2"/>
                <w:szCs w:val="12"/>
                <w:b w:val="1"/>
                <w:bCs w:val="1"/>
                <w:color w:val="auto"/>
              </w:rPr>
              <w:t>Options Outstanding</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5"/>
          </w:tcPr>
          <w:p>
            <w:pPr>
              <w:ind w:left="360"/>
              <w:spacing w:after="0"/>
              <w:rPr>
                <w:sz w:val="20"/>
                <w:szCs w:val="20"/>
                <w:color w:val="auto"/>
              </w:rPr>
            </w:pPr>
            <w:r>
              <w:rPr>
                <w:rFonts w:ascii="Arial" w:cs="Arial" w:eastAsia="Arial" w:hAnsi="Arial"/>
                <w:sz w:val="12"/>
                <w:szCs w:val="12"/>
                <w:b w:val="1"/>
                <w:bCs w:val="1"/>
                <w:color w:val="auto"/>
              </w:rPr>
              <w:t>Options Exercisable</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09"/>
        </w:trPr>
        <w:tc>
          <w:tcPr>
            <w:tcW w:w="2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gridSpan w:val="2"/>
          </w:tcPr>
          <w:p>
            <w:pPr>
              <w:jc w:val="center"/>
              <w:ind w:right="220"/>
              <w:spacing w:after="0" w:line="109" w:lineRule="exact"/>
              <w:rPr>
                <w:sz w:val="20"/>
                <w:szCs w:val="20"/>
                <w:color w:val="auto"/>
              </w:rPr>
            </w:pPr>
            <w:r>
              <w:rPr>
                <w:rFonts w:ascii="Arial" w:cs="Arial" w:eastAsia="Arial" w:hAnsi="Arial"/>
                <w:sz w:val="12"/>
                <w:szCs w:val="12"/>
                <w:b w:val="1"/>
                <w:bCs w:val="1"/>
                <w:color w:val="auto"/>
                <w:w w:val="92"/>
              </w:rPr>
              <w:t>Weighted</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00" w:type="dxa"/>
            <w:vAlign w:val="bottom"/>
            <w:gridSpan w:val="2"/>
          </w:tcPr>
          <w:p>
            <w:pPr>
              <w:jc w:val="center"/>
              <w:ind w:right="440"/>
              <w:spacing w:after="0" w:line="109" w:lineRule="exact"/>
              <w:rPr>
                <w:sz w:val="20"/>
                <w:szCs w:val="20"/>
                <w:color w:val="auto"/>
              </w:rPr>
            </w:pPr>
            <w:r>
              <w:rPr>
                <w:rFonts w:ascii="Arial" w:cs="Arial" w:eastAsia="Arial" w:hAnsi="Arial"/>
                <w:sz w:val="12"/>
                <w:szCs w:val="12"/>
                <w:b w:val="1"/>
                <w:bCs w:val="1"/>
                <w:color w:val="auto"/>
                <w:w w:val="92"/>
              </w:rPr>
              <w:t>Weighted</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3"/>
        </w:trPr>
        <w:tc>
          <w:tcPr>
            <w:tcW w:w="2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w w:val="92"/>
              </w:rPr>
              <w:t>Average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w w:val="96"/>
              </w:rPr>
              <w:t>Weighted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jc w:val="center"/>
              <w:ind w:right="420"/>
              <w:spacing w:after="0" w:line="133" w:lineRule="exact"/>
              <w:rPr>
                <w:sz w:val="20"/>
                <w:szCs w:val="20"/>
                <w:color w:val="auto"/>
              </w:rPr>
            </w:pPr>
            <w:r>
              <w:rPr>
                <w:rFonts w:ascii="Arial" w:cs="Arial" w:eastAsia="Arial" w:hAnsi="Arial"/>
                <w:sz w:val="12"/>
                <w:szCs w:val="12"/>
                <w:b w:val="1"/>
                <w:bCs w:val="1"/>
                <w:color w:val="auto"/>
                <w:w w:val="92"/>
              </w:rPr>
              <w:t>Average</w:t>
            </w:r>
          </w:p>
        </w:tc>
        <w:tc>
          <w:tcPr>
            <w:tcW w:w="80" w:type="dxa"/>
            <w:vAlign w:val="bottom"/>
          </w:tcPr>
          <w:p>
            <w:pPr>
              <w:spacing w:after="0"/>
              <w:rPr>
                <w:sz w:val="11"/>
                <w:szCs w:val="11"/>
                <w:color w:val="auto"/>
              </w:rPr>
            </w:pPr>
          </w:p>
        </w:tc>
        <w:tc>
          <w:tcPr>
            <w:tcW w:w="1040" w:type="dxa"/>
            <w:vAlign w:val="bottom"/>
            <w:gridSpan w:val="2"/>
          </w:tcPr>
          <w:p>
            <w:pPr>
              <w:jc w:val="center"/>
              <w:ind w:right="520"/>
              <w:spacing w:after="0" w:line="133" w:lineRule="exact"/>
              <w:rPr>
                <w:sz w:val="20"/>
                <w:szCs w:val="20"/>
                <w:color w:val="auto"/>
              </w:rPr>
            </w:pPr>
            <w:r>
              <w:rPr>
                <w:rFonts w:ascii="Arial" w:cs="Arial" w:eastAsia="Arial" w:hAnsi="Arial"/>
                <w:sz w:val="12"/>
                <w:szCs w:val="12"/>
                <w:b w:val="1"/>
                <w:bCs w:val="1"/>
                <w:color w:val="auto"/>
                <w:w w:val="96"/>
              </w:rPr>
              <w:t>Weighted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3"/>
        </w:trPr>
        <w:tc>
          <w:tcPr>
            <w:tcW w:w="2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jc w:val="center"/>
              <w:ind w:right="220"/>
              <w:spacing w:after="0" w:line="133" w:lineRule="exact"/>
              <w:rPr>
                <w:sz w:val="20"/>
                <w:szCs w:val="20"/>
                <w:color w:val="auto"/>
              </w:rPr>
            </w:pPr>
            <w:r>
              <w:rPr>
                <w:rFonts w:ascii="Arial" w:cs="Arial" w:eastAsia="Arial" w:hAnsi="Arial"/>
                <w:sz w:val="12"/>
                <w:szCs w:val="12"/>
                <w:b w:val="1"/>
                <w:bCs w:val="1"/>
                <w:color w:val="auto"/>
                <w:w w:val="94"/>
              </w:rPr>
              <w:t>Remaining</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w w:val="92"/>
              </w:rPr>
              <w:t>Average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jc w:val="center"/>
              <w:ind w:right="440"/>
              <w:spacing w:after="0" w:line="133" w:lineRule="exact"/>
              <w:rPr>
                <w:sz w:val="20"/>
                <w:szCs w:val="20"/>
                <w:color w:val="auto"/>
              </w:rPr>
            </w:pPr>
            <w:r>
              <w:rPr>
                <w:rFonts w:ascii="Arial" w:cs="Arial" w:eastAsia="Arial" w:hAnsi="Arial"/>
                <w:sz w:val="12"/>
                <w:szCs w:val="12"/>
                <w:b w:val="1"/>
                <w:bCs w:val="1"/>
                <w:color w:val="auto"/>
                <w:w w:val="94"/>
              </w:rPr>
              <w:t>Remaining</w:t>
            </w:r>
          </w:p>
        </w:tc>
        <w:tc>
          <w:tcPr>
            <w:tcW w:w="80" w:type="dxa"/>
            <w:vAlign w:val="bottom"/>
          </w:tcPr>
          <w:p>
            <w:pPr>
              <w:spacing w:after="0"/>
              <w:rPr>
                <w:sz w:val="11"/>
                <w:szCs w:val="11"/>
                <w:color w:val="auto"/>
              </w:rPr>
            </w:pPr>
          </w:p>
        </w:tc>
        <w:tc>
          <w:tcPr>
            <w:tcW w:w="1040" w:type="dxa"/>
            <w:vAlign w:val="bottom"/>
            <w:gridSpan w:val="2"/>
          </w:tcPr>
          <w:p>
            <w:pPr>
              <w:jc w:val="center"/>
              <w:ind w:right="520"/>
              <w:spacing w:after="0" w:line="133" w:lineRule="exact"/>
              <w:rPr>
                <w:sz w:val="20"/>
                <w:szCs w:val="20"/>
                <w:color w:val="auto"/>
              </w:rPr>
            </w:pPr>
            <w:r>
              <w:rPr>
                <w:rFonts w:ascii="Arial" w:cs="Arial" w:eastAsia="Arial" w:hAnsi="Arial"/>
                <w:sz w:val="12"/>
                <w:szCs w:val="12"/>
                <w:b w:val="1"/>
                <w:bCs w:val="1"/>
                <w:color w:val="auto"/>
                <w:w w:val="92"/>
              </w:rPr>
              <w:t>Average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3"/>
        </w:trPr>
        <w:tc>
          <w:tcPr>
            <w:tcW w:w="2220" w:type="dxa"/>
            <w:vAlign w:val="bottom"/>
          </w:tcPr>
          <w:p>
            <w:pPr>
              <w:spacing w:after="0" w:line="133" w:lineRule="exact"/>
              <w:rPr>
                <w:sz w:val="20"/>
                <w:szCs w:val="20"/>
                <w:color w:val="auto"/>
              </w:rPr>
            </w:pPr>
            <w:r>
              <w:rPr>
                <w:rFonts w:ascii="Arial" w:cs="Arial" w:eastAsia="Arial" w:hAnsi="Arial"/>
                <w:sz w:val="12"/>
                <w:szCs w:val="12"/>
                <w:b w:val="1"/>
                <w:bCs w:val="1"/>
                <w:color w:val="auto"/>
              </w:rPr>
              <w:t>Range of</w:t>
            </w:r>
          </w:p>
        </w:tc>
        <w:tc>
          <w:tcPr>
            <w:tcW w:w="340" w:type="dxa"/>
            <w:vAlign w:val="bottom"/>
          </w:tcPr>
          <w:p>
            <w:pPr>
              <w:spacing w:after="0"/>
              <w:rPr>
                <w:sz w:val="11"/>
                <w:szCs w:val="11"/>
                <w:color w:val="auto"/>
              </w:rPr>
            </w:pPr>
          </w:p>
        </w:tc>
        <w:tc>
          <w:tcPr>
            <w:tcW w:w="1180" w:type="dxa"/>
            <w:vAlign w:val="bottom"/>
            <w:gridSpan w:val="3"/>
          </w:tcPr>
          <w:p>
            <w:pPr>
              <w:jc w:val="center"/>
              <w:ind w:right="440"/>
              <w:spacing w:after="0" w:line="133" w:lineRule="exact"/>
              <w:rPr>
                <w:sz w:val="20"/>
                <w:szCs w:val="20"/>
                <w:color w:val="auto"/>
              </w:rPr>
            </w:pPr>
            <w:r>
              <w:rPr>
                <w:rFonts w:ascii="Arial" w:cs="Arial" w:eastAsia="Arial" w:hAnsi="Arial"/>
                <w:sz w:val="12"/>
                <w:szCs w:val="12"/>
                <w:b w:val="1"/>
                <w:bCs w:val="1"/>
                <w:color w:val="auto"/>
                <w:w w:val="96"/>
              </w:rPr>
              <w:t>Number of</w:t>
            </w:r>
          </w:p>
        </w:tc>
        <w:tc>
          <w:tcPr>
            <w:tcW w:w="880" w:type="dxa"/>
            <w:vAlign w:val="bottom"/>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w w:val="95"/>
              </w:rPr>
              <w:t>Contractual</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w w:val="89"/>
              </w:rPr>
              <w:t>Exercise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560"/>
              <w:spacing w:after="0" w:line="133" w:lineRule="exact"/>
              <w:rPr>
                <w:sz w:val="20"/>
                <w:szCs w:val="20"/>
                <w:color w:val="auto"/>
              </w:rPr>
            </w:pPr>
            <w:r>
              <w:rPr>
                <w:rFonts w:ascii="Arial" w:cs="Arial" w:eastAsia="Arial" w:hAnsi="Arial"/>
                <w:sz w:val="12"/>
                <w:szCs w:val="12"/>
                <w:b w:val="1"/>
                <w:bCs w:val="1"/>
                <w:color w:val="auto"/>
                <w:w w:val="98"/>
              </w:rPr>
              <w:t>Intrinsic</w:t>
            </w:r>
          </w:p>
        </w:tc>
        <w:tc>
          <w:tcPr>
            <w:tcW w:w="1180" w:type="dxa"/>
            <w:vAlign w:val="bottom"/>
            <w:gridSpan w:val="2"/>
          </w:tcPr>
          <w:p>
            <w:pPr>
              <w:jc w:val="right"/>
              <w:ind w:right="520"/>
              <w:spacing w:after="0" w:line="133" w:lineRule="exact"/>
              <w:rPr>
                <w:sz w:val="20"/>
                <w:szCs w:val="20"/>
                <w:color w:val="auto"/>
              </w:rPr>
            </w:pPr>
            <w:r>
              <w:rPr>
                <w:rFonts w:ascii="Arial" w:cs="Arial" w:eastAsia="Arial" w:hAnsi="Arial"/>
                <w:sz w:val="12"/>
                <w:szCs w:val="12"/>
                <w:b w:val="1"/>
                <w:bCs w:val="1"/>
                <w:color w:val="auto"/>
              </w:rPr>
              <w:t>Number of</w:t>
            </w:r>
          </w:p>
        </w:tc>
        <w:tc>
          <w:tcPr>
            <w:tcW w:w="1100" w:type="dxa"/>
            <w:vAlign w:val="bottom"/>
            <w:gridSpan w:val="2"/>
          </w:tcPr>
          <w:p>
            <w:pPr>
              <w:jc w:val="center"/>
              <w:ind w:right="420"/>
              <w:spacing w:after="0" w:line="133" w:lineRule="exact"/>
              <w:rPr>
                <w:sz w:val="20"/>
                <w:szCs w:val="20"/>
                <w:color w:val="auto"/>
              </w:rPr>
            </w:pPr>
            <w:r>
              <w:rPr>
                <w:rFonts w:ascii="Arial" w:cs="Arial" w:eastAsia="Arial" w:hAnsi="Arial"/>
                <w:sz w:val="12"/>
                <w:szCs w:val="12"/>
                <w:b w:val="1"/>
                <w:bCs w:val="1"/>
                <w:color w:val="auto"/>
                <w:w w:val="95"/>
              </w:rPr>
              <w:t>Contractual</w:t>
            </w:r>
          </w:p>
        </w:tc>
        <w:tc>
          <w:tcPr>
            <w:tcW w:w="80" w:type="dxa"/>
            <w:vAlign w:val="bottom"/>
          </w:tcPr>
          <w:p>
            <w:pPr>
              <w:spacing w:after="0"/>
              <w:rPr>
                <w:sz w:val="11"/>
                <w:szCs w:val="11"/>
                <w:color w:val="auto"/>
              </w:rPr>
            </w:pPr>
          </w:p>
        </w:tc>
        <w:tc>
          <w:tcPr>
            <w:tcW w:w="1040" w:type="dxa"/>
            <w:vAlign w:val="bottom"/>
            <w:gridSpan w:val="2"/>
          </w:tcPr>
          <w:p>
            <w:pPr>
              <w:jc w:val="center"/>
              <w:ind w:right="520"/>
              <w:spacing w:after="0" w:line="133" w:lineRule="exact"/>
              <w:rPr>
                <w:sz w:val="20"/>
                <w:szCs w:val="20"/>
                <w:color w:val="auto"/>
              </w:rPr>
            </w:pPr>
            <w:r>
              <w:rPr>
                <w:rFonts w:ascii="Arial" w:cs="Arial" w:eastAsia="Arial" w:hAnsi="Arial"/>
                <w:sz w:val="12"/>
                <w:szCs w:val="12"/>
                <w:b w:val="1"/>
                <w:bCs w:val="1"/>
                <w:color w:val="auto"/>
                <w:w w:val="89"/>
              </w:rPr>
              <w:t>Exercise</w:t>
            </w: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33" w:lineRule="exact"/>
              <w:rPr>
                <w:sz w:val="20"/>
                <w:szCs w:val="20"/>
                <w:color w:val="auto"/>
              </w:rPr>
            </w:pPr>
            <w:r>
              <w:rPr>
                <w:rFonts w:ascii="Arial" w:cs="Arial" w:eastAsia="Arial" w:hAnsi="Arial"/>
                <w:sz w:val="12"/>
                <w:szCs w:val="12"/>
                <w:b w:val="1"/>
                <w:bCs w:val="1"/>
                <w:color w:val="auto"/>
                <w:w w:val="98"/>
              </w:rPr>
              <w:t>Intrinsic</w:t>
            </w:r>
          </w:p>
        </w:tc>
      </w:tr>
      <w:tr>
        <w:trPr>
          <w:trHeight w:val="152"/>
        </w:trPr>
        <w:tc>
          <w:tcPr>
            <w:tcW w:w="2220" w:type="dxa"/>
            <w:vAlign w:val="bottom"/>
          </w:tcPr>
          <w:p>
            <w:pPr>
              <w:spacing w:after="0"/>
              <w:rPr>
                <w:sz w:val="20"/>
                <w:szCs w:val="20"/>
                <w:color w:val="auto"/>
              </w:rPr>
            </w:pPr>
            <w:r>
              <w:rPr>
                <w:rFonts w:ascii="Arial" w:cs="Arial" w:eastAsia="Arial" w:hAnsi="Arial"/>
                <w:sz w:val="12"/>
                <w:szCs w:val="12"/>
                <w:b w:val="1"/>
                <w:bCs w:val="1"/>
                <w:color w:val="auto"/>
              </w:rPr>
              <w:t>Exercise Prices</w:t>
            </w:r>
          </w:p>
        </w:tc>
        <w:tc>
          <w:tcPr>
            <w:tcW w:w="340" w:type="dxa"/>
            <w:vAlign w:val="bottom"/>
          </w:tcPr>
          <w:p>
            <w:pPr>
              <w:spacing w:after="0"/>
              <w:rPr>
                <w:sz w:val="13"/>
                <w:szCs w:val="13"/>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2"/>
                <w:szCs w:val="12"/>
                <w:b w:val="1"/>
                <w:bCs w:val="1"/>
                <w:color w:val="auto"/>
                <w:w w:val="92"/>
              </w:rPr>
              <w:t>Options</w:t>
            </w: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Life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93"/>
              </w:rPr>
              <w:t>Value</w:t>
            </w:r>
          </w:p>
        </w:tc>
        <w:tc>
          <w:tcPr>
            <w:tcW w:w="118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Options</w:t>
            </w:r>
          </w:p>
        </w:tc>
        <w:tc>
          <w:tcPr>
            <w:tcW w:w="110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rPr>
              <w:t>Life</w:t>
            </w:r>
          </w:p>
        </w:tc>
        <w:tc>
          <w:tcPr>
            <w:tcW w:w="80" w:type="dxa"/>
            <w:vAlign w:val="bottom"/>
          </w:tcPr>
          <w:p>
            <w:pPr>
              <w:spacing w:after="0"/>
              <w:rPr>
                <w:sz w:val="13"/>
                <w:szCs w:val="13"/>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Value</w:t>
            </w:r>
          </w:p>
        </w:tc>
      </w:tr>
      <w:tr>
        <w:trPr>
          <w:trHeight w:val="127"/>
        </w:trPr>
        <w:tc>
          <w:tcPr>
            <w:tcW w:w="22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Borders>
              <w:top w:val="single" w:sz="8" w:color="auto"/>
            </w:tcBorders>
            <w:gridSpan w:val="2"/>
          </w:tcPr>
          <w:p>
            <w:pPr>
              <w:jc w:val="center"/>
              <w:spacing w:after="0" w:line="127" w:lineRule="exact"/>
              <w:rPr>
                <w:sz w:val="20"/>
                <w:szCs w:val="20"/>
                <w:color w:val="auto"/>
              </w:rPr>
            </w:pPr>
            <w:r>
              <w:rPr>
                <w:rFonts w:ascii="Arial" w:cs="Arial" w:eastAsia="Arial" w:hAnsi="Arial"/>
                <w:sz w:val="12"/>
                <w:szCs w:val="12"/>
                <w:b w:val="1"/>
                <w:bCs w:val="1"/>
                <w:color w:val="auto"/>
                <w:w w:val="91"/>
              </w:rPr>
              <w:t>(In thousands)</w:t>
            </w:r>
          </w:p>
        </w:tc>
        <w:tc>
          <w:tcPr>
            <w:tcW w:w="4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Borders>
              <w:top w:val="single" w:sz="8" w:color="auto"/>
            </w:tcBorders>
            <w:gridSpan w:val="2"/>
          </w:tcPr>
          <w:p>
            <w:pPr>
              <w:jc w:val="center"/>
              <w:spacing w:after="0" w:line="127" w:lineRule="exact"/>
              <w:rPr>
                <w:sz w:val="20"/>
                <w:szCs w:val="20"/>
                <w:color w:val="auto"/>
              </w:rPr>
            </w:pPr>
            <w:r>
              <w:rPr>
                <w:rFonts w:ascii="Arial" w:cs="Arial" w:eastAsia="Arial" w:hAnsi="Arial"/>
                <w:sz w:val="12"/>
                <w:szCs w:val="12"/>
                <w:b w:val="1"/>
                <w:bCs w:val="1"/>
                <w:color w:val="auto"/>
                <w:w w:val="91"/>
              </w:rPr>
              <w:t>(In thousands)</w:t>
            </w:r>
          </w:p>
        </w:tc>
        <w:tc>
          <w:tcPr>
            <w:tcW w:w="100" w:type="dxa"/>
            <w:vAlign w:val="bottom"/>
          </w:tcPr>
          <w:p>
            <w:pPr>
              <w:spacing w:after="0"/>
              <w:rPr>
                <w:sz w:val="11"/>
                <w:szCs w:val="11"/>
                <w:color w:val="auto"/>
              </w:rPr>
            </w:pPr>
          </w:p>
        </w:tc>
      </w:tr>
      <w:tr>
        <w:trPr>
          <w:trHeight w:val="147"/>
        </w:trPr>
        <w:tc>
          <w:tcPr>
            <w:tcW w:w="22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$16.66 — $20.92</w:t>
            </w:r>
          </w:p>
        </w:tc>
        <w:tc>
          <w:tcPr>
            <w:tcW w:w="1100" w:type="dxa"/>
            <w:vAlign w:val="bottom"/>
            <w:gridSpan w:val="3"/>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1,125,270</w:t>
            </w:r>
          </w:p>
        </w:tc>
        <w:tc>
          <w:tcPr>
            <w:tcW w:w="4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5.92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17.80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1,084,900</w:t>
            </w:r>
          </w:p>
        </w:tc>
        <w:tc>
          <w:tcPr>
            <w:tcW w:w="110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5.87</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17.75</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r>
      <w:tr>
        <w:trPr>
          <w:trHeight w:val="147"/>
        </w:trPr>
        <w:tc>
          <w:tcPr>
            <w:tcW w:w="2220" w:type="dxa"/>
            <w:vAlign w:val="bottom"/>
          </w:tcPr>
          <w:p>
            <w:pPr>
              <w:spacing w:after="0" w:line="147" w:lineRule="exact"/>
              <w:rPr>
                <w:sz w:val="20"/>
                <w:szCs w:val="20"/>
                <w:color w:val="auto"/>
              </w:rPr>
            </w:pPr>
            <w:r>
              <w:rPr>
                <w:rFonts w:ascii="Arial" w:cs="Arial" w:eastAsia="Arial" w:hAnsi="Arial"/>
                <w:sz w:val="14"/>
                <w:szCs w:val="14"/>
                <w:color w:val="auto"/>
              </w:rPr>
              <w:t>$20.93 — $22.22</w:t>
            </w:r>
          </w:p>
        </w:tc>
        <w:tc>
          <w:tcPr>
            <w:tcW w:w="1100" w:type="dxa"/>
            <w:vAlign w:val="bottom"/>
            <w:gridSpan w:val="3"/>
          </w:tcPr>
          <w:p>
            <w:pPr>
              <w:jc w:val="right"/>
              <w:ind w:right="20"/>
              <w:spacing w:after="0" w:line="147" w:lineRule="exact"/>
              <w:rPr>
                <w:sz w:val="20"/>
                <w:szCs w:val="20"/>
                <w:color w:val="auto"/>
              </w:rPr>
            </w:pPr>
            <w:r>
              <w:rPr>
                <w:rFonts w:ascii="Arial" w:cs="Arial" w:eastAsia="Arial" w:hAnsi="Arial"/>
                <w:sz w:val="14"/>
                <w:szCs w:val="14"/>
                <w:color w:val="auto"/>
              </w:rPr>
              <w:t>2,126,878</w:t>
            </w:r>
          </w:p>
        </w:tc>
        <w:tc>
          <w:tcPr>
            <w:tcW w:w="420" w:type="dxa"/>
            <w:vAlign w:val="bottom"/>
          </w:tcPr>
          <w:p>
            <w:pPr>
              <w:spacing w:after="0"/>
              <w:rPr>
                <w:sz w:val="12"/>
                <w:szCs w:val="12"/>
                <w:color w:val="auto"/>
              </w:rPr>
            </w:pPr>
          </w:p>
        </w:tc>
        <w:tc>
          <w:tcPr>
            <w:tcW w:w="8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6.83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21.88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440"/>
              <w:spacing w:after="0" w:line="147"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40"/>
              <w:spacing w:after="0" w:line="147" w:lineRule="exact"/>
              <w:rPr>
                <w:sz w:val="20"/>
                <w:szCs w:val="20"/>
                <w:color w:val="auto"/>
              </w:rPr>
            </w:pPr>
            <w:r>
              <w:rPr>
                <w:rFonts w:ascii="Arial" w:cs="Arial" w:eastAsia="Arial" w:hAnsi="Arial"/>
                <w:sz w:val="14"/>
                <w:szCs w:val="14"/>
                <w:color w:val="auto"/>
              </w:rPr>
              <w:t>1,599,461</w:t>
            </w:r>
          </w:p>
        </w:tc>
        <w:tc>
          <w:tcPr>
            <w:tcW w:w="1100" w:type="dxa"/>
            <w:vAlign w:val="bottom"/>
            <w:gridSpan w:val="2"/>
          </w:tcPr>
          <w:p>
            <w:pPr>
              <w:jc w:val="right"/>
              <w:ind w:right="440"/>
              <w:spacing w:after="0" w:line="147" w:lineRule="exact"/>
              <w:rPr>
                <w:sz w:val="20"/>
                <w:szCs w:val="20"/>
                <w:color w:val="auto"/>
              </w:rPr>
            </w:pPr>
            <w:r>
              <w:rPr>
                <w:rFonts w:ascii="Arial" w:cs="Arial" w:eastAsia="Arial" w:hAnsi="Arial"/>
                <w:sz w:val="14"/>
                <w:szCs w:val="14"/>
                <w:color w:val="auto"/>
              </w:rPr>
              <w:t>6.82</w:t>
            </w:r>
          </w:p>
        </w:tc>
        <w:tc>
          <w:tcPr>
            <w:tcW w:w="80" w:type="dxa"/>
            <w:vAlign w:val="bottom"/>
          </w:tcPr>
          <w:p>
            <w:pPr>
              <w:spacing w:after="0"/>
              <w:rPr>
                <w:sz w:val="12"/>
                <w:szCs w:val="12"/>
                <w:color w:val="auto"/>
              </w:rPr>
            </w:pPr>
          </w:p>
        </w:tc>
        <w:tc>
          <w:tcPr>
            <w:tcW w:w="1040" w:type="dxa"/>
            <w:vAlign w:val="bottom"/>
            <w:gridSpan w:val="2"/>
          </w:tcPr>
          <w:p>
            <w:pPr>
              <w:jc w:val="right"/>
              <w:ind w:right="440"/>
              <w:spacing w:after="0" w:line="147" w:lineRule="exact"/>
              <w:rPr>
                <w:sz w:val="20"/>
                <w:szCs w:val="20"/>
                <w:color w:val="auto"/>
              </w:rPr>
            </w:pPr>
            <w:r>
              <w:rPr>
                <w:rFonts w:ascii="Arial" w:cs="Arial" w:eastAsia="Arial" w:hAnsi="Arial"/>
                <w:sz w:val="14"/>
                <w:szCs w:val="14"/>
                <w:color w:val="auto"/>
              </w:rPr>
              <w:t>21.88</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r>
      <w:tr>
        <w:trPr>
          <w:trHeight w:val="147"/>
        </w:trPr>
        <w:tc>
          <w:tcPr>
            <w:tcW w:w="222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$22.23 — $23.44</w:t>
            </w:r>
          </w:p>
        </w:tc>
        <w:tc>
          <w:tcPr>
            <w:tcW w:w="1100" w:type="dxa"/>
            <w:vAlign w:val="bottom"/>
            <w:gridSpan w:val="3"/>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1,881,500</w:t>
            </w:r>
          </w:p>
        </w:tc>
        <w:tc>
          <w:tcPr>
            <w:tcW w:w="4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7.98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23.44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1,257,691</w:t>
            </w:r>
          </w:p>
        </w:tc>
        <w:tc>
          <w:tcPr>
            <w:tcW w:w="110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7.98</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23.44</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r>
      <w:tr>
        <w:trPr>
          <w:trHeight w:val="153"/>
        </w:trPr>
        <w:tc>
          <w:tcPr>
            <w:tcW w:w="2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23,219,283</w:t>
            </w:r>
          </w:p>
        </w:tc>
        <w:tc>
          <w:tcPr>
            <w:tcW w:w="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6.21</w:t>
            </w:r>
          </w:p>
        </w:tc>
        <w:tc>
          <w:tcPr>
            <w:tcW w:w="30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12.82</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134,028</w:t>
            </w:r>
          </w:p>
        </w:tc>
        <w:tc>
          <w:tcPr>
            <w:tcW w:w="4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11,971,263</w:t>
            </w:r>
          </w:p>
        </w:tc>
        <w:tc>
          <w:tcPr>
            <w:tcW w:w="440" w:type="dxa"/>
            <w:vAlign w:val="bottom"/>
          </w:tcPr>
          <w:p>
            <w:pPr>
              <w:spacing w:after="0"/>
              <w:rPr>
                <w:sz w:val="13"/>
                <w:szCs w:val="13"/>
                <w:color w:val="auto"/>
              </w:rPr>
            </w:pPr>
          </w:p>
        </w:tc>
        <w:tc>
          <w:tcPr>
            <w:tcW w:w="1100" w:type="dxa"/>
            <w:vAlign w:val="bottom"/>
            <w:gridSpan w:val="2"/>
          </w:tcPr>
          <w:p>
            <w:pPr>
              <w:jc w:val="right"/>
              <w:ind w:right="440"/>
              <w:spacing w:after="0" w:line="153" w:lineRule="exact"/>
              <w:rPr>
                <w:sz w:val="20"/>
                <w:szCs w:val="20"/>
                <w:color w:val="auto"/>
              </w:rPr>
            </w:pPr>
            <w:r>
              <w:rPr>
                <w:rFonts w:ascii="Arial" w:cs="Arial" w:eastAsia="Arial" w:hAnsi="Arial"/>
                <w:sz w:val="14"/>
                <w:szCs w:val="14"/>
                <w:color w:val="auto"/>
              </w:rPr>
              <w:t>5.05</w:t>
            </w:r>
          </w:p>
        </w:tc>
        <w:tc>
          <w:tcPr>
            <w:tcW w:w="8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440"/>
              <w:spacing w:after="0" w:line="153" w:lineRule="exact"/>
              <w:rPr>
                <w:sz w:val="20"/>
                <w:szCs w:val="20"/>
                <w:color w:val="auto"/>
              </w:rPr>
            </w:pPr>
            <w:r>
              <w:rPr>
                <w:rFonts w:ascii="Arial" w:cs="Arial" w:eastAsia="Arial" w:hAnsi="Arial"/>
                <w:sz w:val="14"/>
                <w:szCs w:val="14"/>
                <w:color w:val="auto"/>
              </w:rPr>
              <w:t>14.53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52,326</w:t>
            </w:r>
          </w:p>
        </w:tc>
        <w:tc>
          <w:tcPr>
            <w:tcW w:w="100" w:type="dxa"/>
            <w:vAlign w:val="bottom"/>
          </w:tcPr>
          <w:p>
            <w:pPr>
              <w:spacing w:after="0"/>
              <w:rPr>
                <w:sz w:val="13"/>
                <w:szCs w:val="13"/>
                <w:color w:val="auto"/>
              </w:rPr>
            </w:pPr>
          </w:p>
        </w:tc>
      </w:tr>
      <w:tr>
        <w:trPr>
          <w:trHeight w:val="20"/>
        </w:trPr>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ind w:right="20" w:firstLine="219"/>
        <w:spacing w:after="0" w:line="265" w:lineRule="auto"/>
        <w:rPr>
          <w:sz w:val="20"/>
          <w:szCs w:val="20"/>
          <w:color w:val="auto"/>
        </w:rPr>
      </w:pPr>
      <w:r>
        <w:rPr>
          <w:rFonts w:ascii="Arial" w:cs="Arial" w:eastAsia="Arial" w:hAnsi="Arial"/>
          <w:sz w:val="17"/>
          <w:szCs w:val="17"/>
          <w:color w:val="auto"/>
        </w:rPr>
        <w:t>The Company accounts for stock-based compensation plans in accordance with SFAS No. 123R, “Share-Based Payment” (“SFAS 123R”), which requires that compensation cost relating to share-based payments be recognized in the Company’s consolidated financial statements based on the fair value of each award. Using the fair value method of accounting, compensation cost is measured based on the fair value of the award at the grant date and recognized over the service period. SFAS 123R required the recording of expense relating to the vesting of all unvested options beginning in the first quarter of 2006. The adoption of SFAS 123R on January 1, 2006 had no material impact on the Company’s income before income taxes, net income, cash flow from operations, cash flow from financing activities, or basic or diluted earnings per share in 2006 due to the fact that all options accounted for using the intrinsic value method under Accounting Principles Board Opinion No. 25, “Accounting for Stock Issued to Employees,” were fully vested as of December 31, 2005. Net earnings reflect stock-based compensation expense amounts of $32.7 million, $29.9 million, and $65.0 million, for the years ended December 31, 2008, 2007, and 2006, respectively, which are included in personnel costs in the reported financial results of each period. Included in the 2006 amount is a $24.5 million charge related to the vesting of performance based options at FIS for which the vesting criteria was met during the first quarter and a $0.3 million charge for accelerated vesting, which was approved by the compensation committee, of stock options and restricted stock shares granted to a director who resigned from the board of directors in the third quarter of 2006.</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Old FNF options granted prior to the closing of the 2006 Distribution</w:t>
      </w:r>
    </w:p>
    <w:p>
      <w:pPr>
        <w:spacing w:after="0" w:line="113" w:lineRule="exact"/>
        <w:rPr>
          <w:sz w:val="20"/>
          <w:szCs w:val="20"/>
          <w:color w:val="auto"/>
        </w:rPr>
      </w:pPr>
    </w:p>
    <w:p>
      <w:pPr>
        <w:ind w:right="260" w:firstLine="219"/>
        <w:spacing w:after="0" w:line="254" w:lineRule="auto"/>
        <w:rPr>
          <w:sz w:val="20"/>
          <w:szCs w:val="20"/>
          <w:color w:val="auto"/>
        </w:rPr>
      </w:pPr>
      <w:r>
        <w:rPr>
          <w:rFonts w:ascii="Arial" w:cs="Arial" w:eastAsia="Arial" w:hAnsi="Arial"/>
          <w:sz w:val="18"/>
          <w:szCs w:val="18"/>
          <w:color w:val="auto"/>
        </w:rPr>
        <w:t>The risk free interest rate used in the calculation was the rate that corresponded to the weighted average expected life of an option. For options granted in 2006, the Company used a risk free interest rate of 4.9%, a volatility factor for the expected market price of the common stock of 28%, an expected dividend yield of 2.6%, and a weighted average expected live of 4.1 years. The weighted average fair value of each option granted during 2006 was $9.25 ($4.66 as adjusted for the 2006 Distribution intrinsic value conversion).</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FNF options granted from the 2005 Omnibus Plan</w:t>
      </w:r>
    </w:p>
    <w:p>
      <w:pPr>
        <w:spacing w:after="0" w:line="113" w:lineRule="exact"/>
        <w:rPr>
          <w:sz w:val="20"/>
          <w:szCs w:val="20"/>
          <w:color w:val="auto"/>
        </w:rPr>
      </w:pPr>
    </w:p>
    <w:p>
      <w:pPr>
        <w:ind w:right="20" w:firstLine="219"/>
        <w:spacing w:after="0" w:line="252" w:lineRule="auto"/>
        <w:rPr>
          <w:sz w:val="20"/>
          <w:szCs w:val="20"/>
          <w:color w:val="auto"/>
        </w:rPr>
      </w:pPr>
      <w:r>
        <w:rPr>
          <w:rFonts w:ascii="Arial" w:cs="Arial" w:eastAsia="Arial" w:hAnsi="Arial"/>
          <w:sz w:val="18"/>
          <w:szCs w:val="18"/>
          <w:color w:val="auto"/>
        </w:rPr>
        <w:t>The risk free interest rates used in the calculation are the rates that correspond to the weighted average expected life of an option. For options granted in the years ended December 31, 2008, 2007, and 2006, the Company used risk free interest rates of 2.5%, 3.8%, and 4.6%, respectively, volatility factors for the expected market price of the common stock of 40%, 29%, and 29%, respectively, expected dividend yields of 4.0%, 5.0%, and 5.1%, respectively, and weighted average expected lives of 5.0 years, 4.4 years, and 4.4 years, respectively. The weighted average fair value of each option granted in the years ended December 31, 2008, 2007, and 2006, were $1.87, $2.36, and $4.23, respectively.</w:t>
      </w:r>
    </w:p>
    <w:p>
      <w:pPr>
        <w:spacing w:after="0" w:line="87" w:lineRule="exact"/>
        <w:rPr>
          <w:sz w:val="20"/>
          <w:szCs w:val="20"/>
          <w:color w:val="auto"/>
        </w:rPr>
      </w:pPr>
    </w:p>
    <w:p>
      <w:pPr>
        <w:ind w:right="340" w:firstLine="212"/>
        <w:spacing w:after="0" w:line="267" w:lineRule="auto"/>
        <w:rPr>
          <w:sz w:val="20"/>
          <w:szCs w:val="20"/>
          <w:color w:val="auto"/>
        </w:rPr>
      </w:pPr>
      <w:r>
        <w:rPr>
          <w:rFonts w:ascii="Arial" w:cs="Arial" w:eastAsia="Arial" w:hAnsi="Arial"/>
          <w:sz w:val="18"/>
          <w:szCs w:val="18"/>
          <w:color w:val="auto"/>
        </w:rPr>
        <w:t>At December 31, 2008, the total unrecognized compensation cost related to non-vested stock option grants and restricted stock grants was $49.8 million, which is expected to be recognized in pre-tax income over a weighted average period of 1.58 years.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Pension Plans</w:t>
      </w:r>
    </w:p>
    <w:p>
      <w:pPr>
        <w:spacing w:after="0" w:line="113" w:lineRule="exact"/>
        <w:rPr>
          <w:sz w:val="20"/>
          <w:szCs w:val="20"/>
          <w:color w:val="auto"/>
        </w:rPr>
      </w:pPr>
    </w:p>
    <w:p>
      <w:pPr>
        <w:ind w:right="120" w:firstLine="222"/>
        <w:spacing w:after="0" w:line="267" w:lineRule="auto"/>
        <w:rPr>
          <w:sz w:val="20"/>
          <w:szCs w:val="20"/>
          <w:color w:val="auto"/>
        </w:rPr>
      </w:pPr>
      <w:r>
        <w:rPr>
          <w:rFonts w:ascii="Arial" w:cs="Arial" w:eastAsia="Arial" w:hAnsi="Arial"/>
          <w:sz w:val="18"/>
          <w:szCs w:val="18"/>
          <w:color w:val="auto"/>
        </w:rPr>
        <w:t>In connection with the Chicago Title merger, the Company assumed Chicago Title’s noncontributory defined contribution plan and noncontributory defined benefit pension plan (the “Pension Plan”).</w:t>
      </w:r>
    </w:p>
    <w:p>
      <w:pPr>
        <w:spacing w:after="0" w:line="73" w:lineRule="exact"/>
        <w:rPr>
          <w:sz w:val="20"/>
          <w:szCs w:val="20"/>
          <w:color w:val="auto"/>
        </w:rPr>
      </w:pPr>
    </w:p>
    <w:p>
      <w:pPr>
        <w:ind w:right="180" w:firstLine="219"/>
        <w:spacing w:after="0" w:line="257" w:lineRule="auto"/>
        <w:rPr>
          <w:sz w:val="20"/>
          <w:szCs w:val="20"/>
          <w:color w:val="auto"/>
        </w:rPr>
      </w:pPr>
      <w:r>
        <w:rPr>
          <w:rFonts w:ascii="Arial" w:cs="Arial" w:eastAsia="Arial" w:hAnsi="Arial"/>
          <w:sz w:val="18"/>
          <w:szCs w:val="18"/>
          <w:color w:val="auto"/>
        </w:rPr>
        <w:t>The Pension Plan covers certain Chicago Title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sets forth the funded status of the Pension Plan and amounts reflected in the Company’s Consolidated Balance Sheets as of</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 2007 and 2006:</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4"/>
          </w:tcPr>
          <w:p>
            <w:pPr>
              <w:jc w:val="right"/>
              <w:ind w:right="160"/>
              <w:spacing w:after="0" w:line="140" w:lineRule="exact"/>
              <w:rPr>
                <w:sz w:val="20"/>
                <w:szCs w:val="20"/>
                <w:color w:val="auto"/>
              </w:rPr>
            </w:pPr>
            <w:r>
              <w:rPr>
                <w:rFonts w:ascii="Arial" w:cs="Arial" w:eastAsia="Arial" w:hAnsi="Arial"/>
                <w:sz w:val="14"/>
                <w:szCs w:val="14"/>
                <w:b w:val="1"/>
                <w:bCs w:val="1"/>
                <w:color w:val="auto"/>
                <w:w w:val="98"/>
              </w:rPr>
              <w:t>(Dollars 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00"/>
              <w:spacing w:after="0"/>
              <w:rPr>
                <w:sz w:val="20"/>
                <w:szCs w:val="20"/>
                <w:color w:val="auto"/>
              </w:rPr>
            </w:pPr>
            <w:r>
              <w:rPr>
                <w:rFonts w:ascii="Arial" w:cs="Arial" w:eastAsia="Arial" w:hAnsi="Arial"/>
                <w:sz w:val="18"/>
                <w:szCs w:val="18"/>
                <w:color w:val="auto"/>
              </w:rPr>
              <w:t>Net benefit obligation at beginning of year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149,670</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158,258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162,875</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Effects of change in actuarial assumptions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13"/>
        </w:trPr>
        <w:tc>
          <w:tcPr>
            <w:tcW w:w="7880" w:type="dxa"/>
            <w:vAlign w:val="bottom"/>
          </w:tcPr>
          <w:p>
            <w:pPr>
              <w:ind w:left="200"/>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9,008</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8,876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8,780</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Actuarial loss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20"/>
        </w:trPr>
        <w:tc>
          <w:tcPr>
            <w:tcW w:w="7880" w:type="dxa"/>
            <w:vAlign w:val="bottom"/>
          </w:tcPr>
          <w:p>
            <w:pPr>
              <w:ind w:left="200"/>
              <w:spacing w:after="0"/>
              <w:rPr>
                <w:sz w:val="20"/>
                <w:szCs w:val="20"/>
                <w:color w:val="auto"/>
              </w:rPr>
            </w:pPr>
            <w:r>
              <w:rPr>
                <w:rFonts w:ascii="Arial" w:cs="Arial" w:eastAsia="Arial" w:hAnsi="Arial"/>
                <w:sz w:val="18"/>
                <w:szCs w:val="18"/>
                <w:color w:val="auto"/>
              </w:rPr>
              <w:t>Gross benefits paid</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(12,682)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(12,919)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(11,283)</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benefit obligation at end of year</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144,974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149,670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158,258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color w:val="auto"/>
              </w:rPr>
              <w:t>Change in Pension Plan Assets:</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Fair value of plan assets at beginning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142,546</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126,991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112,636</w:t>
            </w:r>
          </w:p>
        </w:tc>
        <w:tc>
          <w:tcPr>
            <w:tcW w:w="0" w:type="dxa"/>
            <w:vAlign w:val="bottom"/>
          </w:tcPr>
          <w:p>
            <w:pPr>
              <w:spacing w:after="0"/>
              <w:rPr>
                <w:sz w:val="1"/>
                <w:szCs w:val="1"/>
                <w:color w:val="auto"/>
              </w:rPr>
            </w:pPr>
          </w:p>
        </w:tc>
      </w:tr>
      <w:tr>
        <w:trPr>
          <w:trHeight w:val="213"/>
        </w:trPr>
        <w:tc>
          <w:tcPr>
            <w:tcW w:w="7880" w:type="dxa"/>
            <w:vAlign w:val="bottom"/>
          </w:tcPr>
          <w:p>
            <w:pPr>
              <w:ind w:left="200"/>
              <w:spacing w:after="0"/>
              <w:rPr>
                <w:sz w:val="20"/>
                <w:szCs w:val="20"/>
                <w:color w:val="auto"/>
              </w:rPr>
            </w:pPr>
            <w:r>
              <w:rPr>
                <w:rFonts w:ascii="Arial" w:cs="Arial" w:eastAsia="Arial" w:hAnsi="Arial"/>
                <w:sz w:val="18"/>
                <w:szCs w:val="18"/>
                <w:color w:val="auto"/>
              </w:rPr>
              <w:t>Actual return on plan assets</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(25,600)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11,373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Employer contributions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17,101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12,127</w:t>
            </w:r>
          </w:p>
        </w:tc>
        <w:tc>
          <w:tcPr>
            <w:tcW w:w="0" w:type="dxa"/>
            <w:vAlign w:val="bottom"/>
          </w:tcPr>
          <w:p>
            <w:pPr>
              <w:spacing w:after="0"/>
              <w:rPr>
                <w:sz w:val="1"/>
                <w:szCs w:val="1"/>
                <w:color w:val="auto"/>
              </w:rPr>
            </w:pPr>
          </w:p>
        </w:tc>
      </w:tr>
      <w:tr>
        <w:trPr>
          <w:trHeight w:val="220"/>
        </w:trPr>
        <w:tc>
          <w:tcPr>
            <w:tcW w:w="7880" w:type="dxa"/>
            <w:vAlign w:val="bottom"/>
          </w:tcPr>
          <w:p>
            <w:pPr>
              <w:ind w:left="200"/>
              <w:spacing w:after="0"/>
              <w:rPr>
                <w:sz w:val="20"/>
                <w:szCs w:val="20"/>
                <w:color w:val="auto"/>
              </w:rPr>
            </w:pPr>
            <w:r>
              <w:rPr>
                <w:rFonts w:ascii="Arial" w:cs="Arial" w:eastAsia="Arial" w:hAnsi="Arial"/>
                <w:sz w:val="18"/>
                <w:szCs w:val="18"/>
                <w:color w:val="auto"/>
              </w:rPr>
              <w:t>Gross benefits paid</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(12,682)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(12,919)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(11,283)</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Fair value of plan assets at end of year</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108,106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142,546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126,991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ind w:left="200"/>
              <w:spacing w:after="0"/>
              <w:rPr>
                <w:sz w:val="20"/>
                <w:szCs w:val="20"/>
                <w:color w:val="auto"/>
              </w:rPr>
            </w:pPr>
            <w:r>
              <w:rPr>
                <w:rFonts w:ascii="Arial" w:cs="Arial" w:eastAsia="Arial" w:hAnsi="Arial"/>
                <w:sz w:val="18"/>
                <w:szCs w:val="18"/>
                <w:color w:val="auto"/>
              </w:rPr>
              <w:t>Funded status at end of year</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8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(36,868)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(7,124)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(31,267)</w:t>
            </w:r>
          </w:p>
        </w:tc>
        <w:tc>
          <w:tcPr>
            <w:tcW w:w="0" w:type="dxa"/>
            <w:vAlign w:val="bottom"/>
          </w:tcPr>
          <w:p>
            <w:pPr>
              <w:spacing w:after="0"/>
              <w:rPr>
                <w:sz w:val="1"/>
                <w:szCs w:val="1"/>
                <w:color w:val="auto"/>
              </w:rPr>
            </w:pPr>
          </w:p>
        </w:tc>
      </w:tr>
      <w:tr>
        <w:trPr>
          <w:trHeight w:val="214"/>
        </w:trPr>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Unrecognized net actuarial loss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83,544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53,800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tcPr>
          <w:p>
            <w:pPr>
              <w:ind w:left="400"/>
              <w:spacing w:after="0"/>
              <w:rPr>
                <w:sz w:val="20"/>
                <w:szCs w:val="20"/>
                <w:color w:val="auto"/>
              </w:rPr>
            </w:pPr>
            <w:r>
              <w:rPr>
                <w:rFonts w:ascii="Arial" w:cs="Arial" w:eastAsia="Arial" w:hAnsi="Arial"/>
                <w:sz w:val="18"/>
                <w:szCs w:val="18"/>
                <w:color w:val="auto"/>
              </w:rPr>
              <w:t>Net amount recognized at end of year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46,676</w:t>
            </w:r>
          </w:p>
        </w:tc>
        <w:tc>
          <w:tcPr>
            <w:tcW w:w="2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46,676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36,410</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right="280" w:firstLine="219"/>
        <w:spacing w:after="0" w:line="267" w:lineRule="auto"/>
        <w:rPr>
          <w:sz w:val="20"/>
          <w:szCs w:val="20"/>
          <w:color w:val="auto"/>
        </w:rPr>
      </w:pPr>
      <w:r>
        <w:rPr>
          <w:rFonts w:ascii="Arial" w:cs="Arial" w:eastAsia="Arial" w:hAnsi="Arial"/>
          <w:sz w:val="18"/>
          <w:szCs w:val="18"/>
          <w:color w:val="auto"/>
        </w:rPr>
        <w:t>The accumulated benefit obligation (ABO) is the same as the projected benefit obligation (PBO) due to the pension plan being frozen as of December 31, 2000.</w:t>
      </w:r>
    </w:p>
    <w:p>
      <w:pPr>
        <w:spacing w:after="0" w:line="73" w:lineRule="exact"/>
        <w:rPr>
          <w:sz w:val="20"/>
          <w:szCs w:val="20"/>
          <w:color w:val="auto"/>
        </w:rPr>
      </w:pPr>
    </w:p>
    <w:p>
      <w:pPr>
        <w:ind w:right="760" w:firstLine="222"/>
        <w:spacing w:after="0" w:line="267" w:lineRule="auto"/>
        <w:rPr>
          <w:sz w:val="20"/>
          <w:szCs w:val="20"/>
          <w:color w:val="auto"/>
        </w:rPr>
      </w:pPr>
      <w:r>
        <w:rPr>
          <w:rFonts w:ascii="Arial" w:cs="Arial" w:eastAsia="Arial" w:hAnsi="Arial"/>
          <w:sz w:val="18"/>
          <w:szCs w:val="18"/>
          <w:color w:val="auto"/>
        </w:rPr>
        <w:t>Pursuant to SFAS No. 158, “Employers’ Accounting for Defined Benefit Pension and Other Post Retirement Plans” (“SFAS 158”), the Company’s measurement date is December 31.</w:t>
      </w:r>
    </w:p>
    <w:p>
      <w:pPr>
        <w:spacing w:after="0" w:line="73" w:lineRule="exact"/>
        <w:rPr>
          <w:sz w:val="20"/>
          <w:szCs w:val="20"/>
          <w:color w:val="auto"/>
        </w:rPr>
      </w:pPr>
    </w:p>
    <w:p>
      <w:pPr>
        <w:ind w:right="800" w:firstLine="219"/>
        <w:spacing w:after="0" w:line="267" w:lineRule="auto"/>
        <w:rPr>
          <w:sz w:val="20"/>
          <w:szCs w:val="20"/>
          <w:color w:val="auto"/>
        </w:rPr>
      </w:pPr>
      <w:r>
        <w:rPr>
          <w:rFonts w:ascii="Arial" w:cs="Arial" w:eastAsia="Arial" w:hAnsi="Arial"/>
          <w:sz w:val="18"/>
          <w:szCs w:val="18"/>
          <w:color w:val="auto"/>
        </w:rPr>
        <w:t>The net pension liability included in accounts payable and accrued liabilities as of December 31, 2008 and 2007 is $36.9 million and $7.1 million, respectively.</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net periodic expense included in the results of operations for 2008, 2007, and 2006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4"/>
          </w:tcPr>
          <w:p>
            <w:pPr>
              <w:jc w:val="right"/>
              <w:ind w:right="180"/>
              <w:spacing w:after="0" w:line="140"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9,008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8,876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8,780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(11,581)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(10,638)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Amortization of actuarial loss</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6,415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8,597</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9,916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net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3,842</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5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right="620" w:firstLine="219"/>
        <w:spacing w:after="0" w:line="267" w:lineRule="auto"/>
        <w:rPr>
          <w:sz w:val="20"/>
          <w:szCs w:val="20"/>
          <w:color w:val="auto"/>
        </w:rPr>
      </w:pPr>
      <w:r>
        <w:rPr>
          <w:rFonts w:ascii="Arial" w:cs="Arial" w:eastAsia="Arial" w:hAnsi="Arial"/>
          <w:sz w:val="18"/>
          <w:szCs w:val="18"/>
          <w:color w:val="auto"/>
        </w:rPr>
        <w:t>The net gain or loss recognized in other comprehensive income is shown below, on both a before tax and net of tax basis. There is no impact in other comprehensive income related to a net transition asset or obligation or net prior service cost or credit.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Before Tax</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Net of Tax</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160" w:type="dxa"/>
            <w:vAlign w:val="bottom"/>
            <w:gridSpan w:val="5"/>
          </w:tcPr>
          <w:p>
            <w:pPr>
              <w:jc w:val="right"/>
              <w:ind w:right="460"/>
              <w:spacing w:after="0" w:line="140"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Year ended December 31, 2008:</w:t>
            </w:r>
          </w:p>
        </w:tc>
        <w:tc>
          <w:tcPr>
            <w:tcW w:w="4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Accumulated other comprehensive income at January 1</w:t>
            </w:r>
          </w:p>
        </w:tc>
        <w:tc>
          <w:tcPr>
            <w:tcW w:w="5560" w:type="dxa"/>
            <w:vAlign w:val="bottom"/>
            <w:gridSpan w:val="3"/>
          </w:tcPr>
          <w:p>
            <w:pPr>
              <w:jc w:val="right"/>
              <w:ind w:right="380"/>
              <w:spacing w:after="0"/>
              <w:rPr>
                <w:sz w:val="20"/>
                <w:szCs w:val="20"/>
                <w:color w:val="auto"/>
              </w:rPr>
            </w:pPr>
            <w:r>
              <w:rPr>
                <w:rFonts w:ascii="Arial" w:cs="Arial" w:eastAsia="Arial" w:hAnsi="Arial"/>
                <w:sz w:val="18"/>
                <w:szCs w:val="18"/>
                <w:color w:val="auto"/>
              </w:rPr>
              <w:t>$  53,800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$ 30,632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Amounts recognized in current fiscal year:</w:t>
            </w:r>
          </w:p>
        </w:tc>
        <w:tc>
          <w:tcPr>
            <w:tcW w:w="4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Net loss/gain</w:t>
            </w:r>
          </w:p>
        </w:tc>
        <w:tc>
          <w:tcPr>
            <w:tcW w:w="44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(6,415)</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(6,415)</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Unrecognized amounts arising in current fiscal year:</w:t>
            </w:r>
          </w:p>
        </w:tc>
        <w:tc>
          <w:tcPr>
            <w:tcW w:w="4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loss/gain</w:t>
            </w:r>
          </w:p>
        </w:tc>
        <w:tc>
          <w:tcPr>
            <w:tcW w:w="44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36,159</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560" w:type="dxa"/>
            <w:vAlign w:val="bottom"/>
            <w:gridSpan w:val="3"/>
          </w:tcPr>
          <w:p>
            <w:pPr>
              <w:jc w:val="right"/>
              <w:ind w:right="380"/>
              <w:spacing w:after="0"/>
              <w:rPr>
                <w:sz w:val="20"/>
                <w:szCs w:val="20"/>
                <w:color w:val="auto"/>
              </w:rPr>
            </w:pPr>
            <w:r>
              <w:rPr>
                <w:rFonts w:ascii="Arial" w:cs="Arial" w:eastAsia="Arial" w:hAnsi="Arial"/>
                <w:sz w:val="18"/>
                <w:szCs w:val="18"/>
                <w:color w:val="auto"/>
              </w:rPr>
              <w:t>36,159</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22,780</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480" w:type="dxa"/>
            <w:vAlign w:val="bottom"/>
          </w:tcPr>
          <w:p>
            <w:pPr>
              <w:jc w:val="right"/>
              <w:ind w:right="3371"/>
              <w:spacing w:after="0"/>
              <w:rPr>
                <w:sz w:val="20"/>
                <w:szCs w:val="20"/>
                <w:color w:val="auto"/>
              </w:rPr>
            </w:pPr>
            <w:r>
              <w:rPr>
                <w:rFonts w:ascii="Arial" w:cs="Arial" w:eastAsia="Arial" w:hAnsi="Arial"/>
                <w:sz w:val="18"/>
                <w:szCs w:val="18"/>
                <w:color w:val="auto"/>
              </w:rPr>
              <w:t>98</w:t>
            </w: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Before Tax</w:t>
            </w:r>
          </w:p>
        </w:tc>
        <w:tc>
          <w:tcPr>
            <w:tcW w:w="6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Net of Tax</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7"/>
          </w:tcPr>
          <w:p>
            <w:pPr>
              <w:jc w:val="right"/>
              <w:ind w:right="460"/>
              <w:spacing w:after="0" w:line="140"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at December 31</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83,544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49,371</w:t>
            </w: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spacing w:after="0"/>
              <w:rPr>
                <w:sz w:val="20"/>
                <w:szCs w:val="20"/>
                <w:color w:val="auto"/>
              </w:rPr>
            </w:pPr>
            <w:r>
              <w:rPr>
                <w:rFonts w:ascii="Arial" w:cs="Arial" w:eastAsia="Arial" w:hAnsi="Arial"/>
                <w:sz w:val="18"/>
                <w:szCs w:val="18"/>
                <w:color w:val="auto"/>
              </w:rPr>
              <w:t>Amounts expected to be recognized in the following year:</w:t>
            </w: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94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loss/gain</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(6,406)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940" w:type="dxa"/>
            <w:vAlign w:val="bottom"/>
            <w:gridSpan w:val="3"/>
            <w:vMerge w:val="continue"/>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(6,406)</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Year ended December 31, 2007:</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at January 1</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67,676</w:t>
            </w:r>
          </w:p>
        </w:tc>
        <w:tc>
          <w:tcPr>
            <w:tcW w:w="56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39,530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recognized in current fiscal year:</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gridSpan w:val="2"/>
          </w:tcPr>
          <w:p>
            <w:pPr>
              <w:ind w:left="180"/>
              <w:spacing w:after="0"/>
              <w:rPr>
                <w:sz w:val="20"/>
                <w:szCs w:val="20"/>
                <w:color w:val="auto"/>
              </w:rPr>
            </w:pPr>
            <w:r>
              <w:rPr>
                <w:rFonts w:ascii="Arial" w:cs="Arial" w:eastAsia="Arial" w:hAnsi="Arial"/>
                <w:sz w:val="18"/>
                <w:szCs w:val="18"/>
                <w:color w:val="auto"/>
              </w:rPr>
              <w:t>Net loss/gain</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(8,597)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(8,597)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Unrecognized amounts arising in current fiscal year:</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loss/gain</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(5,279)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940" w:type="dxa"/>
            <w:vAlign w:val="bottom"/>
            <w:gridSpan w:val="3"/>
            <w:vMerge w:val="continue"/>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(5,279)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at December 31</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53,800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spacing w:after="0"/>
              <w:rPr>
                <w:sz w:val="20"/>
                <w:szCs w:val="20"/>
                <w:color w:val="auto"/>
              </w:rPr>
            </w:pPr>
            <w:r>
              <w:rPr>
                <w:rFonts w:ascii="Arial" w:cs="Arial" w:eastAsia="Arial" w:hAnsi="Arial"/>
                <w:sz w:val="18"/>
                <w:szCs w:val="18"/>
                <w:color w:val="auto"/>
              </w:rPr>
              <w:t>Amounts expected to be recognized in the following year:</w:t>
            </w: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94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loss/gain</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(8,597)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940" w:type="dxa"/>
            <w:vAlign w:val="bottom"/>
            <w:gridSpan w:val="3"/>
            <w:vMerge w:val="continue"/>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ind w:right="540"/>
              <w:spacing w:after="0"/>
              <w:rPr>
                <w:sz w:val="20"/>
                <w:szCs w:val="20"/>
                <w:color w:val="auto"/>
              </w:rPr>
            </w:pPr>
            <w:r>
              <w:rPr>
                <w:rFonts w:ascii="Arial" w:cs="Arial" w:eastAsia="Arial" w:hAnsi="Arial"/>
                <w:sz w:val="18"/>
                <w:szCs w:val="18"/>
                <w:color w:val="auto"/>
              </w:rPr>
              <w:t>(8,597)</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gridSpan w:val="2"/>
            <w:vMerge w:val="restart"/>
          </w:tcPr>
          <w:p>
            <w:pPr>
              <w:ind w:left="100"/>
              <w:spacing w:after="0"/>
              <w:rPr>
                <w:sz w:val="20"/>
                <w:szCs w:val="20"/>
                <w:color w:val="auto"/>
              </w:rPr>
            </w:pPr>
            <w:r>
              <w:rPr>
                <w:rFonts w:ascii="Arial" w:cs="Arial" w:eastAsia="Arial" w:hAnsi="Arial"/>
                <w:sz w:val="18"/>
                <w:szCs w:val="18"/>
                <w:b w:val="1"/>
                <w:bCs w:val="1"/>
                <w:i w:val="1"/>
                <w:iCs w:val="1"/>
                <w:color w:val="auto"/>
              </w:rPr>
              <w:t>Pension Assumptions</w:t>
            </w: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792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7920" w:type="dxa"/>
            <w:vAlign w:val="bottom"/>
            <w:gridSpan w:val="2"/>
          </w:tcPr>
          <w:p>
            <w:pPr>
              <w:ind w:left="200"/>
              <w:spacing w:after="0"/>
              <w:rPr>
                <w:sz w:val="20"/>
                <w:szCs w:val="20"/>
                <w:color w:val="auto"/>
              </w:rPr>
            </w:pPr>
            <w:r>
              <w:rPr>
                <w:rFonts w:ascii="Arial" w:cs="Arial" w:eastAsia="Arial" w:hAnsi="Arial"/>
                <w:sz w:val="18"/>
                <w:szCs w:val="18"/>
                <w:color w:val="auto"/>
                <w:w w:val="95"/>
              </w:rPr>
              <w:t>Weighted-average assumptions used to determine benefit obligations at December 31 are as follows:</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940" w:type="dxa"/>
            <w:vAlign w:val="bottom"/>
            <w:gridSpan w:val="3"/>
            <w:vMerge w:val="restart"/>
          </w:tcPr>
          <w:p>
            <w:pPr>
              <w:spacing w:after="0"/>
              <w:rPr>
                <w:sz w:val="20"/>
                <w:szCs w:val="20"/>
                <w:color w:val="auto"/>
              </w:rPr>
            </w:pPr>
            <w:r>
              <w:rPr>
                <w:rFonts w:ascii="Arial" w:cs="Arial" w:eastAsia="Arial" w:hAnsi="Arial"/>
                <w:sz w:val="18"/>
                <w:szCs w:val="18"/>
                <w:color w:val="auto"/>
              </w:rPr>
              <w:t>Discount rate</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2008</w:t>
            </w:r>
          </w:p>
        </w:tc>
        <w:tc>
          <w:tcPr>
            <w:tcW w:w="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94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6.25%</w:t>
            </w: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4"/>
        </w:trPr>
        <w:tc>
          <w:tcPr>
            <w:tcW w:w="7940" w:type="dxa"/>
            <w:vAlign w:val="bottom"/>
            <w:gridSpan w:val="3"/>
          </w:tcPr>
          <w:p>
            <w:pPr>
              <w:spacing w:after="0"/>
              <w:rPr>
                <w:sz w:val="20"/>
                <w:szCs w:val="20"/>
                <w:color w:val="auto"/>
              </w:rPr>
            </w:pPr>
            <w:r>
              <w:rPr>
                <w:rFonts w:ascii="Arial" w:cs="Arial" w:eastAsia="Arial" w:hAnsi="Arial"/>
                <w:sz w:val="18"/>
                <w:szCs w:val="18"/>
                <w:color w:val="auto"/>
              </w:rPr>
              <w:t>Rate of compensation increase</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560"/>
              <w:spacing w:after="0"/>
              <w:rPr>
                <w:sz w:val="20"/>
                <w:szCs w:val="20"/>
                <w:color w:val="auto"/>
              </w:rPr>
            </w:pPr>
            <w:r>
              <w:rPr>
                <w:rFonts w:ascii="Arial" w:cs="Arial" w:eastAsia="Arial" w:hAnsi="Arial"/>
                <w:sz w:val="18"/>
                <w:szCs w:val="18"/>
                <w:color w:val="auto"/>
              </w:rPr>
              <w:t>N/A(a)</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N/A(a)</w:t>
            </w: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7920" w:type="dxa"/>
            <w:vAlign w:val="bottom"/>
            <w:gridSpan w:val="2"/>
          </w:tcPr>
          <w:p>
            <w:pPr>
              <w:ind w:left="200"/>
              <w:spacing w:after="0"/>
              <w:rPr>
                <w:sz w:val="20"/>
                <w:szCs w:val="20"/>
                <w:color w:val="auto"/>
              </w:rPr>
            </w:pPr>
            <w:r>
              <w:rPr>
                <w:rFonts w:ascii="Arial" w:cs="Arial" w:eastAsia="Arial" w:hAnsi="Arial"/>
                <w:sz w:val="18"/>
                <w:szCs w:val="18"/>
                <w:color w:val="auto"/>
                <w:w w:val="88"/>
              </w:rPr>
              <w:t>Weighted-average assumptions used to determine net expense for years ended December 31, are as follows:</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2007</w:t>
            </w:r>
          </w:p>
        </w:tc>
        <w:tc>
          <w:tcPr>
            <w:tcW w:w="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N/A(a)</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N/A(a)</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186055</wp:posOffset>
            </wp:positionV>
            <wp:extent cx="13042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341" w:lineRule="exact"/>
        <w:rPr>
          <w:sz w:val="20"/>
          <w:szCs w:val="20"/>
          <w:color w:val="auto"/>
        </w:rPr>
      </w:pPr>
    </w:p>
    <w:p>
      <w:pPr>
        <w:ind w:left="440" w:hanging="433"/>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Rate of compensation increase is not applicable due to the pension being frozen at December 31, 2000.</w:t>
      </w:r>
    </w:p>
    <w:p>
      <w:pPr>
        <w:spacing w:after="0" w:line="113" w:lineRule="exact"/>
        <w:rPr>
          <w:sz w:val="20"/>
          <w:szCs w:val="20"/>
          <w:color w:val="auto"/>
        </w:rPr>
      </w:pPr>
    </w:p>
    <w:p>
      <w:pPr>
        <w:ind w:right="240" w:firstLine="219"/>
        <w:spacing w:after="0" w:line="267" w:lineRule="auto"/>
        <w:rPr>
          <w:sz w:val="20"/>
          <w:szCs w:val="20"/>
          <w:color w:val="auto"/>
        </w:rPr>
      </w:pPr>
      <w:r>
        <w:rPr>
          <w:rFonts w:ascii="Arial" w:cs="Arial" w:eastAsia="Arial" w:hAnsi="Arial"/>
          <w:sz w:val="18"/>
          <w:szCs w:val="18"/>
          <w:color w:val="auto"/>
        </w:rPr>
        <w:t>The discount rate used was determined by discounting projections of future benefit payments using annual spot rates from the Citigroup Pension Discount Curve. The discounted cash flows were then used to determine the effective discount rate.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Pension Plan Assets</w:t>
      </w:r>
    </w:p>
    <w:p>
      <w:pPr>
        <w:spacing w:after="0" w:line="113" w:lineRule="exact"/>
        <w:rPr>
          <w:sz w:val="20"/>
          <w:szCs w:val="20"/>
          <w:color w:val="auto"/>
        </w:rPr>
      </w:pPr>
    </w:p>
    <w:p>
      <w:pPr>
        <w:ind w:right="180" w:firstLine="219"/>
        <w:spacing w:after="0" w:line="291" w:lineRule="auto"/>
        <w:rPr>
          <w:sz w:val="20"/>
          <w:szCs w:val="20"/>
          <w:color w:val="auto"/>
        </w:rPr>
      </w:pPr>
      <w:r>
        <w:rPr>
          <w:rFonts w:ascii="Arial" w:cs="Arial" w:eastAsia="Arial" w:hAnsi="Arial"/>
          <w:sz w:val="16"/>
          <w:szCs w:val="16"/>
          <w:color w:val="auto"/>
        </w:rPr>
        <w:t>The expected long term rate of return on plan assets was 8.5% for the years ended December 31, 2008 and 2007, derived using the plan’s asset mix, historical returns by asset category, expectations for future capital market performance, and the fund’s past experience. Both the plan’s investment policy and the expected long-term rate of return assumption are reviewed periodically. The Company’s strategy is to focus on a one to three-year investment horizon, targeting equity securities at 65% of total assets. The remainder of the portfolio is invested in fixed income securities and cash equivalents in a liability driven investment strategy that intends to match the duration of the fixed income investments to the duration of the plan’s liabilities.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pension plan asset allocation at December 31, 2008 and 2007 and target allocation for 2009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Percentage of</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Target Allocation</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5"/>
              </w:rPr>
              <w:t>Plan Assets</w:t>
            </w: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060" w:type="dxa"/>
            <w:vAlign w:val="bottom"/>
            <w:gridSpan w:val="2"/>
          </w:tcPr>
          <w:p>
            <w:pPr>
              <w:spacing w:after="0" w:line="140" w:lineRule="exact"/>
              <w:rPr>
                <w:sz w:val="20"/>
                <w:szCs w:val="20"/>
                <w:color w:val="auto"/>
              </w:rPr>
            </w:pPr>
            <w:r>
              <w:rPr>
                <w:rFonts w:ascii="Arial" w:cs="Arial" w:eastAsia="Arial" w:hAnsi="Arial"/>
                <w:sz w:val="14"/>
                <w:szCs w:val="14"/>
                <w:b w:val="1"/>
                <w:bCs w:val="1"/>
                <w:color w:val="auto"/>
              </w:rPr>
              <w:t>Asset Category</w:t>
            </w:r>
          </w:p>
        </w:tc>
        <w:tc>
          <w:tcPr>
            <w:tcW w:w="1620" w:type="dxa"/>
            <w:vAlign w:val="bottom"/>
            <w:gridSpan w:val="2"/>
          </w:tcPr>
          <w:p>
            <w:pPr>
              <w:jc w:val="right"/>
              <w:ind w:right="320"/>
              <w:spacing w:after="0" w:line="140"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660" w:type="dxa"/>
            <w:vAlign w:val="bottom"/>
            <w:gridSpan w:val="2"/>
          </w:tcPr>
          <w:p>
            <w:pPr>
              <w:jc w:val="right"/>
              <w:ind w:right="11"/>
              <w:spacing w:after="0" w:line="140"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14"/>
              <w:spacing w:after="0" w:line="140"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54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40" w:type="dxa"/>
            <w:vAlign w:val="bottom"/>
            <w:shd w:val="clear" w:color="auto" w:fill="CCEEFF"/>
          </w:tcPr>
          <w:p>
            <w:pPr>
              <w:spacing w:after="0"/>
              <w:rPr>
                <w:sz w:val="17"/>
                <w:szCs w:val="17"/>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Liability driven investment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540" w:type="dxa"/>
            <w:vAlign w:val="bottom"/>
          </w:tcPr>
          <w:p>
            <w:pPr>
              <w:spacing w:after="0"/>
              <w:rPr>
                <w:sz w:val="18"/>
                <w:szCs w:val="18"/>
                <w:color w:val="auto"/>
              </w:rPr>
            </w:pPr>
          </w:p>
        </w:tc>
        <w:tc>
          <w:tcPr>
            <w:tcW w:w="820" w:type="dxa"/>
            <w:vAlign w:val="bottom"/>
            <w:gridSpan w:val="3"/>
          </w:tcPr>
          <w:p>
            <w:pPr>
              <w:jc w:val="right"/>
              <w:ind w:right="89"/>
              <w:spacing w:after="0"/>
              <w:rPr>
                <w:sz w:val="20"/>
                <w:szCs w:val="20"/>
                <w:color w:val="auto"/>
              </w:rPr>
            </w:pPr>
            <w:r>
              <w:rPr>
                <w:rFonts w:ascii="Arial" w:cs="Arial" w:eastAsia="Arial" w:hAnsi="Arial"/>
                <w:sz w:val="18"/>
                <w:szCs w:val="18"/>
                <w:color w:val="auto"/>
              </w:rPr>
              <w:t>24.9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Insurance annuities</w:t>
            </w: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 (Cash)</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0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does not hold any investments in its own equity securities within its pension plan assets.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Pension Plan Cash Flows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Plan Contributions</w:t>
      </w:r>
    </w:p>
    <w:p>
      <w:pPr>
        <w:spacing w:after="0" w:line="113" w:lineRule="exact"/>
        <w:rPr>
          <w:sz w:val="20"/>
          <w:szCs w:val="20"/>
          <w:color w:val="auto"/>
        </w:rPr>
      </w:pPr>
    </w:p>
    <w:p>
      <w:pPr>
        <w:jc w:val="both"/>
        <w:ind w:right="220" w:firstLine="219"/>
        <w:spacing w:after="0" w:line="257" w:lineRule="auto"/>
        <w:rPr>
          <w:sz w:val="20"/>
          <w:szCs w:val="20"/>
          <w:color w:val="auto"/>
        </w:rPr>
      </w:pPr>
      <w:r>
        <w:rPr>
          <w:rFonts w:ascii="Arial" w:cs="Arial" w:eastAsia="Arial" w:hAnsi="Arial"/>
          <w:sz w:val="18"/>
          <w:szCs w:val="18"/>
          <w:color w:val="auto"/>
        </w:rPr>
        <w:t>The Company’s funding policy is to contribute annually at least the minimum required contribution under the Employee Retirement Income Security Act (ERISA). Contributions are intended to provide not only for benefits accrued to date, but also for those expected to be earned in the future. In 2008, 2007 and 2006, the Company made contributions of $3.8 million, $17.1 million, and $12.1 million, respectively.</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Plan Benefit Payments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A detail of actual and expected benefit payments is as follows (in thousands):</w:t>
            </w:r>
          </w:p>
        </w:tc>
        <w:tc>
          <w:tcPr>
            <w:tcW w:w="2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Actual Benefit Payments:</w:t>
            </w:r>
          </w:p>
        </w:tc>
        <w:tc>
          <w:tcPr>
            <w:tcW w:w="2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2007</w:t>
            </w:r>
          </w:p>
        </w:tc>
        <w:tc>
          <w:tcPr>
            <w:tcW w:w="26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w w:val="94"/>
              </w:rPr>
              <w:t>12,919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6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4"/>
              </w:rPr>
              <w:t>12,682</w:t>
            </w:r>
          </w:p>
        </w:tc>
        <w:tc>
          <w:tcPr>
            <w:tcW w:w="0" w:type="dxa"/>
            <w:vAlign w:val="bottom"/>
          </w:tcPr>
          <w:p>
            <w:pPr>
              <w:spacing w:after="0"/>
              <w:rPr>
                <w:sz w:val="1"/>
                <w:szCs w:val="1"/>
                <w:color w:val="auto"/>
              </w:rPr>
            </w:pPr>
          </w:p>
        </w:tc>
      </w:tr>
      <w:tr>
        <w:trPr>
          <w:trHeight w:val="425"/>
        </w:trPr>
        <w:tc>
          <w:tcPr>
            <w:tcW w:w="8180" w:type="dxa"/>
            <w:vAlign w:val="bottom"/>
            <w:gridSpan w:val="2"/>
          </w:tcPr>
          <w:p>
            <w:pPr>
              <w:spacing w:after="0"/>
              <w:rPr>
                <w:sz w:val="20"/>
                <w:szCs w:val="20"/>
                <w:color w:val="auto"/>
              </w:rPr>
            </w:pPr>
            <w:r>
              <w:rPr>
                <w:rFonts w:ascii="Arial" w:cs="Arial" w:eastAsia="Arial" w:hAnsi="Arial"/>
                <w:sz w:val="18"/>
                <w:szCs w:val="18"/>
                <w:color w:val="auto"/>
              </w:rPr>
              <w:t>Expected Future Payments:</w:t>
            </w:r>
          </w:p>
        </w:tc>
        <w:tc>
          <w:tcPr>
            <w:tcW w:w="2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4"/>
              </w:rPr>
              <w:t>12,682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2010</w:t>
            </w:r>
          </w:p>
        </w:tc>
        <w:tc>
          <w:tcPr>
            <w:tcW w:w="260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w w:val="94"/>
              </w:rPr>
              <w:t>10,859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6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4"/>
              </w:rPr>
              <w:t>11,624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2012</w:t>
            </w:r>
          </w:p>
        </w:tc>
        <w:tc>
          <w:tcPr>
            <w:tcW w:w="260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w w:val="94"/>
              </w:rPr>
              <w:t>11,161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6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4"/>
              </w:rPr>
              <w:t>11,558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2014-2018</w:t>
            </w:r>
          </w:p>
        </w:tc>
        <w:tc>
          <w:tcPr>
            <w:tcW w:w="2600" w:type="dxa"/>
            <w:vAlign w:val="bottom"/>
          </w:tcPr>
          <w:p>
            <w:pPr>
              <w:spacing w:after="0"/>
              <w:rPr>
                <w:sz w:val="19"/>
                <w:szCs w:val="19"/>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w w:val="94"/>
              </w:rPr>
              <w:t>87,091</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Postretirement Plans</w:t>
      </w:r>
    </w:p>
    <w:p>
      <w:pPr>
        <w:spacing w:after="0" w:line="113" w:lineRule="exact"/>
        <w:rPr>
          <w:sz w:val="20"/>
          <w:szCs w:val="20"/>
          <w:color w:val="auto"/>
        </w:rPr>
      </w:pPr>
    </w:p>
    <w:p>
      <w:pPr>
        <w:jc w:val="both"/>
        <w:ind w:right="440" w:firstLine="219"/>
        <w:spacing w:after="0" w:line="257" w:lineRule="auto"/>
        <w:rPr>
          <w:sz w:val="20"/>
          <w:szCs w:val="20"/>
          <w:color w:val="auto"/>
        </w:rPr>
      </w:pPr>
      <w:r>
        <w:rPr>
          <w:rFonts w:ascii="Arial" w:cs="Arial" w:eastAsia="Arial" w:hAnsi="Arial"/>
          <w:sz w:val="18"/>
          <w:szCs w:val="18"/>
          <w:color w:val="auto"/>
        </w:rPr>
        <w:t>The Company assumed certain health care and life insurance benefits for retired Chicago Title employees in connection with the Chicago Title merger. Beginning on January 1, 2001, these benefits were offered to all employees who meet specific eligibility requirements. The costs of these benefit plans are accrued during the periods the employees render service.</w:t>
      </w:r>
    </w:p>
    <w:p>
      <w:pPr>
        <w:spacing w:after="0" w:line="82" w:lineRule="exact"/>
        <w:rPr>
          <w:sz w:val="20"/>
          <w:szCs w:val="20"/>
          <w:color w:val="auto"/>
        </w:rPr>
      </w:pPr>
    </w:p>
    <w:p>
      <w:pPr>
        <w:ind w:right="440" w:firstLine="219"/>
        <w:spacing w:after="0" w:line="279" w:lineRule="auto"/>
        <w:rPr>
          <w:sz w:val="20"/>
          <w:szCs w:val="20"/>
          <w:color w:val="auto"/>
        </w:rPr>
      </w:pPr>
      <w:r>
        <w:rPr>
          <w:rFonts w:ascii="Arial" w:cs="Arial" w:eastAsia="Arial" w:hAnsi="Arial"/>
          <w:sz w:val="17"/>
          <w:szCs w:val="17"/>
          <w:color w:val="auto"/>
        </w:rPr>
        <w:t>The Company is both self-insured and fully insured for its postretirement health care and life insurance benefit plans, and the plans are not funded. The health care plans provide for insurance benefits after retirement and are generally contributory, with contributions adjusted annually. Postretirement life insurance benefits are primarily contributory, with coverage amounts declining with increases in a retiree’s age.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right="100" w:firstLine="219"/>
        <w:spacing w:after="0" w:line="267" w:lineRule="auto"/>
        <w:rPr>
          <w:sz w:val="20"/>
          <w:szCs w:val="20"/>
          <w:color w:val="auto"/>
        </w:rPr>
      </w:pPr>
      <w:r>
        <w:rPr>
          <w:rFonts w:ascii="Arial" w:cs="Arial" w:eastAsia="Arial" w:hAnsi="Arial"/>
          <w:sz w:val="18"/>
          <w:szCs w:val="18"/>
          <w:color w:val="auto"/>
        </w:rPr>
        <w:t>The accrued cost of the accumulated postretirement benefit obligation included in the Company’s Consolidated Balance Sheets at December 31, 2008, 2007 and 2006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4"/>
          </w:tcPr>
          <w:p>
            <w:pPr>
              <w:jc w:val="right"/>
              <w:ind w:right="180"/>
              <w:spacing w:after="0" w:line="140"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benefit obligation at beginning of year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17,294</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19,912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18,235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946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990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Plan amendments</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2,768</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rPr>
              <w:t>Gross benefits paid</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(3,078)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(2,870)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benefit obligation at end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15,295</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17,294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19,912</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Change in Plan Assets: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1,905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rPr>
              <w:t>Gross benefits paid</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(3,078)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(2,870)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plan assets at end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Funded status at end of year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80" w:type="dxa"/>
            <w:vAlign w:val="bottom"/>
            <w:gridSpan w:val="2"/>
            <w:vMerge w:val="continue"/>
          </w:tcPr>
          <w:p>
            <w:pPr>
              <w:spacing w:after="0"/>
              <w:rPr>
                <w:sz w:val="17"/>
                <w:szCs w:val="17"/>
                <w:color w:val="auto"/>
              </w:rPr>
            </w:pPr>
          </w:p>
        </w:tc>
        <w:tc>
          <w:tcPr>
            <w:tcW w:w="120" w:type="dxa"/>
            <w:vAlign w:val="bottom"/>
          </w:tcPr>
          <w:p>
            <w:pPr>
              <w:jc w:val="right"/>
              <w:spacing w:after="0" w:line="206"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line="206" w:lineRule="exact"/>
              <w:rPr>
                <w:sz w:val="20"/>
                <w:szCs w:val="20"/>
                <w:color w:val="auto"/>
              </w:rPr>
            </w:pPr>
            <w:r>
              <w:rPr>
                <w:rFonts w:ascii="Arial" w:cs="Arial" w:eastAsia="Arial" w:hAnsi="Arial"/>
                <w:sz w:val="18"/>
                <w:szCs w:val="18"/>
                <w:color w:val="auto"/>
                <w:w w:val="92"/>
              </w:rPr>
              <w:t>(15,295)</w:t>
            </w:r>
          </w:p>
        </w:tc>
        <w:tc>
          <w:tcPr>
            <w:tcW w:w="620" w:type="dxa"/>
            <w:vAlign w:val="bottom"/>
            <w:gridSpan w:val="2"/>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line="206" w:lineRule="exact"/>
              <w:rPr>
                <w:sz w:val="20"/>
                <w:szCs w:val="20"/>
                <w:color w:val="auto"/>
              </w:rPr>
            </w:pPr>
            <w:r>
              <w:rPr>
                <w:rFonts w:ascii="Arial" w:cs="Arial" w:eastAsia="Arial" w:hAnsi="Arial"/>
                <w:sz w:val="18"/>
                <w:szCs w:val="18"/>
                <w:color w:val="auto"/>
                <w:w w:val="89"/>
              </w:rPr>
              <w:t>(17,294)</w:t>
            </w:r>
          </w:p>
        </w:tc>
        <w:tc>
          <w:tcPr>
            <w:tcW w:w="3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line="206" w:lineRule="exact"/>
              <w:rPr>
                <w:sz w:val="20"/>
                <w:szCs w:val="20"/>
                <w:color w:val="auto"/>
              </w:rPr>
            </w:pPr>
            <w:r>
              <w:rPr>
                <w:rFonts w:ascii="Arial" w:cs="Arial" w:eastAsia="Arial" w:hAnsi="Arial"/>
                <w:sz w:val="18"/>
                <w:szCs w:val="18"/>
                <w:color w:val="auto"/>
                <w:w w:val="89"/>
              </w:rPr>
              <w:t>(19,912)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actuarial loss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Unrecognized prior service cost</w:t>
            </w: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accrued cost of accumulated postretirement benefit obligation included in accounts payable and</w:t>
            </w: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(15,295)</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(17,294)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Pursuant to SFAS 158, the Company’s measurement date is December 31.</w:t>
      </w:r>
    </w:p>
    <w:p>
      <w:pPr>
        <w:spacing w:after="0" w:line="113" w:lineRule="exact"/>
        <w:rPr>
          <w:sz w:val="20"/>
          <w:szCs w:val="20"/>
          <w:color w:val="auto"/>
        </w:rPr>
      </w:pPr>
    </w:p>
    <w:p>
      <w:pPr>
        <w:ind w:right="200" w:firstLine="222"/>
        <w:spacing w:after="0" w:line="267" w:lineRule="auto"/>
        <w:rPr>
          <w:sz w:val="20"/>
          <w:szCs w:val="20"/>
          <w:color w:val="auto"/>
        </w:rPr>
      </w:pPr>
      <w:r>
        <w:rPr>
          <w:rFonts w:ascii="Arial" w:cs="Arial" w:eastAsia="Arial" w:hAnsi="Arial"/>
          <w:sz w:val="18"/>
          <w:szCs w:val="18"/>
          <w:color w:val="auto"/>
        </w:rPr>
        <w:t>Pursuant to SFAS 158 for this fiscal year end, the liability recorded on the Company’s balance sheet at December 31, 2008 and 2007 is equal to the funded status.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Company’s postretirement health care and life insurance costs included in the results of operations for 2008, 2007 and 2006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4"/>
          </w:tcPr>
          <w:p>
            <w:pPr>
              <w:jc w:val="center"/>
              <w:spacing w:after="0" w:line="140" w:lineRule="exact"/>
              <w:rPr>
                <w:sz w:val="20"/>
                <w:szCs w:val="20"/>
                <w:color w:val="auto"/>
              </w:rPr>
            </w:pPr>
            <w:r>
              <w:rPr>
                <w:rFonts w:ascii="Arial" w:cs="Arial" w:eastAsia="Arial" w:hAnsi="Arial"/>
                <w:sz w:val="14"/>
                <w:szCs w:val="14"/>
                <w:b w:val="1"/>
                <w:bCs w:val="1"/>
                <w:color w:val="auto"/>
                <w:w w:val="90"/>
              </w:rPr>
              <w:t>(Dollars in 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946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990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Amortization of actuarial loss</w:t>
            </w:r>
          </w:p>
        </w:tc>
        <w:tc>
          <w:tcPr>
            <w:tcW w:w="1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581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net periodic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5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both"/>
        <w:ind w:right="40" w:firstLine="219"/>
        <w:spacing w:after="0" w:line="267" w:lineRule="auto"/>
        <w:rPr>
          <w:sz w:val="20"/>
          <w:szCs w:val="20"/>
          <w:color w:val="auto"/>
        </w:rPr>
      </w:pPr>
      <w:r>
        <w:rPr>
          <w:rFonts w:ascii="Arial" w:cs="Arial" w:eastAsia="Arial" w:hAnsi="Arial"/>
          <w:sz w:val="18"/>
          <w:szCs w:val="18"/>
          <w:color w:val="auto"/>
        </w:rPr>
        <w:t>The components of amounts recognized in other comprehensive income, showing separately the net transition asset or obligation, the net gain or loss and the net prior service cost or credit, are as shown below, on both a before tax and net of tax basis.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Before Tax</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Net of Tax</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6"/>
          </w:tcPr>
          <w:p>
            <w:pPr>
              <w:jc w:val="right"/>
              <w:ind w:right="460"/>
              <w:spacing w:after="0" w:line="140"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Year ended December 31, 2008: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Accumulated other comprehensive income at January 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2,887</w:t>
            </w:r>
          </w:p>
        </w:tc>
        <w:tc>
          <w:tcPr>
            <w:tcW w:w="38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Amounts recognized in current fiscal year:</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Net prior service cost/credit</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(505)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loss/gain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Unrecognized amounts arising in current fiscal year:</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prior service cost/credit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Net loss/gain</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(1,041)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9"/>
        </w:trPr>
        <w:tc>
          <w:tcPr>
            <w:tcW w:w="926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at December 31</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5" w:right="239" w:bottom="1440" w:gutter="0" w:footer="0" w:header="0"/>
        </w:sect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725233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Before Tax</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Net of Tax</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7"/>
          </w:tcPr>
          <w:p>
            <w:pPr>
              <w:jc w:val="right"/>
              <w:ind w:right="460"/>
              <w:spacing w:after="0" w:line="140"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expected to be recognized in the following year:</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Amortization of prior service cost/credit</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520</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Year ended December 31, 2007:</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at January 1</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5,751</w:t>
            </w:r>
          </w:p>
        </w:tc>
        <w:tc>
          <w:tcPr>
            <w:tcW w:w="7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recognized in current fiscal year:</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Net prior service cost/credit</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loss/gain</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Unrecognized amounts arising in current fiscal year:</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prior service cost/credit</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2,768</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Net loss/gain</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(5,073)</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(3,221)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(2,864)</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(1,818)</w:t>
            </w:r>
          </w:p>
        </w:tc>
        <w:tc>
          <w:tcPr>
            <w:tcW w:w="0" w:type="dxa"/>
            <w:vAlign w:val="bottom"/>
          </w:tcPr>
          <w:p>
            <w:pPr>
              <w:spacing w:after="0"/>
              <w:rPr>
                <w:sz w:val="1"/>
                <w:szCs w:val="1"/>
                <w:color w:val="auto"/>
              </w:rPr>
            </w:pPr>
          </w:p>
        </w:tc>
      </w:tr>
      <w:tr>
        <w:trPr>
          <w:trHeight w:val="219"/>
        </w:trPr>
        <w:tc>
          <w:tcPr>
            <w:tcW w:w="7980" w:type="dxa"/>
            <w:vAlign w:val="bottom"/>
            <w:gridSpan w:val="3"/>
          </w:tcPr>
          <w:p>
            <w:pPr>
              <w:spacing w:after="0"/>
              <w:rPr>
                <w:sz w:val="20"/>
                <w:szCs w:val="20"/>
                <w:color w:val="auto"/>
              </w:rPr>
            </w:pPr>
            <w:r>
              <w:rPr>
                <w:rFonts w:ascii="Arial" w:cs="Arial" w:eastAsia="Arial" w:hAnsi="Arial"/>
                <w:sz w:val="18"/>
                <w:szCs w:val="18"/>
                <w:color w:val="auto"/>
              </w:rPr>
              <w:t>Accumulated other comprehensive income at December 31</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8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expected to be recognized in the following year:</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Amortization of prior service cost/credit</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506</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gridSpan w:val="2"/>
            <w:vMerge w:val="restart"/>
          </w:tcPr>
          <w:p>
            <w:pPr>
              <w:ind w:left="100"/>
              <w:spacing w:after="0"/>
              <w:rPr>
                <w:sz w:val="20"/>
                <w:szCs w:val="20"/>
                <w:color w:val="auto"/>
              </w:rPr>
            </w:pPr>
            <w:r>
              <w:rPr>
                <w:rFonts w:ascii="Arial" w:cs="Arial" w:eastAsia="Arial" w:hAnsi="Arial"/>
                <w:sz w:val="18"/>
                <w:szCs w:val="18"/>
                <w:b w:val="1"/>
                <w:bCs w:val="1"/>
                <w:i w:val="1"/>
                <w:iCs w:val="1"/>
                <w:color w:val="auto"/>
              </w:rPr>
              <w:t>Postretirement Benefit Assumptions</w:t>
            </w: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796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w w:val="96"/>
              </w:rPr>
              <w:t>Weighted-average assumptions used to determine benefit obligations at December 31 are as follows:</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Health care cost trend rate assumed for next year</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that the cost trend rate gradually declines to</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Year that the rate reaches the rate it is assumed to remain at</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w w:val="88"/>
              </w:rPr>
              <w:t>Weighted-average assumptions used to determine net expense for years ended December 31, are as follows:</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Health care cost trend rate assumed for next year</w:t>
            </w: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that the cost trend rate gradually declines to</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Year that the rate reaches the rate it is assumed to remain at</w:t>
            </w:r>
          </w:p>
        </w:tc>
        <w:tc>
          <w:tcPr>
            <w:tcW w:w="660" w:type="dxa"/>
            <w:vAlign w:val="bottom"/>
          </w:tcPr>
          <w:p>
            <w:pPr>
              <w:jc w:val="right"/>
              <w:ind w:right="75"/>
              <w:spacing w:after="0"/>
              <w:rPr>
                <w:sz w:val="20"/>
                <w:szCs w:val="20"/>
                <w:color w:val="auto"/>
              </w:rPr>
            </w:pPr>
            <w:r>
              <w:rPr>
                <w:rFonts w:ascii="Arial" w:cs="Arial" w:eastAsia="Arial" w:hAnsi="Arial"/>
                <w:sz w:val="18"/>
                <w:szCs w:val="18"/>
                <w:color w:val="auto"/>
              </w:rPr>
              <w:t>2012</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right="20" w:firstLine="219"/>
        <w:spacing w:after="0" w:line="297" w:lineRule="auto"/>
        <w:rPr>
          <w:sz w:val="20"/>
          <w:szCs w:val="20"/>
          <w:color w:val="auto"/>
        </w:rPr>
      </w:pPr>
      <w:r>
        <w:rPr>
          <w:rFonts w:ascii="Arial" w:cs="Arial" w:eastAsia="Arial" w:hAnsi="Arial"/>
          <w:sz w:val="17"/>
          <w:szCs w:val="17"/>
          <w:color w:val="auto"/>
        </w:rPr>
        <w:t>The discount rate used was determined by discounting projections of future benefit payments using annual spot rates derived from a yield curve created from yields on a large number of U.S. Aa rated bonds. The discounted cash flows were then used to determine the effective discount rate.</w:t>
      </w:r>
    </w:p>
    <w:p>
      <w:pPr>
        <w:spacing w:after="0" w:line="50" w:lineRule="exact"/>
        <w:rPr>
          <w:sz w:val="20"/>
          <w:szCs w:val="20"/>
          <w:color w:val="auto"/>
        </w:rPr>
      </w:pPr>
    </w:p>
    <w:p>
      <w:pPr>
        <w:ind w:right="180" w:firstLine="212"/>
        <w:spacing w:after="0" w:line="267" w:lineRule="auto"/>
        <w:rPr>
          <w:sz w:val="20"/>
          <w:szCs w:val="20"/>
          <w:color w:val="auto"/>
        </w:rPr>
      </w:pPr>
      <w:r>
        <w:rPr>
          <w:rFonts w:ascii="Arial" w:cs="Arial" w:eastAsia="Arial" w:hAnsi="Arial"/>
          <w:sz w:val="18"/>
          <w:szCs w:val="18"/>
          <w:color w:val="auto"/>
        </w:rPr>
        <w:t>Assumed health care cost trend rates have a significant effect on the amounts reported for the health care plans. A one-percentage-point change in assumed health care cost trend rates would have the following effects: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w w:val="92"/>
              </w:rPr>
              <w:t>One-Percentage-Point</w:t>
            </w:r>
          </w:p>
        </w:tc>
        <w:tc>
          <w:tcPr>
            <w:tcW w:w="5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5"/>
              </w:rPr>
              <w:t>One-Percentage-Point</w:t>
            </w:r>
          </w:p>
        </w:tc>
      </w:tr>
      <w:tr>
        <w:trPr>
          <w:trHeight w:val="169"/>
        </w:trPr>
        <w:tc>
          <w:tcPr>
            <w:tcW w:w="43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4"/>
                <w:szCs w:val="14"/>
                <w:color w:val="auto"/>
              </w:rPr>
            </w:pPr>
          </w:p>
        </w:tc>
        <w:tc>
          <w:tcPr>
            <w:tcW w:w="14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Decrease</w:t>
            </w:r>
          </w:p>
        </w:tc>
      </w:tr>
      <w:tr>
        <w:trPr>
          <w:trHeight w:val="128"/>
        </w:trPr>
        <w:tc>
          <w:tcPr>
            <w:tcW w:w="430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460" w:type="dxa"/>
            <w:vAlign w:val="bottom"/>
            <w:gridSpan w:val="3"/>
          </w:tcPr>
          <w:p>
            <w:pPr>
              <w:jc w:val="right"/>
              <w:ind w:right="989"/>
              <w:spacing w:after="0" w:line="128" w:lineRule="exact"/>
              <w:rPr>
                <w:sz w:val="20"/>
                <w:szCs w:val="20"/>
                <w:color w:val="auto"/>
              </w:rPr>
            </w:pPr>
            <w:r>
              <w:rPr>
                <w:rFonts w:ascii="Arial" w:cs="Arial" w:eastAsia="Arial" w:hAnsi="Arial"/>
                <w:sz w:val="14"/>
                <w:szCs w:val="14"/>
                <w:b w:val="1"/>
                <w:bCs w:val="1"/>
                <w:color w:val="auto"/>
              </w:rPr>
              <w:t>(Dollars in thousands)</w:t>
            </w:r>
          </w:p>
        </w:tc>
      </w:tr>
      <w:tr>
        <w:trPr>
          <w:trHeight w:val="213"/>
        </w:trPr>
        <w:tc>
          <w:tcPr>
            <w:tcW w:w="4300" w:type="dxa"/>
            <w:vAlign w:val="bottom"/>
          </w:tcPr>
          <w:p>
            <w:pPr>
              <w:spacing w:after="0"/>
              <w:rPr>
                <w:sz w:val="20"/>
                <w:szCs w:val="20"/>
                <w:color w:val="auto"/>
              </w:rPr>
            </w:pPr>
            <w:r>
              <w:rPr>
                <w:rFonts w:ascii="Arial" w:cs="Arial" w:eastAsia="Arial" w:hAnsi="Arial"/>
                <w:sz w:val="18"/>
                <w:szCs w:val="18"/>
                <w:color w:val="auto"/>
              </w:rPr>
              <w:t>Effect on total of service and interest cost</w:t>
            </w:r>
          </w:p>
        </w:tc>
        <w:tc>
          <w:tcPr>
            <w:tcW w:w="5080" w:type="dxa"/>
            <w:vAlign w:val="bottom"/>
            <w:gridSpan w:val="2"/>
          </w:tcPr>
          <w:p>
            <w:pPr>
              <w:jc w:val="right"/>
              <w:ind w:right="509"/>
              <w:spacing w:after="0"/>
              <w:rPr>
                <w:sz w:val="20"/>
                <w:szCs w:val="20"/>
                <w:color w:val="auto"/>
              </w:rPr>
            </w:pPr>
            <w:r>
              <w:rPr>
                <w:rFonts w:ascii="Arial" w:cs="Arial" w:eastAsia="Arial" w:hAnsi="Arial"/>
                <w:sz w:val="18"/>
                <w:szCs w:val="18"/>
                <w:color w:val="auto"/>
              </w:rPr>
              <w:t>$ 53</w:t>
            </w:r>
          </w:p>
        </w:tc>
        <w:tc>
          <w:tcPr>
            <w:tcW w:w="2040" w:type="dxa"/>
            <w:vAlign w:val="bottom"/>
            <w:gridSpan w:val="2"/>
          </w:tcPr>
          <w:p>
            <w:pPr>
              <w:jc w:val="right"/>
              <w:ind w:right="449"/>
              <w:spacing w:after="0"/>
              <w:rPr>
                <w:sz w:val="20"/>
                <w:szCs w:val="20"/>
                <w:color w:val="auto"/>
              </w:rPr>
            </w:pPr>
            <w:r>
              <w:rPr>
                <w:rFonts w:ascii="Arial" w:cs="Arial" w:eastAsia="Arial" w:hAnsi="Arial"/>
                <w:sz w:val="18"/>
                <w:szCs w:val="18"/>
                <w:color w:val="auto"/>
              </w:rPr>
              <w:t>$ (48)</w:t>
            </w:r>
          </w:p>
        </w:tc>
      </w:tr>
      <w:tr>
        <w:trPr>
          <w:trHeight w:val="224"/>
        </w:trPr>
        <w:tc>
          <w:tcPr>
            <w:tcW w:w="430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5080" w:type="dxa"/>
            <w:vAlign w:val="bottom"/>
            <w:gridSpan w:val="2"/>
          </w:tcPr>
          <w:p>
            <w:pPr>
              <w:jc w:val="right"/>
              <w:ind w:right="509"/>
              <w:spacing w:after="0"/>
              <w:rPr>
                <w:sz w:val="20"/>
                <w:szCs w:val="20"/>
                <w:color w:val="auto"/>
              </w:rPr>
            </w:pPr>
            <w:r>
              <w:rPr>
                <w:rFonts w:ascii="Arial" w:cs="Arial" w:eastAsia="Arial" w:hAnsi="Arial"/>
                <w:sz w:val="18"/>
                <w:szCs w:val="18"/>
                <w:color w:val="auto"/>
              </w:rPr>
              <w:t>786</w:t>
            </w:r>
          </w:p>
        </w:tc>
        <w:tc>
          <w:tcPr>
            <w:tcW w:w="2040" w:type="dxa"/>
            <w:vAlign w:val="bottom"/>
            <w:gridSpan w:val="2"/>
          </w:tcPr>
          <w:p>
            <w:pPr>
              <w:jc w:val="right"/>
              <w:ind w:right="449"/>
              <w:spacing w:after="0"/>
              <w:rPr>
                <w:sz w:val="20"/>
                <w:szCs w:val="20"/>
                <w:color w:val="auto"/>
              </w:rPr>
            </w:pPr>
            <w:r>
              <w:rPr>
                <w:rFonts w:ascii="Arial" w:cs="Arial" w:eastAsia="Arial" w:hAnsi="Arial"/>
                <w:sz w:val="18"/>
                <w:szCs w:val="18"/>
                <w:color w:val="auto"/>
              </w:rPr>
              <w:t>(701)</w:t>
            </w:r>
          </w:p>
        </w:tc>
      </w:tr>
      <w:tr>
        <w:trPr>
          <w:trHeight w:val="400"/>
        </w:trPr>
        <w:tc>
          <w:tcPr>
            <w:tcW w:w="4300" w:type="dxa"/>
            <w:vAlign w:val="bottom"/>
          </w:tcPr>
          <w:p>
            <w:pPr>
              <w:spacing w:after="0"/>
              <w:rPr>
                <w:sz w:val="24"/>
                <w:szCs w:val="24"/>
                <w:color w:val="auto"/>
              </w:rPr>
            </w:pPr>
          </w:p>
        </w:tc>
        <w:tc>
          <w:tcPr>
            <w:tcW w:w="3660" w:type="dxa"/>
            <w:vAlign w:val="bottom"/>
          </w:tcPr>
          <w:p>
            <w:pPr>
              <w:jc w:val="right"/>
              <w:ind w:right="2031"/>
              <w:spacing w:after="0"/>
              <w:rPr>
                <w:sz w:val="20"/>
                <w:szCs w:val="20"/>
                <w:color w:val="auto"/>
              </w:rPr>
            </w:pPr>
            <w:r>
              <w:rPr>
                <w:rFonts w:ascii="Arial" w:cs="Arial" w:eastAsia="Arial" w:hAnsi="Arial"/>
                <w:sz w:val="18"/>
                <w:szCs w:val="18"/>
                <w:color w:val="auto"/>
              </w:rPr>
              <w:t>102</w:t>
            </w: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5"/>
        </w:trPr>
        <w:tc>
          <w:tcPr>
            <w:tcW w:w="430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964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2"/>
        </w:trPr>
        <w:tc>
          <w:tcPr>
            <w:tcW w:w="2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8300" w:type="dxa"/>
            <w:vAlign w:val="bottom"/>
          </w:tcPr>
          <w:p>
            <w:pPr>
              <w:jc w:val="center"/>
              <w:ind w:left="371"/>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300" w:type="dxa"/>
            <w:vAlign w:val="bottom"/>
          </w:tcPr>
          <w:p>
            <w:pPr>
              <w:jc w:val="center"/>
              <w:ind w:left="371"/>
              <w:spacing w:after="0"/>
              <w:rPr>
                <w:sz w:val="20"/>
                <w:szCs w:val="20"/>
                <w:color w:val="auto"/>
              </w:rPr>
            </w:pPr>
            <w:r>
              <w:rPr>
                <w:rFonts w:ascii="Arial" w:cs="Arial" w:eastAsia="Arial" w:hAnsi="Arial"/>
                <w:sz w:val="18"/>
                <w:szCs w:val="18"/>
                <w:b w:val="1"/>
                <w:bCs w:val="1"/>
                <w:color w:val="auto"/>
                <w:w w:val="97"/>
              </w:rPr>
              <w:t>NOTES TO CONSOLIDATED FINANCIAL STATEMENTS — (Continued)</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962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rPr>
              <w:t>Postretirement Benefit Cash Flows</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9620" w:type="dxa"/>
            <w:vAlign w:val="bottom"/>
            <w:gridSpan w:val="2"/>
          </w:tcPr>
          <w:p>
            <w:pPr>
              <w:ind w:left="200"/>
              <w:spacing w:after="0"/>
              <w:rPr>
                <w:sz w:val="20"/>
                <w:szCs w:val="20"/>
                <w:color w:val="auto"/>
              </w:rPr>
            </w:pPr>
            <w:r>
              <w:rPr>
                <w:rFonts w:ascii="Arial" w:cs="Arial" w:eastAsia="Arial" w:hAnsi="Arial"/>
                <w:sz w:val="18"/>
                <w:szCs w:val="18"/>
                <w:color w:val="auto"/>
              </w:rPr>
              <w:t>A detail of actual and expected benefit payments is as follows (in thousands):</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3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Payments: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2007</w:t>
            </w:r>
          </w:p>
        </w:tc>
        <w:tc>
          <w:tcPr>
            <w:tcW w:w="830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8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Expected Future Payments:</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8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2010</w:t>
            </w:r>
          </w:p>
        </w:tc>
        <w:tc>
          <w:tcPr>
            <w:tcW w:w="8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8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2012</w:t>
            </w:r>
          </w:p>
        </w:tc>
        <w:tc>
          <w:tcPr>
            <w:tcW w:w="8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8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2014-2018</w:t>
            </w:r>
          </w:p>
        </w:tc>
        <w:tc>
          <w:tcPr>
            <w:tcW w:w="8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5,690</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LFG Underwriters’ Nonqualified Benefit Plans</w:t>
      </w:r>
    </w:p>
    <w:p>
      <w:pPr>
        <w:spacing w:after="0" w:line="113" w:lineRule="exact"/>
        <w:rPr>
          <w:sz w:val="20"/>
          <w:szCs w:val="20"/>
          <w:color w:val="auto"/>
        </w:rPr>
      </w:pPr>
    </w:p>
    <w:p>
      <w:pPr>
        <w:jc w:val="both"/>
        <w:ind w:right="20" w:firstLine="222"/>
        <w:spacing w:after="0" w:line="331" w:lineRule="auto"/>
        <w:rPr>
          <w:sz w:val="20"/>
          <w:szCs w:val="20"/>
          <w:color w:val="auto"/>
        </w:rPr>
      </w:pPr>
      <w:r>
        <w:rPr>
          <w:rFonts w:ascii="Arial" w:cs="Arial" w:eastAsia="Arial" w:hAnsi="Arial"/>
          <w:sz w:val="16"/>
          <w:szCs w:val="16"/>
          <w:color w:val="auto"/>
        </w:rPr>
        <w:t>In connection with the acquisition of the LFG Underwriters, the Company assumed certain of the LFG Underwriters’ nonqualified benefit plans. These plans provide various postretirement benefits to certain executives and retirees. The aggregate benefit obligation for these plans is $7.3 million at December 31, 2008.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Supplementary Cash Flow Information</w:t>
      </w:r>
    </w:p>
    <w:p>
      <w:pPr>
        <w:spacing w:after="0" w:line="119" w:lineRule="exact"/>
        <w:rPr>
          <w:sz w:val="20"/>
          <w:szCs w:val="20"/>
          <w:color w:val="auto"/>
        </w:rPr>
      </w:pPr>
    </w:p>
    <w:p>
      <w:pPr>
        <w:ind w:right="80" w:firstLine="219"/>
        <w:spacing w:after="0" w:line="267" w:lineRule="auto"/>
        <w:rPr>
          <w:sz w:val="20"/>
          <w:szCs w:val="20"/>
          <w:color w:val="auto"/>
        </w:rPr>
      </w:pPr>
      <w:r>
        <w:rPr>
          <w:rFonts w:ascii="Arial" w:cs="Arial" w:eastAsia="Arial" w:hAnsi="Arial"/>
          <w:sz w:val="18"/>
          <w:szCs w:val="18"/>
          <w:color w:val="auto"/>
        </w:rPr>
        <w:t>The following supplemental cash flow information is provided with respect to interest and tax payments, as well as certain non-cash investing and financing activities.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8"/>
              </w:rPr>
              <w:t>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0"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560" w:type="dxa"/>
            <w:vAlign w:val="bottom"/>
            <w:vMerge w:val="restart"/>
          </w:tcPr>
          <w:p>
            <w:pPr>
              <w:ind w:left="180"/>
              <w:spacing w:after="0"/>
              <w:rPr>
                <w:sz w:val="20"/>
                <w:szCs w:val="20"/>
                <w:color w:val="auto"/>
              </w:rPr>
            </w:pPr>
            <w:r>
              <w:rPr>
                <w:rFonts w:ascii="Arial" w:cs="Arial" w:eastAsia="Arial" w:hAnsi="Arial"/>
                <w:sz w:val="13"/>
                <w:szCs w:val="13"/>
                <w:b w:val="1"/>
                <w:bCs w:val="1"/>
                <w:color w:val="auto"/>
                <w:w w:val="74"/>
              </w:rPr>
              <w:t>(Dollars</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0"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0"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20" w:type="dxa"/>
            <w:vAlign w:val="bottom"/>
            <w:gridSpan w:val="3"/>
          </w:tcPr>
          <w:p>
            <w:pPr>
              <w:ind w:left="140"/>
              <w:spacing w:after="0" w:line="140"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paid (received) during the year: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8"/>
                <w:szCs w:val="18"/>
                <w:color w:val="auto"/>
              </w:rPr>
              <w:t>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64,406</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53,897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57,636</w:t>
            </w:r>
          </w:p>
        </w:tc>
        <w:tc>
          <w:tcPr>
            <w:tcW w:w="0" w:type="dxa"/>
            <w:vAlign w:val="bottom"/>
          </w:tcPr>
          <w:p>
            <w:pPr>
              <w:spacing w:after="0"/>
              <w:rPr>
                <w:sz w:val="1"/>
                <w:szCs w:val="1"/>
                <w:color w:val="auto"/>
              </w:rPr>
            </w:pPr>
          </w:p>
        </w:tc>
      </w:tr>
      <w:tr>
        <w:trPr>
          <w:trHeight w:val="213"/>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(37,388)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86,918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354,711</w:t>
            </w: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 in connection with acquisitions: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8"/>
                <w:szCs w:val="18"/>
                <w:color w:val="auto"/>
              </w:rPr>
              <w:t>Fair value of assets acquired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1,645,402</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416,431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396,738</w:t>
            </w:r>
          </w:p>
        </w:tc>
        <w:tc>
          <w:tcPr>
            <w:tcW w:w="0" w:type="dxa"/>
            <w:vAlign w:val="bottom"/>
          </w:tcPr>
          <w:p>
            <w:pPr>
              <w:spacing w:after="0"/>
              <w:rPr>
                <w:sz w:val="1"/>
                <w:szCs w:val="1"/>
                <w:color w:val="auto"/>
              </w:rPr>
            </w:pPr>
          </w:p>
        </w:tc>
      </w:tr>
      <w:tr>
        <w:trPr>
          <w:trHeight w:val="213"/>
        </w:trPr>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Total purchase price</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243,241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245,825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290,091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tcPr>
          <w:p>
            <w:pPr>
              <w:spacing w:after="0"/>
              <w:rPr>
                <w:sz w:val="20"/>
                <w:szCs w:val="20"/>
                <w:color w:val="auto"/>
              </w:rPr>
            </w:pPr>
            <w:r>
              <w:rPr>
                <w:rFonts w:ascii="Arial" w:cs="Arial" w:eastAsia="Arial" w:hAnsi="Arial"/>
                <w:sz w:val="18"/>
                <w:szCs w:val="18"/>
                <w:color w:val="auto"/>
              </w:rPr>
              <w:t>Liabilities assumed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1,402,161</w:t>
            </w: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170,606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106,647</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Financial Instruments with Off-Balance Sheet Risk and Concentration of Risk</w:t>
      </w:r>
    </w:p>
    <w:p>
      <w:pPr>
        <w:spacing w:after="0" w:line="119" w:lineRule="exact"/>
        <w:rPr>
          <w:sz w:val="20"/>
          <w:szCs w:val="20"/>
          <w:color w:val="auto"/>
        </w:rPr>
      </w:pPr>
    </w:p>
    <w:p>
      <w:pPr>
        <w:jc w:val="both"/>
        <w:ind w:right="120" w:firstLine="222"/>
        <w:spacing w:after="0" w:line="267" w:lineRule="auto"/>
        <w:rPr>
          <w:sz w:val="20"/>
          <w:szCs w:val="20"/>
          <w:color w:val="auto"/>
        </w:rPr>
      </w:pPr>
      <w:r>
        <w:rPr>
          <w:rFonts w:ascii="Arial" w:cs="Arial" w:eastAsia="Arial" w:hAnsi="Arial"/>
          <w:sz w:val="18"/>
          <w:szCs w:val="18"/>
          <w:color w:val="auto"/>
        </w:rPr>
        <w:t>In the normal course of business the Company and certain of its subsidiaries enter into off-balance sheet credit arrangements associated with certain aspects of its title insurance business and other activities.</w:t>
      </w:r>
    </w:p>
    <w:p>
      <w:pPr>
        <w:spacing w:after="0" w:line="73" w:lineRule="exact"/>
        <w:rPr>
          <w:sz w:val="20"/>
          <w:szCs w:val="20"/>
          <w:color w:val="auto"/>
        </w:rPr>
      </w:pPr>
    </w:p>
    <w:p>
      <w:pPr>
        <w:ind w:right="600" w:firstLine="219"/>
        <w:spacing w:after="0" w:line="267" w:lineRule="auto"/>
        <w:rPr>
          <w:sz w:val="20"/>
          <w:szCs w:val="20"/>
          <w:color w:val="auto"/>
        </w:rPr>
      </w:pPr>
      <w:r>
        <w:rPr>
          <w:rFonts w:ascii="Arial" w:cs="Arial" w:eastAsia="Arial" w:hAnsi="Arial"/>
          <w:sz w:val="18"/>
          <w:szCs w:val="18"/>
          <w:color w:val="auto"/>
        </w:rPr>
        <w:t>The Company generates a significant amount of title insurance premiums in California, Texas, Florida, and New York. Title insurance premiums as a percentage of the total title insurance premiums written from those four states are detailed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20" w:type="dxa"/>
            <w:vAlign w:val="bottom"/>
          </w:tcPr>
          <w:p>
            <w:pPr>
              <w:spacing w:after="0"/>
              <w:rPr>
                <w:sz w:val="14"/>
                <w:szCs w:val="14"/>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4"/>
                <w:szCs w:val="14"/>
                <w:color w:val="auto"/>
              </w:rPr>
            </w:pPr>
          </w:p>
        </w:tc>
        <w:tc>
          <w:tcPr>
            <w:tcW w:w="8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8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2006</w:t>
            </w:r>
          </w:p>
        </w:tc>
      </w:tr>
      <w:tr>
        <w:trPr>
          <w:trHeight w:val="207"/>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13"/>
        </w:trPr>
        <w:tc>
          <w:tcPr>
            <w:tcW w:w="7820" w:type="dxa"/>
            <w:vAlign w:val="bottom"/>
          </w:tcPr>
          <w:p>
            <w:pPr>
              <w:spacing w:after="0"/>
              <w:rPr>
                <w:sz w:val="20"/>
                <w:szCs w:val="20"/>
                <w:color w:val="auto"/>
              </w:rPr>
            </w:pPr>
            <w:r>
              <w:rPr>
                <w:rFonts w:ascii="Arial" w:cs="Arial" w:eastAsia="Arial" w:hAnsi="Arial"/>
                <w:sz w:val="18"/>
                <w:szCs w:val="18"/>
                <w:color w:val="auto"/>
              </w:rPr>
              <w:t>Texas</w:t>
            </w: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11.2%</w:t>
            </w:r>
          </w:p>
        </w:tc>
      </w:tr>
      <w:tr>
        <w:trPr>
          <w:trHeight w:val="21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4"/>
        </w:trPr>
        <w:tc>
          <w:tcPr>
            <w:tcW w:w="7820" w:type="dxa"/>
            <w:vAlign w:val="bottom"/>
          </w:tcPr>
          <w:p>
            <w:pPr>
              <w:spacing w:after="0"/>
              <w:rPr>
                <w:sz w:val="20"/>
                <w:szCs w:val="20"/>
                <w:color w:val="auto"/>
              </w:rPr>
            </w:pPr>
            <w:r>
              <w:rPr>
                <w:rFonts w:ascii="Arial" w:cs="Arial" w:eastAsia="Arial" w:hAnsi="Arial"/>
                <w:sz w:val="18"/>
                <w:szCs w:val="18"/>
                <w:color w:val="auto"/>
              </w:rPr>
              <w:t>New York</w:t>
            </w: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7.8%</w:t>
            </w:r>
          </w:p>
        </w:tc>
      </w:tr>
    </w:tbl>
    <w:p>
      <w:pPr>
        <w:spacing w:after="0" w:line="83" w:lineRule="exact"/>
        <w:rPr>
          <w:sz w:val="20"/>
          <w:szCs w:val="20"/>
          <w:color w:val="auto"/>
        </w:rPr>
      </w:pPr>
    </w:p>
    <w:p>
      <w:pPr>
        <w:ind w:right="60" w:firstLine="222"/>
        <w:spacing w:after="0" w:line="26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equivalents, short-term investments, and trade receivables.</w:t>
      </w:r>
    </w:p>
    <w:p>
      <w:pPr>
        <w:spacing w:after="0" w:line="73" w:lineRule="exact"/>
        <w:rPr>
          <w:sz w:val="20"/>
          <w:szCs w:val="20"/>
          <w:color w:val="auto"/>
        </w:rPr>
      </w:pPr>
    </w:p>
    <w:p>
      <w:pPr>
        <w:ind w:right="60" w:firstLine="219"/>
        <w:spacing w:after="0" w:line="267" w:lineRule="auto"/>
        <w:rPr>
          <w:sz w:val="20"/>
          <w:szCs w:val="20"/>
          <w:color w:val="auto"/>
        </w:rPr>
      </w:pPr>
      <w:r>
        <w:rPr>
          <w:rFonts w:ascii="Arial" w:cs="Arial" w:eastAsia="Arial" w:hAnsi="Arial"/>
          <w:sz w:val="18"/>
          <w:szCs w:val="18"/>
          <w:color w:val="auto"/>
        </w:rPr>
        <w:t>The Company places its cash equivalents and short-term investments with high credit quality financial institutions and, by policy, limits the amount of credit exposure with any one financial institution. Investments in commercial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9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paper of industrial firms and financial institutions are rated investment grade by nationally recognized rating agencies.</w:t>
      </w:r>
    </w:p>
    <w:p>
      <w:pPr>
        <w:spacing w:after="0" w:line="113" w:lineRule="exact"/>
        <w:rPr>
          <w:sz w:val="20"/>
          <w:szCs w:val="20"/>
          <w:color w:val="auto"/>
        </w:rPr>
      </w:pPr>
    </w:p>
    <w:p>
      <w:pPr>
        <w:ind w:right="780" w:firstLine="222"/>
        <w:spacing w:after="0" w:line="331" w:lineRule="auto"/>
        <w:rPr>
          <w:sz w:val="20"/>
          <w:szCs w:val="20"/>
          <w:color w:val="auto"/>
        </w:rPr>
      </w:pPr>
      <w:r>
        <w:rPr>
          <w:rFonts w:ascii="Arial" w:cs="Arial" w:eastAsia="Arial" w:hAnsi="Arial"/>
          <w:sz w:val="16"/>
          <w:szCs w:val="16"/>
          <w:color w:val="auto"/>
        </w:rPr>
        <w:t>Concentrations of credit risk with respect to trade receivables are limited because a large number of geographically diverse customers make up the Company’s customer base, thus spreading the trade receivables credit risk. The Company controls credit risk through monitoring procedures.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Segment Information</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Summarized financial information concerning the Company’s reportable segments is shown in the following table.</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and for the year ended December 31, 2008 (dollars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20" w:type="dxa"/>
            <w:vAlign w:val="bottom"/>
            <w:gridSpan w:val="6"/>
          </w:tcPr>
          <w:p>
            <w:pPr>
              <w:ind w:left="640"/>
              <w:spacing w:after="0"/>
              <w:rPr>
                <w:sz w:val="20"/>
                <w:szCs w:val="20"/>
                <w:color w:val="auto"/>
              </w:rPr>
            </w:pPr>
            <w:r>
              <w:rPr>
                <w:rFonts w:ascii="Arial" w:cs="Arial" w:eastAsia="Arial" w:hAnsi="Arial"/>
                <w:sz w:val="14"/>
                <w:szCs w:val="14"/>
                <w:b w:val="1"/>
                <w:bCs w:val="1"/>
                <w:color w:val="auto"/>
              </w:rPr>
              <w:t>Fidelity National</w:t>
            </w:r>
          </w:p>
        </w:tc>
        <w:tc>
          <w:tcPr>
            <w:tcW w:w="260" w:type="dxa"/>
            <w:vAlign w:val="bottom"/>
          </w:tcPr>
          <w:p>
            <w:pPr>
              <w:spacing w:after="0"/>
              <w:rPr>
                <w:sz w:val="14"/>
                <w:szCs w:val="14"/>
                <w:color w:val="auto"/>
              </w:rPr>
            </w:pPr>
          </w:p>
        </w:tc>
        <w:tc>
          <w:tcPr>
            <w:tcW w:w="13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7"/>
              </w:rPr>
              <w:t>Specialty</w:t>
            </w:r>
          </w:p>
        </w:tc>
        <w:tc>
          <w:tcPr>
            <w:tcW w:w="11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20" w:type="dxa"/>
            <w:vAlign w:val="bottom"/>
            <w:gridSpan w:val="6"/>
          </w:tcPr>
          <w:p>
            <w:pPr>
              <w:ind w:left="640"/>
              <w:spacing w:after="0"/>
              <w:rPr>
                <w:sz w:val="20"/>
                <w:szCs w:val="20"/>
                <w:color w:val="auto"/>
              </w:rPr>
            </w:pPr>
            <w:r>
              <w:rPr>
                <w:rFonts w:ascii="Arial" w:cs="Arial" w:eastAsia="Arial" w:hAnsi="Arial"/>
                <w:sz w:val="14"/>
                <w:szCs w:val="14"/>
                <w:b w:val="1"/>
                <w:bCs w:val="1"/>
                <w:color w:val="auto"/>
              </w:rPr>
              <w:t>Title Group, Inc.</w:t>
            </w:r>
          </w:p>
        </w:tc>
        <w:tc>
          <w:tcPr>
            <w:tcW w:w="260" w:type="dxa"/>
            <w:vAlign w:val="bottom"/>
          </w:tcPr>
          <w:p>
            <w:pPr>
              <w:spacing w:after="0"/>
              <w:rPr>
                <w:sz w:val="14"/>
                <w:szCs w:val="14"/>
                <w:color w:val="auto"/>
              </w:rPr>
            </w:pPr>
          </w:p>
        </w:tc>
        <w:tc>
          <w:tcPr>
            <w:tcW w:w="13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3"/>
              </w:rPr>
              <w:t>Insurance</w:t>
            </w:r>
          </w:p>
        </w:tc>
        <w:tc>
          <w:tcPr>
            <w:tcW w:w="11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and Other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Title premiums</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2,695,009</w:t>
            </w:r>
          </w:p>
        </w:tc>
        <w:tc>
          <w:tcPr>
            <w:tcW w:w="2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2,695,009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revenues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1,034,250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8"/>
                <w:szCs w:val="18"/>
                <w:color w:val="auto"/>
                <w:w w:val="86"/>
              </w:rPr>
              <w:t>373,392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114,289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1,521,931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3,729,259</w:t>
            </w:r>
          </w:p>
        </w:tc>
        <w:tc>
          <w:tcPr>
            <w:tcW w:w="26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$ 373,392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114,289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4,216,940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Interest and investment income, including realized gains and losses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87,268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9,922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14,965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112,155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3,816,527</w:t>
            </w:r>
          </w:p>
        </w:tc>
        <w:tc>
          <w:tcPr>
            <w:tcW w:w="26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$ 383,314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129,254</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4,329,095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44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114,989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4,896</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22,874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142,759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62,645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(Loss) earnings before income taxes, equity in (losses) income of</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tcPr>
          <w:p>
            <w:pPr>
              <w:ind w:left="180"/>
              <w:spacing w:after="0"/>
              <w:rPr>
                <w:sz w:val="20"/>
                <w:szCs w:val="20"/>
                <w:color w:val="auto"/>
              </w:rPr>
            </w:pPr>
            <w:r>
              <w:rPr>
                <w:rFonts w:ascii="Arial" w:cs="Arial" w:eastAsia="Arial" w:hAnsi="Arial"/>
                <w:sz w:val="18"/>
                <w:szCs w:val="18"/>
                <w:color w:val="auto"/>
              </w:rPr>
              <w:t>unconsolidated affiliates, and minority interest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(230,960)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8"/>
                <w:szCs w:val="18"/>
                <w:color w:val="auto"/>
              </w:rPr>
              <w:t>34,982</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(99,415)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(295,393)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(98,159)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11,658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(39,041)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(125,542)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Equity in (losses) income of unconsolidated affiliates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1,073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(14,448)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(13,375)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earnings (loss)</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(133,246)</w:t>
            </w: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140"/>
              <w:spacing w:after="0"/>
              <w:rPr>
                <w:sz w:val="20"/>
                <w:szCs w:val="20"/>
                <w:color w:val="auto"/>
              </w:rPr>
            </w:pPr>
            <w:r>
              <w:rPr>
                <w:rFonts w:ascii="Arial" w:cs="Arial" w:eastAsia="Arial" w:hAnsi="Arial"/>
                <w:sz w:val="18"/>
                <w:szCs w:val="18"/>
                <w:color w:val="auto"/>
              </w:rPr>
              <w:t>23,324</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(69,094)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(179,016)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6,766,196</w:t>
            </w:r>
          </w:p>
        </w:tc>
        <w:tc>
          <w:tcPr>
            <w:tcW w:w="26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$ 422,630</w:t>
            </w:r>
          </w:p>
        </w:tc>
        <w:tc>
          <w:tcPr>
            <w:tcW w:w="5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w w:val="84"/>
              </w:rPr>
              <w:t>$ 1,179,414</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8,368,240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1,484,296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8"/>
                <w:szCs w:val="18"/>
                <w:color w:val="auto"/>
              </w:rPr>
              <w:t>28,717</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68,645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1,581,658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w w:val="90"/>
              </w:rPr>
              <w:t>As of and for the year ended December 31, 2007 (dollars in thousands):</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gridSpan w:val="5"/>
          </w:tcPr>
          <w:p>
            <w:pPr>
              <w:ind w:left="120"/>
              <w:spacing w:after="0"/>
              <w:rPr>
                <w:sz w:val="20"/>
                <w:szCs w:val="20"/>
                <w:color w:val="auto"/>
              </w:rPr>
            </w:pPr>
            <w:r>
              <w:rPr>
                <w:rFonts w:ascii="Arial" w:cs="Arial" w:eastAsia="Arial" w:hAnsi="Arial"/>
                <w:sz w:val="14"/>
                <w:szCs w:val="14"/>
                <w:b w:val="1"/>
                <w:bCs w:val="1"/>
                <w:color w:val="auto"/>
              </w:rPr>
              <w:t>Fidelity National</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Specialty</w:t>
            </w:r>
          </w:p>
        </w:tc>
        <w:tc>
          <w:tcPr>
            <w:tcW w:w="14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gridSpan w:val="5"/>
          </w:tcPr>
          <w:p>
            <w:pPr>
              <w:ind w:left="120"/>
              <w:spacing w:after="0"/>
              <w:rPr>
                <w:sz w:val="20"/>
                <w:szCs w:val="20"/>
                <w:color w:val="auto"/>
              </w:rPr>
            </w:pPr>
            <w:r>
              <w:rPr>
                <w:rFonts w:ascii="Arial" w:cs="Arial" w:eastAsia="Arial" w:hAnsi="Arial"/>
                <w:sz w:val="14"/>
                <w:szCs w:val="14"/>
                <w:b w:val="1"/>
                <w:bCs w:val="1"/>
                <w:color w:val="auto"/>
              </w:rPr>
              <w:t>Title Group, Inc.</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6"/>
              </w:rPr>
              <w:t>Insurance</w:t>
            </w:r>
          </w:p>
        </w:tc>
        <w:tc>
          <w:tcPr>
            <w:tcW w:w="1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Title premiums</w:t>
            </w:r>
          </w:p>
        </w:tc>
        <w:tc>
          <w:tcPr>
            <w:tcW w:w="88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3,800,458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3,800,458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revenues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1,034,574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w w:val="89"/>
              </w:rPr>
              <w:t>386,427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97,841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1,518,842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8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4,835,032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9"/>
              </w:rPr>
              <w:t>386,427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97,841</w:t>
            </w:r>
          </w:p>
        </w:tc>
        <w:tc>
          <w:tcPr>
            <w:tcW w:w="36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5,319,300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6"/>
          </w:tcPr>
          <w:p>
            <w:pPr>
              <w:ind w:left="240"/>
              <w:spacing w:after="0"/>
              <w:rPr>
                <w:sz w:val="20"/>
                <w:szCs w:val="20"/>
                <w:color w:val="auto"/>
              </w:rPr>
            </w:pPr>
            <w:r>
              <w:rPr>
                <w:rFonts w:ascii="Arial" w:cs="Arial" w:eastAsia="Arial" w:hAnsi="Arial"/>
                <w:sz w:val="14"/>
                <w:szCs w:val="14"/>
                <w:b w:val="1"/>
                <w:bCs w:val="1"/>
                <w:color w:val="auto"/>
              </w:rPr>
              <w:t>Fidelity National</w:t>
            </w:r>
          </w:p>
        </w:tc>
        <w:tc>
          <w:tcPr>
            <w:tcW w:w="200" w:type="dxa"/>
            <w:vAlign w:val="bottom"/>
          </w:tcPr>
          <w:p>
            <w:pPr>
              <w:spacing w:after="0"/>
              <w:rPr>
                <w:sz w:val="14"/>
                <w:szCs w:val="14"/>
                <w:color w:val="auto"/>
              </w:rPr>
            </w:pPr>
          </w:p>
        </w:tc>
        <w:tc>
          <w:tcPr>
            <w:tcW w:w="13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7"/>
              </w:rPr>
              <w:t>Specialty</w:t>
            </w:r>
          </w:p>
        </w:tc>
        <w:tc>
          <w:tcPr>
            <w:tcW w:w="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920" w:type="dxa"/>
            <w:vAlign w:val="bottom"/>
            <w:gridSpan w:val="5"/>
            <w:vMerge w:val="restart"/>
          </w:tcPr>
          <w:p>
            <w:pPr>
              <w:spacing w:after="0"/>
              <w:rPr>
                <w:sz w:val="20"/>
                <w:szCs w:val="20"/>
                <w:color w:val="auto"/>
              </w:rPr>
            </w:pPr>
            <w:r>
              <w:rPr>
                <w:rFonts w:ascii="Arial" w:cs="Arial" w:eastAsia="Arial" w:hAnsi="Arial"/>
                <w:sz w:val="18"/>
                <w:szCs w:val="18"/>
                <w:color w:val="auto"/>
                <w:w w:val="91"/>
              </w:rPr>
              <w:t>Interest and investment income, including realized gains and losses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6"/>
          </w:tcPr>
          <w:p>
            <w:pPr>
              <w:ind w:left="240"/>
              <w:spacing w:after="0"/>
              <w:rPr>
                <w:sz w:val="20"/>
                <w:szCs w:val="20"/>
                <w:color w:val="auto"/>
              </w:rPr>
            </w:pPr>
            <w:r>
              <w:rPr>
                <w:rFonts w:ascii="Arial" w:cs="Arial" w:eastAsia="Arial" w:hAnsi="Arial"/>
                <w:sz w:val="14"/>
                <w:szCs w:val="14"/>
                <w:b w:val="1"/>
                <w:bCs w:val="1"/>
                <w:color w:val="auto"/>
              </w:rPr>
              <w:t>Title Group, Inc.</w:t>
            </w:r>
          </w:p>
        </w:tc>
        <w:tc>
          <w:tcPr>
            <w:tcW w:w="200" w:type="dxa"/>
            <w:vAlign w:val="bottom"/>
          </w:tcPr>
          <w:p>
            <w:pPr>
              <w:spacing w:after="0"/>
              <w:rPr>
                <w:sz w:val="14"/>
                <w:szCs w:val="14"/>
                <w:color w:val="auto"/>
              </w:rPr>
            </w:pPr>
          </w:p>
        </w:tc>
        <w:tc>
          <w:tcPr>
            <w:tcW w:w="13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3"/>
              </w:rPr>
              <w:t>Insurance</w:t>
            </w:r>
          </w:p>
        </w:tc>
        <w:tc>
          <w:tcPr>
            <w:tcW w:w="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92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169,954</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16,254</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17,667</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5,004,986</w:t>
            </w:r>
          </w:p>
        </w:tc>
        <w:tc>
          <w:tcPr>
            <w:tcW w:w="4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$ 402,681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115,508</w:t>
            </w:r>
          </w:p>
        </w:tc>
        <w:tc>
          <w:tcPr>
            <w:tcW w:w="36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5,523,175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3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120,223</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6,046</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3,823</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130,092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14,597</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38,866</w:t>
            </w:r>
          </w:p>
        </w:tc>
        <w:tc>
          <w:tcPr>
            <w:tcW w:w="3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54,941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7"/>
          </w:tcPr>
          <w:p>
            <w:pPr>
              <w:spacing w:after="0" w:line="201" w:lineRule="exact"/>
              <w:rPr>
                <w:sz w:val="20"/>
                <w:szCs w:val="20"/>
                <w:color w:val="auto"/>
              </w:rPr>
            </w:pPr>
            <w:r>
              <w:rPr>
                <w:rFonts w:ascii="Arial" w:cs="Arial" w:eastAsia="Arial" w:hAnsi="Arial"/>
                <w:sz w:val="18"/>
                <w:szCs w:val="18"/>
                <w:color w:val="auto"/>
              </w:rPr>
              <w:t>Earnings (loss) before income taxes, equity in income of unconsolidated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affiliates, and minority interest</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183,477</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53,040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(60,839)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175,678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49,275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19,271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(21,770)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3"/>
              </w:rPr>
              <w:t>Equity in income of unconsolidated affiliates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2,467</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(1,632)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Net earnings (loss)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133,780</w:t>
            </w:r>
          </w:p>
        </w:tc>
        <w:tc>
          <w:tcPr>
            <w:tcW w:w="4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33,769</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(37,780)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129,769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5,953,562</w:t>
            </w:r>
          </w:p>
        </w:tc>
        <w:tc>
          <w:tcPr>
            <w:tcW w:w="4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$ 461,548</w:t>
            </w:r>
          </w:p>
        </w:tc>
        <w:tc>
          <w:tcPr>
            <w:tcW w:w="5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$ 1,172,743</w:t>
            </w:r>
          </w:p>
        </w:tc>
        <w:tc>
          <w:tcPr>
            <w:tcW w:w="360" w:type="dxa"/>
            <w:vAlign w:val="bottom"/>
            <w:tcBorders>
              <w:lef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7,587,853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1,246,330</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28,717</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69,533</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1,344,580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820" w:type="dxa"/>
            <w:vAlign w:val="bottom"/>
            <w:gridSpan w:val="7"/>
          </w:tcPr>
          <w:p>
            <w:pPr>
              <w:ind w:left="200"/>
              <w:spacing w:after="0"/>
              <w:rPr>
                <w:sz w:val="20"/>
                <w:szCs w:val="20"/>
                <w:color w:val="auto"/>
              </w:rPr>
            </w:pPr>
            <w:r>
              <w:rPr>
                <w:rFonts w:ascii="Arial" w:cs="Arial" w:eastAsia="Arial" w:hAnsi="Arial"/>
                <w:sz w:val="18"/>
                <w:szCs w:val="18"/>
                <w:color w:val="auto"/>
                <w:w w:val="97"/>
              </w:rPr>
              <w:t>As of and for the year ended December 31, 2006 (dollars in thousands):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Fidelity National</w:t>
            </w:r>
          </w:p>
        </w:tc>
        <w:tc>
          <w:tcPr>
            <w:tcW w:w="9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7"/>
              </w:rPr>
              <w:t>Specialty</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Corporate</w:t>
            </w:r>
          </w:p>
        </w:tc>
        <w:tc>
          <w:tcPr>
            <w:tcW w:w="1520" w:type="dxa"/>
            <w:vAlign w:val="bottom"/>
            <w:gridSpan w:val="5"/>
          </w:tcPr>
          <w:p>
            <w:pPr>
              <w:spacing w:after="0"/>
              <w:rPr>
                <w:sz w:val="20"/>
                <w:szCs w:val="20"/>
                <w:color w:val="auto"/>
              </w:rPr>
            </w:pPr>
            <w:r>
              <w:rPr>
                <w:rFonts w:ascii="Arial" w:cs="Arial" w:eastAsia="Arial" w:hAnsi="Arial"/>
                <w:sz w:val="14"/>
                <w:szCs w:val="14"/>
                <w:b w:val="1"/>
                <w:bCs w:val="1"/>
                <w:color w:val="auto"/>
              </w:rPr>
              <w:t>Fidelity National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1520" w:type="dxa"/>
            <w:vAlign w:val="bottom"/>
            <w:gridSpan w:val="5"/>
          </w:tcPr>
          <w:p>
            <w:pPr>
              <w:jc w:val="right"/>
              <w:ind w:right="640"/>
              <w:spacing w:after="0" w:line="147" w:lineRule="exact"/>
              <w:rPr>
                <w:sz w:val="20"/>
                <w:szCs w:val="20"/>
                <w:color w:val="auto"/>
              </w:rPr>
            </w:pPr>
            <w:r>
              <w:rPr>
                <w:rFonts w:ascii="Arial" w:cs="Arial" w:eastAsia="Arial" w:hAnsi="Arial"/>
                <w:sz w:val="14"/>
                <w:szCs w:val="14"/>
                <w:b w:val="1"/>
                <w:bCs w:val="1"/>
                <w:color w:val="auto"/>
              </w:rPr>
              <w:t>Information</w:t>
            </w:r>
          </w:p>
        </w:tc>
        <w:tc>
          <w:tcPr>
            <w:tcW w:w="80" w:type="dxa"/>
            <w:vAlign w:val="bottom"/>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Title Group, Inc.</w:t>
            </w: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Insurance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ind w:left="60"/>
              <w:spacing w:after="0"/>
              <w:rPr>
                <w:sz w:val="20"/>
                <w:szCs w:val="20"/>
                <w:color w:val="auto"/>
              </w:rPr>
            </w:pPr>
            <w:r>
              <w:rPr>
                <w:rFonts w:ascii="Arial" w:cs="Arial" w:eastAsia="Arial" w:hAnsi="Arial"/>
                <w:sz w:val="14"/>
                <w:szCs w:val="14"/>
                <w:b w:val="1"/>
                <w:bCs w:val="1"/>
                <w:color w:val="auto"/>
              </w:rPr>
              <w:t>and Other</w:t>
            </w:r>
          </w:p>
        </w:tc>
        <w:tc>
          <w:tcPr>
            <w:tcW w:w="15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Services, Inc.</w:t>
            </w:r>
          </w:p>
        </w:tc>
        <w:tc>
          <w:tcPr>
            <w:tcW w:w="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Title premiums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4,608,329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(2,372)</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64,964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(64,721)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4,606,200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1,109,293</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394,613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4,754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w w:val="87"/>
              </w:rPr>
              <w:t>3,215,409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(121,039)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4,603,030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(185,760)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185,760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8"/>
                <w:szCs w:val="18"/>
                <w:color w:val="auto"/>
              </w:rPr>
              <w:t>Revenues from external customers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32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5,717,622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394,613</w:t>
            </w:r>
          </w:p>
        </w:tc>
        <w:tc>
          <w:tcPr>
            <w:tcW w:w="480" w:type="dxa"/>
            <w:vAlign w:val="bottom"/>
            <w:gridSpan w:val="3"/>
          </w:tcPr>
          <w:p>
            <w:pPr>
              <w:ind w:left="3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2,382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w w:val="87"/>
              </w:rPr>
              <w:t>3,094,613</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9,209,230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investment income,</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including realized gains and losses</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179,932</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15,582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20,881</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8,774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225,169</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32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5,897,554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410,195</w:t>
            </w:r>
          </w:p>
        </w:tc>
        <w:tc>
          <w:tcPr>
            <w:tcW w:w="480" w:type="dxa"/>
            <w:vAlign w:val="bottom"/>
            <w:gridSpan w:val="3"/>
          </w:tcPr>
          <w:p>
            <w:pPr>
              <w:ind w:left="3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23,263</w:t>
            </w:r>
          </w:p>
        </w:tc>
        <w:tc>
          <w:tcPr>
            <w:tcW w:w="4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w w:val="87"/>
              </w:rPr>
              <w:t>3,103,387</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9,434,399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110,486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6,254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343,563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460,750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12,755</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1,443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41,579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154,195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209,972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(loss) before income taxes,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income of unconsolidated</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affiliates, and minority interest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648,574</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72,026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(97,466)</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318,366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941,500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220,898</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28,920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(17,379)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118,432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350,871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in income of unconsolidated</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affiliates</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1,702</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Minority interest</w:t>
            </w:r>
          </w:p>
        </w:tc>
        <w:tc>
          <w:tcPr>
            <w:tcW w:w="18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153,246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154,570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428,024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43,106</w:t>
            </w:r>
          </w:p>
        </w:tc>
        <w:tc>
          <w:tcPr>
            <w:tcW w:w="12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(233,333)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199,964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437,761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6,023,461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455,057</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$ 781,041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7,259,559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1,087,813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23,842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42,643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1,154,298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activities of the reportable segments include the following:</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Fidelity National Title Group</w:t>
      </w:r>
    </w:p>
    <w:p>
      <w:pPr>
        <w:spacing w:after="0" w:line="113" w:lineRule="exact"/>
        <w:rPr>
          <w:sz w:val="20"/>
          <w:szCs w:val="20"/>
          <w:color w:val="auto"/>
        </w:rPr>
      </w:pPr>
    </w:p>
    <w:p>
      <w:pPr>
        <w:ind w:right="220" w:firstLine="219"/>
        <w:spacing w:after="0" w:line="297" w:lineRule="auto"/>
        <w:rPr>
          <w:sz w:val="20"/>
          <w:szCs w:val="20"/>
          <w:color w:val="auto"/>
        </w:rPr>
      </w:pPr>
      <w:r>
        <w:rPr>
          <w:rFonts w:ascii="Arial" w:cs="Arial" w:eastAsia="Arial" w:hAnsi="Arial"/>
          <w:sz w:val="17"/>
          <w:szCs w:val="17"/>
          <w:color w:val="auto"/>
        </w:rPr>
        <w:t>This segment consists of the operation of FNF’s title insurance underwriters and related businesses. This segment provides core title insurance and escrow and other title related services including collection and trust activities, trustee’s sales guarantees, recordings and reconveyances.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Specialty Insurance</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segment consists of certain subsidiaries that issue flood, home warranty, homeowners, automobile, and other personal lines insurance policies.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3" w:lineRule="exact"/>
        <w:rPr>
          <w:sz w:val="20"/>
          <w:szCs w:val="20"/>
          <w:color w:val="auto"/>
        </w:rPr>
      </w:pPr>
    </w:p>
    <w:p>
      <w:pPr>
        <w:ind w:right="240" w:firstLine="219"/>
        <w:spacing w:after="0" w:line="304" w:lineRule="auto"/>
        <w:rPr>
          <w:sz w:val="20"/>
          <w:szCs w:val="20"/>
          <w:color w:val="auto"/>
        </w:rPr>
      </w:pPr>
      <w:r>
        <w:rPr>
          <w:rFonts w:ascii="Arial" w:cs="Arial" w:eastAsia="Arial" w:hAnsi="Arial"/>
          <w:sz w:val="16"/>
          <w:szCs w:val="16"/>
          <w:color w:val="auto"/>
        </w:rPr>
        <w:t>The corporate and other segment consists of the operations of the parent holding company, certain other unallocated corporate overhead expenses, other smaller operations, and the Company’s share in the operations of certain equity investments, including Sedgwick, Ceridian and Remy. During the year ended December 31, 2008, the Company recorded a $4.0 million impairment charge to an intangible asset in the corporate and other segment.</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Fidelity National Information Services, Inc.</w:t>
      </w:r>
    </w:p>
    <w:p>
      <w:pPr>
        <w:spacing w:after="0" w:line="113" w:lineRule="exact"/>
        <w:rPr>
          <w:sz w:val="20"/>
          <w:szCs w:val="20"/>
          <w:color w:val="auto"/>
        </w:rPr>
      </w:pPr>
    </w:p>
    <w:p>
      <w:pPr>
        <w:ind w:right="40" w:firstLine="219"/>
        <w:spacing w:after="0" w:line="288" w:lineRule="auto"/>
        <w:rPr>
          <w:sz w:val="20"/>
          <w:szCs w:val="20"/>
          <w:color w:val="auto"/>
        </w:rPr>
      </w:pPr>
      <w:r>
        <w:rPr>
          <w:rFonts w:ascii="Arial" w:cs="Arial" w:eastAsia="Arial" w:hAnsi="Arial"/>
          <w:sz w:val="16"/>
          <w:szCs w:val="16"/>
          <w:color w:val="auto"/>
        </w:rPr>
        <w:t>Through October 23, 2006, the Company’s results also included the operations of FIS as a separate segment. This segment provided transaction processing services, consisting principally of technology solutions for banks and other financial institutions, credit and debit card services and check risk management and related services for retailers and others. This segment also provided lender processing services, consisting principally of technology solutions for mortgage lenders, selected mortgage origination services such as title agency and closing services, default management and mortgage information services. FIS’s credit and debit card services and check risk management services were added through its merger with Certegy Inc. (“Certegy”). This merger closed in February 2006 and as a result these businesses are not included in FIS’s financial information prior to the closing.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Recent Accounting Pronouncements</w:t>
      </w:r>
    </w:p>
    <w:p>
      <w:pPr>
        <w:spacing w:after="0" w:line="119" w:lineRule="exact"/>
        <w:rPr>
          <w:sz w:val="20"/>
          <w:szCs w:val="20"/>
          <w:color w:val="auto"/>
        </w:rPr>
      </w:pPr>
    </w:p>
    <w:p>
      <w:pPr>
        <w:ind w:right="100" w:firstLine="222"/>
        <w:spacing w:after="0" w:line="270" w:lineRule="auto"/>
        <w:rPr>
          <w:sz w:val="20"/>
          <w:szCs w:val="20"/>
          <w:color w:val="auto"/>
        </w:rPr>
      </w:pPr>
      <w:r>
        <w:rPr>
          <w:rFonts w:ascii="Arial" w:cs="Arial" w:eastAsia="Arial" w:hAnsi="Arial"/>
          <w:sz w:val="17"/>
          <w:szCs w:val="17"/>
          <w:color w:val="auto"/>
        </w:rPr>
        <w:t>In January 2009, the Financial Accounting Standards Board (“FASB”) issued FASB Staff Position (“FSP”) EITF 99-20-1, “Amendments to the Impairment Guidance of EITF Issue No. 99-20.” (“FSP EITF 99-20-1”) FSP EITF 99-20-1 provides guidance in determining whether or not certain beneficial interests in securitized financial assets are other-than-temporarily impaired and allows an entity to use reasonable management judgment in its evaluation of potential impairment of such assets. FSP EITF 99-20-1 is effective for interim and annual reporting periods ending after December 15, 2008. The Company has adopted this standard with no material impact on its financial position or results of operations.</w:t>
      </w:r>
    </w:p>
    <w:p>
      <w:pPr>
        <w:spacing w:after="0" w:line="74" w:lineRule="exact"/>
        <w:rPr>
          <w:sz w:val="20"/>
          <w:szCs w:val="20"/>
          <w:color w:val="auto"/>
        </w:rPr>
      </w:pPr>
    </w:p>
    <w:p>
      <w:pPr>
        <w:ind w:right="160" w:firstLine="222"/>
        <w:spacing w:after="0" w:line="288" w:lineRule="auto"/>
        <w:rPr>
          <w:sz w:val="20"/>
          <w:szCs w:val="20"/>
          <w:color w:val="auto"/>
        </w:rPr>
      </w:pPr>
      <w:r>
        <w:rPr>
          <w:rFonts w:ascii="Arial" w:cs="Arial" w:eastAsia="Arial" w:hAnsi="Arial"/>
          <w:sz w:val="16"/>
          <w:szCs w:val="16"/>
          <w:color w:val="auto"/>
        </w:rPr>
        <w:t>In December 2008, the FASB issued FSP FAS 132(R)-1, “Employer’s Disclosures about Postretirement Benefit Plan Assets.” (“FSP FAS 123(R)-1”) FSP FAS 123(R)-1 amends SFAS No. 132(R), “Employers’ Disclosures about Pensions and Other Postretirement Benefits – An Amendment of FASB Statements No. 87,88 and 106.” FSB FAS 123(R)-1 requires additional disclosures about plan assets, including investment strategies, major categories of plan assets, concentrations of risks within plan assets, inputs and valuation techniques used to measure fair value of plan assets, and the effect of fair value measurements using significant unobservable inputs on changes in plan assets for the period. FSP FAS 123(R)-1 is effective for fiscal years ending after December 15, 2009. The Company does not expect the adoption of this standard to have an effect on its financial position and results of operations.</w:t>
      </w:r>
    </w:p>
    <w:p>
      <w:pPr>
        <w:spacing w:after="0" w:line="62" w:lineRule="exact"/>
        <w:rPr>
          <w:sz w:val="20"/>
          <w:szCs w:val="20"/>
          <w:color w:val="auto"/>
        </w:rPr>
      </w:pPr>
    </w:p>
    <w:p>
      <w:pPr>
        <w:ind w:right="100" w:firstLine="267"/>
        <w:spacing w:after="0" w:line="254" w:lineRule="auto"/>
        <w:rPr>
          <w:sz w:val="20"/>
          <w:szCs w:val="20"/>
          <w:color w:val="auto"/>
        </w:rPr>
      </w:pPr>
      <w:r>
        <w:rPr>
          <w:rFonts w:ascii="Arial" w:cs="Arial" w:eastAsia="Arial" w:hAnsi="Arial"/>
          <w:sz w:val="18"/>
          <w:szCs w:val="18"/>
          <w:color w:val="auto"/>
        </w:rPr>
        <w:t xml:space="preserve">In November 2008, the FASB ratified the consensus reached by the EITF in EITF Issue No. 08-6, </w:t>
      </w:r>
      <w:r>
        <w:rPr>
          <w:rFonts w:ascii="Arial" w:cs="Arial" w:eastAsia="Arial" w:hAnsi="Arial"/>
          <w:sz w:val="18"/>
          <w:szCs w:val="18"/>
          <w:i w:val="1"/>
          <w:iCs w:val="1"/>
          <w:color w:val="auto"/>
        </w:rPr>
        <w:t>“Equity Method Investment Accounting Considerations”</w:t>
      </w:r>
      <w:r>
        <w:rPr>
          <w:rFonts w:ascii="Arial" w:cs="Arial" w:eastAsia="Arial" w:hAnsi="Arial"/>
          <w:sz w:val="18"/>
          <w:szCs w:val="18"/>
          <w:color w:val="auto"/>
        </w:rPr>
        <w:t xml:space="preserve"> (“EITF 08-6”). EITF 08-6 clarifies the accounting for certain transactions and impairment considerations involving equity method investments. EITF 08-6 is effective for fiscal years beginning after December 15, 2008, with early adoption prohibited. The Company is in the process of evaluating the impact of EITF 08-6 on its consolidated financial position or results of operations.</w:t>
      </w:r>
    </w:p>
    <w:p>
      <w:pPr>
        <w:spacing w:after="0" w:line="84" w:lineRule="exact"/>
        <w:rPr>
          <w:sz w:val="20"/>
          <w:szCs w:val="20"/>
          <w:color w:val="auto"/>
        </w:rPr>
      </w:pPr>
    </w:p>
    <w:p>
      <w:pPr>
        <w:ind w:right="40" w:firstLine="222"/>
        <w:spacing w:after="0" w:line="254" w:lineRule="auto"/>
        <w:rPr>
          <w:sz w:val="20"/>
          <w:szCs w:val="20"/>
          <w:color w:val="auto"/>
        </w:rPr>
      </w:pPr>
      <w:r>
        <w:rPr>
          <w:rFonts w:ascii="Arial" w:cs="Arial" w:eastAsia="Arial" w:hAnsi="Arial"/>
          <w:sz w:val="18"/>
          <w:szCs w:val="18"/>
          <w:color w:val="auto"/>
        </w:rPr>
        <w:t>In October 2008, the FASB issued FSP FAS 157-3, “Determining the Fair Value of a Financial Asset When the Market for That Asset Is Not Active” (“FSP FAS 157-3”) to clarify the application of SFAS No. 157, “Fair Value Measurements,” in an inactive market. FSP FAS 157-3 was effective immediately upon issuance and applies to financial statements that were not yet issued at that time. The Company has adopted this standard with no material effect on its financial position or results of operations.</w:t>
      </w:r>
    </w:p>
    <w:p>
      <w:pPr>
        <w:spacing w:after="0" w:line="84" w:lineRule="exact"/>
        <w:rPr>
          <w:sz w:val="20"/>
          <w:szCs w:val="20"/>
          <w:color w:val="auto"/>
        </w:rPr>
      </w:pPr>
    </w:p>
    <w:p>
      <w:pPr>
        <w:ind w:right="100" w:firstLine="222"/>
        <w:spacing w:after="0" w:line="295" w:lineRule="auto"/>
        <w:rPr>
          <w:sz w:val="20"/>
          <w:szCs w:val="20"/>
          <w:color w:val="auto"/>
        </w:rPr>
      </w:pPr>
      <w:r>
        <w:rPr>
          <w:rFonts w:ascii="Arial" w:cs="Arial" w:eastAsia="Arial" w:hAnsi="Arial"/>
          <w:sz w:val="16"/>
          <w:szCs w:val="16"/>
          <w:color w:val="auto"/>
        </w:rPr>
        <w:t>In June 2008, the FASB issued FASB Staff Position EITF 03-6-1, “Determining Whether Instruments Granted in Share-Based Payment Transactions Are Participating Securities” (“FSP EITF 03-6-1”). FSP EITF 03-6-1 requires unvested share-based payment awards that contain nonforfeitable rights to dividends or dividend equivalents to be treated as participating securities, which means that they would be included in the earnings allocation in computing earnings per share under a two-class method described in Statement of Financial Accounting Standards (“SFAS”) No. 128, “Earnings Per Share.”</w:t>
      </w:r>
    </w:p>
    <w:p>
      <w:pPr>
        <w:spacing w:after="0" w:line="56" w:lineRule="exact"/>
        <w:rPr>
          <w:sz w:val="20"/>
          <w:szCs w:val="20"/>
          <w:color w:val="auto"/>
        </w:rPr>
      </w:pPr>
    </w:p>
    <w:p>
      <w:pPr>
        <w:ind w:right="20" w:firstLine="222"/>
        <w:spacing w:after="0" w:line="267" w:lineRule="auto"/>
        <w:rPr>
          <w:sz w:val="20"/>
          <w:szCs w:val="20"/>
          <w:color w:val="auto"/>
        </w:rPr>
      </w:pPr>
      <w:r>
        <w:rPr>
          <w:rFonts w:ascii="Arial" w:cs="Arial" w:eastAsia="Arial" w:hAnsi="Arial"/>
          <w:sz w:val="17"/>
          <w:szCs w:val="17"/>
          <w:color w:val="auto"/>
        </w:rPr>
        <w:t>In May 2008, the FASB issued SFAS No. 162, “The Hierarchy of Generally Accepted Accounting Principles” (“SFAS 162”). SFAS 162 identifies the sources of accounting principles and the framework for selecting the principles to be used in the preparation of financial statements of nongovernmental entities that are presented in conformity with generally accepted accounting principles in the United States. The FASB has concluded that the generally accepted accounting principles hierarchy should reside in the accounting literature established by the FASB and issued SFAS 162 to achieve that result. SFAS 162 will become effective 60 days following the Securities and Exchange Commission’s approval of the Public Company Accounting Oversight Board’s amendments to AU Section 411, “The Meaning of Present Fairly in Conformity with Generally Accepted Accounting Principles.” Such approval was granted on September 16, 2008, making the effective date November 15, 2008. Management has adopted SFAS 162 with no material effects in the Company’s statements of financial condition or operations.</w:t>
      </w:r>
    </w:p>
    <w:p>
      <w:pPr>
        <w:spacing w:after="0" w:line="74" w:lineRule="exact"/>
        <w:rPr>
          <w:sz w:val="20"/>
          <w:szCs w:val="20"/>
          <w:color w:val="auto"/>
        </w:rPr>
      </w:pPr>
    </w:p>
    <w:p>
      <w:pPr>
        <w:ind w:right="60" w:firstLine="267"/>
        <w:spacing w:after="0" w:line="269" w:lineRule="auto"/>
        <w:rPr>
          <w:sz w:val="20"/>
          <w:szCs w:val="20"/>
          <w:color w:val="auto"/>
        </w:rPr>
      </w:pPr>
      <w:r>
        <w:rPr>
          <w:rFonts w:ascii="Arial" w:cs="Arial" w:eastAsia="Arial" w:hAnsi="Arial"/>
          <w:sz w:val="17"/>
          <w:szCs w:val="17"/>
          <w:color w:val="auto"/>
        </w:rPr>
        <w:t xml:space="preserve">In April 2008, the FASB issued FSP 142-3, </w:t>
      </w:r>
      <w:r>
        <w:rPr>
          <w:rFonts w:ascii="Arial" w:cs="Arial" w:eastAsia="Arial" w:hAnsi="Arial"/>
          <w:sz w:val="17"/>
          <w:szCs w:val="17"/>
          <w:i w:val="1"/>
          <w:iCs w:val="1"/>
          <w:color w:val="auto"/>
        </w:rPr>
        <w:t>“Determination of the Useful Life of Intangible Assets”</w:t>
      </w:r>
      <w:r>
        <w:rPr>
          <w:rFonts w:ascii="Arial" w:cs="Arial" w:eastAsia="Arial" w:hAnsi="Arial"/>
          <w:sz w:val="17"/>
          <w:szCs w:val="17"/>
          <w:color w:val="auto"/>
        </w:rPr>
        <w:t xml:space="preserve"> (“FSP SFAS 142-3”). FSP SFAS 142-3 amends the factors that should be considered in developing renewal or extension assumptions used to determine the useful life of a recognized intangible asset under SFAS 142, “Goodwill and Other Intangible Assets.” FSP SFAS 142-3 applies to intangible assets that are acquired individually or with a group of other assets acquired in business combinations and asset acquisitions. FSP SFAS 142-3 also requires expanded disclosure related to the determination of intangible asset useful lives. FSP SFAS 142-3 is effective for fiscal years beginning after December 15, 2008. The Company is in the process of evaluating the impact of FSP SFAS 142-3 on its consolidated financial position and results of operations.</w:t>
      </w:r>
    </w:p>
    <w:p>
      <w:pPr>
        <w:spacing w:after="0" w:line="72"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 an amendment of ARB No. 51” (“SFAS 160”), requiring noncontrolling interests (sometimes called minority interests) to be presented as a component of equity on the balance sheet. SFAS 160 also requires that the amount of net income attributable to the parent and to the noncontrolling interests be clearly identified and presented on the face of the consolidated statement of income. This statement eliminates the need to apply purchase accounting when a parent company acquires a noncontrolling ownership interest in a subsidiary and requires that, upon deconsolidation of a subsidiary, a parent company recognize a gain or loss in net income after which any retained noncontrolling interest will be reported at fair value. SFAS 160 requires expanded disclosures in the consolidated financial statements that identify and distinguish between the interests of the parent’s owners and the interest of the noncontrolling owners of subsidiaries. SFAS 160 is effective for periods beginning on or after December 15, 2008 and will be applied prospectively except for the presentation and disclosure requirements, which will be applied retrospectively for all periods presented. Management has implemented SFAS 160 effective January 1, 2009, with no material impact to the Company’s statements of financial position or operations except for the changes in presentation as noted above.</w:t>
      </w:r>
    </w:p>
    <w:p>
      <w:pPr>
        <w:sectPr>
          <w:pgSz w:w="11900" w:h="16838" w:orient="portrait"/>
          <w:cols w:equalWidth="0" w:num="1">
            <w:col w:w="11400"/>
          </w:cols>
          <w:pgMar w:left="240" w:top="415" w:right="259" w:bottom="357"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725233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5" w:right="259" w:bottom="357"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19"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In December 2007, the FASB issued SFAS No. 141 (revised 2007), “Business Combinations” (“SFAS 141(R)”), requiring an acquirer in a business combination to recognize the assets acquired, the liabilities assumed, and any noncontrolling interest in the acquiree at their fair values at the acquisition date, with limited exceptions. The costs of the acquisition and any related restructuring costs will be recognized separately. Assets and liabilities arising from contingencies in a business combination are to be recognized at their fair value at the acquisition date and adjusted prospectively as new information becomes available. When the fair value of assets acquired exceeds the fair value of consideration transferred plus any noncontrolling interest in the acquiree, the excess will be recognized as a gain. Under SFAS 141(R), all business combinations will be accounted for by applying the acquisition method, including combinations among mutual entities and combinations by contract alone. SFAS 141(R) is effective for periods beginning on or after December 15, 2008. The Company has adopted SFAS 141(R) and is applying it to business combinations occurring subsequent to December 31, 2008.</w:t>
      </w:r>
    </w:p>
    <w:p>
      <w:pPr>
        <w:spacing w:after="0" w:line="66" w:lineRule="exact"/>
        <w:rPr>
          <w:sz w:val="20"/>
          <w:szCs w:val="20"/>
          <w:color w:val="auto"/>
        </w:rPr>
      </w:pPr>
    </w:p>
    <w:p>
      <w:pPr>
        <w:ind w:right="140" w:firstLine="222"/>
        <w:spacing w:after="0" w:line="323" w:lineRule="auto"/>
        <w:rPr>
          <w:sz w:val="20"/>
          <w:szCs w:val="20"/>
          <w:color w:val="auto"/>
        </w:rPr>
      </w:pPr>
      <w:r>
        <w:rPr>
          <w:rFonts w:ascii="Arial" w:cs="Arial" w:eastAsia="Arial" w:hAnsi="Arial"/>
          <w:sz w:val="14"/>
          <w:szCs w:val="14"/>
          <w:color w:val="auto"/>
        </w:rPr>
        <w:t>In February 2007, the FASB issued SFAS No. 159, “The Fair Value Option for Financial Assets and Financial Liabilities” (“SFAS 159”), which permits entities to choose to measure financial instruments and certain other items at fair value that are not currently required to be measured at fair value. SFAS 159 mandates certain financial statement presentation and disclosure requirements when a company elects to report assets and liabilities at fair value under SFAS</w:t>
      </w:r>
    </w:p>
    <w:p>
      <w:pPr>
        <w:spacing w:after="0" w:line="1" w:lineRule="exact"/>
        <w:rPr>
          <w:sz w:val="20"/>
          <w:szCs w:val="20"/>
          <w:color w:val="auto"/>
        </w:rPr>
      </w:pPr>
    </w:p>
    <w:p>
      <w:pPr>
        <w:ind w:right="80" w:firstLine="7"/>
        <w:spacing w:after="0" w:line="283" w:lineRule="auto"/>
        <w:tabs>
          <w:tab w:leader="none" w:pos="356" w:val="left"/>
        </w:tabs>
        <w:numPr>
          <w:ilvl w:val="0"/>
          <w:numId w:val="38"/>
        </w:numPr>
        <w:rPr>
          <w:rFonts w:ascii="Arial" w:cs="Arial" w:eastAsia="Arial" w:hAnsi="Arial"/>
          <w:sz w:val="17"/>
          <w:szCs w:val="17"/>
          <w:color w:val="auto"/>
        </w:rPr>
      </w:pPr>
      <w:r>
        <w:rPr>
          <w:rFonts w:ascii="Arial" w:cs="Arial" w:eastAsia="Arial" w:hAnsi="Arial"/>
          <w:sz w:val="17"/>
          <w:szCs w:val="17"/>
          <w:color w:val="auto"/>
        </w:rPr>
        <w:t>SFAS 159 is effective as of January 1, 2008 for calendar year entities and the Company has adopted SFAS 159 as of that date with no material effects on the Company’s statements financial position or operations.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00"/>
          </w:cols>
          <w:pgMar w:left="240" w:top="415" w:right="3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9" w:lineRule="exact"/>
        <w:rPr>
          <w:sz w:val="20"/>
          <w:szCs w:val="20"/>
          <w:color w:val="auto"/>
        </w:rPr>
      </w:pPr>
    </w:p>
    <w:p>
      <w:pPr>
        <w:ind w:right="200" w:firstLine="212"/>
        <w:spacing w:after="0" w:line="270" w:lineRule="auto"/>
        <w:rPr>
          <w:sz w:val="20"/>
          <w:szCs w:val="20"/>
          <w:color w:val="auto"/>
        </w:rPr>
      </w:pPr>
      <w:r>
        <w:rPr>
          <w:rFonts w:ascii="Arial" w:cs="Arial" w:eastAsia="Arial" w:hAnsi="Arial"/>
          <w:sz w:val="17"/>
          <w:szCs w:val="17"/>
          <w:color w:val="auto"/>
        </w:rPr>
        <w:t>As of the end of the year covered by this report, the Company carried out an evaluation, under the supervision and with the participation of its principal executive officer and principal financial officer, of the effectiveness of the design and operation of its disclosure controls and procedures, as such term is defined in Rule 13a-15(e) under the Exchange Act. Based on this evaluation, the Company’s principal executive officer and principal financial officer concluded that its disclosure controls and procedures are effective to provide reasonable assurance that its disclosure controls and procedures will timely alert them to material information required to be included in the Company’s periodic SEC reports.</w:t>
      </w:r>
    </w:p>
    <w:p>
      <w:pPr>
        <w:spacing w:after="0" w:line="74" w:lineRule="exact"/>
        <w:rPr>
          <w:sz w:val="20"/>
          <w:szCs w:val="20"/>
          <w:color w:val="auto"/>
        </w:rPr>
      </w:pPr>
    </w:p>
    <w:p>
      <w:pPr>
        <w:ind w:right="560" w:firstLine="219"/>
        <w:spacing w:after="0" w:line="26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2008 that have materially affected, or are reasonably likely to materially affect, our internal control over financial reporting.</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9" w:lineRule="exact"/>
        <w:rPr>
          <w:sz w:val="20"/>
          <w:szCs w:val="20"/>
          <w:color w:val="auto"/>
        </w:rPr>
      </w:pPr>
    </w:p>
    <w:p>
      <w:pPr>
        <w:ind w:firstLine="222"/>
        <w:spacing w:after="0" w:line="250"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Management has adopted the framework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issued by the Committee of Sponsoring Organizations of the Treadway Commission (COSO). Based on our evaluation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framework, our management concluded that our internal control over financial reporting was effective as of December 31, 2008. The effectiveness of our internal control over financial reporting as of December 31, 2008 has been audited by KPMG LLP, an independent registered public accounting firm, as stated in their report which is included herein.</w:t>
      </w:r>
    </w:p>
    <w:p>
      <w:pPr>
        <w:spacing w:after="0" w:line="91" w:lineRule="exact"/>
        <w:rPr>
          <w:sz w:val="20"/>
          <w:szCs w:val="20"/>
          <w:color w:val="auto"/>
        </w:rPr>
      </w:pPr>
    </w:p>
    <w:p>
      <w:pPr>
        <w:ind w:right="240" w:firstLine="222"/>
        <w:spacing w:after="0" w:line="291" w:lineRule="auto"/>
        <w:rPr>
          <w:sz w:val="20"/>
          <w:szCs w:val="20"/>
          <w:color w:val="auto"/>
        </w:rPr>
      </w:pPr>
      <w:r>
        <w:rPr>
          <w:rFonts w:ascii="Arial" w:cs="Arial" w:eastAsia="Arial" w:hAnsi="Arial"/>
          <w:sz w:val="16"/>
          <w:szCs w:val="16"/>
          <w:color w:val="auto"/>
        </w:rPr>
        <w:t>Management’s assessment of the effectiveness of our internal control over financial reporting as of December 31, 2008 excluded the LFG Underwriters acquired at the end of 2008. The total assets of $1.8 billion and total revenue post-acquisition of $46 million of the LFG Underwriters represent 21% of our consolidated total assets and 1% of our consolidated total revenue as of and for the year ended December 31, 2008, respectively. Registrants are permitted to exclude acquisitions from their assessment of internal control over financial reporting during the first year if, among other circumstances and factors, there is not adequate time between the consummation date of the acquisition and the assessment date for assessing internal controls.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10-14.</w:t>
      </w:r>
    </w:p>
    <w:p>
      <w:pPr>
        <w:spacing w:after="0" w:line="119" w:lineRule="exact"/>
        <w:rPr>
          <w:sz w:val="20"/>
          <w:szCs w:val="20"/>
          <w:color w:val="auto"/>
        </w:rPr>
      </w:pPr>
    </w:p>
    <w:p>
      <w:pPr>
        <w:ind w:right="360" w:firstLine="219"/>
        <w:spacing w:after="0" w:line="297" w:lineRule="auto"/>
        <w:rPr>
          <w:sz w:val="20"/>
          <w:szCs w:val="20"/>
          <w:color w:val="auto"/>
        </w:rPr>
      </w:pPr>
      <w:r>
        <w:rPr>
          <w:rFonts w:ascii="Arial" w:cs="Arial" w:eastAsia="Arial" w:hAnsi="Arial"/>
          <w:sz w:val="17"/>
          <w:szCs w:val="17"/>
          <w:color w:val="auto"/>
        </w:rPr>
        <w:t>Within 120 days after the close of its fiscal year, the Company intends to file with the Securities and Exchange Commission a definitive proxy statement pursuant to Regulation 14A of the Securities Exchange Act of 1934 as amended, which will include the matters required by these items.</w:t>
      </w:r>
    </w:p>
    <w:p>
      <w:pPr>
        <w:spacing w:after="0" w:line="25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 and Reports on Form 8-K</w:t>
      </w:r>
    </w:p>
    <w:p>
      <w:pPr>
        <w:spacing w:after="0" w:line="119" w:lineRule="exact"/>
        <w:rPr>
          <w:sz w:val="20"/>
          <w:szCs w:val="20"/>
          <w:color w:val="auto"/>
        </w:rPr>
      </w:pPr>
    </w:p>
    <w:p>
      <w:pPr>
        <w:ind w:right="20" w:firstLine="229"/>
        <w:spacing w:after="0" w:line="267" w:lineRule="auto"/>
        <w:tabs>
          <w:tab w:leader="none" w:pos="464"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The following is a list of the Consolidated Financial Statements of Fidelity National Financial, Inc. and its subsidiaries included in Item 8 of Part II:</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Report of Independent Registered Public Accounting Firm on Effectiveness of Internal Control over Financial Reporting</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Report of Independent Registered Public Accounting Firm on Financial Statements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Balance Sheets as of December 31, 2008 and 2007</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Statements of Earnings for the years ended December 31, 2008, 2007 and 2006</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Statements of Comprehensive Earnings for the years ended December 31, 2008, 2007 and 2006</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Statements of Stockholders’ Equity for the years ended December 31, 2008, 2007 and 2006</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Statements of Cash Flows for the years ended December 31, 2008, 2007 and 2006</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Notes to Consolidated Financial Statements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(a) (2) </w:t>
      </w:r>
      <w:r>
        <w:rPr>
          <w:rFonts w:ascii="Arial" w:cs="Arial" w:eastAsia="Arial" w:hAnsi="Arial"/>
          <w:sz w:val="17"/>
          <w:szCs w:val="17"/>
          <w:i w:val="1"/>
          <w:iCs w:val="1"/>
          <w:color w:val="auto"/>
        </w:rPr>
        <w:t>Financial Statement Schedules.</w:t>
      </w:r>
      <w:r>
        <w:rPr>
          <w:rFonts w:ascii="Arial" w:cs="Arial" w:eastAsia="Arial" w:hAnsi="Arial"/>
          <w:sz w:val="17"/>
          <w:szCs w:val="17"/>
          <w:color w:val="auto"/>
        </w:rPr>
        <w:t xml:space="preserve"> The following is a list of financial statement schedules filed as part of this annual report on Form 10-K:</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Schedule II: </w:t>
      </w:r>
      <w:r>
        <w:rPr>
          <w:rFonts w:ascii="Arial" w:cs="Arial" w:eastAsia="Arial" w:hAnsi="Arial"/>
          <w:sz w:val="18"/>
          <w:szCs w:val="18"/>
          <w:color w:val="auto"/>
        </w:rPr>
        <w:t>Fidelity National Financial, Inc. (Parent Company Financial Statements)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Schedule V: </w:t>
      </w:r>
      <w:r>
        <w:rPr>
          <w:rFonts w:ascii="Arial" w:cs="Arial" w:eastAsia="Arial" w:hAnsi="Arial"/>
          <w:sz w:val="18"/>
          <w:szCs w:val="18"/>
          <w:color w:val="auto"/>
        </w:rPr>
        <w:t>Valuation and Qualifying Accounts</w:t>
      </w:r>
    </w:p>
    <w:p>
      <w:pPr>
        <w:spacing w:after="0" w:line="113" w:lineRule="exact"/>
        <w:rPr>
          <w:sz w:val="20"/>
          <w:szCs w:val="20"/>
          <w:color w:val="auto"/>
        </w:rPr>
      </w:pPr>
    </w:p>
    <w:p>
      <w:pPr>
        <w:ind w:right="40" w:firstLine="212"/>
        <w:spacing w:after="0" w:line="26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included in the Consolidated Financial Statements or notes thereto.</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(3) The following exhibits are incorporated by reference or are set forth on pages to this Form 10-K:</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right"/>
              <w:ind w:right="137"/>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8"/>
        </w:trPr>
        <w:tc>
          <w:tcPr>
            <w:tcW w:w="920" w:type="dxa"/>
            <w:vAlign w:val="bottom"/>
          </w:tcPr>
          <w:p>
            <w:pPr>
              <w:jc w:val="right"/>
              <w:ind w:right="617"/>
              <w:spacing w:after="0"/>
              <w:rPr>
                <w:sz w:val="20"/>
                <w:szCs w:val="20"/>
                <w:color w:val="auto"/>
              </w:rPr>
            </w:pPr>
            <w:r>
              <w:rPr>
                <w:rFonts w:ascii="Arial" w:cs="Arial" w:eastAsia="Arial" w:hAnsi="Arial"/>
                <w:sz w:val="18"/>
                <w:szCs w:val="18"/>
                <w:color w:val="auto"/>
                <w:w w:val="79"/>
              </w:rPr>
              <w:t>2.1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88"/>
              </w:rPr>
              <w:t>Securities Exchange and Distribution Agreement between Old FNF and the Registrant, dated as of June 25, 2006, as amended and restated as of</w:t>
            </w: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2"/>
              </w:rPr>
              <w:t>September 18, 2006 (incorporated by reference to Annex A to the Registrant’s Schedule 14C filed on September 19, 2006 (the “Information</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416"/>
        </w:trPr>
        <w:tc>
          <w:tcPr>
            <w:tcW w:w="920" w:type="dxa"/>
            <w:vAlign w:val="bottom"/>
          </w:tcPr>
          <w:p>
            <w:pPr>
              <w:jc w:val="right"/>
              <w:ind w:right="617"/>
              <w:spacing w:after="0"/>
              <w:rPr>
                <w:sz w:val="20"/>
                <w:szCs w:val="20"/>
                <w:color w:val="auto"/>
              </w:rPr>
            </w:pPr>
            <w:r>
              <w:rPr>
                <w:rFonts w:ascii="Arial" w:cs="Arial" w:eastAsia="Arial" w:hAnsi="Arial"/>
                <w:sz w:val="18"/>
                <w:szCs w:val="18"/>
                <w:color w:val="auto"/>
                <w:w w:val="79"/>
              </w:rPr>
              <w:t>3.1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6"/>
              </w:rPr>
              <w:t>Form of Amended and Restated Certificate of Incorporation of the Registrant (incorporated by reference to Annex C to the Information</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416"/>
        </w:trPr>
        <w:tc>
          <w:tcPr>
            <w:tcW w:w="920" w:type="dxa"/>
            <w:vAlign w:val="bottom"/>
          </w:tcPr>
          <w:p>
            <w:pPr>
              <w:jc w:val="right"/>
              <w:ind w:right="617"/>
              <w:spacing w:after="0"/>
              <w:rPr>
                <w:sz w:val="20"/>
                <w:szCs w:val="20"/>
                <w:color w:val="auto"/>
              </w:rPr>
            </w:pPr>
            <w:r>
              <w:rPr>
                <w:rFonts w:ascii="Arial" w:cs="Arial" w:eastAsia="Arial" w:hAnsi="Arial"/>
                <w:sz w:val="18"/>
                <w:szCs w:val="18"/>
                <w:color w:val="auto"/>
                <w:w w:val="79"/>
              </w:rPr>
              <w:t>3.2</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7"/>
              </w:rPr>
              <w:t>Amended and Restated Bylaws of the Registrant, as adopted on September 26, 2005 (incorporated by reference to Exhibit 3.2 to the</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Registrant’s Quarterly Report on Form 10-Q for the quarter ended September 30, 2005)</w:t>
            </w:r>
          </w:p>
        </w:tc>
        <w:tc>
          <w:tcPr>
            <w:tcW w:w="0" w:type="dxa"/>
            <w:vAlign w:val="bottom"/>
          </w:tcPr>
          <w:p>
            <w:pPr>
              <w:spacing w:after="0"/>
              <w:rPr>
                <w:sz w:val="1"/>
                <w:szCs w:val="1"/>
                <w:color w:val="auto"/>
              </w:rPr>
            </w:pPr>
          </w:p>
        </w:tc>
      </w:tr>
      <w:tr>
        <w:trPr>
          <w:trHeight w:val="416"/>
        </w:trPr>
        <w:tc>
          <w:tcPr>
            <w:tcW w:w="920" w:type="dxa"/>
            <w:vAlign w:val="bottom"/>
          </w:tcPr>
          <w:p>
            <w:pPr>
              <w:jc w:val="right"/>
              <w:ind w:right="617"/>
              <w:spacing w:after="0"/>
              <w:rPr>
                <w:sz w:val="20"/>
                <w:szCs w:val="20"/>
                <w:color w:val="auto"/>
              </w:rPr>
            </w:pPr>
            <w:r>
              <w:rPr>
                <w:rFonts w:ascii="Arial" w:cs="Arial" w:eastAsia="Arial" w:hAnsi="Arial"/>
                <w:sz w:val="18"/>
                <w:szCs w:val="18"/>
                <w:color w:val="auto"/>
                <w:w w:val="79"/>
              </w:rPr>
              <w:t>4.1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0"/>
              </w:rPr>
              <w:t>Indenture between the Registrant and The Bank of New York Trust Company, N.A., dated December 8, 2005, relating to the 7.30%and 5.25%</w:t>
            </w: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7"/>
              </w:rPr>
              <w:t>notes referred to below (incorporated by reference to Exhibit 4.1 to the Registrant’s Annual Report on Form 10-K for the year ended</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December 31, 2005)</w:t>
            </w:r>
          </w:p>
        </w:tc>
        <w:tc>
          <w:tcPr>
            <w:tcW w:w="0" w:type="dxa"/>
            <w:vAlign w:val="bottom"/>
          </w:tcPr>
          <w:p>
            <w:pPr>
              <w:spacing w:after="0"/>
              <w:rPr>
                <w:sz w:val="1"/>
                <w:szCs w:val="1"/>
                <w:color w:val="auto"/>
              </w:rPr>
            </w:pPr>
          </w:p>
        </w:tc>
      </w:tr>
      <w:tr>
        <w:trPr>
          <w:trHeight w:val="400"/>
        </w:trPr>
        <w:tc>
          <w:tcPr>
            <w:tcW w:w="920" w:type="dxa"/>
            <w:vAlign w:val="bottom"/>
          </w:tcPr>
          <w:p>
            <w:pPr>
              <w:spacing w:after="0"/>
              <w:rPr>
                <w:sz w:val="24"/>
                <w:szCs w:val="24"/>
                <w:color w:val="auto"/>
              </w:rPr>
            </w:pPr>
          </w:p>
        </w:tc>
        <w:tc>
          <w:tcPr>
            <w:tcW w:w="10500" w:type="dxa"/>
            <w:vAlign w:val="bottom"/>
            <w:gridSpan w:val="2"/>
          </w:tcPr>
          <w:p>
            <w:pPr>
              <w:ind w:left="46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5"/>
        </w:trPr>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8"/>
              </w:rPr>
              <w:t>First Supplemental Indenture between the Registrant and the Bank of New York Trust Company, N.A., dated as of January 6, 2006</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(incorporated by reference to Exhibit 4.1 to the Registrant’s Current Report on Form 8-K filed on January 24, 2006)</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5"/>
              </w:rPr>
              <w:t>Form of Subordinated Indenture between the Registrant and the Bank of New York Trust Company, N.A. (incorporated by reference to</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Exhibit 4.2(A) to the Registrant’s Registration Statement on Form S-3 filed on November 14, 2007)</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0"/>
              </w:rPr>
              <w:t>Form of 7.30% note due August 15, 2011 (incorporated by reference to Exhibit 4.6 to the Registrant’s Registration Statement on Form S-4 filed</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on October 28, 2005)</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0"/>
              </w:rPr>
              <w:t>Form of 5.25% note due March 15, 2013 (incorporated by reference to Exhibit 4.7 to the Registrant’s Registration Statement on Form S-4 filed</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on October 28, 2005)</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4.6</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4"/>
              </w:rPr>
              <w:t>Form of 2.36% Subordinated Promissory Note due 2013 (incorporated by reference to Exhibit 99.2 to the Registrant’s Current Report on</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Form 8-K filed on December 24, 2008)</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4.7</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1"/>
              </w:rPr>
              <w:t>Form of the Registrant’s Common Stock Certificate (incorporated by reference to Exhibit 4.5 to the Registrant’s Annual Report on Form 10-K</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for the year ended December 31, 2006 (the “2006 Annual Report”))</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0"/>
              </w:rPr>
              <w:t>Credit Agreement among the Registrant, Bank of America, N.A., and certain agents and other lenders party thereto, dated as of September 12,</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2006 (incorporated by reference to Exhibit 10.1 to the Registrant’s Current Report on Form 8-K filed on October 30, 2006)</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87"/>
              </w:rPr>
              <w:t>Stock Purchase Agreement, dated as of November 25, 2008, as amended and restated as of December 12, 2008, as further amended and restated</w:t>
            </w: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1"/>
              </w:rPr>
              <w:t>as of December 21, 2008, among Fidelity National Title Insurance Company, Chicago Title Insurance Company, and LandAmerica Financial</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8"/>
              </w:rPr>
              <w:t>Group, Inc. (incorporated by reference to Exhibit 10.1 to the Registrant’s Current Report on Form 8-K filed on December 24, 2008.)</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2"/>
              </w:rPr>
              <w:t>Amended and Restated Fidelity National Financial, Inc. 2005 Omnibus Incentive Plan, effective as of September 26, 2005 (incorporated by</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reference to Annex A to the Registrant’s Schedule 14A filed on April 15, 2008).(1)</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8"/>
              </w:rPr>
              <w:t>Fidelity National Title Group, Inc. Employee Stock Purchase Plan, effective as of September 26, 2005 (incorporated by reference to</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Exhibit 10.50 to the Registrant’s Quarterly Report on Form 10-Q for the quarter ended September 30, 2005).(1)</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2"/>
              </w:rPr>
              <w:t>Form of Notice of Restricted Stock Grant and Restricted Stock Award Agreement under Amended and Restated Fidelity National Financial,</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Inc. 2005 Omnibus Incentive Plan.(1)</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0"/>
              </w:rPr>
              <w:t>Form of Notice of Stock Option Grant and Stock Option Award Agreement under Amended and Restated Fidelity National Financial, Inc. 2005</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Omnibus Incentive Plan.(1)</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2"/>
              </w:rPr>
              <w:t>Fidelity Sedgwick Holdings, Inc. 2006 Stock Incentive Plan (the “FSH Plan”), effective as of January 31, 2006 (incorporated by reference to</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Exhibit 99.3 to Old FNF’s Current Report on Form 8-K filed on February 6, 2006).(1)</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3"/>
              </w:rPr>
              <w:t>Form of Stock Option Agreement under the FSH Plan (incorporated by reference to Exhibit 99.4 to Old FNF’s Current Report on Form 8-K</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filed on February 6, 2006).(1)</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4"/>
              </w:rPr>
              <w:t>Tax Disaffiliation Agreement by and among Old FNF, the Registrant and FIS, dated as of October 23, 2006 (incorporated by reference to</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Exhibit 99.1 to Old FNF’s Form 8-K, filed on October 27, 2006)</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89"/>
              </w:rPr>
              <w:t>Cross-Indemnity Agreement by and between the Registrant and FIS, dated as of October 23, 2006 (incorporated by reference to Exhibit 99.2 to</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FIS’s Form 8-K, filed on October 27, 2006)</w:t>
            </w:r>
          </w:p>
        </w:tc>
        <w:tc>
          <w:tcPr>
            <w:tcW w:w="0" w:type="dxa"/>
            <w:vAlign w:val="bottom"/>
          </w:tcPr>
          <w:p>
            <w:pPr>
              <w:spacing w:after="0"/>
              <w:rPr>
                <w:sz w:val="1"/>
                <w:szCs w:val="1"/>
                <w:color w:val="auto"/>
              </w:rPr>
            </w:pPr>
          </w:p>
        </w:tc>
      </w:tr>
      <w:tr>
        <w:trPr>
          <w:trHeight w:val="427"/>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9"/>
              </w:rPr>
              <w:t>Amended and Restated Employment Agreement between the Registrant and Anthony J. Park, effective as of October 10, 2008(1)</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7"/>
              </w:rPr>
              <w:t>Employment Agreement between the Registrant and Brent B. Bickett, effective as of October 24, 2006 (incorporated by reference to</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Exhibit 10.10 to the 2006 Annual Report).(1)</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5"/>
              </w:rPr>
              <w:t>Employment Agreement between the Registrant and Peter T. Sadowski, effective as of October 24, 2006 (incorporated by reference to</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Exhibit 10.11 to the 2006 Annual Report).(1)</w:t>
            </w:r>
          </w:p>
        </w:tc>
        <w:tc>
          <w:tcPr>
            <w:tcW w:w="0" w:type="dxa"/>
            <w:vAlign w:val="bottom"/>
          </w:tcPr>
          <w:p>
            <w:pPr>
              <w:spacing w:after="0"/>
              <w:rPr>
                <w:sz w:val="1"/>
                <w:szCs w:val="1"/>
                <w:color w:val="auto"/>
              </w:rPr>
            </w:pPr>
          </w:p>
        </w:tc>
      </w:tr>
      <w:tr>
        <w:trPr>
          <w:trHeight w:val="427"/>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Amended and Restated Employment Agreement between the Registrant and William P. Foley, II, effective as of July 2, 2008(1)</w:t>
            </w:r>
          </w:p>
        </w:tc>
        <w:tc>
          <w:tcPr>
            <w:tcW w:w="0" w:type="dxa"/>
            <w:vAlign w:val="bottom"/>
          </w:tcPr>
          <w:p>
            <w:pPr>
              <w:spacing w:after="0"/>
              <w:rPr>
                <w:sz w:val="1"/>
                <w:szCs w:val="1"/>
                <w:color w:val="auto"/>
              </w:rPr>
            </w:pPr>
          </w:p>
        </w:tc>
      </w:tr>
    </w:tbl>
    <w:p>
      <w:pPr>
        <w:spacing w:after="0" w:line="176" w:lineRule="exact"/>
        <w:rPr>
          <w:sz w:val="20"/>
          <w:szCs w:val="20"/>
          <w:color w:val="auto"/>
        </w:rPr>
      </w:pPr>
    </w:p>
    <w:p>
      <w:pPr>
        <w:sectPr>
          <w:pgSz w:w="11900" w:h="16838" w:orient="portrait"/>
          <w:cols w:equalWidth="0" w:num="1">
            <w:col w:w="11420"/>
          </w:cols>
          <w:pgMar w:left="240" w:top="415" w:right="239" w:bottom="1440" w:gutter="0" w:footer="0" w:header="0"/>
        </w:sect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725233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Amended and Restated Employment Agreement between the Registrant and Alan L. Stinson, effective as of July 2, 2008(1)</w:t>
            </w:r>
          </w:p>
        </w:tc>
        <w:tc>
          <w:tcPr>
            <w:tcW w:w="0" w:type="dxa"/>
            <w:vAlign w:val="bottom"/>
          </w:tcPr>
          <w:p>
            <w:pPr>
              <w:spacing w:after="0"/>
              <w:rPr>
                <w:sz w:val="1"/>
                <w:szCs w:val="1"/>
                <w:color w:val="auto"/>
              </w:rPr>
            </w:pPr>
          </w:p>
        </w:tc>
      </w:tr>
      <w:tr>
        <w:trPr>
          <w:trHeight w:val="427"/>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7"/>
              </w:rPr>
              <w:t>Amended and Restated Employment Agreement between the Registrant and Raymond R. Quirk, effective as of October 10, 2008(1)</w:t>
            </w:r>
          </w:p>
        </w:tc>
        <w:tc>
          <w:tcPr>
            <w:tcW w:w="0" w:type="dxa"/>
            <w:vAlign w:val="bottom"/>
          </w:tcPr>
          <w:p>
            <w:pPr>
              <w:spacing w:after="0"/>
              <w:rPr>
                <w:sz w:val="1"/>
                <w:szCs w:val="1"/>
                <w:color w:val="auto"/>
              </w:rPr>
            </w:pPr>
          </w:p>
        </w:tc>
      </w:tr>
      <w:tr>
        <w:trPr>
          <w:trHeight w:val="427"/>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Fidelity National Title Group, Inc. Annual Incentive Plan (incorporated by reference to Annex E to the Information Statement).(1)</w:t>
            </w:r>
          </w:p>
        </w:tc>
        <w:tc>
          <w:tcPr>
            <w:tcW w:w="0" w:type="dxa"/>
            <w:vAlign w:val="bottom"/>
          </w:tcPr>
          <w:p>
            <w:pPr>
              <w:spacing w:after="0"/>
              <w:rPr>
                <w:sz w:val="1"/>
                <w:szCs w:val="1"/>
                <w:color w:val="auto"/>
              </w:rPr>
            </w:pPr>
          </w:p>
        </w:tc>
      </w:tr>
      <w:tr>
        <w:trPr>
          <w:trHeight w:val="427"/>
        </w:trPr>
        <w:tc>
          <w:tcPr>
            <w:tcW w:w="920" w:type="dxa"/>
            <w:vAlign w:val="bottom"/>
          </w:tcPr>
          <w:p>
            <w:pPr>
              <w:spacing w:after="0"/>
              <w:rPr>
                <w:sz w:val="20"/>
                <w:szCs w:val="20"/>
                <w:color w:val="auto"/>
              </w:rPr>
            </w:pPr>
            <w:r>
              <w:rPr>
                <w:rFonts w:ascii="Arial" w:cs="Arial" w:eastAsia="Arial" w:hAnsi="Arial"/>
                <w:sz w:val="18"/>
                <w:szCs w:val="18"/>
                <w:color w:val="auto"/>
              </w:rPr>
              <w:t>10.18</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Fidelity National Financial, Inc. Deferred Compensation Plan, as amended and restated, effective January 1, 2009.(1)</w:t>
            </w:r>
          </w:p>
        </w:tc>
        <w:tc>
          <w:tcPr>
            <w:tcW w:w="0" w:type="dxa"/>
            <w:vAlign w:val="bottom"/>
          </w:tcPr>
          <w:p>
            <w:pPr>
              <w:spacing w:after="0"/>
              <w:rPr>
                <w:sz w:val="1"/>
                <w:szCs w:val="1"/>
                <w:color w:val="auto"/>
              </w:rPr>
            </w:pPr>
          </w:p>
        </w:tc>
      </w:tr>
      <w:tr>
        <w:trPr>
          <w:trHeight w:val="427"/>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427"/>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Consents of KPMG LLP, Independent Registered Public Accounting Firm</w:t>
            </w:r>
          </w:p>
        </w:tc>
        <w:tc>
          <w:tcPr>
            <w:tcW w:w="0" w:type="dxa"/>
            <w:vAlign w:val="bottom"/>
          </w:tcPr>
          <w:p>
            <w:pPr>
              <w:spacing w:after="0"/>
              <w:rPr>
                <w:sz w:val="1"/>
                <w:szCs w:val="1"/>
                <w:color w:val="auto"/>
              </w:rPr>
            </w:pPr>
          </w:p>
        </w:tc>
      </w:tr>
      <w:tr>
        <w:trPr>
          <w:trHeight w:val="427"/>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427"/>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2"/>
              </w:rPr>
              <w:t>Certification by Chief Executive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3"/>
              </w:rPr>
              <w:t>Certification by Chief Financial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1304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342" w:lineRule="exact"/>
        <w:rPr>
          <w:sz w:val="20"/>
          <w:szCs w:val="20"/>
          <w:color w:val="auto"/>
        </w:rPr>
      </w:pPr>
    </w:p>
    <w:p>
      <w:pPr>
        <w:ind w:left="5580" w:right="1220" w:hanging="5573"/>
        <w:spacing w:after="0" w:line="468" w:lineRule="auto"/>
        <w:tabs>
          <w:tab w:leader="none" w:pos="439" w:val="left"/>
        </w:tabs>
        <w:numPr>
          <w:ilvl w:val="0"/>
          <w:numId w:val="40"/>
        </w:numPr>
        <w:rPr>
          <w:rFonts w:ascii="Arial" w:cs="Arial" w:eastAsia="Arial" w:hAnsi="Arial"/>
          <w:sz w:val="15"/>
          <w:szCs w:val="15"/>
          <w:color w:val="auto"/>
        </w:rPr>
      </w:pPr>
      <w:r>
        <w:rPr>
          <w:rFonts w:ascii="Arial" w:cs="Arial" w:eastAsia="Arial" w:hAnsi="Arial"/>
          <w:sz w:val="18"/>
          <w:szCs w:val="18"/>
          <w:color w:val="auto"/>
        </w:rPr>
        <w:t>A management or compensatory plan or arrangement required to be filed as an exhibit to this report pursuant to Item 15(c) of Form 10-K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25233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9" w:lineRule="exact"/>
        <w:rPr>
          <w:sz w:val="20"/>
          <w:szCs w:val="20"/>
          <w:color w:val="auto"/>
        </w:rPr>
      </w:pPr>
    </w:p>
    <w:p>
      <w:pPr>
        <w:ind w:right="340" w:firstLine="222"/>
        <w:spacing w:after="0" w:line="26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F</w:t>
      </w:r>
      <w:r>
        <w:rPr>
          <w:rFonts w:ascii="Arial" w:cs="Arial" w:eastAsia="Arial" w:hAnsi="Arial"/>
          <w:sz w:val="12"/>
          <w:szCs w:val="12"/>
          <w:color w:val="auto"/>
        </w:rPr>
        <w:t>IDELITY</w:t>
      </w:r>
      <w:r>
        <w:rPr>
          <w:rFonts w:ascii="Arial" w:cs="Arial" w:eastAsia="Arial" w:hAnsi="Arial"/>
          <w:sz w:val="18"/>
          <w:szCs w:val="18"/>
          <w:color w:val="auto"/>
        </w:rPr>
        <w:t xml:space="preserve"> N</w:t>
      </w:r>
      <w:r>
        <w:rPr>
          <w:rFonts w:ascii="Arial" w:cs="Arial" w:eastAsia="Arial" w:hAnsi="Arial"/>
          <w:sz w:val="12"/>
          <w:szCs w:val="12"/>
          <w:color w:val="auto"/>
        </w:rPr>
        <w:t>ATIONAL</w:t>
      </w:r>
      <w:r>
        <w:rPr>
          <w:rFonts w:ascii="Arial" w:cs="Arial" w:eastAsia="Arial" w:hAnsi="Arial"/>
          <w:sz w:val="18"/>
          <w:szCs w:val="18"/>
          <w:color w:val="auto"/>
        </w:rPr>
        <w:t xml:space="preserve"> F</w:t>
      </w:r>
      <w:r>
        <w:rPr>
          <w:rFonts w:ascii="Arial" w:cs="Arial" w:eastAsia="Arial" w:hAnsi="Arial"/>
          <w:sz w:val="12"/>
          <w:szCs w:val="12"/>
          <w:color w:val="auto"/>
        </w:rPr>
        <w:t>INANCIAL</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0" w:lineRule="exact"/>
        <w:rPr>
          <w:sz w:val="20"/>
          <w:szCs w:val="20"/>
          <w:color w:val="auto"/>
        </w:rPr>
      </w:pPr>
    </w:p>
    <w:tbl>
      <w:tblPr>
        <w:tblLayout w:type="fixed"/>
        <w:tblInd w:w="5360" w:type="dxa"/>
        <w:tblCellMar>
          <w:top w:w="0" w:type="dxa"/>
          <w:left w:w="0" w:type="dxa"/>
          <w:bottom w:w="0" w:type="dxa"/>
          <w:right w:w="0" w:type="dxa"/>
        </w:tblCellMar>
      </w:tblPr>
      <w:tr>
        <w:trPr>
          <w:trHeight w:val="225"/>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LAN</w:t>
            </w:r>
            <w:r>
              <w:rPr>
                <w:rFonts w:ascii="Arial" w:cs="Arial" w:eastAsia="Arial" w:hAnsi="Arial"/>
                <w:sz w:val="18"/>
                <w:szCs w:val="18"/>
                <w:color w:val="auto"/>
              </w:rPr>
              <w:t xml:space="preserve"> L. S</w:t>
            </w:r>
            <w:r>
              <w:rPr>
                <w:rFonts w:ascii="Arial" w:cs="Arial" w:eastAsia="Arial" w:hAnsi="Arial"/>
                <w:sz w:val="12"/>
                <w:szCs w:val="12"/>
                <w:color w:val="auto"/>
              </w:rPr>
              <w:t>TINSON</w:t>
            </w:r>
          </w:p>
        </w:tc>
      </w:tr>
      <w:tr>
        <w:trPr>
          <w:trHeight w:val="195"/>
        </w:trPr>
        <w:tc>
          <w:tcPr>
            <w:tcW w:w="34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92"/>
              </w:rPr>
              <w:t>Alan L. Stinson</w:t>
            </w:r>
          </w:p>
        </w:tc>
      </w:tr>
      <w:tr>
        <w:trPr>
          <w:trHeight w:val="224"/>
        </w:trPr>
        <w:tc>
          <w:tcPr>
            <w:tcW w:w="3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2009</w:t>
      </w:r>
    </w:p>
    <w:p>
      <w:pPr>
        <w:spacing w:after="0" w:line="113" w:lineRule="exact"/>
        <w:rPr>
          <w:sz w:val="20"/>
          <w:szCs w:val="20"/>
          <w:color w:val="auto"/>
        </w:rPr>
      </w:pPr>
    </w:p>
    <w:p>
      <w:pPr>
        <w:ind w:right="100" w:firstLine="222"/>
        <w:spacing w:after="0" w:line="26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580" w:type="dxa"/>
            <w:vAlign w:val="bottom"/>
          </w:tcPr>
          <w:p>
            <w:pPr>
              <w:spacing w:after="0"/>
              <w:rPr>
                <w:sz w:val="14"/>
                <w:szCs w:val="14"/>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560" w:type="dxa"/>
            <w:vAlign w:val="bottom"/>
          </w:tcPr>
          <w:p>
            <w:pPr>
              <w:spacing w:after="0"/>
              <w:rPr>
                <w:sz w:val="14"/>
                <w:szCs w:val="14"/>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9"/>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w:t>
            </w:r>
            <w:r>
              <w:rPr>
                <w:rFonts w:ascii="Arial" w:cs="Arial" w:eastAsia="Arial" w:hAnsi="Arial"/>
                <w:sz w:val="12"/>
                <w:szCs w:val="12"/>
                <w:color w:val="auto"/>
                <w:w w:val="97"/>
              </w:rPr>
              <w:t>LAN</w:t>
            </w:r>
            <w:r>
              <w:rPr>
                <w:rFonts w:ascii="Arial" w:cs="Arial" w:eastAsia="Arial" w:hAnsi="Arial"/>
                <w:sz w:val="18"/>
                <w:szCs w:val="18"/>
                <w:color w:val="auto"/>
                <w:w w:val="97"/>
              </w:rPr>
              <w:t xml:space="preserve"> L. S</w:t>
            </w:r>
            <w:r>
              <w:rPr>
                <w:rFonts w:ascii="Arial" w:cs="Arial" w:eastAsia="Arial" w:hAnsi="Arial"/>
                <w:sz w:val="12"/>
                <w:szCs w:val="12"/>
                <w:color w:val="auto"/>
                <w:w w:val="97"/>
              </w:rPr>
              <w:t>TINSON</w:t>
            </w:r>
          </w:p>
        </w:tc>
        <w:tc>
          <w:tcPr>
            <w:tcW w:w="58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2"/>
              </w:rPr>
              <w:t>Chief Executive Officer</w:t>
            </w:r>
          </w:p>
        </w:tc>
        <w:tc>
          <w:tcPr>
            <w:tcW w:w="56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March 2, 2009</w:t>
            </w:r>
          </w:p>
        </w:tc>
      </w:tr>
      <w:tr>
        <w:trPr>
          <w:trHeight w:val="220"/>
        </w:trPr>
        <w:tc>
          <w:tcPr>
            <w:tcW w:w="3840" w:type="dxa"/>
            <w:vAlign w:val="bottom"/>
          </w:tcPr>
          <w:p>
            <w:pPr>
              <w:jc w:val="center"/>
              <w:spacing w:after="0"/>
              <w:rPr>
                <w:sz w:val="20"/>
                <w:szCs w:val="20"/>
                <w:color w:val="auto"/>
              </w:rPr>
            </w:pPr>
            <w:r>
              <w:rPr>
                <w:rFonts w:ascii="Arial" w:cs="Arial" w:eastAsia="Arial" w:hAnsi="Arial"/>
                <w:sz w:val="18"/>
                <w:szCs w:val="18"/>
                <w:color w:val="auto"/>
                <w:w w:val="92"/>
              </w:rPr>
              <w:t>Alan L. Stinson</w:t>
            </w:r>
          </w:p>
        </w:tc>
        <w:tc>
          <w:tcPr>
            <w:tcW w:w="58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2"/>
              </w:rPr>
              <w:t>(Principal Executive Officer)</w:t>
            </w:r>
          </w:p>
        </w:tc>
        <w:tc>
          <w:tcPr>
            <w:tcW w:w="5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27"/>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w:t>
            </w:r>
            <w:r>
              <w:rPr>
                <w:rFonts w:ascii="Arial" w:cs="Arial" w:eastAsia="Arial" w:hAnsi="Arial"/>
                <w:sz w:val="12"/>
                <w:szCs w:val="12"/>
                <w:color w:val="auto"/>
                <w:w w:val="94"/>
              </w:rPr>
              <w:t>NTHONY</w:t>
            </w:r>
            <w:r>
              <w:rPr>
                <w:rFonts w:ascii="Arial" w:cs="Arial" w:eastAsia="Arial" w:hAnsi="Arial"/>
                <w:sz w:val="18"/>
                <w:szCs w:val="18"/>
                <w:color w:val="auto"/>
                <w:w w:val="94"/>
              </w:rPr>
              <w:t xml:space="preserve"> J. P</w:t>
            </w:r>
            <w:r>
              <w:rPr>
                <w:rFonts w:ascii="Arial" w:cs="Arial" w:eastAsia="Arial" w:hAnsi="Arial"/>
                <w:sz w:val="12"/>
                <w:szCs w:val="12"/>
                <w:color w:val="auto"/>
                <w:w w:val="94"/>
              </w:rPr>
              <w:t>ARK</w:t>
            </w:r>
          </w:p>
        </w:tc>
        <w:tc>
          <w:tcPr>
            <w:tcW w:w="58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c>
          <w:tcPr>
            <w:tcW w:w="56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March 2, 2009</w:t>
            </w:r>
          </w:p>
        </w:tc>
      </w:tr>
      <w:tr>
        <w:trPr>
          <w:trHeight w:val="220"/>
        </w:trPr>
        <w:tc>
          <w:tcPr>
            <w:tcW w:w="3840" w:type="dxa"/>
            <w:vAlign w:val="bottom"/>
          </w:tcPr>
          <w:p>
            <w:pPr>
              <w:jc w:val="center"/>
              <w:spacing w:after="0"/>
              <w:rPr>
                <w:sz w:val="20"/>
                <w:szCs w:val="20"/>
                <w:color w:val="auto"/>
              </w:rPr>
            </w:pPr>
            <w:r>
              <w:rPr>
                <w:rFonts w:ascii="Arial" w:cs="Arial" w:eastAsia="Arial" w:hAnsi="Arial"/>
                <w:sz w:val="18"/>
                <w:szCs w:val="18"/>
                <w:color w:val="auto"/>
                <w:w w:val="89"/>
              </w:rPr>
              <w:t>Anthony J. Park</w:t>
            </w:r>
          </w:p>
        </w:tc>
        <w:tc>
          <w:tcPr>
            <w:tcW w:w="58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2"/>
              </w:rPr>
              <w:t>(Principal Financial and Accounting Officer)</w:t>
            </w:r>
          </w:p>
        </w:tc>
        <w:tc>
          <w:tcPr>
            <w:tcW w:w="5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27"/>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W</w:t>
            </w:r>
            <w:r>
              <w:rPr>
                <w:rFonts w:ascii="Arial" w:cs="Arial" w:eastAsia="Arial" w:hAnsi="Arial"/>
                <w:sz w:val="12"/>
                <w:szCs w:val="12"/>
                <w:color w:val="auto"/>
                <w:w w:val="96"/>
              </w:rPr>
              <w:t>ILLIAM</w:t>
            </w:r>
            <w:r>
              <w:rPr>
                <w:rFonts w:ascii="Arial" w:cs="Arial" w:eastAsia="Arial" w:hAnsi="Arial"/>
                <w:sz w:val="18"/>
                <w:szCs w:val="18"/>
                <w:color w:val="auto"/>
                <w:w w:val="96"/>
              </w:rPr>
              <w:t xml:space="preserve"> P. F</w:t>
            </w:r>
            <w:r>
              <w:rPr>
                <w:rFonts w:ascii="Arial" w:cs="Arial" w:eastAsia="Arial" w:hAnsi="Arial"/>
                <w:sz w:val="12"/>
                <w:szCs w:val="12"/>
                <w:color w:val="auto"/>
                <w:w w:val="96"/>
              </w:rPr>
              <w:t>OLEY</w:t>
            </w:r>
            <w:r>
              <w:rPr>
                <w:rFonts w:ascii="Arial" w:cs="Arial" w:eastAsia="Arial" w:hAnsi="Arial"/>
                <w:sz w:val="18"/>
                <w:szCs w:val="18"/>
                <w:color w:val="auto"/>
                <w:w w:val="96"/>
              </w:rPr>
              <w:t>, II</w:t>
            </w:r>
          </w:p>
        </w:tc>
        <w:tc>
          <w:tcPr>
            <w:tcW w:w="58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0"/>
              </w:rPr>
              <w:t>Director and Chairman of the Board</w:t>
            </w:r>
          </w:p>
        </w:tc>
        <w:tc>
          <w:tcPr>
            <w:tcW w:w="56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March 2, 2009</w:t>
            </w:r>
          </w:p>
        </w:tc>
      </w:tr>
      <w:tr>
        <w:trPr>
          <w:trHeight w:val="219"/>
        </w:trPr>
        <w:tc>
          <w:tcPr>
            <w:tcW w:w="3840" w:type="dxa"/>
            <w:vAlign w:val="bottom"/>
          </w:tcPr>
          <w:p>
            <w:pPr>
              <w:jc w:val="center"/>
              <w:spacing w:after="0"/>
              <w:rPr>
                <w:sz w:val="20"/>
                <w:szCs w:val="20"/>
                <w:color w:val="auto"/>
              </w:rPr>
            </w:pPr>
            <w:r>
              <w:rPr>
                <w:rFonts w:ascii="Arial" w:cs="Arial" w:eastAsia="Arial" w:hAnsi="Arial"/>
                <w:sz w:val="18"/>
                <w:szCs w:val="18"/>
                <w:color w:val="auto"/>
                <w:w w:val="92"/>
              </w:rPr>
              <w:t>William P. Foley, II</w:t>
            </w:r>
          </w:p>
        </w:tc>
        <w:tc>
          <w:tcPr>
            <w:tcW w:w="5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27"/>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w:t>
            </w:r>
            <w:r>
              <w:rPr>
                <w:rFonts w:ascii="Arial" w:cs="Arial" w:eastAsia="Arial" w:hAnsi="Arial"/>
                <w:sz w:val="12"/>
                <w:szCs w:val="12"/>
                <w:color w:val="auto"/>
                <w:w w:val="98"/>
              </w:rPr>
              <w:t>OUGLAS</w:t>
            </w:r>
            <w:r>
              <w:rPr>
                <w:rFonts w:ascii="Arial" w:cs="Arial" w:eastAsia="Arial" w:hAnsi="Arial"/>
                <w:sz w:val="18"/>
                <w:szCs w:val="18"/>
                <w:color w:val="auto"/>
                <w:w w:val="98"/>
              </w:rPr>
              <w:t xml:space="preserve"> K. A</w:t>
            </w:r>
            <w:r>
              <w:rPr>
                <w:rFonts w:ascii="Arial" w:cs="Arial" w:eastAsia="Arial" w:hAnsi="Arial"/>
                <w:sz w:val="12"/>
                <w:szCs w:val="12"/>
                <w:color w:val="auto"/>
                <w:w w:val="98"/>
              </w:rPr>
              <w:t>MMERMAN</w:t>
            </w:r>
          </w:p>
        </w:tc>
        <w:tc>
          <w:tcPr>
            <w:tcW w:w="58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56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March 2, 2009</w:t>
            </w:r>
          </w:p>
        </w:tc>
      </w:tr>
      <w:tr>
        <w:trPr>
          <w:trHeight w:val="219"/>
        </w:trPr>
        <w:tc>
          <w:tcPr>
            <w:tcW w:w="3840" w:type="dxa"/>
            <w:vAlign w:val="bottom"/>
          </w:tcPr>
          <w:p>
            <w:pPr>
              <w:jc w:val="center"/>
              <w:spacing w:after="0"/>
              <w:rPr>
                <w:sz w:val="20"/>
                <w:szCs w:val="20"/>
                <w:color w:val="auto"/>
              </w:rPr>
            </w:pPr>
            <w:r>
              <w:rPr>
                <w:rFonts w:ascii="Arial" w:cs="Arial" w:eastAsia="Arial" w:hAnsi="Arial"/>
                <w:sz w:val="18"/>
                <w:szCs w:val="18"/>
                <w:color w:val="auto"/>
                <w:w w:val="91"/>
              </w:rPr>
              <w:t>Douglas K. Ammerman</w:t>
            </w:r>
          </w:p>
        </w:tc>
        <w:tc>
          <w:tcPr>
            <w:tcW w:w="5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27"/>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W</w:t>
            </w:r>
            <w:r>
              <w:rPr>
                <w:rFonts w:ascii="Arial" w:cs="Arial" w:eastAsia="Arial" w:hAnsi="Arial"/>
                <w:sz w:val="12"/>
                <w:szCs w:val="12"/>
                <w:color w:val="auto"/>
                <w:w w:val="97"/>
              </w:rPr>
              <w:t>ILLIE</w:t>
            </w:r>
            <w:r>
              <w:rPr>
                <w:rFonts w:ascii="Arial" w:cs="Arial" w:eastAsia="Arial" w:hAnsi="Arial"/>
                <w:sz w:val="18"/>
                <w:szCs w:val="18"/>
                <w:color w:val="auto"/>
                <w:w w:val="97"/>
              </w:rPr>
              <w:t xml:space="preserve"> D. D</w:t>
            </w:r>
            <w:r>
              <w:rPr>
                <w:rFonts w:ascii="Arial" w:cs="Arial" w:eastAsia="Arial" w:hAnsi="Arial"/>
                <w:sz w:val="12"/>
                <w:szCs w:val="12"/>
                <w:color w:val="auto"/>
                <w:w w:val="97"/>
              </w:rPr>
              <w:t>AVIS</w:t>
            </w:r>
          </w:p>
        </w:tc>
        <w:tc>
          <w:tcPr>
            <w:tcW w:w="58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56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March 2, 2009</w:t>
            </w:r>
          </w:p>
        </w:tc>
      </w:tr>
      <w:tr>
        <w:trPr>
          <w:trHeight w:val="219"/>
        </w:trPr>
        <w:tc>
          <w:tcPr>
            <w:tcW w:w="3840" w:type="dxa"/>
            <w:vAlign w:val="bottom"/>
          </w:tcPr>
          <w:p>
            <w:pPr>
              <w:jc w:val="center"/>
              <w:spacing w:after="0"/>
              <w:rPr>
                <w:sz w:val="20"/>
                <w:szCs w:val="20"/>
                <w:color w:val="auto"/>
              </w:rPr>
            </w:pPr>
            <w:r>
              <w:rPr>
                <w:rFonts w:ascii="Arial" w:cs="Arial" w:eastAsia="Arial" w:hAnsi="Arial"/>
                <w:sz w:val="18"/>
                <w:szCs w:val="18"/>
                <w:color w:val="auto"/>
                <w:w w:val="94"/>
              </w:rPr>
              <w:t>Willie D. Davis</w:t>
            </w:r>
          </w:p>
        </w:tc>
        <w:tc>
          <w:tcPr>
            <w:tcW w:w="5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27"/>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w:t>
            </w:r>
            <w:r>
              <w:rPr>
                <w:rFonts w:ascii="Arial" w:cs="Arial" w:eastAsia="Arial" w:hAnsi="Arial"/>
                <w:sz w:val="12"/>
                <w:szCs w:val="12"/>
                <w:color w:val="auto"/>
                <w:w w:val="91"/>
              </w:rPr>
              <w:t>OHN</w:t>
            </w:r>
            <w:r>
              <w:rPr>
                <w:rFonts w:ascii="Arial" w:cs="Arial" w:eastAsia="Arial" w:hAnsi="Arial"/>
                <w:sz w:val="18"/>
                <w:szCs w:val="18"/>
                <w:color w:val="auto"/>
                <w:w w:val="91"/>
              </w:rPr>
              <w:t xml:space="preserve"> F. F</w:t>
            </w:r>
            <w:r>
              <w:rPr>
                <w:rFonts w:ascii="Arial" w:cs="Arial" w:eastAsia="Arial" w:hAnsi="Arial"/>
                <w:sz w:val="12"/>
                <w:szCs w:val="12"/>
                <w:color w:val="auto"/>
                <w:w w:val="91"/>
              </w:rPr>
              <w:t>ARRELL</w:t>
            </w:r>
            <w:r>
              <w:rPr>
                <w:rFonts w:ascii="Arial" w:cs="Arial" w:eastAsia="Arial" w:hAnsi="Arial"/>
                <w:sz w:val="18"/>
                <w:szCs w:val="18"/>
                <w:color w:val="auto"/>
                <w:w w:val="91"/>
              </w:rPr>
              <w:t>, J</w:t>
            </w:r>
            <w:r>
              <w:rPr>
                <w:rFonts w:ascii="Arial" w:cs="Arial" w:eastAsia="Arial" w:hAnsi="Arial"/>
                <w:sz w:val="12"/>
                <w:szCs w:val="12"/>
                <w:color w:val="auto"/>
                <w:w w:val="91"/>
              </w:rPr>
              <w:t>R</w:t>
            </w:r>
            <w:r>
              <w:rPr>
                <w:rFonts w:ascii="Arial" w:cs="Arial" w:eastAsia="Arial" w:hAnsi="Arial"/>
                <w:sz w:val="18"/>
                <w:szCs w:val="18"/>
                <w:color w:val="auto"/>
                <w:w w:val="91"/>
              </w:rPr>
              <w:t>.</w:t>
            </w:r>
          </w:p>
        </w:tc>
        <w:tc>
          <w:tcPr>
            <w:tcW w:w="58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56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March 2, 2009</w:t>
            </w:r>
          </w:p>
        </w:tc>
      </w:tr>
      <w:tr>
        <w:trPr>
          <w:trHeight w:val="219"/>
        </w:trPr>
        <w:tc>
          <w:tcPr>
            <w:tcW w:w="3840" w:type="dxa"/>
            <w:vAlign w:val="bottom"/>
          </w:tcPr>
          <w:p>
            <w:pPr>
              <w:jc w:val="center"/>
              <w:spacing w:after="0"/>
              <w:rPr>
                <w:sz w:val="20"/>
                <w:szCs w:val="20"/>
                <w:color w:val="auto"/>
              </w:rPr>
            </w:pPr>
            <w:r>
              <w:rPr>
                <w:rFonts w:ascii="Arial" w:cs="Arial" w:eastAsia="Arial" w:hAnsi="Arial"/>
                <w:sz w:val="18"/>
                <w:szCs w:val="18"/>
                <w:color w:val="auto"/>
                <w:w w:val="87"/>
              </w:rPr>
              <w:t>John F. Farrell, Jr.</w:t>
            </w:r>
          </w:p>
        </w:tc>
        <w:tc>
          <w:tcPr>
            <w:tcW w:w="5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27"/>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T</w:t>
            </w:r>
            <w:r>
              <w:rPr>
                <w:rFonts w:ascii="Arial" w:cs="Arial" w:eastAsia="Arial" w:hAnsi="Arial"/>
                <w:sz w:val="12"/>
                <w:szCs w:val="12"/>
                <w:color w:val="auto"/>
                <w:w w:val="96"/>
              </w:rPr>
              <w:t>HOMAS</w:t>
            </w:r>
            <w:r>
              <w:rPr>
                <w:rFonts w:ascii="Arial" w:cs="Arial" w:eastAsia="Arial" w:hAnsi="Arial"/>
                <w:sz w:val="18"/>
                <w:szCs w:val="18"/>
                <w:color w:val="auto"/>
                <w:w w:val="96"/>
              </w:rPr>
              <w:t xml:space="preserve"> M. H</w:t>
            </w:r>
            <w:r>
              <w:rPr>
                <w:rFonts w:ascii="Arial" w:cs="Arial" w:eastAsia="Arial" w:hAnsi="Arial"/>
                <w:sz w:val="12"/>
                <w:szCs w:val="12"/>
                <w:color w:val="auto"/>
                <w:w w:val="96"/>
              </w:rPr>
              <w:t>AGERTY</w:t>
            </w:r>
          </w:p>
        </w:tc>
        <w:tc>
          <w:tcPr>
            <w:tcW w:w="58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56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March 2, 2009</w:t>
            </w:r>
          </w:p>
        </w:tc>
      </w:tr>
      <w:tr>
        <w:trPr>
          <w:trHeight w:val="219"/>
        </w:trPr>
        <w:tc>
          <w:tcPr>
            <w:tcW w:w="3840" w:type="dxa"/>
            <w:vAlign w:val="bottom"/>
          </w:tcPr>
          <w:p>
            <w:pPr>
              <w:jc w:val="center"/>
              <w:spacing w:after="0"/>
              <w:rPr>
                <w:sz w:val="20"/>
                <w:szCs w:val="20"/>
                <w:color w:val="auto"/>
              </w:rPr>
            </w:pPr>
            <w:r>
              <w:rPr>
                <w:rFonts w:ascii="Arial" w:cs="Arial" w:eastAsia="Arial" w:hAnsi="Arial"/>
                <w:sz w:val="18"/>
                <w:szCs w:val="18"/>
                <w:color w:val="auto"/>
                <w:w w:val="91"/>
              </w:rPr>
              <w:t>Thomas M. Hagerty</w:t>
            </w:r>
          </w:p>
        </w:tc>
        <w:tc>
          <w:tcPr>
            <w:tcW w:w="5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27"/>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P</w:t>
            </w:r>
            <w:r>
              <w:rPr>
                <w:rFonts w:ascii="Arial" w:cs="Arial" w:eastAsia="Arial" w:hAnsi="Arial"/>
                <w:sz w:val="12"/>
                <w:szCs w:val="12"/>
                <w:color w:val="auto"/>
                <w:w w:val="94"/>
              </w:rPr>
              <w:t>HILIP</w:t>
            </w:r>
            <w:r>
              <w:rPr>
                <w:rFonts w:ascii="Arial" w:cs="Arial" w:eastAsia="Arial" w:hAnsi="Arial"/>
                <w:sz w:val="18"/>
                <w:szCs w:val="18"/>
                <w:color w:val="auto"/>
                <w:w w:val="94"/>
              </w:rPr>
              <w:t xml:space="preserve"> G. H</w:t>
            </w:r>
            <w:r>
              <w:rPr>
                <w:rFonts w:ascii="Arial" w:cs="Arial" w:eastAsia="Arial" w:hAnsi="Arial"/>
                <w:sz w:val="12"/>
                <w:szCs w:val="12"/>
                <w:color w:val="auto"/>
                <w:w w:val="94"/>
              </w:rPr>
              <w:t>EASLEY</w:t>
            </w:r>
          </w:p>
        </w:tc>
        <w:tc>
          <w:tcPr>
            <w:tcW w:w="58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56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March 2, 2009</w:t>
            </w:r>
          </w:p>
        </w:tc>
      </w:tr>
      <w:tr>
        <w:trPr>
          <w:trHeight w:val="219"/>
        </w:trPr>
        <w:tc>
          <w:tcPr>
            <w:tcW w:w="3840" w:type="dxa"/>
            <w:vAlign w:val="bottom"/>
          </w:tcPr>
          <w:p>
            <w:pPr>
              <w:jc w:val="center"/>
              <w:spacing w:after="0"/>
              <w:rPr>
                <w:sz w:val="20"/>
                <w:szCs w:val="20"/>
                <w:color w:val="auto"/>
              </w:rPr>
            </w:pPr>
            <w:r>
              <w:rPr>
                <w:rFonts w:ascii="Arial" w:cs="Arial" w:eastAsia="Arial" w:hAnsi="Arial"/>
                <w:sz w:val="18"/>
                <w:szCs w:val="18"/>
                <w:color w:val="auto"/>
                <w:w w:val="91"/>
              </w:rPr>
              <w:t>Philip G. Heasley</w:t>
            </w:r>
          </w:p>
        </w:tc>
        <w:tc>
          <w:tcPr>
            <w:tcW w:w="5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27"/>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w:t>
            </w:r>
            <w:r>
              <w:rPr>
                <w:rFonts w:ascii="Arial" w:cs="Arial" w:eastAsia="Arial" w:hAnsi="Arial"/>
                <w:sz w:val="12"/>
                <w:szCs w:val="12"/>
                <w:color w:val="auto"/>
                <w:w w:val="97"/>
              </w:rPr>
              <w:t>ANIEL</w:t>
            </w:r>
            <w:r>
              <w:rPr>
                <w:rFonts w:ascii="Arial" w:cs="Arial" w:eastAsia="Arial" w:hAnsi="Arial"/>
                <w:sz w:val="18"/>
                <w:szCs w:val="18"/>
                <w:color w:val="auto"/>
                <w:w w:val="97"/>
              </w:rPr>
              <w:t xml:space="preserve"> D. (R</w:t>
            </w:r>
            <w:r>
              <w:rPr>
                <w:rFonts w:ascii="Arial" w:cs="Arial" w:eastAsia="Arial" w:hAnsi="Arial"/>
                <w:sz w:val="12"/>
                <w:szCs w:val="12"/>
                <w:color w:val="auto"/>
                <w:w w:val="97"/>
              </w:rPr>
              <w:t>ON</w:t>
            </w:r>
            <w:r>
              <w:rPr>
                <w:rFonts w:ascii="Arial" w:cs="Arial" w:eastAsia="Arial" w:hAnsi="Arial"/>
                <w:sz w:val="18"/>
                <w:szCs w:val="18"/>
                <w:color w:val="auto"/>
                <w:w w:val="97"/>
              </w:rPr>
              <w:t>) L</w:t>
            </w:r>
            <w:r>
              <w:rPr>
                <w:rFonts w:ascii="Arial" w:cs="Arial" w:eastAsia="Arial" w:hAnsi="Arial"/>
                <w:sz w:val="12"/>
                <w:szCs w:val="12"/>
                <w:color w:val="auto"/>
                <w:w w:val="97"/>
              </w:rPr>
              <w:t>ANE</w:t>
            </w:r>
          </w:p>
        </w:tc>
        <w:tc>
          <w:tcPr>
            <w:tcW w:w="58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56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March 2, 2009</w:t>
            </w:r>
          </w:p>
        </w:tc>
      </w:tr>
      <w:tr>
        <w:trPr>
          <w:trHeight w:val="219"/>
        </w:trPr>
        <w:tc>
          <w:tcPr>
            <w:tcW w:w="3840" w:type="dxa"/>
            <w:vAlign w:val="bottom"/>
          </w:tcPr>
          <w:p>
            <w:pPr>
              <w:jc w:val="center"/>
              <w:spacing w:after="0"/>
              <w:rPr>
                <w:sz w:val="20"/>
                <w:szCs w:val="20"/>
                <w:color w:val="auto"/>
              </w:rPr>
            </w:pPr>
            <w:r>
              <w:rPr>
                <w:rFonts w:ascii="Arial" w:cs="Arial" w:eastAsia="Arial" w:hAnsi="Arial"/>
                <w:sz w:val="18"/>
                <w:szCs w:val="18"/>
                <w:color w:val="auto"/>
                <w:w w:val="91"/>
              </w:rPr>
              <w:t>Daniel D. (Ron) Lane</w:t>
            </w:r>
          </w:p>
        </w:tc>
        <w:tc>
          <w:tcPr>
            <w:tcW w:w="5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27"/>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w:t>
            </w:r>
            <w:r>
              <w:rPr>
                <w:rFonts w:ascii="Arial" w:cs="Arial" w:eastAsia="Arial" w:hAnsi="Arial"/>
                <w:sz w:val="12"/>
                <w:szCs w:val="12"/>
                <w:color w:val="auto"/>
                <w:w w:val="99"/>
              </w:rPr>
              <w:t>ENERAL</w:t>
            </w:r>
            <w:r>
              <w:rPr>
                <w:rFonts w:ascii="Arial" w:cs="Arial" w:eastAsia="Arial" w:hAnsi="Arial"/>
                <w:sz w:val="18"/>
                <w:szCs w:val="18"/>
                <w:color w:val="auto"/>
                <w:w w:val="99"/>
              </w:rPr>
              <w:t xml:space="preserve"> W</w:t>
            </w:r>
            <w:r>
              <w:rPr>
                <w:rFonts w:ascii="Arial" w:cs="Arial" w:eastAsia="Arial" w:hAnsi="Arial"/>
                <w:sz w:val="12"/>
                <w:szCs w:val="12"/>
                <w:color w:val="auto"/>
                <w:w w:val="99"/>
              </w:rPr>
              <w:t>ILLIAM</w:t>
            </w:r>
            <w:r>
              <w:rPr>
                <w:rFonts w:ascii="Arial" w:cs="Arial" w:eastAsia="Arial" w:hAnsi="Arial"/>
                <w:sz w:val="18"/>
                <w:szCs w:val="18"/>
                <w:color w:val="auto"/>
                <w:w w:val="99"/>
              </w:rPr>
              <w:t xml:space="preserve"> L</w:t>
            </w:r>
            <w:r>
              <w:rPr>
                <w:rFonts w:ascii="Arial" w:cs="Arial" w:eastAsia="Arial" w:hAnsi="Arial"/>
                <w:sz w:val="12"/>
                <w:szCs w:val="12"/>
                <w:color w:val="auto"/>
                <w:w w:val="99"/>
              </w:rPr>
              <w:t>YON</w:t>
            </w:r>
          </w:p>
        </w:tc>
        <w:tc>
          <w:tcPr>
            <w:tcW w:w="58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56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March 2, 2009</w:t>
            </w:r>
          </w:p>
        </w:tc>
      </w:tr>
      <w:tr>
        <w:trPr>
          <w:trHeight w:val="219"/>
        </w:trPr>
        <w:tc>
          <w:tcPr>
            <w:tcW w:w="3840" w:type="dxa"/>
            <w:vAlign w:val="bottom"/>
          </w:tcPr>
          <w:p>
            <w:pPr>
              <w:jc w:val="center"/>
              <w:spacing w:after="0"/>
              <w:rPr>
                <w:sz w:val="20"/>
                <w:szCs w:val="20"/>
                <w:color w:val="auto"/>
              </w:rPr>
            </w:pPr>
            <w:r>
              <w:rPr>
                <w:rFonts w:ascii="Arial" w:cs="Arial" w:eastAsia="Arial" w:hAnsi="Arial"/>
                <w:sz w:val="18"/>
                <w:szCs w:val="18"/>
                <w:color w:val="auto"/>
                <w:w w:val="92"/>
              </w:rPr>
              <w:t>General William Lyon</w:t>
            </w:r>
          </w:p>
        </w:tc>
        <w:tc>
          <w:tcPr>
            <w:tcW w:w="5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27"/>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w:t>
            </w:r>
            <w:r>
              <w:rPr>
                <w:rFonts w:ascii="Arial" w:cs="Arial" w:eastAsia="Arial" w:hAnsi="Arial"/>
                <w:sz w:val="12"/>
                <w:szCs w:val="12"/>
                <w:color w:val="auto"/>
                <w:w w:val="95"/>
              </w:rPr>
              <w:t>ICHARD</w:t>
            </w:r>
            <w:r>
              <w:rPr>
                <w:rFonts w:ascii="Arial" w:cs="Arial" w:eastAsia="Arial" w:hAnsi="Arial"/>
                <w:sz w:val="18"/>
                <w:szCs w:val="18"/>
                <w:color w:val="auto"/>
                <w:w w:val="95"/>
              </w:rPr>
              <w:t xml:space="preserve"> N. M</w:t>
            </w:r>
            <w:r>
              <w:rPr>
                <w:rFonts w:ascii="Arial" w:cs="Arial" w:eastAsia="Arial" w:hAnsi="Arial"/>
                <w:sz w:val="12"/>
                <w:szCs w:val="12"/>
                <w:color w:val="auto"/>
                <w:w w:val="95"/>
              </w:rPr>
              <w:t>ASSEY</w:t>
            </w:r>
          </w:p>
        </w:tc>
        <w:tc>
          <w:tcPr>
            <w:tcW w:w="58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56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March 2, 2009</w:t>
            </w:r>
          </w:p>
        </w:tc>
      </w:tr>
      <w:tr>
        <w:trPr>
          <w:trHeight w:val="219"/>
        </w:trPr>
        <w:tc>
          <w:tcPr>
            <w:tcW w:w="3840" w:type="dxa"/>
            <w:vAlign w:val="bottom"/>
          </w:tcPr>
          <w:p>
            <w:pPr>
              <w:jc w:val="center"/>
              <w:spacing w:after="0"/>
              <w:rPr>
                <w:sz w:val="20"/>
                <w:szCs w:val="20"/>
                <w:color w:val="auto"/>
              </w:rPr>
            </w:pPr>
            <w:r>
              <w:rPr>
                <w:rFonts w:ascii="Arial" w:cs="Arial" w:eastAsia="Arial" w:hAnsi="Arial"/>
                <w:sz w:val="18"/>
                <w:szCs w:val="18"/>
                <w:color w:val="auto"/>
                <w:w w:val="90"/>
              </w:rPr>
              <w:t>Richard N. Massey</w:t>
            </w:r>
          </w:p>
        </w:tc>
        <w:tc>
          <w:tcPr>
            <w:tcW w:w="5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27"/>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w:t>
            </w:r>
            <w:r>
              <w:rPr>
                <w:rFonts w:ascii="Arial" w:cs="Arial" w:eastAsia="Arial" w:hAnsi="Arial"/>
                <w:sz w:val="12"/>
                <w:szCs w:val="12"/>
                <w:color w:val="auto"/>
                <w:w w:val="90"/>
              </w:rPr>
              <w:t>ETER</w:t>
            </w:r>
            <w:r>
              <w:rPr>
                <w:rFonts w:ascii="Arial" w:cs="Arial" w:eastAsia="Arial" w:hAnsi="Arial"/>
                <w:sz w:val="18"/>
                <w:szCs w:val="18"/>
                <w:color w:val="auto"/>
                <w:w w:val="90"/>
              </w:rPr>
              <w:t xml:space="preserve"> O. S</w:t>
            </w:r>
            <w:r>
              <w:rPr>
                <w:rFonts w:ascii="Arial" w:cs="Arial" w:eastAsia="Arial" w:hAnsi="Arial"/>
                <w:sz w:val="12"/>
                <w:szCs w:val="12"/>
                <w:color w:val="auto"/>
                <w:w w:val="90"/>
              </w:rPr>
              <w:t>HEA</w:t>
            </w:r>
            <w:r>
              <w:rPr>
                <w:rFonts w:ascii="Arial" w:cs="Arial" w:eastAsia="Arial" w:hAnsi="Arial"/>
                <w:sz w:val="18"/>
                <w:szCs w:val="18"/>
                <w:color w:val="auto"/>
                <w:w w:val="90"/>
              </w:rPr>
              <w:t>, J</w:t>
            </w:r>
            <w:r>
              <w:rPr>
                <w:rFonts w:ascii="Arial" w:cs="Arial" w:eastAsia="Arial" w:hAnsi="Arial"/>
                <w:sz w:val="12"/>
                <w:szCs w:val="12"/>
                <w:color w:val="auto"/>
                <w:w w:val="90"/>
              </w:rPr>
              <w:t>R</w:t>
            </w:r>
            <w:r>
              <w:rPr>
                <w:rFonts w:ascii="Arial" w:cs="Arial" w:eastAsia="Arial" w:hAnsi="Arial"/>
                <w:sz w:val="18"/>
                <w:szCs w:val="18"/>
                <w:color w:val="auto"/>
                <w:w w:val="90"/>
              </w:rPr>
              <w:t>.</w:t>
            </w:r>
          </w:p>
        </w:tc>
        <w:tc>
          <w:tcPr>
            <w:tcW w:w="58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56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March 2, 2009</w:t>
            </w:r>
          </w:p>
        </w:tc>
      </w:tr>
      <w:tr>
        <w:trPr>
          <w:trHeight w:val="219"/>
        </w:trPr>
        <w:tc>
          <w:tcPr>
            <w:tcW w:w="3840" w:type="dxa"/>
            <w:vAlign w:val="bottom"/>
          </w:tcPr>
          <w:p>
            <w:pPr>
              <w:jc w:val="center"/>
              <w:spacing w:after="0"/>
              <w:rPr>
                <w:sz w:val="20"/>
                <w:szCs w:val="20"/>
                <w:color w:val="auto"/>
              </w:rPr>
            </w:pPr>
            <w:r>
              <w:rPr>
                <w:rFonts w:ascii="Arial" w:cs="Arial" w:eastAsia="Arial" w:hAnsi="Arial"/>
                <w:sz w:val="18"/>
                <w:szCs w:val="18"/>
                <w:color w:val="auto"/>
                <w:w w:val="84"/>
              </w:rPr>
              <w:t>Peter O. Shea, Jr.</w:t>
            </w:r>
          </w:p>
        </w:tc>
        <w:tc>
          <w:tcPr>
            <w:tcW w:w="5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27"/>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w:t>
            </w:r>
            <w:r>
              <w:rPr>
                <w:rFonts w:ascii="Arial" w:cs="Arial" w:eastAsia="Arial" w:hAnsi="Arial"/>
                <w:sz w:val="12"/>
                <w:szCs w:val="12"/>
                <w:color w:val="auto"/>
                <w:w w:val="94"/>
              </w:rPr>
              <w:t>ARY</w:t>
            </w:r>
            <w:r>
              <w:rPr>
                <w:rFonts w:ascii="Arial" w:cs="Arial" w:eastAsia="Arial" w:hAnsi="Arial"/>
                <w:sz w:val="18"/>
                <w:szCs w:val="18"/>
                <w:color w:val="auto"/>
                <w:w w:val="94"/>
              </w:rPr>
              <w:t xml:space="preserve"> H. T</w:t>
            </w:r>
            <w:r>
              <w:rPr>
                <w:rFonts w:ascii="Arial" w:cs="Arial" w:eastAsia="Arial" w:hAnsi="Arial"/>
                <w:sz w:val="12"/>
                <w:szCs w:val="12"/>
                <w:color w:val="auto"/>
                <w:w w:val="94"/>
              </w:rPr>
              <w:t>HOMPSON</w:t>
            </w:r>
          </w:p>
        </w:tc>
        <w:tc>
          <w:tcPr>
            <w:tcW w:w="58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56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March 2, 2009</w:t>
            </w:r>
          </w:p>
        </w:tc>
      </w:tr>
      <w:tr>
        <w:trPr>
          <w:trHeight w:val="219"/>
        </w:trPr>
        <w:tc>
          <w:tcPr>
            <w:tcW w:w="3840" w:type="dxa"/>
            <w:vAlign w:val="bottom"/>
          </w:tcPr>
          <w:p>
            <w:pPr>
              <w:jc w:val="center"/>
              <w:spacing w:after="0"/>
              <w:rPr>
                <w:sz w:val="20"/>
                <w:szCs w:val="20"/>
                <w:color w:val="auto"/>
              </w:rPr>
            </w:pPr>
            <w:r>
              <w:rPr>
                <w:rFonts w:ascii="Arial" w:cs="Arial" w:eastAsia="Arial" w:hAnsi="Arial"/>
                <w:sz w:val="18"/>
                <w:szCs w:val="18"/>
                <w:color w:val="auto"/>
                <w:w w:val="91"/>
              </w:rPr>
              <w:t>Cary H. Thompson</w:t>
            </w:r>
          </w:p>
        </w:tc>
        <w:tc>
          <w:tcPr>
            <w:tcW w:w="5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27"/>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F</w:t>
            </w:r>
            <w:r>
              <w:rPr>
                <w:rFonts w:ascii="Arial" w:cs="Arial" w:eastAsia="Arial" w:hAnsi="Arial"/>
                <w:sz w:val="12"/>
                <w:szCs w:val="12"/>
                <w:color w:val="auto"/>
                <w:w w:val="95"/>
              </w:rPr>
              <w:t>RANK</w:t>
            </w:r>
            <w:r>
              <w:rPr>
                <w:rFonts w:ascii="Arial" w:cs="Arial" w:eastAsia="Arial" w:hAnsi="Arial"/>
                <w:sz w:val="18"/>
                <w:szCs w:val="18"/>
                <w:color w:val="auto"/>
                <w:w w:val="95"/>
              </w:rPr>
              <w:t xml:space="preserve"> P. W</w:t>
            </w:r>
            <w:r>
              <w:rPr>
                <w:rFonts w:ascii="Arial" w:cs="Arial" w:eastAsia="Arial" w:hAnsi="Arial"/>
                <w:sz w:val="12"/>
                <w:szCs w:val="12"/>
                <w:color w:val="auto"/>
                <w:w w:val="95"/>
              </w:rPr>
              <w:t>ILLEY</w:t>
            </w:r>
          </w:p>
        </w:tc>
        <w:tc>
          <w:tcPr>
            <w:tcW w:w="58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56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90"/>
              </w:rPr>
              <w:t>March 2, 2009</w:t>
            </w:r>
          </w:p>
        </w:tc>
      </w:tr>
      <w:tr>
        <w:trPr>
          <w:trHeight w:val="219"/>
        </w:trPr>
        <w:tc>
          <w:tcPr>
            <w:tcW w:w="3840" w:type="dxa"/>
            <w:vAlign w:val="bottom"/>
          </w:tcPr>
          <w:p>
            <w:pPr>
              <w:jc w:val="center"/>
              <w:spacing w:after="0"/>
              <w:rPr>
                <w:sz w:val="20"/>
                <w:szCs w:val="20"/>
                <w:color w:val="auto"/>
              </w:rPr>
            </w:pPr>
            <w:r>
              <w:rPr>
                <w:rFonts w:ascii="Arial" w:cs="Arial" w:eastAsia="Arial" w:hAnsi="Arial"/>
                <w:sz w:val="18"/>
                <w:szCs w:val="18"/>
                <w:color w:val="auto"/>
                <w:w w:val="90"/>
              </w:rPr>
              <w:t>Frank P. Willey</w:t>
            </w:r>
          </w:p>
        </w:tc>
        <w:tc>
          <w:tcPr>
            <w:tcW w:w="5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80" w:type="dxa"/>
            <w:vAlign w:val="bottom"/>
          </w:tcPr>
          <w:p>
            <w:pPr>
              <w:spacing w:after="0"/>
              <w:rPr>
                <w:sz w:val="19"/>
                <w:szCs w:val="19"/>
                <w:color w:val="auto"/>
              </w:rPr>
            </w:pPr>
          </w:p>
        </w:tc>
      </w:tr>
    </w:tbl>
    <w:p>
      <w:pPr>
        <w:spacing w:after="0" w:line="176" w:lineRule="exact"/>
        <w:rPr>
          <w:sz w:val="20"/>
          <w:szCs w:val="20"/>
          <w:color w:val="auto"/>
        </w:rPr>
      </w:pPr>
    </w:p>
    <w:p>
      <w:pPr>
        <w:sectPr>
          <w:pgSz w:w="11900" w:h="16838" w:orient="portrait"/>
          <w:cols w:equalWidth="0" w:num="1">
            <w:col w:w="11420"/>
          </w:cols>
          <w:pgMar w:left="240" w:top="415" w:right="239" w:bottom="1440" w:gutter="0" w:footer="0" w:header="0"/>
        </w:sect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725233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16" w:name="page117"/>
    <w:bookmarkEnd w:id="1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102" w:lineRule="exact"/>
        <w:rPr>
          <w:sz w:val="20"/>
          <w:szCs w:val="20"/>
          <w:color w:val="auto"/>
        </w:rPr>
      </w:pPr>
    </w:p>
    <w:p>
      <w:pPr>
        <w:ind w:firstLine="222"/>
        <w:spacing w:after="0" w:line="251" w:lineRule="auto"/>
        <w:rPr>
          <w:sz w:val="20"/>
          <w:szCs w:val="20"/>
          <w:color w:val="auto"/>
        </w:rPr>
      </w:pPr>
      <w:r>
        <w:rPr>
          <w:rFonts w:ascii="Arial" w:cs="Arial" w:eastAsia="Arial" w:hAnsi="Arial"/>
          <w:sz w:val="18"/>
          <w:szCs w:val="18"/>
          <w:color w:val="auto"/>
        </w:rPr>
        <w:t>Under date of March 2, 2009, we reported on the Consolidated Balance Sheets of Fidelity National Financial, Inc. and subsidiaries as of December 31, 2008 and 2007, and the related Consolidated Statements of Earnings, Comprehensive Earnings, Stockholders’ Equity and Cash Flows for each of the years in the three-year period ended December 31, 2008, as contained in the Annual Report on Form 10-K for the year 2008. In connection with our audits of the aforementioned Consolidated Financial Statements, we also audited the related financial statement schedules as listed under Item 15(a)2. These financial statement schedules are the responsibility of the Company’s management. Our responsibility is to express an opinion on these financial statement schedules based on our audits.</w:t>
      </w:r>
    </w:p>
    <w:p>
      <w:pPr>
        <w:spacing w:after="0" w:line="88" w:lineRule="exact"/>
        <w:rPr>
          <w:sz w:val="20"/>
          <w:szCs w:val="20"/>
          <w:color w:val="auto"/>
        </w:rPr>
      </w:pPr>
    </w:p>
    <w:p>
      <w:pPr>
        <w:ind w:right="300" w:firstLine="222"/>
        <w:spacing w:after="0" w:line="267" w:lineRule="auto"/>
        <w:rPr>
          <w:sz w:val="20"/>
          <w:szCs w:val="20"/>
          <w:color w:val="auto"/>
        </w:rPr>
      </w:pPr>
      <w:r>
        <w:rPr>
          <w:rFonts w:ascii="Arial" w:cs="Arial" w:eastAsia="Arial" w:hAnsi="Arial"/>
          <w:sz w:val="18"/>
          <w:szCs w:val="18"/>
          <w:color w:val="auto"/>
        </w:rPr>
        <w:t>In our opinion, such financial statement schedules, when considered in relation to the basic Consolidated Financial Statements taken as a whole, present fairly, in all material respects, the information set forth therein.</w:t>
      </w:r>
    </w:p>
    <w:p>
      <w:pPr>
        <w:spacing w:after="0" w:line="73" w:lineRule="exact"/>
        <w:rPr>
          <w:sz w:val="20"/>
          <w:szCs w:val="20"/>
          <w:color w:val="auto"/>
        </w:rPr>
      </w:pPr>
    </w:p>
    <w:p>
      <w:pPr>
        <w:ind w:right="60" w:firstLine="212"/>
        <w:spacing w:after="0" w:line="257" w:lineRule="auto"/>
        <w:rPr>
          <w:sz w:val="20"/>
          <w:szCs w:val="20"/>
          <w:color w:val="auto"/>
        </w:rPr>
      </w:pPr>
      <w:r>
        <w:rPr>
          <w:rFonts w:ascii="Arial" w:cs="Arial" w:eastAsia="Arial" w:hAnsi="Arial"/>
          <w:sz w:val="18"/>
          <w:szCs w:val="18"/>
          <w:color w:val="auto"/>
        </w:rPr>
        <w:t>As discussed in Note J to the Consolidated Financial Statements, effective January 1, 2007, the Company adopted the recognition and disclosure provisions of Financial Accounting Standards Board Interpretation No. 48, “Accounting for Uncertainty in Income Taxes — an interpretation of FASB Statement No. 109.”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March 2, 2009</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516"/>
        </w:trPr>
        <w:tc>
          <w:tcPr>
            <w:tcW w:w="9000" w:type="dxa"/>
            <w:vAlign w:val="bottom"/>
          </w:tcPr>
          <w:p>
            <w:pPr>
              <w:jc w:val="center"/>
              <w:ind w:left="2351"/>
              <w:spacing w:after="0"/>
              <w:rPr>
                <w:sz w:val="20"/>
                <w:szCs w:val="20"/>
                <w:color w:val="auto"/>
              </w:rPr>
            </w:pPr>
            <w:r>
              <w:rPr>
                <w:rFonts w:ascii="Arial" w:cs="Arial" w:eastAsia="Arial" w:hAnsi="Arial"/>
                <w:sz w:val="18"/>
                <w:szCs w:val="18"/>
                <w:b w:val="1"/>
                <w:bCs w:val="1"/>
                <w:color w:val="auto"/>
              </w:rPr>
              <w:t>FIDELITY NATIONAL FINANCIAL, INC.</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0" w:type="dxa"/>
            <w:vAlign w:val="bottom"/>
          </w:tcPr>
          <w:p>
            <w:pPr>
              <w:jc w:val="center"/>
              <w:ind w:left="2331"/>
              <w:spacing w:after="0"/>
              <w:rPr>
                <w:sz w:val="20"/>
                <w:szCs w:val="20"/>
                <w:color w:val="auto"/>
              </w:rPr>
            </w:pPr>
            <w:r>
              <w:rPr>
                <w:rFonts w:ascii="Arial" w:cs="Arial" w:eastAsia="Arial" w:hAnsi="Arial"/>
                <w:sz w:val="18"/>
                <w:szCs w:val="18"/>
                <w:b w:val="1"/>
                <w:bCs w:val="1"/>
                <w:color w:val="auto"/>
                <w:w w:val="91"/>
              </w:rPr>
              <w:t>(Parent Company)</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9000" w:type="dxa"/>
            <w:vAlign w:val="bottom"/>
          </w:tcPr>
          <w:p>
            <w:pPr>
              <w:jc w:val="center"/>
              <w:ind w:left="2351"/>
              <w:spacing w:after="0"/>
              <w:rPr>
                <w:sz w:val="20"/>
                <w:szCs w:val="20"/>
                <w:color w:val="auto"/>
              </w:rPr>
            </w:pPr>
            <w:r>
              <w:rPr>
                <w:rFonts w:ascii="Arial" w:cs="Arial" w:eastAsia="Arial" w:hAnsi="Arial"/>
                <w:sz w:val="18"/>
                <w:szCs w:val="18"/>
                <w:b w:val="1"/>
                <w:bCs w:val="1"/>
                <w:color w:val="auto"/>
                <w:w w:val="96"/>
              </w:rPr>
              <w:t>BALANCE SHEETS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9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9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0"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2"/>
              <w:spacing w:after="0" w:line="140"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6"/>
          </w:tcPr>
          <w:p>
            <w:pPr>
              <w:jc w:val="right"/>
              <w:ind w:right="260"/>
              <w:spacing w:after="0" w:line="140" w:lineRule="exact"/>
              <w:rPr>
                <w:sz w:val="20"/>
                <w:szCs w:val="20"/>
                <w:color w:val="auto"/>
              </w:rPr>
            </w:pPr>
            <w:r>
              <w:rPr>
                <w:rFonts w:ascii="Arial" w:cs="Arial" w:eastAsia="Arial" w:hAnsi="Arial"/>
                <w:sz w:val="14"/>
                <w:szCs w:val="14"/>
                <w:b w:val="1"/>
                <w:bCs w:val="1"/>
                <w:color w:val="auto"/>
                <w:w w:val="91"/>
              </w:rPr>
              <w:t>(In thousands, except share data)</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jc w:val="center"/>
              <w:ind w:left="2331"/>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000" w:type="dxa"/>
            <w:vAlign w:val="bottom"/>
          </w:tcPr>
          <w:p>
            <w:pPr>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 for sale, at fair value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96,205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60,003</w:t>
            </w:r>
          </w:p>
        </w:tc>
        <w:tc>
          <w:tcPr>
            <w:tcW w:w="0" w:type="dxa"/>
            <w:vAlign w:val="bottom"/>
          </w:tcPr>
          <w:p>
            <w:pPr>
              <w:spacing w:after="0"/>
              <w:rPr>
                <w:sz w:val="1"/>
                <w:szCs w:val="1"/>
                <w:color w:val="auto"/>
              </w:rPr>
            </w:pPr>
          </w:p>
        </w:tc>
      </w:tr>
      <w:tr>
        <w:trPr>
          <w:trHeight w:val="213"/>
        </w:trPr>
        <w:tc>
          <w:tcPr>
            <w:tcW w:w="900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569,073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634,578</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from subsidiaries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245,784</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612,202</w:t>
            </w:r>
          </w:p>
        </w:tc>
        <w:tc>
          <w:tcPr>
            <w:tcW w:w="0" w:type="dxa"/>
            <w:vAlign w:val="bottom"/>
          </w:tcPr>
          <w:p>
            <w:pPr>
              <w:spacing w:after="0"/>
              <w:rPr>
                <w:sz w:val="1"/>
                <w:szCs w:val="1"/>
                <w:color w:val="auto"/>
              </w:rPr>
            </w:pPr>
          </w:p>
        </w:tc>
      </w:tr>
      <w:tr>
        <w:trPr>
          <w:trHeight w:val="213"/>
        </w:trPr>
        <w:tc>
          <w:tcPr>
            <w:tcW w:w="9000" w:type="dxa"/>
            <w:vAlign w:val="bottom"/>
          </w:tcPr>
          <w:p>
            <w:pPr>
              <w:spacing w:after="0"/>
              <w:rPr>
                <w:sz w:val="20"/>
                <w:szCs w:val="20"/>
                <w:color w:val="auto"/>
              </w:rPr>
            </w:pPr>
            <w:r>
              <w:rPr>
                <w:rFonts w:ascii="Arial" w:cs="Arial" w:eastAsia="Arial" w:hAnsi="Arial"/>
                <w:sz w:val="18"/>
                <w:szCs w:val="18"/>
                <w:color w:val="auto"/>
              </w:rPr>
              <w:t>Notes receivable,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28,175</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115,371</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67,244</w:t>
            </w:r>
          </w:p>
        </w:tc>
        <w:tc>
          <w:tcPr>
            <w:tcW w:w="0" w:type="dxa"/>
            <w:vAlign w:val="bottom"/>
          </w:tcPr>
          <w:p>
            <w:pPr>
              <w:spacing w:after="0"/>
              <w:rPr>
                <w:sz w:val="1"/>
                <w:szCs w:val="1"/>
                <w:color w:val="auto"/>
              </w:rPr>
            </w:pPr>
          </w:p>
        </w:tc>
      </w:tr>
      <w:tr>
        <w:trPr>
          <w:trHeight w:val="213"/>
        </w:trPr>
        <w:tc>
          <w:tcPr>
            <w:tcW w:w="9000" w:type="dxa"/>
            <w:vAlign w:val="bottom"/>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139,218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2,822,103</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2,997,415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11,783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20"/>
        </w:trPr>
        <w:tc>
          <w:tcPr>
            <w:tcW w:w="9000" w:type="dxa"/>
            <w:vAlign w:val="bottom"/>
          </w:tcPr>
          <w:p>
            <w:pPr>
              <w:spacing w:after="0"/>
              <w:rPr>
                <w:sz w:val="20"/>
                <w:szCs w:val="20"/>
                <w:color w:val="auto"/>
              </w:rPr>
            </w:pPr>
            <w:r>
              <w:rPr>
                <w:rFonts w:ascii="Arial" w:cs="Arial" w:eastAsia="Arial" w:hAnsi="Arial"/>
                <w:sz w:val="18"/>
                <w:szCs w:val="18"/>
                <w:color w:val="auto"/>
              </w:rPr>
              <w:t>Other intangibles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4,016,133</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4,418,577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jc w:val="center"/>
              <w:ind w:left="2331"/>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000" w:type="dxa"/>
            <w:vAlign w:val="bottom"/>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34,063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34,998</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1,125,298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1,025,014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000" w:type="dxa"/>
            <w:vAlign w:val="bottom"/>
          </w:tcPr>
          <w:p>
            <w:pPr>
              <w:ind w:left="200"/>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60,609</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1,159,361</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1,120,621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00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51,199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53,868</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9000" w:type="dxa"/>
            <w:vAlign w:val="bottom"/>
          </w:tcPr>
          <w:p>
            <w:pPr>
              <w:ind w:left="200"/>
              <w:spacing w:after="0" w:line="201" w:lineRule="exact"/>
              <w:rPr>
                <w:sz w:val="20"/>
                <w:szCs w:val="20"/>
                <w:color w:val="auto"/>
              </w:rPr>
            </w:pPr>
            <w:r>
              <w:rPr>
                <w:rFonts w:ascii="Arial" w:cs="Arial" w:eastAsia="Arial" w:hAnsi="Arial"/>
                <w:sz w:val="18"/>
                <w:szCs w:val="18"/>
                <w:color w:val="auto"/>
                <w:w w:val="94"/>
              </w:rPr>
              <w:t>Common stock, Class A, $0.0001 par value; authorized 600,000,000 shares at December 31, 2008 and 2007; issued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000" w:type="dxa"/>
            <w:vAlign w:val="bottom"/>
          </w:tcPr>
          <w:p>
            <w:pPr>
              <w:ind w:left="400"/>
              <w:spacing w:after="0"/>
              <w:rPr>
                <w:sz w:val="20"/>
                <w:szCs w:val="20"/>
                <w:color w:val="auto"/>
              </w:rPr>
            </w:pPr>
            <w:r>
              <w:rPr>
                <w:rFonts w:ascii="Arial" w:cs="Arial" w:eastAsia="Arial" w:hAnsi="Arial"/>
                <w:sz w:val="18"/>
                <w:szCs w:val="18"/>
                <w:color w:val="auto"/>
              </w:rPr>
              <w:t>228,391,066 shares and 223,069,076 shares at December 31, 2008 and 2007, respectively</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$0.0001 par value; authorized 50,000,000 shares, issued and outstanding, none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90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3,325,209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3,236,866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(188,954)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213,103</w:t>
            </w:r>
          </w:p>
        </w:tc>
        <w:tc>
          <w:tcPr>
            <w:tcW w:w="0" w:type="dxa"/>
            <w:vAlign w:val="bottom"/>
          </w:tcPr>
          <w:p>
            <w:pPr>
              <w:spacing w:after="0"/>
              <w:rPr>
                <w:sz w:val="1"/>
                <w:szCs w:val="1"/>
                <w:color w:val="auto"/>
              </w:rPr>
            </w:pPr>
          </w:p>
        </w:tc>
      </w:tr>
      <w:tr>
        <w:trPr>
          <w:trHeight w:val="219"/>
        </w:trPr>
        <w:tc>
          <w:tcPr>
            <w:tcW w:w="9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3,136,278</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3,449,991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(91,757)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(16,630)</w:t>
            </w:r>
          </w:p>
        </w:tc>
        <w:tc>
          <w:tcPr>
            <w:tcW w:w="0" w:type="dxa"/>
            <w:vAlign w:val="bottom"/>
          </w:tcPr>
          <w:p>
            <w:pPr>
              <w:spacing w:after="0"/>
              <w:rPr>
                <w:sz w:val="1"/>
                <w:szCs w:val="1"/>
                <w:color w:val="auto"/>
              </w:rPr>
            </w:pPr>
          </w:p>
        </w:tc>
      </w:tr>
      <w:tr>
        <w:trPr>
          <w:trHeight w:val="201"/>
        </w:trPr>
        <w:tc>
          <w:tcPr>
            <w:tcW w:w="9000" w:type="dxa"/>
            <w:vAlign w:val="bottom"/>
          </w:tcPr>
          <w:p>
            <w:pPr>
              <w:ind w:left="200"/>
              <w:spacing w:after="0" w:line="201" w:lineRule="exact"/>
              <w:rPr>
                <w:sz w:val="20"/>
                <w:szCs w:val="20"/>
                <w:color w:val="auto"/>
              </w:rPr>
            </w:pPr>
            <w:r>
              <w:rPr>
                <w:rFonts w:ascii="Arial" w:cs="Arial" w:eastAsia="Arial" w:hAnsi="Arial"/>
                <w:sz w:val="18"/>
                <w:szCs w:val="18"/>
                <w:color w:val="auto"/>
                <w:w w:val="98"/>
              </w:rPr>
              <w:t>Less treasury stock, 13,488,288 shares and 10,032,449 shares at December 31, 2008 and December 31, 2007,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9000" w:type="dxa"/>
            <w:vAlign w:val="bottom"/>
          </w:tcPr>
          <w:p>
            <w:pPr>
              <w:ind w:left="400"/>
              <w:spacing w:after="0"/>
              <w:rPr>
                <w:sz w:val="20"/>
                <w:szCs w:val="20"/>
                <w:color w:val="auto"/>
              </w:rPr>
            </w:pPr>
            <w:r>
              <w:rPr>
                <w:rFonts w:ascii="Arial" w:cs="Arial" w:eastAsia="Arial" w:hAnsi="Arial"/>
                <w:sz w:val="18"/>
                <w:szCs w:val="18"/>
                <w:color w:val="auto"/>
              </w:rPr>
              <w:t>respectively, at cost</w:t>
            </w: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(238,948)</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(189,273)</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2,805,573</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3,244,088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0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4,016,133</w:t>
            </w:r>
          </w:p>
        </w:tc>
        <w:tc>
          <w:tcPr>
            <w:tcW w:w="2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4,418,577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 —</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Registered Independent Public Accounting Firm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516"/>
        </w:trPr>
        <w:tc>
          <w:tcPr>
            <w:tcW w:w="20" w:type="dxa"/>
            <w:vAlign w:val="bottom"/>
          </w:tcPr>
          <w:p>
            <w:pPr>
              <w:spacing w:after="0"/>
              <w:rPr>
                <w:sz w:val="24"/>
                <w:szCs w:val="24"/>
                <w:color w:val="auto"/>
              </w:rPr>
            </w:pPr>
          </w:p>
        </w:tc>
        <w:tc>
          <w:tcPr>
            <w:tcW w:w="7720" w:type="dxa"/>
            <w:vAlign w:val="bottom"/>
          </w:tcPr>
          <w:p>
            <w:pPr>
              <w:jc w:val="center"/>
              <w:ind w:left="3591"/>
              <w:spacing w:after="0"/>
              <w:rPr>
                <w:sz w:val="20"/>
                <w:szCs w:val="20"/>
                <w:color w:val="auto"/>
              </w:rPr>
            </w:pPr>
            <w:r>
              <w:rPr>
                <w:rFonts w:ascii="Arial" w:cs="Arial" w:eastAsia="Arial" w:hAnsi="Arial"/>
                <w:sz w:val="18"/>
                <w:szCs w:val="18"/>
                <w:b w:val="1"/>
                <w:bCs w:val="1"/>
                <w:color w:val="auto"/>
              </w:rPr>
              <w:t>FIDELITY NATIONAL FINANCIAL, INC.</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jc w:val="center"/>
              <w:ind w:left="3571"/>
              <w:spacing w:after="0"/>
              <w:rPr>
                <w:sz w:val="20"/>
                <w:szCs w:val="20"/>
                <w:color w:val="auto"/>
              </w:rPr>
            </w:pPr>
            <w:r>
              <w:rPr>
                <w:rFonts w:ascii="Arial" w:cs="Arial" w:eastAsia="Arial" w:hAnsi="Arial"/>
                <w:sz w:val="18"/>
                <w:szCs w:val="18"/>
                <w:b w:val="1"/>
                <w:bCs w:val="1"/>
                <w:color w:val="auto"/>
                <w:w w:val="91"/>
              </w:rPr>
              <w:t>(Parent Company)</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8620" w:type="dxa"/>
            <w:vAlign w:val="bottom"/>
            <w:gridSpan w:val="4"/>
          </w:tcPr>
          <w:p>
            <w:pPr>
              <w:jc w:val="center"/>
              <w:ind w:left="2691"/>
              <w:spacing w:after="0"/>
              <w:rPr>
                <w:sz w:val="20"/>
                <w:szCs w:val="20"/>
                <w:color w:val="auto"/>
              </w:rPr>
            </w:pPr>
            <w:r>
              <w:rPr>
                <w:rFonts w:ascii="Arial" w:cs="Arial" w:eastAsia="Arial" w:hAnsi="Arial"/>
                <w:sz w:val="18"/>
                <w:szCs w:val="18"/>
                <w:b w:val="1"/>
                <w:bCs w:val="1"/>
                <w:color w:val="auto"/>
                <w:w w:val="98"/>
              </w:rPr>
              <w:t>STATEMENTS OF EARNINGS AND RETAINED EARNINGS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1"/>
              </w:rPr>
              <w:t>Year Ended December 31,</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0"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0"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0"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8"/>
          </w:tcPr>
          <w:p>
            <w:pPr>
              <w:jc w:val="right"/>
              <w:spacing w:after="0" w:line="140" w:lineRule="exact"/>
              <w:rPr>
                <w:sz w:val="20"/>
                <w:szCs w:val="20"/>
                <w:color w:val="auto"/>
              </w:rPr>
            </w:pPr>
            <w:r>
              <w:rPr>
                <w:rFonts w:ascii="Arial" w:cs="Arial" w:eastAsia="Arial" w:hAnsi="Arial"/>
                <w:sz w:val="14"/>
                <w:szCs w:val="14"/>
                <w:b w:val="1"/>
                <w:bCs w:val="1"/>
                <w:color w:val="auto"/>
              </w:rPr>
              <w:t>(In thousands, except per share data)</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Other fees and revenue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3,540</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12,930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investment income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18,271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19,627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21,534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Personnel expenses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14,898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20,830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47,538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20,293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12,788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54,118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38,050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41,089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89,309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116,405</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 expense benefit and equity in (losses) earnings of subsidiaries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(71,038)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(52,041)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(94,871)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(35,292)</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Loss before equity in (losses) earnings of subsidiaries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(40,847)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(38,250)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(59,579)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earnings of subsidiaries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(142,379)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167,987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651,910</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(Loss) earnings before minority interest</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(183,226)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129,737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592,331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154,570</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7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(179,016)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129,769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437,761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basic basis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209,974</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216,583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182,031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diluted basis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209,974</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219,989</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182,861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213,103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345,516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103,665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Dividends declared</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(223,041)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(262,182)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(195,910)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(179,016)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129,769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437,761</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Retained (deficit) earnings, end of year</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7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(188,954)</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213,103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345,516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 —</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Registered Independent Public Accounting Firm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516"/>
        </w:trPr>
        <w:tc>
          <w:tcPr>
            <w:tcW w:w="20" w:type="dxa"/>
            <w:vAlign w:val="bottom"/>
          </w:tcPr>
          <w:p>
            <w:pPr>
              <w:spacing w:after="0"/>
              <w:rPr>
                <w:sz w:val="24"/>
                <w:szCs w:val="24"/>
                <w:color w:val="auto"/>
              </w:rPr>
            </w:pPr>
          </w:p>
        </w:tc>
        <w:tc>
          <w:tcPr>
            <w:tcW w:w="7720" w:type="dxa"/>
            <w:vAlign w:val="bottom"/>
          </w:tcPr>
          <w:p>
            <w:pPr>
              <w:jc w:val="center"/>
              <w:ind w:left="3591"/>
              <w:spacing w:after="0"/>
              <w:rPr>
                <w:sz w:val="20"/>
                <w:szCs w:val="20"/>
                <w:color w:val="auto"/>
              </w:rPr>
            </w:pPr>
            <w:r>
              <w:rPr>
                <w:rFonts w:ascii="Arial" w:cs="Arial" w:eastAsia="Arial" w:hAnsi="Arial"/>
                <w:sz w:val="18"/>
                <w:szCs w:val="18"/>
                <w:b w:val="1"/>
                <w:bCs w:val="1"/>
                <w:color w:val="auto"/>
              </w:rPr>
              <w:t>FIDELITY NATIONAL FINANCIAL, INC.</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jc w:val="center"/>
              <w:ind w:left="3571"/>
              <w:spacing w:after="0"/>
              <w:rPr>
                <w:sz w:val="20"/>
                <w:szCs w:val="20"/>
                <w:color w:val="auto"/>
              </w:rPr>
            </w:pPr>
            <w:r>
              <w:rPr>
                <w:rFonts w:ascii="Arial" w:cs="Arial" w:eastAsia="Arial" w:hAnsi="Arial"/>
                <w:sz w:val="18"/>
                <w:szCs w:val="18"/>
                <w:b w:val="1"/>
                <w:bCs w:val="1"/>
                <w:color w:val="auto"/>
                <w:w w:val="91"/>
              </w:rPr>
              <w:t>(Parent Company)</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7720" w:type="dxa"/>
            <w:vAlign w:val="bottom"/>
          </w:tcPr>
          <w:p>
            <w:pPr>
              <w:jc w:val="center"/>
              <w:ind w:left="3571"/>
              <w:spacing w:after="0"/>
              <w:rPr>
                <w:sz w:val="20"/>
                <w:szCs w:val="20"/>
                <w:color w:val="auto"/>
              </w:rPr>
            </w:pPr>
            <w:r>
              <w:rPr>
                <w:rFonts w:ascii="Arial" w:cs="Arial" w:eastAsia="Arial" w:hAnsi="Arial"/>
                <w:sz w:val="18"/>
                <w:szCs w:val="18"/>
                <w:b w:val="1"/>
                <w:bCs w:val="1"/>
                <w:color w:val="auto"/>
                <w:w w:val="97"/>
              </w:rPr>
              <w:t>STATEMENTS OF CASH FLOWS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1"/>
              </w:rPr>
              <w:t>Year Ended December 31,</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0"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0"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0"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ind w:left="440"/>
              <w:spacing w:after="0" w:line="140" w:lineRule="exact"/>
              <w:rPr>
                <w:sz w:val="20"/>
                <w:szCs w:val="20"/>
                <w:color w:val="auto"/>
              </w:rPr>
            </w:pPr>
            <w:r>
              <w:rPr>
                <w:rFonts w:ascii="Arial" w:cs="Arial" w:eastAsia="Arial" w:hAnsi="Arial"/>
                <w:sz w:val="14"/>
                <w:szCs w:val="14"/>
                <w:b w:val="1"/>
                <w:bCs w:val="1"/>
                <w:color w:val="auto"/>
                <w:w w:val="82"/>
              </w:rPr>
              <w:t>(In thousands)</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(losses) earnings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(179,016)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129,769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437,761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(losses) earnings to net cash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1,517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1,630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154,570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Arial" w:cs="Arial" w:eastAsia="Arial" w:hAnsi="Arial"/>
                <w:sz w:val="18"/>
                <w:szCs w:val="18"/>
                <w:color w:val="auto"/>
              </w:rPr>
              <w:t>Equity in losses (earnings) of subsidiaries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142,379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(167,987)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(651,910)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(gains) on sales of investments and other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Arial" w:cs="Arial" w:eastAsia="Arial" w:hAnsi="Arial"/>
                <w:sz w:val="18"/>
                <w:szCs w:val="18"/>
                <w:color w:val="auto"/>
              </w:rPr>
              <w:t>Stock-based compensation cost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32,669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29,866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64,984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 associated with the exercise of stock options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(81,776)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Arial" w:cs="Arial" w:eastAsia="Arial" w:hAnsi="Arial"/>
                <w:sz w:val="18"/>
                <w:szCs w:val="18"/>
                <w:color w:val="auto"/>
              </w:rPr>
              <w:t>Transaction fee income</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(12,293)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 income taxes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(32,527)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(92,144)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Arial" w:cs="Arial" w:eastAsia="Arial" w:hAnsi="Arial"/>
                <w:sz w:val="18"/>
                <w:szCs w:val="18"/>
                <w:color w:val="auto"/>
              </w:rPr>
              <w:t>Net (increase) decrease in prepaid expenses and other assets</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(9,836)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7,348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increase in accounts payable and accrued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(34,356)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3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(120,603)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(44,426)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(166,781)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Proceeds from sales of investments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26,020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372,767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919,653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(241,796)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(944,672)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(purchases) proceeds from short-term investing activities</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(89,836)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320,553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(10,597)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Collections (proceeds) of notes receivable</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1,389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sale of partial interest in Sedgwick CMS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53,872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additions to investment in subsidiaries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(498,206)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(115,022)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(376,443)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179,258</w:t>
            </w:r>
          </w:p>
        </w:tc>
        <w:tc>
          <w:tcPr>
            <w:tcW w:w="0" w:type="dxa"/>
            <w:vAlign w:val="bottom"/>
          </w:tcPr>
          <w:p>
            <w:pPr>
              <w:spacing w:after="0"/>
              <w:rPr>
                <w:sz w:val="1"/>
                <w:szCs w:val="1"/>
                <w:color w:val="auto"/>
              </w:rPr>
            </w:pPr>
          </w:p>
        </w:tc>
      </w:tr>
      <w:tr>
        <w:trPr>
          <w:trHeight w:val="219"/>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170,000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535,000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Debt service payments</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(120,000)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Debt cost additions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(223,041)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(262,182)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(195,910)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(45,998)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(187,245)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5,377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8,409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35,665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Tax benefit associated with the exercise of stock options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borrowings and dividends from subsidiaries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357,718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323,104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75,980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144,353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420,869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(12,477)</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year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Cash at end of year</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7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 —</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Registered Independent Public Accounting Firm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Significant Accounting Policies</w:t>
      </w:r>
    </w:p>
    <w:p>
      <w:pPr>
        <w:spacing w:after="0" w:line="119" w:lineRule="exact"/>
        <w:rPr>
          <w:sz w:val="20"/>
          <w:szCs w:val="20"/>
          <w:color w:val="auto"/>
        </w:rPr>
      </w:pPr>
    </w:p>
    <w:p>
      <w:pPr>
        <w:ind w:right="760" w:firstLine="222"/>
        <w:spacing w:after="0" w:line="331" w:lineRule="auto"/>
        <w:rPr>
          <w:sz w:val="20"/>
          <w:szCs w:val="20"/>
          <w:color w:val="auto"/>
        </w:rPr>
      </w:pPr>
      <w:r>
        <w:rPr>
          <w:rFonts w:ascii="Arial" w:cs="Arial" w:eastAsia="Arial" w:hAnsi="Arial"/>
          <w:sz w:val="16"/>
          <w:szCs w:val="16"/>
          <w:color w:val="auto"/>
        </w:rPr>
        <w:t>Fidelity National Financial, Inc. (the “Company”) transacts substantially all of its business through its subsidiaries. The Parent Company Financial Statements should be read in connection with the aforementioned Consolidated Financial Statements and Notes thereto included elsewhere herein.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Notes Payable</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Notes payable consist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209"/>
              <w:spacing w:after="0" w:line="140"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6"/>
              <w:spacing w:after="0" w:line="140"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40" w:type="dxa"/>
            <w:vAlign w:val="bottom"/>
            <w:gridSpan w:val="8"/>
          </w:tcPr>
          <w:p>
            <w:pPr>
              <w:ind w:left="220"/>
              <w:spacing w:after="0" w:line="140" w:lineRule="exact"/>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 net of discount, interest payable semi-annually at 5.25%, due March 2013</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249,217</w:t>
            </w:r>
          </w:p>
        </w:tc>
        <w:tc>
          <w:tcPr>
            <w:tcW w:w="4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249,033</w:t>
            </w: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Arial" w:cs="Arial" w:eastAsia="Arial" w:hAnsi="Arial"/>
                <w:sz w:val="18"/>
                <w:szCs w:val="18"/>
                <w:color w:val="auto"/>
              </w:rPr>
              <w:t>Unsecured notes, net of discount, interest payable semi-annually at 7.3%, due August 2011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8"/>
                <w:szCs w:val="18"/>
                <w:color w:val="auto"/>
              </w:rPr>
              <w:t>241,081</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240,981</w:t>
            </w:r>
          </w:p>
        </w:tc>
        <w:tc>
          <w:tcPr>
            <w:tcW w:w="0" w:type="dxa"/>
            <w:vAlign w:val="bottom"/>
          </w:tcPr>
          <w:p>
            <w:pPr>
              <w:spacing w:after="0"/>
              <w:rPr>
                <w:sz w:val="1"/>
                <w:szCs w:val="1"/>
                <w:color w:val="auto"/>
              </w:rPr>
            </w:pPr>
          </w:p>
        </w:tc>
      </w:tr>
      <w:tr>
        <w:trPr>
          <w:trHeight w:val="201"/>
        </w:trPr>
        <w:tc>
          <w:tcPr>
            <w:tcW w:w="87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Syndicated credit agreement, unsecured, interest due monthly at LIBOR plus 0.36% (3.53% at December 31, 2008),</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unused portion $515 million at December 31, 2008</w:t>
            </w: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585,000</w:t>
            </w: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535,000</w:t>
            </w:r>
          </w:p>
        </w:tc>
        <w:tc>
          <w:tcPr>
            <w:tcW w:w="0" w:type="dxa"/>
            <w:vAlign w:val="bottom"/>
          </w:tcPr>
          <w:p>
            <w:pPr>
              <w:spacing w:after="0"/>
              <w:rPr>
                <w:sz w:val="1"/>
                <w:szCs w:val="1"/>
                <w:color w:val="auto"/>
              </w:rPr>
            </w:pPr>
          </w:p>
        </w:tc>
      </w:tr>
      <w:tr>
        <w:trPr>
          <w:trHeight w:val="201"/>
        </w:trPr>
        <w:tc>
          <w:tcPr>
            <w:tcW w:w="7880" w:type="dxa"/>
            <w:vAlign w:val="bottom"/>
          </w:tcPr>
          <w:p>
            <w:pPr>
              <w:spacing w:after="0" w:line="201" w:lineRule="exact"/>
              <w:rPr>
                <w:sz w:val="20"/>
                <w:szCs w:val="20"/>
                <w:color w:val="auto"/>
              </w:rPr>
            </w:pPr>
            <w:r>
              <w:rPr>
                <w:rFonts w:ascii="Arial" w:cs="Arial" w:eastAsia="Arial" w:hAnsi="Arial"/>
                <w:sz w:val="18"/>
                <w:szCs w:val="18"/>
                <w:color w:val="auto"/>
                <w:w w:val="93"/>
              </w:rPr>
              <w:t>Subordinated note payable to LandAmerica Financial Group, Inc., interest payable annually at 2.36%, due</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880" w:type="dxa"/>
            <w:vAlign w:val="bottom"/>
          </w:tcPr>
          <w:p>
            <w:pPr>
              <w:ind w:left="200"/>
              <w:spacing w:after="0"/>
              <w:rPr>
                <w:sz w:val="20"/>
                <w:szCs w:val="20"/>
                <w:color w:val="auto"/>
              </w:rPr>
            </w:pPr>
            <w:r>
              <w:rPr>
                <w:rFonts w:ascii="Arial" w:cs="Arial" w:eastAsia="Arial" w:hAnsi="Arial"/>
                <w:sz w:val="18"/>
                <w:szCs w:val="18"/>
                <w:color w:val="auto"/>
              </w:rPr>
              <w:t>December 2013</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$ 1,125,298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$ 1,025,014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C. Supplemental Cash Flow Information</w:t>
            </w: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8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8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7880" w:type="dxa"/>
            <w:vAlign w:val="bottom"/>
          </w:tcPr>
          <w:p>
            <w:pPr>
              <w:spacing w:after="0"/>
              <w:rPr>
                <w:sz w:val="12"/>
                <w:szCs w:val="12"/>
                <w:color w:val="auto"/>
              </w:rPr>
            </w:pPr>
          </w:p>
        </w:tc>
        <w:tc>
          <w:tcPr>
            <w:tcW w:w="700" w:type="dxa"/>
            <w:vAlign w:val="bottom"/>
            <w:tcBorders>
              <w:bottom w:val="single" w:sz="8" w:color="auto"/>
            </w:tcBorders>
          </w:tcPr>
          <w:p>
            <w:pPr>
              <w:jc w:val="right"/>
              <w:ind w:right="117"/>
              <w:spacing w:after="0" w:line="140"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560" w:type="dxa"/>
            <w:vAlign w:val="bottom"/>
            <w:tcBorders>
              <w:bottom w:val="single" w:sz="8" w:color="auto"/>
            </w:tcBorders>
          </w:tcPr>
          <w:p>
            <w:pPr>
              <w:jc w:val="center"/>
              <w:ind w:left="49"/>
              <w:spacing w:after="0" w:line="140" w:lineRule="exact"/>
              <w:rPr>
                <w:sz w:val="20"/>
                <w:szCs w:val="20"/>
                <w:color w:val="auto"/>
              </w:rPr>
            </w:pPr>
            <w:r>
              <w:rPr>
                <w:rFonts w:ascii="Arial" w:cs="Arial" w:eastAsia="Arial" w:hAnsi="Arial"/>
                <w:sz w:val="14"/>
                <w:szCs w:val="14"/>
                <w:b w:val="1"/>
                <w:bCs w:val="1"/>
                <w:color w:val="auto"/>
                <w:w w:val="89"/>
              </w:rPr>
              <w:t>2007</w:t>
            </w:r>
          </w:p>
        </w:tc>
        <w:tc>
          <w:tcPr>
            <w:tcW w:w="1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6"/>
              <w:spacing w:after="0" w:line="140"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5"/>
          </w:tcPr>
          <w:p>
            <w:pPr>
              <w:jc w:val="center"/>
              <w:spacing w:after="0" w:line="140" w:lineRule="exact"/>
              <w:rPr>
                <w:sz w:val="20"/>
                <w:szCs w:val="20"/>
                <w:color w:val="auto"/>
              </w:rPr>
            </w:pPr>
            <w:r>
              <w:rPr>
                <w:rFonts w:ascii="Arial" w:cs="Arial" w:eastAsia="Arial" w:hAnsi="Arial"/>
                <w:sz w:val="14"/>
                <w:szCs w:val="14"/>
                <w:b w:val="1"/>
                <w:bCs w:val="1"/>
                <w:color w:val="auto"/>
                <w:w w:val="90"/>
              </w:rPr>
              <w:t>(Dollars in 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paid (received) during the year:</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Arial" w:cs="Arial" w:eastAsia="Arial" w:hAnsi="Arial"/>
                <w:sz w:val="18"/>
                <w:szCs w:val="18"/>
                <w:color w:val="auto"/>
              </w:rPr>
              <w:t>Interest paid</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  50,305</w:t>
            </w:r>
          </w:p>
        </w:tc>
        <w:tc>
          <w:tcPr>
            <w:tcW w:w="1720" w:type="dxa"/>
            <w:vAlign w:val="bottom"/>
            <w:gridSpan w:val="5"/>
          </w:tcPr>
          <w:p>
            <w:pPr>
              <w:jc w:val="right"/>
              <w:ind w:right="480"/>
              <w:spacing w:after="0"/>
              <w:rPr>
                <w:sz w:val="20"/>
                <w:szCs w:val="20"/>
                <w:color w:val="auto"/>
              </w:rPr>
            </w:pPr>
            <w:r>
              <w:rPr>
                <w:rFonts w:ascii="Arial" w:cs="Arial" w:eastAsia="Arial" w:hAnsi="Arial"/>
                <w:sz w:val="18"/>
                <w:szCs w:val="18"/>
                <w:color w:val="auto"/>
              </w:rPr>
              <w:t>$ 37,700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35,292</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(received) paid</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(47,403)</w:t>
            </w:r>
          </w:p>
        </w:tc>
        <w:tc>
          <w:tcPr>
            <w:tcW w:w="17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(38,119)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185,678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00" w:firstLine="222"/>
        <w:spacing w:after="0" w:line="270" w:lineRule="auto"/>
        <w:rPr>
          <w:sz w:val="20"/>
          <w:szCs w:val="20"/>
          <w:color w:val="auto"/>
        </w:rPr>
      </w:pPr>
      <w:r>
        <w:rPr>
          <w:rFonts w:ascii="Arial" w:cs="Arial" w:eastAsia="Arial" w:hAnsi="Arial"/>
          <w:sz w:val="17"/>
          <w:szCs w:val="17"/>
          <w:color w:val="auto"/>
        </w:rPr>
        <w:t>On December 22, the Company, along with two of its subsidiaries, Chicago Title Insurance Company and Fidelity National Title Insurance Company (“FNTIC’), completed the acquisition of certain title insurance subsidiaries from LandAmerica Financial Group, Inc. (“LFG”). The purchase price of one of these subsidiaries, Lawyers Title Insurance Corporation (“Lawyers”), included a $50 million subordinated note from the Company due in 2013 (see note B), and $50 million of the Company’s common stock (3,176,620 shares valued at $15.74 per share at the time of closing). Immediately subsequent to the acquisition, the Company contributed its ownership interest in Lawyers to FNTIC.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Cash Dividends Received</w:t>
      </w:r>
    </w:p>
    <w:p>
      <w:pPr>
        <w:spacing w:after="0" w:line="119" w:lineRule="exact"/>
        <w:rPr>
          <w:sz w:val="20"/>
          <w:szCs w:val="20"/>
          <w:color w:val="auto"/>
        </w:rPr>
      </w:pPr>
    </w:p>
    <w:p>
      <w:pPr>
        <w:ind w:right="40" w:firstLine="219"/>
        <w:spacing w:after="0" w:line="267" w:lineRule="auto"/>
        <w:rPr>
          <w:sz w:val="20"/>
          <w:szCs w:val="20"/>
          <w:color w:val="auto"/>
        </w:rPr>
      </w:pPr>
      <w:r>
        <w:rPr>
          <w:rFonts w:ascii="Arial" w:cs="Arial" w:eastAsia="Arial" w:hAnsi="Arial"/>
          <w:sz w:val="18"/>
          <w:szCs w:val="18"/>
          <w:color w:val="auto"/>
        </w:rPr>
        <w:t>The Company has received cash dividends from subsidiaries and affiliates of $0.2 billion, $0.4 billion, and $0.4 billion during the years ended December 31, 2008, 2007, and 2006, respectively.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3"/>
          </w:tcPr>
          <w:p>
            <w:pPr>
              <w:ind w:left="160"/>
              <w:spacing w:after="0"/>
              <w:rPr>
                <w:sz w:val="20"/>
                <w:szCs w:val="20"/>
                <w:color w:val="auto"/>
              </w:rPr>
            </w:pPr>
            <w:r>
              <w:rPr>
                <w:rFonts w:ascii="Arial" w:cs="Arial" w:eastAsia="Arial" w:hAnsi="Arial"/>
                <w:sz w:val="18"/>
                <w:szCs w:val="18"/>
                <w:b w:val="1"/>
                <w:bCs w:val="1"/>
                <w:color w:val="auto"/>
                <w:w w:val="96"/>
              </w:rPr>
              <w:t>SCHEDULE V</w:t>
            </w:r>
          </w:p>
        </w:tc>
        <w:tc>
          <w:tcPr>
            <w:tcW w:w="0" w:type="dxa"/>
            <w:vAlign w:val="bottom"/>
          </w:tcPr>
          <w:p>
            <w:pPr>
              <w:spacing w:after="0"/>
              <w:rPr>
                <w:sz w:val="1"/>
                <w:szCs w:val="1"/>
                <w:color w:val="auto"/>
              </w:rPr>
            </w:pPr>
          </w:p>
        </w:tc>
      </w:tr>
      <w:tr>
        <w:trPr>
          <w:trHeight w:val="533"/>
        </w:trPr>
        <w:tc>
          <w:tcPr>
            <w:tcW w:w="3060" w:type="dxa"/>
            <w:vAlign w:val="bottom"/>
          </w:tcPr>
          <w:p>
            <w:pPr>
              <w:spacing w:after="0"/>
              <w:rPr>
                <w:sz w:val="24"/>
                <w:szCs w:val="24"/>
                <w:color w:val="auto"/>
              </w:rPr>
            </w:pPr>
          </w:p>
        </w:tc>
        <w:tc>
          <w:tcPr>
            <w:tcW w:w="5800" w:type="dxa"/>
            <w:vAlign w:val="bottom"/>
            <w:gridSpan w:val="10"/>
          </w:tcPr>
          <w:p>
            <w:pPr>
              <w:jc w:val="center"/>
              <w:ind w:right="48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060" w:type="dxa"/>
            <w:vAlign w:val="bottom"/>
          </w:tcPr>
          <w:p>
            <w:pPr>
              <w:spacing w:after="0"/>
              <w:rPr>
                <w:sz w:val="24"/>
                <w:szCs w:val="24"/>
                <w:color w:val="auto"/>
              </w:rPr>
            </w:pPr>
          </w:p>
        </w:tc>
        <w:tc>
          <w:tcPr>
            <w:tcW w:w="5800" w:type="dxa"/>
            <w:vAlign w:val="bottom"/>
            <w:gridSpan w:val="10"/>
          </w:tcPr>
          <w:p>
            <w:pPr>
              <w:jc w:val="center"/>
              <w:ind w:right="480"/>
              <w:spacing w:after="0"/>
              <w:rPr>
                <w:sz w:val="20"/>
                <w:szCs w:val="20"/>
                <w:color w:val="auto"/>
              </w:rPr>
            </w:pPr>
            <w:r>
              <w:rPr>
                <w:rFonts w:ascii="Arial" w:cs="Arial" w:eastAsia="Arial" w:hAnsi="Arial"/>
                <w:sz w:val="18"/>
                <w:szCs w:val="18"/>
                <w:b w:val="1"/>
                <w:bCs w:val="1"/>
                <w:color w:val="auto"/>
                <w:w w:val="99"/>
              </w:rPr>
              <w:t>VALUATION AND QUALIFYING ACCOUNTS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500" w:type="dxa"/>
            <w:vAlign w:val="bottom"/>
            <w:gridSpan w:val="8"/>
          </w:tcPr>
          <w:p>
            <w:pPr>
              <w:jc w:val="center"/>
              <w:ind w:left="711"/>
              <w:spacing w:after="0"/>
              <w:rPr>
                <w:sz w:val="20"/>
                <w:szCs w:val="20"/>
                <w:color w:val="auto"/>
              </w:rPr>
            </w:pPr>
            <w:r>
              <w:rPr>
                <w:rFonts w:ascii="Arial" w:cs="Arial" w:eastAsia="Arial" w:hAnsi="Arial"/>
                <w:sz w:val="18"/>
                <w:szCs w:val="18"/>
                <w:b w:val="1"/>
                <w:bCs w:val="1"/>
                <w:color w:val="auto"/>
                <w:w w:val="88"/>
              </w:rPr>
              <w:t>Years Ended December 31, 2008, 2007 and 2006</w:t>
            </w: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Column A</w:t>
            </w:r>
          </w:p>
        </w:tc>
        <w:tc>
          <w:tcPr>
            <w:tcW w:w="114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Column B</w:t>
            </w:r>
          </w:p>
        </w:tc>
        <w:tc>
          <w:tcPr>
            <w:tcW w:w="6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Column C</w:t>
            </w:r>
          </w:p>
        </w:tc>
        <w:tc>
          <w:tcPr>
            <w:tcW w:w="7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Column D</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Column 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1"/>
              </w:rPr>
              <w:t>Balance at</w:t>
            </w: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spacing w:after="0" w:line="140" w:lineRule="exact"/>
              <w:rPr>
                <w:sz w:val="20"/>
                <w:szCs w:val="20"/>
                <w:color w:val="auto"/>
              </w:rPr>
            </w:pPr>
            <w:r>
              <w:rPr>
                <w:rFonts w:ascii="Arial" w:cs="Arial" w:eastAsia="Arial" w:hAnsi="Arial"/>
                <w:sz w:val="14"/>
                <w:szCs w:val="14"/>
                <w:b w:val="1"/>
                <w:bCs w:val="1"/>
                <w:color w:val="auto"/>
                <w:w w:val="95"/>
              </w:rPr>
              <w:t>Additions</w:t>
            </w:r>
          </w:p>
        </w:tc>
        <w:tc>
          <w:tcPr>
            <w:tcW w:w="72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720" w:type="dxa"/>
            <w:vAlign w:val="bottom"/>
            <w:gridSpan w:val="2"/>
          </w:tcPr>
          <w:p>
            <w:pPr>
              <w:ind w:left="40"/>
              <w:spacing w:after="0" w:line="118" w:lineRule="exact"/>
              <w:rPr>
                <w:sz w:val="20"/>
                <w:szCs w:val="20"/>
                <w:color w:val="auto"/>
              </w:rPr>
            </w:pPr>
            <w:r>
              <w:rPr>
                <w:rFonts w:ascii="Arial" w:cs="Arial" w:eastAsia="Arial" w:hAnsi="Arial"/>
                <w:sz w:val="13"/>
                <w:szCs w:val="13"/>
                <w:b w:val="1"/>
                <w:bCs w:val="1"/>
                <w:color w:val="auto"/>
              </w:rPr>
              <w:t>Charge to</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0"/>
                <w:szCs w:val="10"/>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Deduction</w:t>
            </w:r>
          </w:p>
        </w:tc>
        <w:tc>
          <w:tcPr>
            <w:tcW w:w="3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gridSpan w:val="2"/>
          </w:tcPr>
          <w:p>
            <w:pPr>
              <w:jc w:val="center"/>
              <w:ind w:right="620"/>
              <w:spacing w:after="0" w:line="147" w:lineRule="exact"/>
              <w:rPr>
                <w:sz w:val="20"/>
                <w:szCs w:val="20"/>
                <w:color w:val="auto"/>
              </w:rPr>
            </w:pPr>
            <w:r>
              <w:rPr>
                <w:rFonts w:ascii="Arial" w:cs="Arial" w:eastAsia="Arial" w:hAnsi="Arial"/>
                <w:sz w:val="14"/>
                <w:szCs w:val="14"/>
                <w:b w:val="1"/>
                <w:bCs w:val="1"/>
                <w:color w:val="auto"/>
                <w:w w:val="91"/>
              </w:rPr>
              <w:t>Beginning of</w:t>
            </w:r>
          </w:p>
        </w:tc>
        <w:tc>
          <w:tcPr>
            <w:tcW w:w="7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w w:val="97"/>
              </w:rPr>
              <w:t>Costs and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69"/>
        </w:trPr>
        <w:tc>
          <w:tcPr>
            <w:tcW w:w="306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6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w w:val="94"/>
              </w:rPr>
              <w:t>Expenses</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(Described)</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(Described)</w:t>
            </w:r>
          </w:p>
        </w:tc>
        <w:tc>
          <w:tcPr>
            <w:tcW w:w="36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0"/>
        </w:trPr>
        <w:tc>
          <w:tcPr>
            <w:tcW w:w="30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4"/>
          </w:tcPr>
          <w:p>
            <w:pPr>
              <w:jc w:val="right"/>
              <w:ind w:right="180"/>
              <w:spacing w:after="0" w:line="140"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2008:</w:t>
            </w: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8"/>
                <w:szCs w:val="18"/>
                <w:color w:val="auto"/>
              </w:rPr>
              <w:t>Reserve for claim losses</w:t>
            </w:r>
          </w:p>
        </w:tc>
        <w:tc>
          <w:tcPr>
            <w:tcW w:w="3080" w:type="dxa"/>
            <w:vAlign w:val="bottom"/>
            <w:gridSpan w:val="4"/>
          </w:tcPr>
          <w:p>
            <w:pPr>
              <w:jc w:val="right"/>
              <w:ind w:right="620"/>
              <w:spacing w:after="0"/>
              <w:rPr>
                <w:sz w:val="20"/>
                <w:szCs w:val="20"/>
                <w:color w:val="auto"/>
              </w:rPr>
            </w:pPr>
            <w:r>
              <w:rPr>
                <w:rFonts w:ascii="Arial" w:cs="Arial" w:eastAsia="Arial" w:hAnsi="Arial"/>
                <w:sz w:val="18"/>
                <w:szCs w:val="18"/>
                <w:color w:val="auto"/>
              </w:rPr>
              <w:t>$ 1,419,910</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$ 630,404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1,115,803(3)</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$ 427,492(1)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$ 2,738,625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1"/>
              </w:rPr>
              <w:t>Allowance on trade and notes receivables</w:t>
            </w:r>
          </w:p>
        </w:tc>
        <w:tc>
          <w:tcPr>
            <w:tcW w:w="30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13,091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9,934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337(2)</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5,998(2)</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15,263(3)</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32,627</w:t>
            </w: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2007:</w:t>
            </w: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8"/>
                <w:szCs w:val="18"/>
                <w:color w:val="auto"/>
              </w:rPr>
              <w:t>Reserve for claim losses</w:t>
            </w:r>
          </w:p>
        </w:tc>
        <w:tc>
          <w:tcPr>
            <w:tcW w:w="3080" w:type="dxa"/>
            <w:vAlign w:val="bottom"/>
            <w:gridSpan w:val="4"/>
          </w:tcPr>
          <w:p>
            <w:pPr>
              <w:jc w:val="right"/>
              <w:ind w:right="620"/>
              <w:spacing w:after="0"/>
              <w:rPr>
                <w:sz w:val="20"/>
                <w:szCs w:val="20"/>
                <w:color w:val="auto"/>
              </w:rPr>
            </w:pPr>
            <w:r>
              <w:rPr>
                <w:rFonts w:ascii="Arial" w:cs="Arial" w:eastAsia="Arial" w:hAnsi="Arial"/>
                <w:sz w:val="18"/>
                <w:szCs w:val="18"/>
                <w:color w:val="auto"/>
              </w:rPr>
              <w:t>$ 1,220,636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$ 653,876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$ 454,602(1)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$ 1,419,910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1"/>
              </w:rPr>
              <w:t>Allowance on trade and notes receivables</w:t>
            </w:r>
          </w:p>
        </w:tc>
        <w:tc>
          <w:tcPr>
            <w:tcW w:w="30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12,674</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624(2)</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4,204(2)</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13,091</w:t>
            </w: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8"/>
                <w:szCs w:val="18"/>
                <w:color w:val="auto"/>
              </w:rPr>
              <w:t>Year ended December 31, 2006:</w:t>
            </w: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Reserve for claim losses</w:t>
            </w:r>
          </w:p>
        </w:tc>
        <w:tc>
          <w:tcPr>
            <w:tcW w:w="30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$ 1,113,506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$ 486,334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(8,515)</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$ 370,689(1)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$ 1,220,636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60" w:type="dxa"/>
            <w:vAlign w:val="bottom"/>
          </w:tcPr>
          <w:p>
            <w:pPr>
              <w:spacing w:after="0"/>
              <w:rPr>
                <w:sz w:val="20"/>
                <w:szCs w:val="20"/>
                <w:color w:val="auto"/>
              </w:rPr>
            </w:pPr>
            <w:r>
              <w:rPr>
                <w:rFonts w:ascii="Arial" w:cs="Arial" w:eastAsia="Arial" w:hAnsi="Arial"/>
                <w:sz w:val="18"/>
                <w:szCs w:val="18"/>
                <w:color w:val="auto"/>
                <w:w w:val="91"/>
              </w:rPr>
              <w:t>Allowance on trade and notes receivables</w:t>
            </w:r>
          </w:p>
        </w:tc>
        <w:tc>
          <w:tcPr>
            <w:tcW w:w="3080" w:type="dxa"/>
            <w:vAlign w:val="bottom"/>
            <w:gridSpan w:val="4"/>
          </w:tcPr>
          <w:p>
            <w:pPr>
              <w:jc w:val="right"/>
              <w:ind w:right="620"/>
              <w:spacing w:after="0"/>
              <w:rPr>
                <w:sz w:val="20"/>
                <w:szCs w:val="20"/>
                <w:color w:val="auto"/>
              </w:rPr>
            </w:pPr>
            <w:r>
              <w:rPr>
                <w:rFonts w:ascii="Arial" w:cs="Arial" w:eastAsia="Arial" w:hAnsi="Arial"/>
                <w:sz w:val="18"/>
                <w:szCs w:val="18"/>
                <w:color w:val="auto"/>
              </w:rPr>
              <w:t>34,037</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15,972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(24,761)(4)</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12,574(2)</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12,674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13042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330" w:lineRule="exact"/>
        <w:rPr>
          <w:sz w:val="20"/>
          <w:szCs w:val="20"/>
          <w:color w:val="auto"/>
        </w:rPr>
      </w:pPr>
    </w:p>
    <w:p>
      <w:pPr>
        <w:ind w:left="440" w:hanging="433"/>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payments of claim losses, net of recoupments.</w:t>
      </w:r>
    </w:p>
    <w:p>
      <w:pPr>
        <w:spacing w:after="0" w:line="73" w:lineRule="exact"/>
        <w:rPr>
          <w:rFonts w:ascii="Arial" w:cs="Arial" w:eastAsia="Arial" w:hAnsi="Arial"/>
          <w:sz w:val="18"/>
          <w:szCs w:val="18"/>
          <w:color w:val="auto"/>
        </w:rPr>
      </w:pPr>
    </w:p>
    <w:p>
      <w:pPr>
        <w:ind w:left="440" w:right="100" w:hanging="433"/>
        <w:spacing w:after="0" w:line="267"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uncollectible accounts written-off, change in reserve due to reevaluation of specific items and change in reserve due to purchases and sales of certain assets.</w:t>
      </w:r>
    </w:p>
    <w:p>
      <w:pPr>
        <w:spacing w:after="0" w:line="32" w:lineRule="exact"/>
        <w:rPr>
          <w:rFonts w:ascii="Arial" w:cs="Arial" w:eastAsia="Arial" w:hAnsi="Arial"/>
          <w:sz w:val="18"/>
          <w:szCs w:val="18"/>
          <w:color w:val="auto"/>
        </w:rPr>
      </w:pPr>
    </w:p>
    <w:p>
      <w:pPr>
        <w:ind w:left="440" w:right="300" w:hanging="433"/>
        <w:spacing w:after="0" w:line="267"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reserves assumed in the acquisition of certain title insurance underwriters from LandAmerica Financial Group, Inc. on December 22, 2008 (see note B to Notes to Consolidated Financial Statements).</w:t>
      </w:r>
    </w:p>
    <w:p>
      <w:pPr>
        <w:spacing w:after="0" w:line="32" w:lineRule="exact"/>
        <w:rPr>
          <w:rFonts w:ascii="Arial" w:cs="Arial" w:eastAsia="Arial" w:hAnsi="Arial"/>
          <w:sz w:val="18"/>
          <w:szCs w:val="18"/>
          <w:color w:val="auto"/>
        </w:rPr>
      </w:pPr>
    </w:p>
    <w:p>
      <w:pPr>
        <w:ind w:left="440" w:right="280" w:hanging="433"/>
        <w:spacing w:after="0" w:line="267"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reserves transferred in the distribution of FIS, partially offset by reserves assumed in FIS acquisitions in the period from January 1 through October 23, 2006.</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Registered Independent Public Accounting Firm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39"/>
        </w:trPr>
        <w:tc>
          <w:tcPr>
            <w:tcW w:w="92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8"/>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88"/>
              </w:rPr>
              <w:t>Securities Exchange and Distribution Agreement between Old FNF and the Registrant, dated as of June 25, 2006, as amended and restated as of</w:t>
            </w: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2"/>
              </w:rPr>
              <w:t>September 18, 2006 (incorporated by reference to Annex A to the Registrant’s Schedule 14C filed on September 19, 2006 (the “Information</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6"/>
              </w:rPr>
              <w:t>Form of Amended and Restated Certificate of Incorporation of the Registrant (incorporated by reference to Annex C to the Information</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7"/>
              </w:rPr>
              <w:t>Amended and Restated Bylaws of the Registrant, as adopted on September 26, 2005 (incorporated by reference to Exhibit 3.2 to the</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Registrant’s Quarterly Report on Form 10-Q for the quarter ended September 30, 2005)</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0"/>
              </w:rPr>
              <w:t>Indenture between the Registrant and The Bank of New York Trust Company, N.A., dated December 8, 2005, relating to the 7.30% and 5.25%</w:t>
            </w: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7"/>
              </w:rPr>
              <w:t>notes referred to below (incorporated by reference to Exhibit 4.1 to the Registrant’s Annual Report on Form 10-K for the year ended</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December 31, 2005)</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8"/>
              </w:rPr>
              <w:t>First Supplemental Indenture between the Registrant and the Bank of New York Trust Company, N.A., dated as of January 6, 2006</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(incorporated by reference to Exhibit 4.1 to the Registrant’s Current Report on Form 8-K filed on January 24, 2006)</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5"/>
              </w:rPr>
              <w:t>Form of Subordinated Indenture between the Registrant and the Bank of New York Trust Company, N.A. (incorporated by reference to</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Exhibit 4.2(A) to the Registrant’s Registration Statement on Form S-3 filed on November 14, 2007)</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0"/>
              </w:rPr>
              <w:t>Form of 7.30% note due August 15, 2011 (incorporated by reference to Exhibit 4.6 to the Registrant’s Registration Statement on Form S-4 filed</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on October 28, 2005)</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0"/>
              </w:rPr>
              <w:t>Form of 5.25% note due March 15, 2013 (incorporated by reference to Exhibit 4.7 to the Registrant’s Registration Statement on Form S-4 filed</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on October 28, 2005)</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4.6</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4"/>
              </w:rPr>
              <w:t>Form of 2.36% Subordinated Promissory Note due 2013 (incorporated by reference to Exhibit 99.2 to the Registrant’s Current Report on</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Form 8-K filed on December 24, 2008)</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4.7</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1"/>
              </w:rPr>
              <w:t>Form of the Registrant’s Common Stock Certificate (incorporated by reference to Exhibit 4.5 to the Registrant’s Annual Report on Form 10-K</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for the year ended December 31, 2006 (the “2006 Annual Report”))</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0"/>
              </w:rPr>
              <w:t>Credit Agreement among the Registrant, Bank of America, N.A., and certain agents and other lenders party thereto, dated as of September 12,</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2006 (incorporated by reference to Exhibit 10.1 to the Registrant’s Current Report on Form 8-K filed on October 30, 2006)</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87"/>
              </w:rPr>
              <w:t>Stock Purchase Agreement, dated as of November 25, 2008, as amended and restated as of December 12, 2008, as further amended and restated</w:t>
            </w:r>
          </w:p>
        </w:tc>
        <w:tc>
          <w:tcPr>
            <w:tcW w:w="0" w:type="dxa"/>
            <w:vAlign w:val="bottom"/>
          </w:tcPr>
          <w:p>
            <w:pPr>
              <w:spacing w:after="0"/>
              <w:rPr>
                <w:sz w:val="1"/>
                <w:szCs w:val="1"/>
                <w:color w:val="auto"/>
              </w:rPr>
            </w:pPr>
          </w:p>
        </w:tc>
      </w:tr>
      <w:tr>
        <w:trPr>
          <w:trHeight w:val="213"/>
        </w:trPr>
        <w:tc>
          <w:tcPr>
            <w:tcW w:w="920" w:type="dxa"/>
            <w:vAlign w:val="bottom"/>
          </w:tcPr>
          <w:p>
            <w:pPr>
              <w:spacing w:after="0"/>
              <w:rPr>
                <w:sz w:val="18"/>
                <w:szCs w:val="18"/>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1"/>
              </w:rPr>
              <w:t>as of December 21, 2008, among Fidelity National Title Insurance Company, Chicago Title Insurance Company, and LandAmerica Financial</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8"/>
              </w:rPr>
              <w:t>Group, Inc. (incorporated by reference to Exhibit 10.1 to the Registrant’s Current Report on Form 8-K filed on December 24, 2008.)</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2"/>
              </w:rPr>
              <w:t>Amended and Restated Fidelity National Financial, Inc. 2005 Omnibus Incentive Plan, effective as of September 26, 2005 (incorporated by</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reference to Annex A to the Registrant’s Schedule 14A filed on April 15, 2008).(1)</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8"/>
              </w:rPr>
              <w:t>Fidelity National Title Group, Inc. Employee Stock Purchase Plan, effective as of September 26, 2005 (incorporated by reference to</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Exhibit 10.50 to the Registrant’s Quarterly Report on Form 10-Q for the quarter ended September 30, 2005).(1)</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2"/>
              </w:rPr>
              <w:t>Form of Notice of Restricted Stock Grant and Restricted Stock Award Agreement under Amended and Restated Fidelity National Financial,</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Inc. 2005 Omnibus Incentive Plan.(1)</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5"/>
              </w:rPr>
              <w:t>Form of Notice of Stock Option Grant and Stock Option Agreement under Amended and Restated Fidelity National Financial, Inc. 2005</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Omnibus Incentive Plan.(1)</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2"/>
              </w:rPr>
              <w:t>Fidelity Sedgwick Holdings, Inc. 2006 Stock Incentive Plan (the “FSH Plan”), effective as of January 31, 2006 (incorporated by reference to</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Exhibit 99.3 to Old FNF’s Current Report on Form 8-K filed on February 6, 2006).(1)</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3"/>
              </w:rPr>
              <w:t>Form of Stock Option Agreement under the FSH Plan (incorporated by reference to Exhibit 99.4 to Old FNF’s Current Report on Form 8-K</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filed on February 6, 2006).(1)</w:t>
            </w:r>
          </w:p>
        </w:tc>
        <w:tc>
          <w:tcPr>
            <w:tcW w:w="0" w:type="dxa"/>
            <w:vAlign w:val="bottom"/>
          </w:tcPr>
          <w:p>
            <w:pPr>
              <w:spacing w:after="0"/>
              <w:rPr>
                <w:sz w:val="1"/>
                <w:szCs w:val="1"/>
                <w:color w:val="auto"/>
              </w:rPr>
            </w:pPr>
          </w:p>
        </w:tc>
      </w:tr>
      <w:tr>
        <w:trPr>
          <w:trHeight w:val="625"/>
        </w:trPr>
        <w:tc>
          <w:tcPr>
            <w:tcW w:w="9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8"/>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4"/>
              </w:rPr>
              <w:t>Tax Disaffiliation Agreement by and among Old FNF, the Registrant and FIS, dated as of October 23, 2006 (incorporated by reference to</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Exhibit 99.1 to Old FNF’s Form 8-K, filed on October 27, 2006)</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89"/>
              </w:rPr>
              <w:t>Cross-Indemnity Agreement by and between the Registrant and FIS, dated as of October 23, 2006 (incorporated by reference to Exhibit 99.2 to</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FIS’s Form 8-K, filed on October 27, 2006)</w:t>
            </w:r>
          </w:p>
        </w:tc>
        <w:tc>
          <w:tcPr>
            <w:tcW w:w="0" w:type="dxa"/>
            <w:vAlign w:val="bottom"/>
          </w:tcPr>
          <w:p>
            <w:pPr>
              <w:spacing w:after="0"/>
              <w:rPr>
                <w:sz w:val="1"/>
                <w:szCs w:val="1"/>
                <w:color w:val="auto"/>
              </w:rPr>
            </w:pPr>
          </w:p>
        </w:tc>
      </w:tr>
      <w:tr>
        <w:trPr>
          <w:trHeight w:val="427"/>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9"/>
              </w:rPr>
              <w:t>Amended and Restated Employment Agreement between the Registrant and Anthony J. Park, effective as of October 10, 2008(1)</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7"/>
              </w:rPr>
              <w:t>Employment Agreement between the Registrant and Brent B. Bickett, effective as of October 24, 2006 (incorporated by reference to</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Exhibit 10.10 to the 2006 Annual Report).(1)</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5"/>
              </w:rPr>
              <w:t>Employment Agreement between the Registrant and Peter T. Sadowski, effective as of October 24, 2006 (incorporated by reference to</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Exhibit 10.11 to the 2006 Annual Report).(1)</w:t>
            </w:r>
          </w:p>
        </w:tc>
        <w:tc>
          <w:tcPr>
            <w:tcW w:w="0" w:type="dxa"/>
            <w:vAlign w:val="bottom"/>
          </w:tcPr>
          <w:p>
            <w:pPr>
              <w:spacing w:after="0"/>
              <w:rPr>
                <w:sz w:val="1"/>
                <w:szCs w:val="1"/>
                <w:color w:val="auto"/>
              </w:rPr>
            </w:pPr>
          </w:p>
        </w:tc>
      </w:tr>
      <w:tr>
        <w:trPr>
          <w:trHeight w:val="427"/>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Amended and Restated Employment Agreement between the Registrant and William P. Foley, II, effective as of July 2, 2008(1)</w:t>
            </w:r>
          </w:p>
        </w:tc>
        <w:tc>
          <w:tcPr>
            <w:tcW w:w="0" w:type="dxa"/>
            <w:vAlign w:val="bottom"/>
          </w:tcPr>
          <w:p>
            <w:pPr>
              <w:spacing w:after="0"/>
              <w:rPr>
                <w:sz w:val="1"/>
                <w:szCs w:val="1"/>
                <w:color w:val="auto"/>
              </w:rPr>
            </w:pPr>
          </w:p>
        </w:tc>
      </w:tr>
      <w:tr>
        <w:trPr>
          <w:trHeight w:val="427"/>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Amended and Restated Employment Agreement between the Registrant and Alan L. Stinson, effective as of July 2, 2008(1)</w:t>
            </w:r>
          </w:p>
        </w:tc>
        <w:tc>
          <w:tcPr>
            <w:tcW w:w="0" w:type="dxa"/>
            <w:vAlign w:val="bottom"/>
          </w:tcPr>
          <w:p>
            <w:pPr>
              <w:spacing w:after="0"/>
              <w:rPr>
                <w:sz w:val="1"/>
                <w:szCs w:val="1"/>
                <w:color w:val="auto"/>
              </w:rPr>
            </w:pPr>
          </w:p>
        </w:tc>
      </w:tr>
      <w:tr>
        <w:trPr>
          <w:trHeight w:val="427"/>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7"/>
              </w:rPr>
              <w:t>Amended and Restated Employment Agreement between the Registrant and Raymond R. Quirk, effective as of October 10, 2008(1)</w:t>
            </w:r>
          </w:p>
        </w:tc>
        <w:tc>
          <w:tcPr>
            <w:tcW w:w="0" w:type="dxa"/>
            <w:vAlign w:val="bottom"/>
          </w:tcPr>
          <w:p>
            <w:pPr>
              <w:spacing w:after="0"/>
              <w:rPr>
                <w:sz w:val="1"/>
                <w:szCs w:val="1"/>
                <w:color w:val="auto"/>
              </w:rPr>
            </w:pPr>
          </w:p>
        </w:tc>
      </w:tr>
      <w:tr>
        <w:trPr>
          <w:trHeight w:val="427"/>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Fidelity National Title Group, Inc. Annual Incentive Plan (incorporated by reference to Annex E to the Information Statement).(1)</w:t>
            </w:r>
          </w:p>
        </w:tc>
        <w:tc>
          <w:tcPr>
            <w:tcW w:w="0" w:type="dxa"/>
            <w:vAlign w:val="bottom"/>
          </w:tcPr>
          <w:p>
            <w:pPr>
              <w:spacing w:after="0"/>
              <w:rPr>
                <w:sz w:val="1"/>
                <w:szCs w:val="1"/>
                <w:color w:val="auto"/>
              </w:rPr>
            </w:pPr>
          </w:p>
        </w:tc>
      </w:tr>
      <w:tr>
        <w:trPr>
          <w:trHeight w:val="427"/>
        </w:trPr>
        <w:tc>
          <w:tcPr>
            <w:tcW w:w="920" w:type="dxa"/>
            <w:vAlign w:val="bottom"/>
          </w:tcPr>
          <w:p>
            <w:pPr>
              <w:spacing w:after="0"/>
              <w:rPr>
                <w:sz w:val="20"/>
                <w:szCs w:val="20"/>
                <w:color w:val="auto"/>
              </w:rPr>
            </w:pPr>
            <w:r>
              <w:rPr>
                <w:rFonts w:ascii="Arial" w:cs="Arial" w:eastAsia="Arial" w:hAnsi="Arial"/>
                <w:sz w:val="18"/>
                <w:szCs w:val="18"/>
                <w:color w:val="auto"/>
              </w:rPr>
              <w:t>10.18</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Fidelity National Financial, Inc. Deferred Compensation Plan, as amended and restated, effective January 1, 2009.(1)</w:t>
            </w:r>
          </w:p>
        </w:tc>
        <w:tc>
          <w:tcPr>
            <w:tcW w:w="0" w:type="dxa"/>
            <w:vAlign w:val="bottom"/>
          </w:tcPr>
          <w:p>
            <w:pPr>
              <w:spacing w:after="0"/>
              <w:rPr>
                <w:sz w:val="1"/>
                <w:szCs w:val="1"/>
                <w:color w:val="auto"/>
              </w:rPr>
            </w:pPr>
          </w:p>
        </w:tc>
      </w:tr>
      <w:tr>
        <w:trPr>
          <w:trHeight w:val="427"/>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427"/>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Consents of KPMG LLP, Independent Registered Public Accounting Firm</w:t>
            </w:r>
          </w:p>
        </w:tc>
        <w:tc>
          <w:tcPr>
            <w:tcW w:w="0" w:type="dxa"/>
            <w:vAlign w:val="bottom"/>
          </w:tcPr>
          <w:p>
            <w:pPr>
              <w:spacing w:after="0"/>
              <w:rPr>
                <w:sz w:val="1"/>
                <w:szCs w:val="1"/>
                <w:color w:val="auto"/>
              </w:rPr>
            </w:pPr>
          </w:p>
        </w:tc>
      </w:tr>
      <w:tr>
        <w:trPr>
          <w:trHeight w:val="427"/>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427"/>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2"/>
              </w:rPr>
              <w:t>Certification by Chief Executive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r>
        <w:trPr>
          <w:trHeight w:val="416"/>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w w:val="93"/>
              </w:rPr>
              <w:t>Certification by Chief Financial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13042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342" w:lineRule="exact"/>
        <w:rPr>
          <w:sz w:val="20"/>
          <w:szCs w:val="20"/>
          <w:color w:val="auto"/>
        </w:rPr>
      </w:pPr>
    </w:p>
    <w:p>
      <w:pPr>
        <w:ind w:left="440" w:hanging="433"/>
        <w:spacing w:after="0"/>
        <w:tabs>
          <w:tab w:leader="none" w:pos="440" w:val="left"/>
        </w:tabs>
        <w:numPr>
          <w:ilvl w:val="0"/>
          <w:numId w:val="42"/>
        </w:numPr>
        <w:rPr>
          <w:rFonts w:ascii="Arial" w:cs="Arial" w:eastAsia="Arial" w:hAnsi="Arial"/>
          <w:sz w:val="15"/>
          <w:szCs w:val="15"/>
          <w:color w:val="auto"/>
        </w:rPr>
      </w:pPr>
      <w:r>
        <w:rPr>
          <w:rFonts w:ascii="Arial" w:cs="Arial" w:eastAsia="Arial" w:hAnsi="Arial"/>
          <w:sz w:val="18"/>
          <w:szCs w:val="18"/>
          <w:color w:val="auto"/>
        </w:rPr>
        <w:t>A management or compensatory plan or arrangement required to be filed as an exhibit to this report pursuant to Item 15(c) of Form 10-K</w:t>
      </w:r>
    </w:p>
    <w:p>
      <w:pPr>
        <w:sectPr>
          <w:pgSz w:w="11900" w:h="16838" w:orient="portrait"/>
          <w:cols w:equalWidth="0" w:num="1">
            <w:col w:w="11420"/>
          </w:cols>
          <w:pgMar w:left="240" w:top="41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10.5</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IDELITY</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ATIONAL</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O</w:t>
      </w:r>
      <w:r>
        <w:rPr>
          <w:rFonts w:ascii="Arial" w:cs="Arial" w:eastAsia="Arial" w:hAnsi="Arial"/>
          <w:sz w:val="12"/>
          <w:szCs w:val="12"/>
          <w:b w:val="1"/>
          <w:bCs w:val="1"/>
          <w:color w:val="auto"/>
        </w:rPr>
        <w:t>MNIBUS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Grant</w:t>
      </w:r>
    </w:p>
    <w:p>
      <w:pPr>
        <w:spacing w:after="0" w:line="119" w:lineRule="exact"/>
        <w:rPr>
          <w:sz w:val="20"/>
          <w:szCs w:val="20"/>
          <w:color w:val="auto"/>
        </w:rPr>
      </w:pPr>
    </w:p>
    <w:p>
      <w:pPr>
        <w:ind w:right="200" w:firstLine="216"/>
        <w:spacing w:after="0" w:line="331" w:lineRule="auto"/>
        <w:rPr>
          <w:sz w:val="20"/>
          <w:szCs w:val="20"/>
          <w:color w:val="auto"/>
        </w:rPr>
      </w:pPr>
      <w:r>
        <w:rPr>
          <w:rFonts w:ascii="Arial" w:cs="Arial" w:eastAsia="Arial" w:hAnsi="Arial"/>
          <w:sz w:val="16"/>
          <w:szCs w:val="16"/>
          <w:color w:val="auto"/>
        </w:rPr>
        <w:t>You (the “Grantee”) have been granted the following award of restricted Class A Common Stock of Fidelity National Financial, Inc. (the “Company”), par value $0.0001 per share (the “Shares”), pursuant to the Fidelity National Financial, Inc. Amended and Restated 2005 Omnibus Incentive Plan (the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Name of Grantee: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Restricted Stock Granted: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of Grant:</w:t>
      </w:r>
    </w:p>
    <w:p>
      <w:pPr>
        <w:sectPr>
          <w:pgSz w:w="11900" w:h="16838" w:orient="portrait"/>
          <w:cols w:equalWidth="0" w:num="1">
            <w:col w:w="11420"/>
          </w:cols>
          <w:pgMar w:left="240" w:top="121"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Period of Restriction: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of the Plan and the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Restricted Stock Award Agreement attached hereto, the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Period of Restriction shall lapse, and the Shares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shall vest and become free of the forfeiture and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transfer restrictions contained in the Restricted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Stock Award Agreement, with respect to one third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of the shares on each anniversary of the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of Grant.</w:t>
      </w:r>
    </w:p>
    <w:p>
      <w:pPr>
        <w:spacing w:after="0" w:line="182" w:lineRule="exact"/>
        <w:rPr>
          <w:sz w:val="20"/>
          <w:szCs w:val="20"/>
          <w:color w:val="auto"/>
        </w:rPr>
      </w:pPr>
    </w:p>
    <w:p>
      <w:pPr>
        <w:sectPr>
          <w:pgSz w:w="11900" w:h="16838" w:orient="portrait"/>
          <w:cols w:equalWidth="0" w:num="2">
            <w:col w:w="4920" w:space="720"/>
            <w:col w:w="5780"/>
          </w:cols>
          <w:pgMar w:left="240" w:top="121" w:right="239" w:bottom="1440" w:gutter="0" w:footer="0" w:header="0"/>
          <w:type w:val="continuous"/>
        </w:sectPr>
      </w:pPr>
    </w:p>
    <w:p>
      <w:pPr>
        <w:jc w:val="both"/>
        <w:ind w:right="200"/>
        <w:spacing w:after="0" w:line="257" w:lineRule="auto"/>
        <w:rPr>
          <w:sz w:val="20"/>
          <w:szCs w:val="20"/>
          <w:color w:val="auto"/>
        </w:rPr>
      </w:pPr>
      <w:r>
        <w:rPr>
          <w:rFonts w:ascii="Arial" w:cs="Arial" w:eastAsia="Arial" w:hAnsi="Arial"/>
          <w:sz w:val="18"/>
          <w:szCs w:val="18"/>
          <w:color w:val="auto"/>
        </w:rPr>
        <w:t>By your signature and the signature of the Company’s representative below, you and the Company agree and acknowledge that this grant of restricted stock is granted under and governed by the terms and conditions of the Plan and the Restricted Stock Agreement, which are incorporated herein by reference, and that you have been provided with a copy of the Plan and Restricted Stock Agreement.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Stock Recipient:</w:t>
            </w:r>
          </w:p>
        </w:tc>
        <w:tc>
          <w:tcPr>
            <w:tcW w:w="6820" w:type="dxa"/>
            <w:vAlign w:val="bottom"/>
            <w:gridSpan w:val="2"/>
          </w:tcPr>
          <w:p>
            <w:pPr>
              <w:ind w:left="1080"/>
              <w:spacing w:after="0"/>
              <w:rPr>
                <w:sz w:val="20"/>
                <w:szCs w:val="20"/>
                <w:color w:val="auto"/>
              </w:rPr>
            </w:pPr>
            <w:r>
              <w:rPr>
                <w:rFonts w:ascii="Arial" w:cs="Arial" w:eastAsia="Arial" w:hAnsi="Arial"/>
                <w:sz w:val="18"/>
                <w:szCs w:val="18"/>
                <w:b w:val="1"/>
                <w:bCs w:val="1"/>
                <w:color w:val="auto"/>
              </w:rPr>
              <w:t>Fidelity National Financial, Inc.</w:t>
            </w:r>
          </w:p>
        </w:tc>
        <w:tc>
          <w:tcPr>
            <w:tcW w:w="0" w:type="dxa"/>
            <w:vAlign w:val="bottom"/>
          </w:tcPr>
          <w:p>
            <w:pPr>
              <w:spacing w:after="0"/>
              <w:rPr>
                <w:sz w:val="1"/>
                <w:szCs w:val="1"/>
                <w:color w:val="auto"/>
              </w:rPr>
            </w:pPr>
          </w:p>
        </w:tc>
      </w:tr>
      <w:tr>
        <w:trPr>
          <w:trHeight w:val="215"/>
        </w:trPr>
        <w:tc>
          <w:tcPr>
            <w:tcW w:w="7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6820" w:type="dxa"/>
            <w:vAlign w:val="bottom"/>
            <w:gridSpan w:val="2"/>
            <w:vMerge w:val="restart"/>
          </w:tcPr>
          <w:p>
            <w:pPr>
              <w:ind w:left="108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19"/>
        </w:trPr>
        <w:tc>
          <w:tcPr>
            <w:tcW w:w="7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6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00" w:type="dxa"/>
            <w:vAlign w:val="bottom"/>
            <w:gridSpan w:val="2"/>
          </w:tcPr>
          <w:p>
            <w:pPr>
              <w:spacing w:after="0"/>
              <w:rPr>
                <w:sz w:val="20"/>
                <w:szCs w:val="20"/>
                <w:color w:val="auto"/>
              </w:rPr>
            </w:pPr>
            <w:r>
              <w:rPr>
                <w:rFonts w:ascii="Arial" w:cs="Arial" w:eastAsia="Arial" w:hAnsi="Arial"/>
                <w:sz w:val="18"/>
                <w:szCs w:val="18"/>
                <w:color w:val="auto"/>
              </w:rPr>
              <w:t>(Name)</w:t>
            </w:r>
          </w:p>
        </w:tc>
        <w:tc>
          <w:tcPr>
            <w:tcW w:w="1400" w:type="dxa"/>
            <w:vAlign w:val="bottom"/>
          </w:tcPr>
          <w:p>
            <w:pPr>
              <w:spacing w:after="0"/>
              <w:rPr>
                <w:sz w:val="18"/>
                <w:szCs w:val="18"/>
                <w:color w:val="auto"/>
              </w:rPr>
            </w:pPr>
          </w:p>
        </w:tc>
        <w:tc>
          <w:tcPr>
            <w:tcW w:w="542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Anthony J. Park</w:t>
            </w:r>
          </w:p>
        </w:tc>
        <w:tc>
          <w:tcPr>
            <w:tcW w:w="0" w:type="dxa"/>
            <w:vAlign w:val="bottom"/>
          </w:tcPr>
          <w:p>
            <w:pPr>
              <w:spacing w:after="0"/>
              <w:rPr>
                <w:sz w:val="1"/>
                <w:szCs w:val="1"/>
                <w:color w:val="auto"/>
              </w:rPr>
            </w:pPr>
          </w:p>
        </w:tc>
      </w:tr>
      <w:tr>
        <w:trPr>
          <w:trHeight w:val="225"/>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tcBorders>
              <w:bottom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20"/>
        </w:trPr>
        <w:tc>
          <w:tcPr>
            <w:tcW w:w="460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40" w:type="dxa"/>
            <w:vAlign w:val="bottom"/>
            <w:tcBorders>
              <w:bottom w:val="single" w:sz="8" w:color="auto"/>
            </w:tcBorders>
          </w:tcPr>
          <w:p>
            <w:pPr>
              <w:spacing w:after="0"/>
              <w:rPr>
                <w:sz w:val="19"/>
                <w:szCs w:val="19"/>
                <w:color w:val="auto"/>
              </w:rPr>
            </w:pPr>
          </w:p>
        </w:tc>
        <w:tc>
          <w:tcPr>
            <w:tcW w:w="3860" w:type="dxa"/>
            <w:vAlign w:val="bottom"/>
            <w:tcBorders>
              <w:top w:val="single" w:sz="8" w:color="auto"/>
              <w:bottom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7"/>
        </w:trPr>
        <w:tc>
          <w:tcPr>
            <w:tcW w:w="740" w:type="dxa"/>
            <w:vAlign w:val="bottom"/>
            <w:tcBorders>
              <w:bottom w:val="single" w:sz="8" w:color="808080"/>
            </w:tcBorders>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5" w:name="page126"/>
    <w:bookmarkEnd w:id="125"/>
    <w:p>
      <w:pPr>
        <w:jc w:val="center"/>
        <w:ind w:right="-3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IDELITY</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ATIONAL</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2005 O</w:t>
      </w:r>
      <w:r>
        <w:rPr>
          <w:rFonts w:ascii="Arial" w:cs="Arial" w:eastAsia="Arial" w:hAnsi="Arial"/>
          <w:sz w:val="12"/>
          <w:szCs w:val="12"/>
          <w:b w:val="1"/>
          <w:bCs w:val="1"/>
          <w:color w:val="auto"/>
        </w:rPr>
        <w:t>MNIBUS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 Award Agreement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GRANT OF RESTRICTED STOCK</w:t>
      </w:r>
    </w:p>
    <w:p>
      <w:pPr>
        <w:spacing w:after="0" w:line="113" w:lineRule="exact"/>
        <w:rPr>
          <w:sz w:val="20"/>
          <w:szCs w:val="20"/>
          <w:color w:val="auto"/>
        </w:rPr>
      </w:pPr>
    </w:p>
    <w:p>
      <w:pPr>
        <w:jc w:val="both"/>
        <w:ind w:right="620" w:firstLine="229"/>
        <w:spacing w:after="0" w:line="338" w:lineRule="auto"/>
        <w:tabs>
          <w:tab w:leader="none" w:pos="474"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On the terms and conditions set forth in the Notice of Restricted Stock Grant and this Restricted Stock Award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Company grants to the Grantee on the Effective Date of Grant the Restricted Stock set forth in the Notice of Restricted Stock Grant.</w:t>
      </w:r>
    </w:p>
    <w:p>
      <w:pPr>
        <w:spacing w:after="0" w:line="15" w:lineRule="exact"/>
        <w:rPr>
          <w:rFonts w:ascii="Arial" w:cs="Arial" w:eastAsia="Arial" w:hAnsi="Arial"/>
          <w:sz w:val="16"/>
          <w:szCs w:val="16"/>
          <w:b w:val="1"/>
          <w:bCs w:val="1"/>
          <w:color w:val="auto"/>
        </w:rPr>
      </w:pPr>
    </w:p>
    <w:p>
      <w:pPr>
        <w:jc w:val="both"/>
        <w:ind w:right="60" w:firstLine="229"/>
        <w:spacing w:after="0" w:line="256" w:lineRule="auto"/>
        <w:tabs>
          <w:tab w:leader="none" w:pos="484"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and Defined Terms. </w:t>
      </w:r>
      <w:r>
        <w:rPr>
          <w:rFonts w:ascii="Arial" w:cs="Arial" w:eastAsia="Arial" w:hAnsi="Arial"/>
          <w:sz w:val="18"/>
          <w:szCs w:val="18"/>
          <w:color w:val="auto"/>
        </w:rPr>
        <w:t>The Restricted Stock is granted pursuant to the Plan. All terms, provisions, and conditions applicable to the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FORFEITURE AND TRANSFER RESTRICTIONS</w:t>
      </w:r>
    </w:p>
    <w:p>
      <w:pPr>
        <w:spacing w:after="0" w:line="113" w:lineRule="exact"/>
        <w:rPr>
          <w:sz w:val="20"/>
          <w:szCs w:val="20"/>
          <w:color w:val="auto"/>
        </w:rPr>
      </w:pPr>
    </w:p>
    <w:p>
      <w:pPr>
        <w:ind w:left="480" w:hanging="251"/>
        <w:spacing w:after="0"/>
        <w:tabs>
          <w:tab w:leader="none" w:pos="480" w:val="left"/>
        </w:tabs>
        <w:numPr>
          <w:ilvl w:val="1"/>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Forfeiture Restrictions. </w:t>
      </w:r>
      <w:r>
        <w:rPr>
          <w:rFonts w:ascii="Arial" w:cs="Arial" w:eastAsia="Arial" w:hAnsi="Arial"/>
          <w:sz w:val="16"/>
          <w:szCs w:val="16"/>
          <w:color w:val="auto"/>
        </w:rPr>
        <w:t>If the Grantee’s employment or service as a Director or Consultant, as the case may be, is terminated for any reason other than</w:t>
      </w:r>
    </w:p>
    <w:p>
      <w:pPr>
        <w:spacing w:after="0" w:line="46" w:lineRule="exact"/>
        <w:rPr>
          <w:rFonts w:ascii="Arial" w:cs="Arial" w:eastAsia="Arial" w:hAnsi="Arial"/>
          <w:sz w:val="16"/>
          <w:szCs w:val="16"/>
          <w:b w:val="1"/>
          <w:bCs w:val="1"/>
          <w:color w:val="auto"/>
        </w:rPr>
      </w:pPr>
    </w:p>
    <w:p>
      <w:pPr>
        <w:ind w:right="20" w:firstLine="7"/>
        <w:spacing w:after="0" w:line="248" w:lineRule="auto"/>
        <w:tabs>
          <w:tab w:leader="none" w:pos="2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death, (ii) Disability (as defined below) or (iii) termination by the Company and its Subsidiaries without Cause (as defined below), the Grantee shall, for no consideration, forfeit to the Company the Shares of Restricted Stock to the extent such Shares are subject to a Period of Restriction at the time of such termination. If the Grantee’s employment or service as a Director or Consultant, as the case may be, terminates due to the Grantee’s death or Disability, or is terminated by the Company and its Subsidiaries without Cause, while Shares of Restricted Stock are subject to a Period of Restriction, the Period of Restriction with respect to such Shares shall lapse, and the Shares shall vest and become free of the forfeiture and transfer restrictions described in this Section 2, on the date of the Grantee’s termination of employment or service.</w:t>
      </w:r>
    </w:p>
    <w:p>
      <w:pPr>
        <w:spacing w:after="0" w:line="92" w:lineRule="exact"/>
        <w:rPr>
          <w:rFonts w:ascii="Arial" w:cs="Arial" w:eastAsia="Arial" w:hAnsi="Arial"/>
          <w:sz w:val="18"/>
          <w:szCs w:val="18"/>
          <w:color w:val="auto"/>
        </w:rPr>
      </w:pPr>
    </w:p>
    <w:p>
      <w:pPr>
        <w:ind w:firstLine="229"/>
        <w:spacing w:after="0" w:line="251" w:lineRule="auto"/>
        <w:tabs>
          <w:tab w:leader="none" w:pos="431"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term “Cause” shall have the meaning ascribed to such term in the Grantee’s employment agreement with the Company or any Parent or Subsidiary. If the Grantee’s employment agreement does not define the term “Cause,” or if the Grantee has not entered into an employment agreement with the Company or any Parent or Subsidiary, the term “Cause” shall mean (A) the willful engaging by the Grantee in misconduct that is demonstrably injurious to the Company or any Parent or Subsidiary (monetarily or otherwise), as determined by the Company in its sole discretion, (B) the Grantee’s conviction of, or pleading guilty or nolo contendere to, a felony involving moral turpitude, or (C) the Grantee’s violation of any confidentiality, non-solicitation, or non-competition covenant to which the Grantee is subject.</w:t>
      </w:r>
    </w:p>
    <w:p>
      <w:pPr>
        <w:spacing w:after="0" w:line="88" w:lineRule="exact"/>
        <w:rPr>
          <w:sz w:val="20"/>
          <w:szCs w:val="20"/>
          <w:color w:val="auto"/>
        </w:rPr>
      </w:pPr>
    </w:p>
    <w:p>
      <w:pPr>
        <w:ind w:right="680" w:firstLine="229"/>
        <w:spacing w:after="0" w:line="267" w:lineRule="auto"/>
        <w:tabs>
          <w:tab w:leader="none" w:pos="48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 “Disability” shall have the meaning ascribed to such term in the Grantee’s employment agreement with the Company or any Parent or Subsidiary.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725233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921" w:right="279" w:bottom="1440" w:gutter="0" w:footer="0" w:header="0"/>
        </w:sectPr>
      </w:pPr>
    </w:p>
    <w:bookmarkStart w:id="126" w:name="page127"/>
    <w:bookmarkEnd w:id="126"/>
    <w:p>
      <w:pPr>
        <w:ind w:right="160"/>
        <w:spacing w:after="0" w:line="257" w:lineRule="auto"/>
        <w:rPr>
          <w:sz w:val="20"/>
          <w:szCs w:val="20"/>
          <w:color w:val="auto"/>
        </w:rPr>
      </w:pPr>
      <w:r>
        <w:rPr>
          <w:rFonts w:ascii="Arial" w:cs="Arial" w:eastAsia="Arial" w:hAnsi="Arial"/>
          <w:sz w:val="18"/>
          <w:szCs w:val="18"/>
          <w:color w:val="auto"/>
        </w:rPr>
        <w:t>Grantee’s employment agreement does not define the term “Disability,” or if the Grantee has not entered into an employment agreement with the Company or any Parent or Subsidiary, the term “Disability” shall mean the Grantee’s entitlement to long-term disability benefits pursuant to the long-term disability plan maintained by the Company or in which the Company’s employees participate.</w:t>
      </w:r>
    </w:p>
    <w:p>
      <w:pPr>
        <w:spacing w:after="0" w:line="76" w:lineRule="exact"/>
        <w:rPr>
          <w:sz w:val="20"/>
          <w:szCs w:val="20"/>
          <w:color w:val="auto"/>
        </w:rPr>
      </w:pPr>
    </w:p>
    <w:p>
      <w:pPr>
        <w:ind w:right="60" w:firstLine="229"/>
        <w:spacing w:after="0" w:line="274" w:lineRule="auto"/>
        <w:tabs>
          <w:tab w:leader="none" w:pos="481"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Restrictions. </w:t>
      </w:r>
      <w:r>
        <w:rPr>
          <w:rFonts w:ascii="Arial" w:cs="Arial" w:eastAsia="Arial" w:hAnsi="Arial"/>
          <w:sz w:val="18"/>
          <w:szCs w:val="18"/>
          <w:color w:val="auto"/>
        </w:rPr>
        <w:t>During the Period of Restriction, the Restricted Stock may not be sold, assigned, pledged, exchanged, hypothecated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encumbered or disposed of to the extent such Shares are subject to a Period of Restriction.</w:t>
      </w:r>
    </w:p>
    <w:p>
      <w:pPr>
        <w:spacing w:after="0" w:line="60" w:lineRule="exact"/>
        <w:rPr>
          <w:rFonts w:ascii="Arial" w:cs="Arial" w:eastAsia="Arial" w:hAnsi="Arial"/>
          <w:sz w:val="18"/>
          <w:szCs w:val="18"/>
          <w:b w:val="1"/>
          <w:bCs w:val="1"/>
          <w:color w:val="auto"/>
        </w:rPr>
      </w:pPr>
    </w:p>
    <w:p>
      <w:pPr>
        <w:ind w:right="20" w:firstLine="229"/>
        <w:spacing w:after="0" w:line="260" w:lineRule="auto"/>
        <w:tabs>
          <w:tab w:leader="none" w:pos="464"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Lapse of Restrictions</w:t>
      </w:r>
      <w:r>
        <w:rPr>
          <w:rFonts w:ascii="Arial" w:cs="Arial" w:eastAsia="Arial" w:hAnsi="Arial"/>
          <w:sz w:val="18"/>
          <w:szCs w:val="18"/>
          <w:color w:val="auto"/>
        </w:rPr>
        <w:t>. The Period of Restriction shall lapse as to the Restricted Stock in accordance with the Notice of Restricted Stock Grant.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terms of the Plan and Section 4(a) hereof, upon lapse of the Period of Restriction, the Grantee shall own the Shares that are subject to this Agreement free of all restrictions otherwise imposed by this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STOCK CERTIFICATES</w:t>
      </w:r>
    </w:p>
    <w:p>
      <w:pPr>
        <w:spacing w:after="0" w:line="119" w:lineRule="exact"/>
        <w:rPr>
          <w:sz w:val="20"/>
          <w:szCs w:val="20"/>
          <w:color w:val="auto"/>
        </w:rPr>
      </w:pPr>
    </w:p>
    <w:p>
      <w:pPr>
        <w:ind w:right="20" w:firstLine="212"/>
        <w:spacing w:after="0" w:line="251" w:lineRule="auto"/>
        <w:rPr>
          <w:sz w:val="20"/>
          <w:szCs w:val="20"/>
          <w:color w:val="auto"/>
        </w:rPr>
      </w:pPr>
      <w:r>
        <w:rPr>
          <w:rFonts w:ascii="Arial" w:cs="Arial" w:eastAsia="Arial" w:hAnsi="Arial"/>
          <w:sz w:val="18"/>
          <w:szCs w:val="18"/>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88" w:lineRule="exact"/>
        <w:rPr>
          <w:sz w:val="20"/>
          <w:szCs w:val="20"/>
          <w:color w:val="auto"/>
        </w:rPr>
      </w:pPr>
    </w:p>
    <w:p>
      <w:pPr>
        <w:ind w:right="20" w:firstLine="222"/>
        <w:spacing w:after="0" w:line="252" w:lineRule="auto"/>
        <w:rPr>
          <w:sz w:val="20"/>
          <w:szCs w:val="20"/>
          <w:color w:val="auto"/>
        </w:rPr>
      </w:pPr>
      <w:r>
        <w:rPr>
          <w:rFonts w:ascii="Arial" w:cs="Arial" w:eastAsia="Arial" w:hAnsi="Arial"/>
          <w:sz w:val="18"/>
          <w:szCs w:val="18"/>
          <w:color w:val="auto"/>
        </w:rPr>
        <w:t>Except for the transfer restrictions, and subject to such other restrictions, if any, as determined by the Committee, the Participant shall have all other rights of a holder of Shares, including the right to receive dividends paid (whether in cash or property) with respect to the Restricted Stock and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MISCELLANEOUS PROVISIONS</w:t>
      </w:r>
    </w:p>
    <w:p>
      <w:pPr>
        <w:spacing w:after="0" w:line="113" w:lineRule="exact"/>
        <w:rPr>
          <w:sz w:val="20"/>
          <w:szCs w:val="20"/>
          <w:color w:val="auto"/>
        </w:rPr>
      </w:pPr>
    </w:p>
    <w:p>
      <w:pPr>
        <w:ind w:firstLine="229"/>
        <w:spacing w:after="0" w:line="252" w:lineRule="auto"/>
        <w:tabs>
          <w:tab w:leader="none" w:pos="471"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Pursuant to Article 20 of the Plan, the Committee shall have the power and right to deduct or withhold, or require the Grantee to remit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27" w:name="page128"/>
    <w:bookmarkEnd w:id="127"/>
    <w:p>
      <w:pPr>
        <w:jc w:val="both"/>
        <w:ind w:right="280"/>
        <w:spacing w:after="0" w:line="257" w:lineRule="auto"/>
        <w:rPr>
          <w:sz w:val="20"/>
          <w:szCs w:val="20"/>
          <w:color w:val="auto"/>
        </w:rPr>
      </w:pPr>
      <w:r>
        <w:rPr>
          <w:rFonts w:ascii="Arial" w:cs="Arial" w:eastAsia="Arial" w:hAnsi="Arial"/>
          <w:sz w:val="18"/>
          <w:szCs w:val="18"/>
          <w:color w:val="auto"/>
        </w:rPr>
        <w:t>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76" w:lineRule="exact"/>
        <w:rPr>
          <w:sz w:val="20"/>
          <w:szCs w:val="20"/>
          <w:color w:val="auto"/>
        </w:rPr>
      </w:pPr>
    </w:p>
    <w:p>
      <w:pPr>
        <w:jc w:val="both"/>
        <w:ind w:right="40" w:firstLine="229"/>
        <w:spacing w:after="0" w:line="260" w:lineRule="auto"/>
        <w:tabs>
          <w:tab w:leader="none" w:pos="48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Ratification of Actions. </w:t>
      </w:r>
      <w:r>
        <w:rPr>
          <w:rFonts w:ascii="Arial" w:cs="Arial" w:eastAsia="Arial" w:hAnsi="Arial"/>
          <w:sz w:val="18"/>
          <w:szCs w:val="18"/>
          <w:color w:val="auto"/>
        </w:rPr>
        <w:t>By accepting this Agreement, the Grantee and each person claiming under or through the Grantee shall be conclusively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to have indicated the Grantee’s acceptance and ratification of, and consent to, any action taken under the Plan or this Agreement and Notice of Restricted Stock Grant by the Company, the Board or the Committee.</w:t>
      </w:r>
    </w:p>
    <w:p>
      <w:pPr>
        <w:spacing w:after="0" w:line="74" w:lineRule="exact"/>
        <w:rPr>
          <w:rFonts w:ascii="Arial" w:cs="Arial" w:eastAsia="Arial" w:hAnsi="Arial"/>
          <w:sz w:val="18"/>
          <w:szCs w:val="18"/>
          <w:b w:val="1"/>
          <w:bCs w:val="1"/>
          <w:color w:val="auto"/>
        </w:rPr>
      </w:pPr>
    </w:p>
    <w:p>
      <w:pPr>
        <w:ind w:right="340" w:firstLine="229"/>
        <w:spacing w:after="0" w:line="283" w:lineRule="auto"/>
        <w:tabs>
          <w:tab w:leader="none" w:pos="464"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w:t>
      </w:r>
      <w:r>
        <w:rPr>
          <w:rFonts w:ascii="Arial" w:cs="Arial" w:eastAsia="Arial" w:hAnsi="Arial"/>
          <w:sz w:val="17"/>
          <w:szCs w:val="17"/>
          <w:color w:val="auto"/>
        </w:rPr>
        <w:t>Any notice required by the terms of this Agreement shall be given in writing and shall be deemed effective upon personal delivery or upon</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55" w:lineRule="exact"/>
        <w:rPr>
          <w:rFonts w:ascii="Arial" w:cs="Arial" w:eastAsia="Arial" w:hAnsi="Arial"/>
          <w:sz w:val="17"/>
          <w:szCs w:val="17"/>
          <w:b w:val="1"/>
          <w:bCs w:val="1"/>
          <w:color w:val="auto"/>
        </w:rPr>
      </w:pPr>
    </w:p>
    <w:p>
      <w:pPr>
        <w:ind w:right="200" w:firstLine="229"/>
        <w:spacing w:after="0" w:line="260" w:lineRule="auto"/>
        <w:tabs>
          <w:tab w:leader="none" w:pos="48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Agreement and the Notice of Restricted Stock Grant shall be governed by, and construed in accordance with, the laws of Florida,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any conflicts of law or choice of law rule or principle that might otherwise cause the Agreement or Notice of Restricted Stock Grant to be governed by or construed in accordance with the substantive law of another jurisdiction.</w:t>
      </w:r>
    </w:p>
    <w:p>
      <w:pPr>
        <w:spacing w:after="0" w:line="74" w:lineRule="exact"/>
        <w:rPr>
          <w:rFonts w:ascii="Arial" w:cs="Arial" w:eastAsia="Arial" w:hAnsi="Arial"/>
          <w:sz w:val="18"/>
          <w:szCs w:val="18"/>
          <w:b w:val="1"/>
          <w:bCs w:val="1"/>
          <w:color w:val="auto"/>
        </w:rPr>
      </w:pPr>
    </w:p>
    <w:p>
      <w:pPr>
        <w:ind w:right="540" w:firstLine="229"/>
        <w:spacing w:after="0" w:line="304" w:lineRule="auto"/>
        <w:tabs>
          <w:tab w:leader="none" w:pos="464"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Modification or Amendment. </w:t>
      </w:r>
      <w:r>
        <w:rPr>
          <w:rFonts w:ascii="Arial" w:cs="Arial" w:eastAsia="Arial" w:hAnsi="Arial"/>
          <w:sz w:val="17"/>
          <w:szCs w:val="17"/>
          <w:color w:val="auto"/>
        </w:rPr>
        <w:t>This Agreement may only be modified or amended by written agreement executed by the parties hereto;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however, that the adjustments permitted pursuant to Section 4.3 of the Plan may be made without such written agreement.</w:t>
      </w:r>
    </w:p>
    <w:p>
      <w:pPr>
        <w:spacing w:after="0" w:line="38" w:lineRule="exact"/>
        <w:rPr>
          <w:rFonts w:ascii="Arial" w:cs="Arial" w:eastAsia="Arial" w:hAnsi="Arial"/>
          <w:sz w:val="17"/>
          <w:szCs w:val="17"/>
          <w:b w:val="1"/>
          <w:bCs w:val="1"/>
          <w:color w:val="auto"/>
        </w:rPr>
      </w:pPr>
    </w:p>
    <w:p>
      <w:pPr>
        <w:ind w:right="300" w:firstLine="229"/>
        <w:spacing w:after="0" w:line="338" w:lineRule="auto"/>
        <w:tabs>
          <w:tab w:leader="none" w:pos="444"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In the event any provision of this Agreement shall be held illegal or invalid for any reason, the illegality or invalidity shall not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remaining provisions of this Agreement, and this Agreement shall be construed and enforced as if such illegal or invalid provision had not been included.</w:t>
      </w:r>
    </w:p>
    <w:p>
      <w:pPr>
        <w:spacing w:after="0" w:line="15" w:lineRule="exact"/>
        <w:rPr>
          <w:rFonts w:ascii="Arial" w:cs="Arial" w:eastAsia="Arial" w:hAnsi="Arial"/>
          <w:sz w:val="16"/>
          <w:szCs w:val="16"/>
          <w:b w:val="1"/>
          <w:bCs w:val="1"/>
          <w:color w:val="auto"/>
        </w:rPr>
      </w:pPr>
    </w:p>
    <w:p>
      <w:pPr>
        <w:ind w:left="480" w:hanging="251"/>
        <w:spacing w:after="0"/>
        <w:tabs>
          <w:tab w:leader="none" w:pos="4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References to Plan. </w:t>
      </w:r>
      <w:r>
        <w:rPr>
          <w:rFonts w:ascii="Arial" w:cs="Arial" w:eastAsia="Arial" w:hAnsi="Arial"/>
          <w:sz w:val="18"/>
          <w:szCs w:val="18"/>
          <w:color w:val="auto"/>
        </w:rPr>
        <w:t>All references to the Plan shall be deemed references to the Plan as may be amended from time to time.</w:t>
      </w:r>
    </w:p>
    <w:p>
      <w:pPr>
        <w:spacing w:after="0" w:line="113" w:lineRule="exact"/>
        <w:rPr>
          <w:rFonts w:ascii="Arial" w:cs="Arial" w:eastAsia="Arial" w:hAnsi="Arial"/>
          <w:sz w:val="18"/>
          <w:szCs w:val="18"/>
          <w:b w:val="1"/>
          <w:bCs w:val="1"/>
          <w:color w:val="auto"/>
        </w:rPr>
      </w:pPr>
    </w:p>
    <w:p>
      <w:pPr>
        <w:ind w:firstLine="229"/>
        <w:spacing w:after="0" w:line="254" w:lineRule="auto"/>
        <w:tabs>
          <w:tab w:leader="none" w:pos="48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409A Compliance. </w:t>
      </w:r>
      <w:r>
        <w:rPr>
          <w:rFonts w:ascii="Arial" w:cs="Arial" w:eastAsia="Arial" w:hAnsi="Arial"/>
          <w:sz w:val="18"/>
          <w:szCs w:val="18"/>
          <w:color w:val="auto"/>
        </w:rPr>
        <w:t>To the extent applicable, it is intended that the Plan and this Agreement comply with the requirements of Section 409A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Revenue Code of 1986, as amended (the “Code”) and any related regulations or other guidance promulgated with respect to such Section by the U.S. Department of the Treasury or the Internal Revenue Service (“Section 409A”). Any provision of the Plan or this Agreement that would cause this Award to fail to satisfy Section 409A shall have no force or effect until amended to comply with Section 409A, which amendment may be retroactive to the extent permitted by Section 409A.</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-3 -</w:t>
      </w:r>
    </w:p>
    <w:p>
      <w:pPr>
        <w:sectPr>
          <w:pgSz w:w="11900" w:h="16838" w:orient="portrait"/>
          <w:cols w:equalWidth="0" w:num="1">
            <w:col w:w="11400"/>
          </w:cols>
          <w:pgMar w:left="240" w:top="927" w:right="25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IDELITY</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ATIONAL</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O</w:t>
      </w:r>
      <w:r>
        <w:rPr>
          <w:rFonts w:ascii="Arial" w:cs="Arial" w:eastAsia="Arial" w:hAnsi="Arial"/>
          <w:sz w:val="12"/>
          <w:szCs w:val="12"/>
          <w:b w:val="1"/>
          <w:bCs w:val="1"/>
          <w:color w:val="auto"/>
        </w:rPr>
        <w:t>MNIBUS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Stock Option Grant</w:t>
      </w:r>
    </w:p>
    <w:p>
      <w:pPr>
        <w:spacing w:after="0" w:line="119" w:lineRule="exact"/>
        <w:rPr>
          <w:sz w:val="20"/>
          <w:szCs w:val="20"/>
          <w:color w:val="auto"/>
        </w:rPr>
      </w:pPr>
    </w:p>
    <w:p>
      <w:pPr>
        <w:ind w:right="140" w:firstLine="216"/>
        <w:spacing w:after="0" w:line="331" w:lineRule="auto"/>
        <w:rPr>
          <w:sz w:val="20"/>
          <w:szCs w:val="20"/>
          <w:color w:val="auto"/>
        </w:rPr>
      </w:pPr>
      <w:r>
        <w:rPr>
          <w:rFonts w:ascii="Arial" w:cs="Arial" w:eastAsia="Arial" w:hAnsi="Arial"/>
          <w:sz w:val="16"/>
          <w:szCs w:val="16"/>
          <w:color w:val="auto"/>
        </w:rPr>
        <w:t>You (the “Optionee”) have been granted the following option to purchase Class A Common Stock of Fidelity National Financial, Inc. (the “Company”), par value $0.0001 per share (“Share”), pursuant to the Fidelity National Financial, Inc. Amended and Restated 2005 Omnibus Incentive Plan (the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Name of Optionee: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Shares Subject to Option:</w:t>
      </w:r>
    </w:p>
    <w:p>
      <w:pPr>
        <w:sectPr>
          <w:pgSz w:w="11900" w:h="16838" w:orient="portrait"/>
          <w:cols w:equalWidth="0" w:num="1">
            <w:col w:w="11420"/>
          </w:cols>
          <w:pgMar w:left="240" w:top="121"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4840"/>
        <w:spacing w:after="0"/>
        <w:rPr>
          <w:sz w:val="20"/>
          <w:szCs w:val="20"/>
          <w:color w:val="auto"/>
        </w:rPr>
      </w:pPr>
      <w:r>
        <w:rPr>
          <w:rFonts w:ascii="Arial" w:cs="Arial" w:eastAsia="Arial" w:hAnsi="Arial"/>
          <w:sz w:val="16"/>
          <w:szCs w:val="16"/>
          <w:color w:val="auto"/>
        </w:rPr>
        <w:t>Nonqualified</w:t>
      </w:r>
    </w:p>
    <w:p>
      <w:pPr>
        <w:spacing w:after="0" w:line="200" w:lineRule="exact"/>
        <w:rPr>
          <w:sz w:val="20"/>
          <w:szCs w:val="20"/>
          <w:color w:val="auto"/>
        </w:rPr>
      </w:pPr>
    </w:p>
    <w:p>
      <w:pPr>
        <w:sectPr>
          <w:pgSz w:w="11900" w:h="16838" w:orient="portrait"/>
          <w:cols w:equalWidth="0" w:num="2">
            <w:col w:w="4920" w:space="720"/>
            <w:col w:w="5780"/>
          </w:cols>
          <w:pgMar w:left="240" w:top="121" w:right="2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Exercise Price Per Share: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ectPr>
          <w:pgSz w:w="11900" w:h="16838" w:orient="portrait"/>
          <w:cols w:equalWidth="0" w:num="2">
            <w:col w:w="4920" w:space="720"/>
            <w:col w:w="5780"/>
          </w:cols>
          <w:pgMar w:left="240" w:top="121" w:right="2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of Grant:</w:t>
      </w:r>
    </w:p>
    <w:p>
      <w:pPr>
        <w:sectPr>
          <w:pgSz w:w="11900" w:h="16838" w:orient="portrait"/>
          <w:cols w:equalWidth="0" w:num="1">
            <w:col w:w="11420"/>
          </w:cols>
          <w:pgMar w:left="240" w:top="121" w:right="239" w:bottom="1440" w:gutter="0" w:footer="0" w:header="0"/>
          <w:type w:val="continuous"/>
        </w:sect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Vesting Schedule: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terms of the Plan and the Stock</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Option Agreement attached hereto, the right to</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exercise this option shall vest with respect to one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third of the option on each anniversary of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of Grant.</w:t>
      </w:r>
    </w:p>
    <w:p>
      <w:pPr>
        <w:spacing w:after="0" w:line="200" w:lineRule="exact"/>
        <w:rPr>
          <w:sz w:val="20"/>
          <w:szCs w:val="20"/>
          <w:color w:val="auto"/>
        </w:rPr>
      </w:pPr>
    </w:p>
    <w:p>
      <w:pPr>
        <w:sectPr>
          <w:pgSz w:w="11900" w:h="16838" w:orient="portrait"/>
          <w:cols w:equalWidth="0" w:num="2">
            <w:col w:w="4920" w:space="720"/>
            <w:col w:w="5780"/>
          </w:cols>
          <w:pgMar w:left="240" w:top="121" w:right="2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w:t>
      </w:r>
      <w:r>
        <w:rPr>
          <w:rFonts w:ascii="Arial" w:cs="Arial" w:eastAsia="Arial" w:hAnsi="Arial"/>
          <w:sz w:val="13"/>
          <w:szCs w:val="13"/>
          <w:color w:val="auto"/>
        </w:rPr>
        <w:t>th</w:t>
      </w:r>
      <w:r>
        <w:rPr>
          <w:rFonts w:ascii="Arial" w:cs="Arial" w:eastAsia="Arial" w:hAnsi="Arial"/>
          <w:sz w:val="16"/>
          <w:szCs w:val="16"/>
          <w:color w:val="auto"/>
        </w:rPr>
        <w:t xml:space="preserve"> Anniversary of Effective Date of Grant</w:t>
      </w:r>
    </w:p>
    <w:p>
      <w:pPr>
        <w:spacing w:after="0" w:line="200" w:lineRule="exact"/>
        <w:rPr>
          <w:sz w:val="20"/>
          <w:szCs w:val="20"/>
          <w:color w:val="auto"/>
        </w:rPr>
      </w:pPr>
    </w:p>
    <w:p>
      <w:pPr>
        <w:sectPr>
          <w:pgSz w:w="11900" w:h="16838" w:orient="portrait"/>
          <w:cols w:equalWidth="0" w:num="2">
            <w:col w:w="4920" w:space="720"/>
            <w:col w:w="5780"/>
          </w:cols>
          <w:pgMar w:left="240" w:top="121" w:right="239" w:bottom="1440" w:gutter="0" w:footer="0" w:header="0"/>
          <w:type w:val="continuous"/>
        </w:sectPr>
      </w:pPr>
    </w:p>
    <w:p>
      <w:pPr>
        <w:spacing w:after="0" w:line="4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The option is subject to earlier expiration, as</w:t>
      </w:r>
    </w:p>
    <w:p>
      <w:pPr>
        <w:spacing w:after="0" w:line="4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provided in Section 3(b) of the attached Stock</w:t>
      </w:r>
    </w:p>
    <w:p>
      <w:pPr>
        <w:spacing w:after="0" w:line="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Option Agreement.</w:t>
      </w:r>
    </w:p>
    <w:p>
      <w:pPr>
        <w:sectPr>
          <w:pgSz w:w="11900" w:h="16838" w:orient="portrait"/>
          <w:cols w:equalWidth="0" w:num="1">
            <w:col w:w="11420"/>
          </w:cols>
          <w:pgMar w:left="240" w:top="121" w:right="239" w:bottom="1440" w:gutter="0" w:footer="0" w:header="0"/>
          <w:type w:val="continuous"/>
        </w:sectPr>
      </w:pP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By your signature and the signature of the Company’s representative below, you and the Company agree and acknowledge that this option is granted under and governed by the terms and conditions of the Plan and the Stock Option Agreement, which are incorporated herein by reference, and that you have been provided with a copy of the Plan and Stock Option Agreement.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Optionee:</w:t>
            </w:r>
          </w:p>
        </w:tc>
        <w:tc>
          <w:tcPr>
            <w:tcW w:w="6860" w:type="dxa"/>
            <w:vAlign w:val="bottom"/>
            <w:gridSpan w:val="2"/>
          </w:tcPr>
          <w:p>
            <w:pPr>
              <w:ind w:left="1480"/>
              <w:spacing w:after="0"/>
              <w:rPr>
                <w:sz w:val="20"/>
                <w:szCs w:val="20"/>
                <w:color w:val="auto"/>
              </w:rPr>
            </w:pPr>
            <w:r>
              <w:rPr>
                <w:rFonts w:ascii="Arial" w:cs="Arial" w:eastAsia="Arial" w:hAnsi="Arial"/>
                <w:sz w:val="18"/>
                <w:szCs w:val="18"/>
                <w:b w:val="1"/>
                <w:bCs w:val="1"/>
                <w:color w:val="auto"/>
              </w:rPr>
              <w:t>Fidelity National Financial, Inc.</w:t>
            </w:r>
          </w:p>
        </w:tc>
        <w:tc>
          <w:tcPr>
            <w:tcW w:w="0" w:type="dxa"/>
            <w:vAlign w:val="bottom"/>
          </w:tcPr>
          <w:p>
            <w:pPr>
              <w:spacing w:after="0"/>
              <w:rPr>
                <w:sz w:val="1"/>
                <w:szCs w:val="1"/>
                <w:color w:val="auto"/>
              </w:rPr>
            </w:pPr>
          </w:p>
        </w:tc>
      </w:tr>
      <w:tr>
        <w:trPr>
          <w:trHeight w:val="215"/>
        </w:trPr>
        <w:tc>
          <w:tcPr>
            <w:tcW w:w="7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6860" w:type="dxa"/>
            <w:vAlign w:val="bottom"/>
            <w:gridSpan w:val="2"/>
            <w:vMerge w:val="restart"/>
          </w:tcPr>
          <w:p>
            <w:pPr>
              <w:ind w:left="110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19"/>
        </w:trPr>
        <w:tc>
          <w:tcPr>
            <w:tcW w:w="7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6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60" w:type="dxa"/>
            <w:vAlign w:val="bottom"/>
            <w:gridSpan w:val="2"/>
          </w:tcPr>
          <w:p>
            <w:pPr>
              <w:spacing w:after="0"/>
              <w:rPr>
                <w:sz w:val="20"/>
                <w:szCs w:val="20"/>
                <w:color w:val="auto"/>
              </w:rPr>
            </w:pPr>
            <w:r>
              <w:rPr>
                <w:rFonts w:ascii="Arial" w:cs="Arial" w:eastAsia="Arial" w:hAnsi="Arial"/>
                <w:sz w:val="18"/>
                <w:szCs w:val="18"/>
                <w:color w:val="auto"/>
              </w:rPr>
              <w:t>(Name)</w:t>
            </w:r>
          </w:p>
        </w:tc>
        <w:tc>
          <w:tcPr>
            <w:tcW w:w="1480" w:type="dxa"/>
            <w:vAlign w:val="bottom"/>
          </w:tcPr>
          <w:p>
            <w:pPr>
              <w:spacing w:after="0"/>
              <w:rPr>
                <w:sz w:val="18"/>
                <w:szCs w:val="18"/>
                <w:color w:val="auto"/>
              </w:rPr>
            </w:pPr>
          </w:p>
        </w:tc>
        <w:tc>
          <w:tcPr>
            <w:tcW w:w="53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Anthony J. Park</w:t>
            </w:r>
          </w:p>
        </w:tc>
        <w:tc>
          <w:tcPr>
            <w:tcW w:w="0" w:type="dxa"/>
            <w:vAlign w:val="bottom"/>
          </w:tcPr>
          <w:p>
            <w:pPr>
              <w:spacing w:after="0"/>
              <w:rPr>
                <w:sz w:val="1"/>
                <w:szCs w:val="1"/>
                <w:color w:val="auto"/>
              </w:rPr>
            </w:pPr>
          </w:p>
        </w:tc>
      </w:tr>
      <w:tr>
        <w:trPr>
          <w:trHeight w:val="225"/>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3820" w:type="dxa"/>
            <w:vAlign w:val="bottom"/>
            <w:tcBorders>
              <w:bottom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20"/>
        </w:trPr>
        <w:tc>
          <w:tcPr>
            <w:tcW w:w="45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48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40" w:type="dxa"/>
            <w:vAlign w:val="bottom"/>
            <w:tcBorders>
              <w:bottom w:val="single" w:sz="8" w:color="auto"/>
            </w:tcBorders>
          </w:tcPr>
          <w:p>
            <w:pPr>
              <w:spacing w:after="0"/>
              <w:rPr>
                <w:sz w:val="19"/>
                <w:szCs w:val="19"/>
                <w:color w:val="auto"/>
              </w:rPr>
            </w:pPr>
          </w:p>
        </w:tc>
        <w:tc>
          <w:tcPr>
            <w:tcW w:w="3820" w:type="dxa"/>
            <w:vAlign w:val="bottom"/>
            <w:tcBorders>
              <w:top w:val="single" w:sz="8" w:color="auto"/>
              <w:bottom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7"/>
        </w:trPr>
        <w:tc>
          <w:tcPr>
            <w:tcW w:w="740" w:type="dxa"/>
            <w:vAlign w:val="bottom"/>
            <w:tcBorders>
              <w:bottom w:val="single" w:sz="8" w:color="808080"/>
            </w:tcBorders>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53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9" w:name="page130"/>
    <w:bookmarkEnd w:id="129"/>
    <w:p>
      <w:pPr>
        <w:jc w:val="center"/>
        <w:ind w:right="-7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IDELITY</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ATIONAL</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ESTATED</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2005 O</w:t>
      </w:r>
      <w:r>
        <w:rPr>
          <w:rFonts w:ascii="Arial" w:cs="Arial" w:eastAsia="Arial" w:hAnsi="Arial"/>
          <w:sz w:val="12"/>
          <w:szCs w:val="12"/>
          <w:b w:val="1"/>
          <w:bCs w:val="1"/>
          <w:color w:val="auto"/>
        </w:rPr>
        <w:t>MNIBUS</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Stock Option Agreement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GRANT OF OPTION.</w:t>
      </w:r>
    </w:p>
    <w:p>
      <w:pPr>
        <w:spacing w:after="0" w:line="113" w:lineRule="exact"/>
        <w:rPr>
          <w:sz w:val="20"/>
          <w:szCs w:val="20"/>
          <w:color w:val="auto"/>
        </w:rPr>
      </w:pPr>
    </w:p>
    <w:p>
      <w:pPr>
        <w:ind w:right="40" w:firstLine="229"/>
        <w:spacing w:after="0" w:line="260" w:lineRule="auto"/>
        <w:tabs>
          <w:tab w:leader="none" w:pos="47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Option</w:t>
      </w:r>
      <w:r>
        <w:rPr>
          <w:rFonts w:ascii="Arial" w:cs="Arial" w:eastAsia="Arial" w:hAnsi="Arial"/>
          <w:sz w:val="18"/>
          <w:szCs w:val="18"/>
          <w:color w:val="auto"/>
        </w:rPr>
        <w:t>. On the terms and conditions set forth in the Notice of Stock Option Grant and this Stock Option Agreement (the “Agreement”),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grants to the Optionee on the Effective Date of Grant the option (the “Option”) to purchase at the Exercise Price the number of Shares set forth in the Notice of Stock Option Grant.</w:t>
      </w:r>
    </w:p>
    <w:p>
      <w:pPr>
        <w:spacing w:after="0" w:line="74" w:lineRule="exact"/>
        <w:rPr>
          <w:rFonts w:ascii="Arial" w:cs="Arial" w:eastAsia="Arial" w:hAnsi="Arial"/>
          <w:sz w:val="18"/>
          <w:szCs w:val="18"/>
          <w:b w:val="1"/>
          <w:bCs w:val="1"/>
          <w:color w:val="auto"/>
        </w:rPr>
      </w:pPr>
    </w:p>
    <w:p>
      <w:pPr>
        <w:ind w:right="20" w:firstLine="229"/>
        <w:spacing w:after="0" w:line="256" w:lineRule="auto"/>
        <w:tabs>
          <w:tab w:leader="none" w:pos="48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and Defined Terms. </w:t>
      </w:r>
      <w:r>
        <w:rPr>
          <w:rFonts w:ascii="Arial" w:cs="Arial" w:eastAsia="Arial" w:hAnsi="Arial"/>
          <w:sz w:val="18"/>
          <w:szCs w:val="18"/>
          <w:color w:val="auto"/>
        </w:rPr>
        <w:t>The Option is granted pursuant to the Plan. All terms, provisions, and conditions applicable to the Option set forth in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and not set forth herein are hereby incorporated by reference herein. To the extent any provision hereof is inconsistent with a provision of the Plan, the provisions of the Plan will govern. All capitalized terms that are used in the Notice of Stock Option Grant or this Agreement and not otherwise defined therein or herein shall have the meanings ascribed to them in the Plan.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RIGHT TO EXERCISE</w:t>
      </w:r>
      <w:r>
        <w:rPr>
          <w:rFonts w:ascii="Arial" w:cs="Arial" w:eastAsia="Arial" w:hAnsi="Arial"/>
          <w:sz w:val="18"/>
          <w:szCs w:val="18"/>
          <w:color w:val="auto"/>
        </w:rPr>
        <w:t>.</w:t>
      </w:r>
    </w:p>
    <w:p>
      <w:pPr>
        <w:spacing w:after="0" w:line="119" w:lineRule="exact"/>
        <w:rPr>
          <w:sz w:val="20"/>
          <w:szCs w:val="20"/>
          <w:color w:val="auto"/>
        </w:rPr>
      </w:pPr>
    </w:p>
    <w:p>
      <w:pPr>
        <w:ind w:firstLine="219"/>
        <w:spacing w:after="0" w:line="250" w:lineRule="auto"/>
        <w:rPr>
          <w:sz w:val="20"/>
          <w:szCs w:val="20"/>
          <w:color w:val="auto"/>
        </w:rPr>
      </w:pPr>
      <w:r>
        <w:rPr>
          <w:rFonts w:ascii="Arial" w:cs="Arial" w:eastAsia="Arial" w:hAnsi="Arial"/>
          <w:sz w:val="18"/>
          <w:szCs w:val="18"/>
          <w:color w:val="auto"/>
        </w:rPr>
        <w:t>The Option hereby granted shall be exercised by written notice to the Committee, specifying the number of Shares the Optionee desires to purchase together with provision for payment of the Exercise Price. Subject to such limitations as the Committee may impose (including prohibition of one more of the following payment methods), payment of the Exercise Price may be made by (a) check payable to the order of the Company, for an amount in United States dollars equal to the aggregate Exercise Price of such Shares, (b) by tendering to the Company Shares having an aggregate Fair Market Value (as of the trading date immediately preceding the date of exercise) equal to such Exercise Price, (c) by broker-assisted exercise, or (d) by a combination of such methods. The Company may require the Optionee to furnish or execute such other documents as the Company shall reasonably deem necessary (i) to evidence such exercise and (ii) to comply with or satisfy the requirements of the Securities Act of 1933, as amended, the Exchange Act, applicable state or non-U.S. securities laws or any other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TERM AND EXPIRATION.</w:t>
      </w:r>
    </w:p>
    <w:p>
      <w:pPr>
        <w:spacing w:after="0" w:line="113" w:lineRule="exact"/>
        <w:rPr>
          <w:sz w:val="20"/>
          <w:szCs w:val="20"/>
          <w:color w:val="auto"/>
        </w:rPr>
      </w:pPr>
    </w:p>
    <w:p>
      <w:pPr>
        <w:ind w:right="280" w:firstLine="229"/>
        <w:spacing w:after="0" w:line="274" w:lineRule="auto"/>
        <w:tabs>
          <w:tab w:leader="none" w:pos="47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Basic Term. </w:t>
      </w:r>
      <w:r>
        <w:rPr>
          <w:rFonts w:ascii="Arial" w:cs="Arial" w:eastAsia="Arial" w:hAnsi="Arial"/>
          <w:sz w:val="18"/>
          <w:szCs w:val="18"/>
          <w:color w:val="auto"/>
        </w:rPr>
        <w:t>Subject to earlier termination pursuant to the terms hereof, the Option shall expire on the expiration date set forth in the Notice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Grant.</w:t>
      </w:r>
    </w:p>
    <w:p>
      <w:pPr>
        <w:spacing w:after="0" w:line="60" w:lineRule="exact"/>
        <w:rPr>
          <w:rFonts w:ascii="Arial" w:cs="Arial" w:eastAsia="Arial" w:hAnsi="Arial"/>
          <w:sz w:val="18"/>
          <w:szCs w:val="18"/>
          <w:b w:val="1"/>
          <w:bCs w:val="1"/>
          <w:color w:val="auto"/>
        </w:rPr>
      </w:pPr>
    </w:p>
    <w:p>
      <w:pPr>
        <w:ind w:right="260" w:firstLine="229"/>
        <w:spacing w:after="0" w:line="274" w:lineRule="auto"/>
        <w:tabs>
          <w:tab w:leader="none" w:pos="481"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or Service. </w:t>
      </w:r>
      <w:r>
        <w:rPr>
          <w:rFonts w:ascii="Arial" w:cs="Arial" w:eastAsia="Arial" w:hAnsi="Arial"/>
          <w:sz w:val="18"/>
          <w:szCs w:val="18"/>
          <w:color w:val="auto"/>
        </w:rPr>
        <w:t>If the Optionee’s employment or service as a Director or Consultant, as the case may be, is terminated,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shall expire on the earliest of the following occasions:</w:t>
      </w:r>
    </w:p>
    <w:p>
      <w:pPr>
        <w:spacing w:after="0" w:line="66" w:lineRule="exact"/>
        <w:rPr>
          <w:rFonts w:ascii="Arial" w:cs="Arial" w:eastAsia="Arial" w:hAnsi="Arial"/>
          <w:sz w:val="18"/>
          <w:szCs w:val="18"/>
          <w:b w:val="1"/>
          <w:bCs w:val="1"/>
          <w:color w:val="auto"/>
        </w:rPr>
      </w:pPr>
    </w:p>
    <w:p>
      <w:pPr>
        <w:ind w:left="660" w:hanging="209"/>
        <w:spacing w:after="0"/>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expiration date set forth in the Notice of Stock Option Grant;</w:t>
      </w:r>
    </w:p>
    <w:p>
      <w:pPr>
        <w:spacing w:after="0" w:line="193" w:lineRule="exact"/>
        <w:rPr>
          <w:rFonts w:ascii="Arial" w:cs="Arial" w:eastAsia="Arial" w:hAnsi="Arial"/>
          <w:sz w:val="18"/>
          <w:szCs w:val="18"/>
          <w:color w:val="auto"/>
        </w:rPr>
      </w:pPr>
    </w:p>
    <w:p>
      <w:pPr>
        <w:ind w:left="5660" w:hanging="94"/>
        <w:spacing w:after="0"/>
        <w:tabs>
          <w:tab w:leader="none" w:pos="56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921" w:right="299" w:bottom="1440" w:gutter="0" w:footer="0" w:header="0"/>
        </w:sectPr>
      </w:pPr>
    </w:p>
    <w:bookmarkStart w:id="130" w:name="page131"/>
    <w:bookmarkEnd w:id="130"/>
    <w:p>
      <w:pPr>
        <w:ind w:left="700" w:hanging="249"/>
        <w:spacing w:after="0"/>
        <w:tabs>
          <w:tab w:leader="none" w:pos="7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date three months following the termination of the Optionee’s employment or service for any reason other than Cause, death, or Disability;</w:t>
      </w:r>
    </w:p>
    <w:p>
      <w:pPr>
        <w:spacing w:after="0" w:line="136" w:lineRule="exact"/>
        <w:rPr>
          <w:rFonts w:ascii="Arial" w:cs="Arial" w:eastAsia="Arial" w:hAnsi="Arial"/>
          <w:sz w:val="16"/>
          <w:szCs w:val="16"/>
          <w:color w:val="auto"/>
        </w:rPr>
      </w:pPr>
    </w:p>
    <w:p>
      <w:pPr>
        <w:ind w:left="760" w:hanging="309"/>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one year following the termination of the Optionee’s employment or service due to death or Disability; or</w:t>
      </w:r>
    </w:p>
    <w:p>
      <w:pPr>
        <w:spacing w:after="0" w:line="113" w:lineRule="exact"/>
        <w:rPr>
          <w:rFonts w:ascii="Arial" w:cs="Arial" w:eastAsia="Arial" w:hAnsi="Arial"/>
          <w:sz w:val="18"/>
          <w:szCs w:val="18"/>
          <w:color w:val="auto"/>
        </w:rPr>
      </w:pPr>
    </w:p>
    <w:p>
      <w:pPr>
        <w:ind w:left="740" w:hanging="289"/>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of termination of the Optionee’s employment or service for Cause.</w:t>
      </w:r>
    </w:p>
    <w:p>
      <w:pPr>
        <w:spacing w:after="0" w:line="19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Optionee may exercise all or part of this Option at any time before its expiration under the preceding sentence, but, subject to the following sentence, only to the extent that the Option had become vested before the Optionee’s employment or service terminated. When the Optionee’s employment or service terminates, this Option shall expire immediately with respect to the number of Shares for which the Option is not yet vested. If the Optionee dies after termination of employment or service, but before the expiration of the Option, all or part of this Option may be exercised (prior to expiration) by the personal representative of the Optionee or by any person who has acquired this Option directly from the Optionee by will, bequest or inheritance, but only to the extent that the Option was vested and exercisable upon termination of the Optionee’s employment or service.</w:t>
      </w:r>
    </w:p>
    <w:p>
      <w:pPr>
        <w:spacing w:after="0" w:line="66" w:lineRule="exact"/>
        <w:rPr>
          <w:sz w:val="20"/>
          <w:szCs w:val="20"/>
          <w:color w:val="auto"/>
        </w:rPr>
      </w:pPr>
    </w:p>
    <w:p>
      <w:pPr>
        <w:ind w:firstLine="229"/>
        <w:spacing w:after="0" w:line="252" w:lineRule="auto"/>
        <w:tabs>
          <w:tab w:leader="none" w:pos="464"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 of “Cause.” </w:t>
      </w:r>
      <w:r>
        <w:rPr>
          <w:rFonts w:ascii="Arial" w:cs="Arial" w:eastAsia="Arial" w:hAnsi="Arial"/>
          <w:sz w:val="18"/>
          <w:szCs w:val="18"/>
          <w:color w:val="auto"/>
        </w:rPr>
        <w:t>The term “Cause” shall have the meaning ascribed to such term in the Optionee’s employment agreement with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any Parent or Subsidiary. If the Optionee’s employment agreement does not define the term “Cause,” of if the Optionee has not entered into an employment agreement with the Company or any Parent or Subsidiary, the term “Cause” shall mean (i) the willful engaging by the Optionee in misconduct that is demonstrably injurious to the Company or any Parent or Subsidiary (monetarily or otherwise), (ii) the Optionee’s conviction of, or pleading guilty or nolo contendere to, a felony involving moral turpitude, or (iii) the Optionee’s violation of any confidentiality, non-solicitation, or non-competition covenant to which the Optionee is subject.</w:t>
      </w:r>
    </w:p>
    <w:p>
      <w:pPr>
        <w:spacing w:after="0" w:line="82" w:lineRule="exact"/>
        <w:rPr>
          <w:rFonts w:ascii="Arial" w:cs="Arial" w:eastAsia="Arial" w:hAnsi="Arial"/>
          <w:sz w:val="18"/>
          <w:szCs w:val="18"/>
          <w:b w:val="1"/>
          <w:bCs w:val="1"/>
          <w:color w:val="auto"/>
        </w:rPr>
      </w:pPr>
    </w:p>
    <w:p>
      <w:pPr>
        <w:ind w:left="500" w:hanging="271"/>
        <w:spacing w:after="0"/>
        <w:tabs>
          <w:tab w:leader="none" w:pos="50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 of “Disability.” </w:t>
      </w:r>
      <w:r>
        <w:rPr>
          <w:rFonts w:ascii="Arial" w:cs="Arial" w:eastAsia="Arial" w:hAnsi="Arial"/>
          <w:sz w:val="17"/>
          <w:szCs w:val="17"/>
          <w:color w:val="auto"/>
        </w:rPr>
        <w:t>The term “Disability” shall have the meaning ascribed to such term in the Optionee’s employment agreement with the</w:t>
      </w:r>
    </w:p>
    <w:p>
      <w:pPr>
        <w:spacing w:after="0" w:line="34" w:lineRule="exact"/>
        <w:rPr>
          <w:rFonts w:ascii="Arial" w:cs="Arial" w:eastAsia="Arial" w:hAnsi="Arial"/>
          <w:sz w:val="17"/>
          <w:szCs w:val="17"/>
          <w:b w:val="1"/>
          <w:bCs w:val="1"/>
          <w:color w:val="auto"/>
        </w:rPr>
      </w:pPr>
    </w:p>
    <w:p>
      <w:pPr>
        <w:ind w:right="4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Company or any Parent or Subsidiary. If the Optionee’s employment agreement does not define the term “Disability,” or if the Optionee has not entered into an employment agreement with the Company or any Parent or Subsidiary, the term “Disability” shall mean the Optionee’s entitlement to long-term disability benefits pursuant to the long-term disability plan maintained by the Company or in which the Company’s employees participate.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TRANSFERABILITY OF OPTION.</w:t>
      </w:r>
    </w:p>
    <w:p>
      <w:pPr>
        <w:spacing w:after="0" w:line="113" w:lineRule="exact"/>
        <w:rPr>
          <w:sz w:val="20"/>
          <w:szCs w:val="20"/>
          <w:color w:val="auto"/>
        </w:rPr>
      </w:pPr>
    </w:p>
    <w:p>
      <w:pPr>
        <w:jc w:val="both"/>
        <w:ind w:right="80" w:firstLine="229"/>
        <w:spacing w:after="0" w:line="260" w:lineRule="auto"/>
        <w:tabs>
          <w:tab w:leader="none" w:pos="474"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Generally. </w:t>
      </w:r>
      <w:r>
        <w:rPr>
          <w:rFonts w:ascii="Arial" w:cs="Arial" w:eastAsia="Arial" w:hAnsi="Arial"/>
          <w:sz w:val="18"/>
          <w:szCs w:val="18"/>
          <w:color w:val="auto"/>
        </w:rPr>
        <w:t>Except as provided in Section 4(b) herein, the Option shall not be transferable by the Optionee other than by will or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the Option shall be exercisable during the Optionee’s lifetime only by the Optionee or on his or her behalf by the Optionee’s guardian or legal representative.</w:t>
      </w:r>
    </w:p>
    <w:p>
      <w:pPr>
        <w:spacing w:after="0" w:line="146" w:lineRule="exact"/>
        <w:rPr>
          <w:rFonts w:ascii="Arial" w:cs="Arial" w:eastAsia="Arial" w:hAnsi="Arial"/>
          <w:sz w:val="18"/>
          <w:szCs w:val="18"/>
          <w:b w:val="1"/>
          <w:bCs w:val="1"/>
          <w:color w:val="auto"/>
        </w:rPr>
      </w:pPr>
    </w:p>
    <w:p>
      <w:pPr>
        <w:ind w:left="5660" w:hanging="94"/>
        <w:spacing w:after="0"/>
        <w:tabs>
          <w:tab w:leader="none" w:pos="5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131" w:name="page132"/>
    <w:bookmarkEnd w:id="131"/>
    <w:p>
      <w:pPr>
        <w:ind w:firstLine="229"/>
        <w:spacing w:after="0" w:line="260" w:lineRule="auto"/>
        <w:tabs>
          <w:tab w:leader="none" w:pos="481"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Transfers to Family Members. </w:t>
      </w:r>
      <w:r>
        <w:rPr>
          <w:rFonts w:ascii="Arial" w:cs="Arial" w:eastAsia="Arial" w:hAnsi="Arial"/>
          <w:sz w:val="18"/>
          <w:szCs w:val="18"/>
          <w:color w:val="auto"/>
        </w:rPr>
        <w:t>Notwithstanding Section 4(a) herein, if the Option is a Nonqualified Stock Option, the Optionee may transfer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no consideration to or for the benefit of a Family Member, subject to such limits as the Committee may establish, and the transferee shall remain subject to all the terms and conditions applicable to the Option.</w:t>
      </w:r>
    </w:p>
    <w:p>
      <w:pPr>
        <w:spacing w:after="0" w:line="74" w:lineRule="exact"/>
        <w:rPr>
          <w:rFonts w:ascii="Arial" w:cs="Arial" w:eastAsia="Arial" w:hAnsi="Arial"/>
          <w:sz w:val="18"/>
          <w:szCs w:val="18"/>
          <w:b w:val="1"/>
          <w:bCs w:val="1"/>
          <w:color w:val="auto"/>
        </w:rPr>
      </w:pPr>
    </w:p>
    <w:p>
      <w:pPr>
        <w:ind w:firstLine="229"/>
        <w:spacing w:after="0" w:line="293" w:lineRule="auto"/>
        <w:tabs>
          <w:tab w:leader="none" w:pos="464"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Definition of </w:t>
      </w:r>
      <w:r>
        <w:rPr>
          <w:rFonts w:ascii="Arial" w:cs="Arial" w:eastAsia="Arial" w:hAnsi="Arial"/>
          <w:sz w:val="16"/>
          <w:szCs w:val="16"/>
          <w:color w:val="auto"/>
        </w:rPr>
        <w:t>"</w:t>
      </w:r>
      <w:r>
        <w:rPr>
          <w:rFonts w:ascii="Arial" w:cs="Arial" w:eastAsia="Arial" w:hAnsi="Arial"/>
          <w:sz w:val="16"/>
          <w:szCs w:val="16"/>
          <w:b w:val="1"/>
          <w:bCs w:val="1"/>
          <w:color w:val="auto"/>
        </w:rPr>
        <w:t xml:space="preserve">Family Member.” </w:t>
      </w:r>
      <w:r>
        <w:rPr>
          <w:rFonts w:ascii="Arial" w:cs="Arial" w:eastAsia="Arial" w:hAnsi="Arial"/>
          <w:sz w:val="16"/>
          <w:szCs w:val="16"/>
          <w:color w:val="auto"/>
        </w:rPr>
        <w:t>For purposes of this Agreement, the term “Family Member” shall mean any child, stepchild, grandchild, parent,</w:t>
      </w:r>
      <w:r>
        <w:rPr>
          <w:rFonts w:ascii="Arial" w:cs="Arial" w:eastAsia="Arial" w:hAnsi="Arial"/>
          <w:sz w:val="16"/>
          <w:szCs w:val="16"/>
          <w:b w:val="1"/>
          <w:bCs w:val="1"/>
          <w:color w:val="auto"/>
        </w:rPr>
        <w:t xml:space="preserve"> </w:t>
      </w:r>
      <w:r>
        <w:rPr>
          <w:rFonts w:ascii="Arial" w:cs="Arial" w:eastAsia="Arial" w:hAnsi="Arial"/>
          <w:sz w:val="16"/>
          <w:szCs w:val="16"/>
          <w:color w:val="auto"/>
        </w:rPr>
        <w:t>stepparent, grandparent, spouse, former spouse, sibling, niece, nephew, mother-in-law, father-in-law, son-in-law, daughter-in-law, brother-in-law, or sister-in-law of the Optionee (including adoptive relationships), any person sharing the same household as the Optionee (other than a tenant or employee), a trust in which the above persons have more than fifty percent of the beneficial interests, a foundation in which the Optionee or the above persons control the management of assets, and any other entity in which the Optionee or the above persons own more than fifty percent of the voting interests.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MISCELLANEOUS PROVISIONS.</w:t>
      </w:r>
    </w:p>
    <w:p>
      <w:pPr>
        <w:spacing w:after="0" w:line="113" w:lineRule="exact"/>
        <w:rPr>
          <w:sz w:val="20"/>
          <w:szCs w:val="20"/>
          <w:color w:val="auto"/>
        </w:rPr>
      </w:pPr>
    </w:p>
    <w:p>
      <w:pPr>
        <w:ind w:right="40" w:firstLine="229"/>
        <w:spacing w:after="0" w:line="260" w:lineRule="auto"/>
        <w:tabs>
          <w:tab w:leader="none" w:pos="46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Acknowledgements. </w:t>
      </w:r>
      <w:r>
        <w:rPr>
          <w:rFonts w:ascii="Arial" w:cs="Arial" w:eastAsia="Arial" w:hAnsi="Arial"/>
          <w:sz w:val="18"/>
          <w:szCs w:val="18"/>
          <w:color w:val="auto"/>
        </w:rPr>
        <w:t>The Optionee hereby acknowledges that he or she has read and understands the terms of this Agreement, and agrees to be bound by</w:t>
      </w:r>
      <w:r>
        <w:rPr>
          <w:rFonts w:ascii="Arial" w:cs="Arial" w:eastAsia="Arial" w:hAnsi="Arial"/>
          <w:sz w:val="18"/>
          <w:szCs w:val="18"/>
          <w:b w:val="1"/>
          <w:bCs w:val="1"/>
          <w:color w:val="auto"/>
        </w:rPr>
        <w:t xml:space="preserve"> </w:t>
      </w:r>
      <w:r>
        <w:rPr>
          <w:rFonts w:ascii="Arial" w:cs="Arial" w:eastAsia="Arial" w:hAnsi="Arial"/>
          <w:sz w:val="18"/>
          <w:szCs w:val="18"/>
          <w:color w:val="auto"/>
        </w:rPr>
        <w:t>its terms and conditions. The Optionee acknowledges that there may be tax consequences upon the exercise or transfer of the Option and that the Optionee should consult an independent tax advisor prior to any exercise or transfer of the Option.</w:t>
      </w:r>
    </w:p>
    <w:p>
      <w:pPr>
        <w:spacing w:after="0" w:line="74" w:lineRule="exact"/>
        <w:rPr>
          <w:rFonts w:ascii="Arial" w:cs="Arial" w:eastAsia="Arial" w:hAnsi="Arial"/>
          <w:sz w:val="18"/>
          <w:szCs w:val="18"/>
          <w:b w:val="1"/>
          <w:bCs w:val="1"/>
          <w:color w:val="auto"/>
        </w:rPr>
      </w:pPr>
    </w:p>
    <w:p>
      <w:pPr>
        <w:ind w:firstLine="229"/>
        <w:spacing w:after="0" w:line="286" w:lineRule="auto"/>
        <w:tabs>
          <w:tab w:leader="none" w:pos="481"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Tax Withholding. </w:t>
      </w:r>
      <w:r>
        <w:rPr>
          <w:rFonts w:ascii="Arial" w:cs="Arial" w:eastAsia="Arial" w:hAnsi="Arial"/>
          <w:sz w:val="16"/>
          <w:szCs w:val="16"/>
          <w:color w:val="auto"/>
        </w:rPr>
        <w:t>Pursuant to Article 20 of the Plan, the Committee shall have the power and the right to deduct or withhold, or require the Optionee to</w:t>
      </w:r>
      <w:r>
        <w:rPr>
          <w:rFonts w:ascii="Arial" w:cs="Arial" w:eastAsia="Arial" w:hAnsi="Arial"/>
          <w:sz w:val="16"/>
          <w:szCs w:val="16"/>
          <w:b w:val="1"/>
          <w:bCs w:val="1"/>
          <w:color w:val="auto"/>
        </w:rPr>
        <w:t xml:space="preserve"> </w:t>
      </w:r>
      <w:r>
        <w:rPr>
          <w:rFonts w:ascii="Arial" w:cs="Arial" w:eastAsia="Arial" w:hAnsi="Arial"/>
          <w:sz w:val="16"/>
          <w:szCs w:val="16"/>
          <w:color w:val="auto"/>
        </w:rPr>
        <w:t>remit to the Company, an amount sufficient to satisfy any federal, state and local taxes (including the Optionee’s FICA obligations) required by law to be withheld with respect to this Option. The Committee may condition the delivery of Shares upon the Optionee’s satisfaction of such withholding obligations. The Optionee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Optionee, and shall be subject to any restrictions or limitations that the Committee, in its sole discretion, deems appropriate.</w:t>
      </w:r>
    </w:p>
    <w:p>
      <w:pPr>
        <w:spacing w:after="0" w:line="59" w:lineRule="exact"/>
        <w:rPr>
          <w:rFonts w:ascii="Arial" w:cs="Arial" w:eastAsia="Arial" w:hAnsi="Arial"/>
          <w:sz w:val="16"/>
          <w:szCs w:val="16"/>
          <w:b w:val="1"/>
          <w:bCs w:val="1"/>
          <w:color w:val="auto"/>
        </w:rPr>
      </w:pPr>
    </w:p>
    <w:p>
      <w:pPr>
        <w:ind w:right="40" w:firstLine="229"/>
        <w:spacing w:after="0" w:line="256" w:lineRule="auto"/>
        <w:tabs>
          <w:tab w:leader="none" w:pos="464"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Concerning Disqualifying Dispositions. </w:t>
      </w:r>
      <w:r>
        <w:rPr>
          <w:rFonts w:ascii="Arial" w:cs="Arial" w:eastAsia="Arial" w:hAnsi="Arial"/>
          <w:sz w:val="18"/>
          <w:szCs w:val="18"/>
          <w:color w:val="auto"/>
        </w:rPr>
        <w:t>If the Option is an Incentive Stock Option, the Optionee shall notify the Committee of any disposition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of Shares issued pursuant to the exercise of the Option if the disposition constitutes a “disqualifying disposition” within the meaning of Sections 421 and 422 of the Code (or any successor provision of the Code then in effect relating to disqualifying dispositions). Such notice shall be provided by the Optionee to the Committee in writing within 10 days of any such disqualifying disposition.</w:t>
      </w:r>
    </w:p>
    <w:p>
      <w:pPr>
        <w:spacing w:after="0" w:line="162" w:lineRule="exact"/>
        <w:rPr>
          <w:rFonts w:ascii="Arial" w:cs="Arial" w:eastAsia="Arial" w:hAnsi="Arial"/>
          <w:sz w:val="18"/>
          <w:szCs w:val="18"/>
          <w:b w:val="1"/>
          <w:bCs w:val="1"/>
          <w:color w:val="auto"/>
        </w:rPr>
      </w:pPr>
    </w:p>
    <w:p>
      <w:pPr>
        <w:ind w:left="5660" w:hanging="94"/>
        <w:spacing w:after="0"/>
        <w:tabs>
          <w:tab w:leader="none" w:pos="56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132" w:name="page133"/>
    <w:bookmarkEnd w:id="132"/>
    <w:p>
      <w:pPr>
        <w:ind w:left="-229" w:right="120" w:firstLine="229"/>
        <w:spacing w:after="0" w:line="260" w:lineRule="auto"/>
        <w:tabs>
          <w:tab w:leader="none" w:pos="255"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as a Stockholder. </w:t>
      </w:r>
      <w:r>
        <w:rPr>
          <w:rFonts w:ascii="Arial" w:cs="Arial" w:eastAsia="Arial" w:hAnsi="Arial"/>
          <w:sz w:val="18"/>
          <w:szCs w:val="18"/>
          <w:color w:val="auto"/>
        </w:rPr>
        <w:t>Neither the Optionee nor the Optionee’s transferee or representative shall have any rights as a stockholder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subject to this Option until the Option has been exercised and Share certificates have been issued to the Optionee, transferee or representative, as the case may be.</w:t>
      </w:r>
    </w:p>
    <w:p>
      <w:pPr>
        <w:spacing w:after="0" w:line="74" w:lineRule="exact"/>
        <w:rPr>
          <w:rFonts w:ascii="Arial" w:cs="Arial" w:eastAsia="Arial" w:hAnsi="Arial"/>
          <w:sz w:val="18"/>
          <w:szCs w:val="18"/>
          <w:b w:val="1"/>
          <w:bCs w:val="1"/>
          <w:color w:val="auto"/>
        </w:rPr>
      </w:pPr>
    </w:p>
    <w:p>
      <w:pPr>
        <w:ind w:left="-229" w:right="140" w:firstLine="229"/>
        <w:spacing w:after="0" w:line="260" w:lineRule="auto"/>
        <w:tabs>
          <w:tab w:leader="none" w:pos="235"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Ratification of Actions. </w:t>
      </w:r>
      <w:r>
        <w:rPr>
          <w:rFonts w:ascii="Arial" w:cs="Arial" w:eastAsia="Arial" w:hAnsi="Arial"/>
          <w:sz w:val="18"/>
          <w:szCs w:val="18"/>
          <w:color w:val="auto"/>
        </w:rPr>
        <w:t>By accepting this Agreement, the Optionee and each person claiming under or through the Optionee shall be conclusively</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indicated the Optionee’s acceptance and ratification of, and consent to, any action taken under the Plan or this Agreement and Notice of Stock Option Grant by the Company, the Board, or the Committee.</w:t>
      </w:r>
    </w:p>
    <w:p>
      <w:pPr>
        <w:spacing w:after="0" w:line="74" w:lineRule="exact"/>
        <w:rPr>
          <w:rFonts w:ascii="Arial" w:cs="Arial" w:eastAsia="Arial" w:hAnsi="Arial"/>
          <w:sz w:val="18"/>
          <w:szCs w:val="18"/>
          <w:b w:val="1"/>
          <w:bCs w:val="1"/>
          <w:color w:val="auto"/>
        </w:rPr>
      </w:pPr>
    </w:p>
    <w:p>
      <w:pPr>
        <w:ind w:left="-229" w:right="340" w:firstLine="229"/>
        <w:spacing w:after="0" w:line="283" w:lineRule="auto"/>
        <w:tabs>
          <w:tab w:leader="none" w:pos="215"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w:t>
      </w:r>
      <w:r>
        <w:rPr>
          <w:rFonts w:ascii="Arial" w:cs="Arial" w:eastAsia="Arial" w:hAnsi="Arial"/>
          <w:sz w:val="17"/>
          <w:szCs w:val="17"/>
          <w:color w:val="auto"/>
        </w:rPr>
        <w:t>Any notice required by the terms of this Agreement shall be given in writing and shall be deemed effective upon personal delivery or upon</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with the United States Postal Service, by registered or certified mail, with postage and fees prepaid. Notice shall be addressed to the Company at its principal executive office and to the Optionee at the address that he or she most recently provided in writing to the Company.</w:t>
      </w:r>
    </w:p>
    <w:p>
      <w:pPr>
        <w:spacing w:after="0" w:line="55" w:lineRule="exact"/>
        <w:rPr>
          <w:rFonts w:ascii="Arial" w:cs="Arial" w:eastAsia="Arial" w:hAnsi="Arial"/>
          <w:sz w:val="17"/>
          <w:szCs w:val="17"/>
          <w:b w:val="1"/>
          <w:bCs w:val="1"/>
          <w:color w:val="auto"/>
        </w:rPr>
      </w:pPr>
    </w:p>
    <w:p>
      <w:pPr>
        <w:ind w:left="-229" w:right="440" w:firstLine="229"/>
        <w:spacing w:after="0" w:line="260" w:lineRule="auto"/>
        <w:tabs>
          <w:tab w:leader="none" w:pos="245"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Agreement and the Notice of Stock Option Grant shall be governed by, and construed in accordance with, the laws of Florida,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any conflicts of law or choice of law rule or principle that might otherwise cause the Agreement or Notice of Stock Option Grant to be governed by or construed in accordance with the substantive law of another jurisdiction.</w:t>
      </w:r>
    </w:p>
    <w:p>
      <w:pPr>
        <w:spacing w:after="0" w:line="74" w:lineRule="exact"/>
        <w:rPr>
          <w:rFonts w:ascii="Arial" w:cs="Arial" w:eastAsia="Arial" w:hAnsi="Arial"/>
          <w:sz w:val="18"/>
          <w:szCs w:val="18"/>
          <w:b w:val="1"/>
          <w:bCs w:val="1"/>
          <w:color w:val="auto"/>
        </w:rPr>
      </w:pPr>
    </w:p>
    <w:p>
      <w:pPr>
        <w:ind w:left="-229" w:right="520" w:firstLine="229"/>
        <w:spacing w:after="0" w:line="304" w:lineRule="auto"/>
        <w:tabs>
          <w:tab w:leader="none" w:pos="255"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Modification or Amendment. </w:t>
      </w:r>
      <w:r>
        <w:rPr>
          <w:rFonts w:ascii="Arial" w:cs="Arial" w:eastAsia="Arial" w:hAnsi="Arial"/>
          <w:sz w:val="17"/>
          <w:szCs w:val="17"/>
          <w:color w:val="auto"/>
        </w:rPr>
        <w:t>This Agreement may only be modified or amended by written agreement executed by the parties hereto;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however, that the adjustments permitted pursuant to Section 4.3 of the Plan may be made without such written agreement.</w:t>
      </w:r>
    </w:p>
    <w:p>
      <w:pPr>
        <w:spacing w:after="0" w:line="38" w:lineRule="exact"/>
        <w:rPr>
          <w:rFonts w:ascii="Arial" w:cs="Arial" w:eastAsia="Arial" w:hAnsi="Arial"/>
          <w:sz w:val="17"/>
          <w:szCs w:val="17"/>
          <w:b w:val="1"/>
          <w:bCs w:val="1"/>
          <w:color w:val="auto"/>
        </w:rPr>
      </w:pPr>
    </w:p>
    <w:p>
      <w:pPr>
        <w:ind w:left="-229" w:right="300" w:firstLine="229"/>
        <w:spacing w:after="0" w:line="338" w:lineRule="auto"/>
        <w:tabs>
          <w:tab w:leader="none" w:pos="206"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In the event any provision of this Agreement shall be held illegal or invalid for any reason, the illegality or invalidity shall not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remaining provisions of this Agreement, and this Agreement shall be construed and enforced as if such illegal or invalid provision had not been included.</w:t>
      </w:r>
    </w:p>
    <w:p>
      <w:pPr>
        <w:spacing w:after="0" w:line="15" w:lineRule="exact"/>
        <w:rPr>
          <w:rFonts w:ascii="Arial" w:cs="Arial" w:eastAsia="Arial" w:hAnsi="Arial"/>
          <w:sz w:val="16"/>
          <w:szCs w:val="16"/>
          <w:b w:val="1"/>
          <w:bCs w:val="1"/>
          <w:color w:val="auto"/>
        </w:rPr>
      </w:pPr>
    </w:p>
    <w:p>
      <w:pPr>
        <w:ind w:left="231" w:hanging="231"/>
        <w:spacing w:after="0"/>
        <w:tabs>
          <w:tab w:leader="none" w:pos="231"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References to Plan. </w:t>
      </w:r>
      <w:r>
        <w:rPr>
          <w:rFonts w:ascii="Arial" w:cs="Arial" w:eastAsia="Arial" w:hAnsi="Arial"/>
          <w:sz w:val="18"/>
          <w:szCs w:val="18"/>
          <w:color w:val="auto"/>
        </w:rPr>
        <w:t>All references to the Plan shall be deemed references to the Plan as may be amended from time to time.</w:t>
      </w:r>
    </w:p>
    <w:p>
      <w:pPr>
        <w:spacing w:after="0" w:line="113" w:lineRule="exact"/>
        <w:rPr>
          <w:rFonts w:ascii="Arial" w:cs="Arial" w:eastAsia="Arial" w:hAnsi="Arial"/>
          <w:sz w:val="18"/>
          <w:szCs w:val="18"/>
          <w:b w:val="1"/>
          <w:bCs w:val="1"/>
          <w:color w:val="auto"/>
        </w:rPr>
      </w:pPr>
    </w:p>
    <w:p>
      <w:pPr>
        <w:ind w:left="-229" w:firstLine="229"/>
        <w:spacing w:after="0" w:line="254" w:lineRule="auto"/>
        <w:tabs>
          <w:tab w:leader="none" w:pos="255"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409A Compliance. </w:t>
      </w:r>
      <w:r>
        <w:rPr>
          <w:rFonts w:ascii="Arial" w:cs="Arial" w:eastAsia="Arial" w:hAnsi="Arial"/>
          <w:sz w:val="18"/>
          <w:szCs w:val="18"/>
          <w:color w:val="auto"/>
        </w:rPr>
        <w:t>To the extent applicable, it is intended that the Plan and this Agreement comply with the requirements of Section 409A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Revenue Code of 1986, as amended (the “Code”) and any related regulations or other guidance promulgated with respect to such Section by the U.S. Department of the Treasury or the Internal Revenue Service (“Section 409A”). Any provision of the Plan or this Agreement that would cause this Award to fail to satisfy Section 409A shall have no force or effect until amended to comply with Section 409A, which amendment may be retroactive to the extent permitted by Section 409A.</w:t>
      </w:r>
    </w:p>
    <w:p>
      <w:pPr>
        <w:spacing w:after="0" w:line="164" w:lineRule="exact"/>
        <w:rPr>
          <w:rFonts w:ascii="Arial" w:cs="Arial" w:eastAsia="Arial" w:hAnsi="Arial"/>
          <w:sz w:val="18"/>
          <w:szCs w:val="18"/>
          <w:b w:val="1"/>
          <w:bCs w:val="1"/>
          <w:color w:val="auto"/>
        </w:rPr>
      </w:pPr>
    </w:p>
    <w:p>
      <w:pPr>
        <w:ind w:left="5431" w:hanging="94"/>
        <w:spacing w:after="0"/>
        <w:tabs>
          <w:tab w:leader="none" w:pos="5431" w:val="left"/>
        </w:tabs>
        <w:numPr>
          <w:ilvl w:val="1"/>
          <w:numId w:val="5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171"/>
          </w:cols>
          <w:pgMar w:left="469" w:top="921" w:right="25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10.11</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02" w:lineRule="exact"/>
        <w:rPr>
          <w:sz w:val="20"/>
          <w:szCs w:val="20"/>
          <w:color w:val="auto"/>
        </w:rPr>
      </w:pPr>
    </w:p>
    <w:p>
      <w:pPr>
        <w:ind w:right="60" w:firstLine="219"/>
        <w:spacing w:after="0" w:line="273" w:lineRule="auto"/>
        <w:rPr>
          <w:sz w:val="20"/>
          <w:szCs w:val="20"/>
          <w:color w:val="auto"/>
        </w:rPr>
      </w:pPr>
      <w:r>
        <w:rPr>
          <w:rFonts w:ascii="Arial" w:cs="Arial" w:eastAsia="Arial" w:hAnsi="Arial"/>
          <w:sz w:val="17"/>
          <w:szCs w:val="17"/>
          <w:color w:val="auto"/>
        </w:rPr>
        <w:t xml:space="preserve">THIS AMENDED AND RESTATED EMPLOYMENT AGREEMENT (the “Agreement”) is effective as of October 10, 2008 (the “Effective Date”), by and between </w:t>
      </w:r>
      <w:r>
        <w:rPr>
          <w:rFonts w:ascii="Arial" w:cs="Arial" w:eastAsia="Arial" w:hAnsi="Arial"/>
          <w:sz w:val="17"/>
          <w:szCs w:val="17"/>
          <w:b w:val="1"/>
          <w:bCs w:val="1"/>
          <w:color w:val="auto"/>
        </w:rPr>
        <w:t>FIDELITY NATIONAL FINANCIAL, INC.,</w:t>
      </w:r>
      <w:r>
        <w:rPr>
          <w:rFonts w:ascii="Arial" w:cs="Arial" w:eastAsia="Arial" w:hAnsi="Arial"/>
          <w:sz w:val="17"/>
          <w:szCs w:val="17"/>
          <w:color w:val="auto"/>
        </w:rPr>
        <w:t xml:space="preserve"> a Delaware corporation (the “Company”), and </w:t>
      </w:r>
      <w:r>
        <w:rPr>
          <w:rFonts w:ascii="Arial" w:cs="Arial" w:eastAsia="Arial" w:hAnsi="Arial"/>
          <w:sz w:val="17"/>
          <w:szCs w:val="17"/>
          <w:b w:val="1"/>
          <w:bCs w:val="1"/>
          <w:color w:val="auto"/>
        </w:rPr>
        <w:t>ANTHONY J. PARK</w:t>
      </w:r>
      <w:r>
        <w:rPr>
          <w:rFonts w:ascii="Arial" w:cs="Arial" w:eastAsia="Arial" w:hAnsi="Arial"/>
          <w:sz w:val="17"/>
          <w:szCs w:val="17"/>
          <w:color w:val="auto"/>
        </w:rPr>
        <w:t xml:space="preserve"> (the “Employee”). This Agreement amends and restates, in its entirety, the obligations of the parties under the agreement between the Company and the Employee, dated as of December 22, 2006. In consideration of the mutual covenants and agreements set forth herein, the parties agree as follows:</w:t>
      </w:r>
    </w:p>
    <w:p>
      <w:pPr>
        <w:spacing w:after="0" w:line="71" w:lineRule="exact"/>
        <w:rPr>
          <w:sz w:val="20"/>
          <w:szCs w:val="20"/>
          <w:color w:val="auto"/>
        </w:rPr>
      </w:pPr>
    </w:p>
    <w:p>
      <w:pPr>
        <w:ind w:right="100" w:firstLine="229"/>
        <w:spacing w:after="0" w:line="254" w:lineRule="auto"/>
        <w:tabs>
          <w:tab w:leader="none" w:pos="400"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Employment and Duties</w:t>
      </w:r>
      <w:r>
        <w:rPr>
          <w:rFonts w:ascii="Arial" w:cs="Arial" w:eastAsia="Arial" w:hAnsi="Arial"/>
          <w:sz w:val="18"/>
          <w:szCs w:val="18"/>
          <w:color w:val="auto"/>
        </w:rPr>
        <w:t>. Subject to the terms and conditions of this Agreement, the Company employs the Employee to serve in an executive capacity as Executive Vice President, Chief Financial Officer. Employee accepts such employment and agrees to undertake and discharge the duties, functions and responsibilities commensurate with the aforesaid position and such other duties and responsibilities as may be prescribed from time to time by the Chief Executive Officer or the Board of Directors of the Company (the “Board”).</w:t>
      </w:r>
    </w:p>
    <w:p>
      <w:pPr>
        <w:spacing w:after="0" w:line="83" w:lineRule="exact"/>
        <w:rPr>
          <w:rFonts w:ascii="Arial" w:cs="Arial" w:eastAsia="Arial" w:hAnsi="Arial"/>
          <w:sz w:val="18"/>
          <w:szCs w:val="18"/>
          <w:color w:val="auto"/>
        </w:rPr>
      </w:pPr>
    </w:p>
    <w:p>
      <w:pPr>
        <w:jc w:val="both"/>
        <w:ind w:right="40" w:firstLine="229"/>
        <w:spacing w:after="0" w:line="283" w:lineRule="auto"/>
        <w:tabs>
          <w:tab w:leader="none" w:pos="400"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shall commence on the Effective Date and shall continue for a period of three (3) years ending on the third anniversary of the Effective Date or, if later, ending on the last day of any extension made pursuant to the next sentence, subject to prior termination as set forth in Section 7 (such term, including any extensions pursuant to the next sentence, the “Employment Term”). The Employment Term shall be extended automatically for one</w:t>
      </w:r>
    </w:p>
    <w:p>
      <w:pPr>
        <w:jc w:val="both"/>
        <w:ind w:right="60" w:firstLine="7"/>
        <w:spacing w:after="0" w:line="249" w:lineRule="auto"/>
        <w:tabs>
          <w:tab w:leader="none" w:pos="2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additional year on the first anniversary of the Effective Date and for an additional year each anniversary thereafter unless and until either party gives written notice to the other not to extend the Employment Term before such extension would be effectuated. Notwithstanding any termination of the Employment Term or the Employee’s employment, the Employee and the Company agree that Sections 7 through 9 shall remain in effect until all parties’ obligations and benefits are satisfied thereunder.</w:t>
      </w:r>
    </w:p>
    <w:p>
      <w:pPr>
        <w:spacing w:after="0" w:line="90" w:lineRule="exact"/>
        <w:rPr>
          <w:rFonts w:ascii="Arial" w:cs="Arial" w:eastAsia="Arial" w:hAnsi="Arial"/>
          <w:sz w:val="18"/>
          <w:szCs w:val="18"/>
          <w:color w:val="auto"/>
        </w:rPr>
      </w:pPr>
    </w:p>
    <w:p>
      <w:pPr>
        <w:ind w:left="400" w:hanging="171"/>
        <w:spacing w:after="0"/>
        <w:tabs>
          <w:tab w:leader="none" w:pos="400"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Salary</w:t>
      </w:r>
      <w:r>
        <w:rPr>
          <w:rFonts w:ascii="Arial" w:cs="Arial" w:eastAsia="Arial" w:hAnsi="Arial"/>
          <w:sz w:val="16"/>
          <w:szCs w:val="16"/>
          <w:color w:val="auto"/>
        </w:rPr>
        <w:t>. During the Employment Term, the Company shall pay the Employee an annual base salary, before deducting all applicable withholdings, of</w:t>
      </w:r>
    </w:p>
    <w:p>
      <w:pPr>
        <w:spacing w:after="0" w:line="4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$375,000 per year, payable at the time and in the manner dictated by the Company’s standard payroll policies. Such minimum annual base salary may be periodically reviewed and increased at the discretion of the Compensation Committee of the Board (the “Committee”) to reflect, among other matters, cost of living increases and performance results (such annual base salary, including any increases pursuant to this Section 3, the “Annual Base Salary”).</w:t>
      </w:r>
    </w:p>
    <w:p>
      <w:pPr>
        <w:spacing w:after="0" w:line="53" w:lineRule="exact"/>
        <w:rPr>
          <w:sz w:val="20"/>
          <w:szCs w:val="20"/>
          <w:color w:val="auto"/>
        </w:rPr>
      </w:pPr>
    </w:p>
    <w:p>
      <w:pPr>
        <w:ind w:right="300" w:firstLine="229"/>
        <w:spacing w:after="0" w:line="257" w:lineRule="auto"/>
        <w:tabs>
          <w:tab w:leader="none" w:pos="4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Other Compensation and Fringe Benefits</w:t>
      </w:r>
      <w:r>
        <w:rPr>
          <w:rFonts w:ascii="Arial" w:cs="Arial" w:eastAsia="Arial" w:hAnsi="Arial"/>
          <w:sz w:val="18"/>
          <w:szCs w:val="18"/>
          <w:color w:val="auto"/>
        </w:rPr>
        <w:t>. In addition to any executive bonus, pension, deferred compensation and long-term incentive plans which the Company or an affiliate of the Company may from time to time make available to the Employee, the Employee shall be entitled to the following during the Employment Term:</w:t>
      </w:r>
    </w:p>
    <w:p>
      <w:pPr>
        <w:spacing w:after="0" w:line="81" w:lineRule="exact"/>
        <w:rPr>
          <w:rFonts w:ascii="Arial" w:cs="Arial" w:eastAsia="Arial" w:hAnsi="Arial"/>
          <w:sz w:val="18"/>
          <w:szCs w:val="18"/>
          <w:color w:val="auto"/>
        </w:rPr>
      </w:pPr>
    </w:p>
    <w:p>
      <w:pPr>
        <w:ind w:left="680" w:hanging="447"/>
        <w:spacing w:after="0"/>
        <w:tabs>
          <w:tab w:leader="none" w:pos="6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standard Company benefits enjoyed by the Company’s other top executives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390525</wp:posOffset>
            </wp:positionV>
            <wp:extent cx="725233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4" w:name="page135"/>
    <w:bookmarkEnd w:id="134"/>
    <w:p>
      <w:pPr>
        <w:ind w:left="660" w:right="140" w:hanging="447"/>
        <w:spacing w:after="0" w:line="257" w:lineRule="auto"/>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payment by the Company of the Employee’s initiation and membership dues in all social and/or recreational clubs as deemed necessary and appropriate by the Company to maintain various business relationships on behalf of the Company; provided, however, that the Company shall not be obligated to pay for any of the Employee’s personal purchases and expenses at such clubs;</w:t>
      </w:r>
    </w:p>
    <w:p>
      <w:pPr>
        <w:spacing w:after="0" w:line="95" w:lineRule="exact"/>
        <w:rPr>
          <w:rFonts w:ascii="Arial" w:cs="Arial" w:eastAsia="Arial" w:hAnsi="Arial"/>
          <w:sz w:val="18"/>
          <w:szCs w:val="18"/>
          <w:color w:val="auto"/>
        </w:rPr>
      </w:pPr>
    </w:p>
    <w:p>
      <w:pPr>
        <w:ind w:left="660" w:hanging="447"/>
        <w:spacing w:after="0"/>
        <w:tabs>
          <w:tab w:leader="none" w:pos="660" w:val="left"/>
        </w:tabs>
        <w:numPr>
          <w:ilvl w:val="1"/>
          <w:numId w:val="61"/>
        </w:numPr>
        <w:rPr>
          <w:rFonts w:ascii="Arial" w:cs="Arial" w:eastAsia="Arial" w:hAnsi="Arial"/>
          <w:sz w:val="14"/>
          <w:szCs w:val="14"/>
          <w:color w:val="auto"/>
        </w:rPr>
      </w:pPr>
      <w:r>
        <w:rPr>
          <w:rFonts w:ascii="Arial" w:cs="Arial" w:eastAsia="Arial" w:hAnsi="Arial"/>
          <w:sz w:val="14"/>
          <w:szCs w:val="14"/>
          <w:color w:val="auto"/>
        </w:rPr>
        <w:t>medical and other insurance coverage (for the Employee and any covered dependents) provided by the Company to its other top executives as a group;</w:t>
      </w:r>
    </w:p>
    <w:p>
      <w:pPr>
        <w:spacing w:after="0" w:line="172" w:lineRule="exact"/>
        <w:rPr>
          <w:rFonts w:ascii="Arial" w:cs="Arial" w:eastAsia="Arial" w:hAnsi="Arial"/>
          <w:sz w:val="14"/>
          <w:szCs w:val="14"/>
          <w:color w:val="auto"/>
        </w:rPr>
      </w:pPr>
    </w:p>
    <w:p>
      <w:pPr>
        <w:ind w:left="660" w:hanging="447"/>
        <w:spacing w:after="0"/>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supplemental disability insurance sufficient to provide two-thirds of the Employee’s pre-disability Annual Base Salary;</w:t>
      </w:r>
    </w:p>
    <w:p>
      <w:pPr>
        <w:spacing w:after="0" w:line="126" w:lineRule="exact"/>
        <w:rPr>
          <w:rFonts w:ascii="Arial" w:cs="Arial" w:eastAsia="Arial" w:hAnsi="Arial"/>
          <w:sz w:val="18"/>
          <w:szCs w:val="18"/>
          <w:color w:val="auto"/>
        </w:rPr>
      </w:pPr>
    </w:p>
    <w:p>
      <w:pPr>
        <w:ind w:left="660" w:hanging="447"/>
        <w:spacing w:after="0" w:line="287" w:lineRule="auto"/>
        <w:tabs>
          <w:tab w:leader="none" w:pos="66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 annual incentive bonus opportunity under the Company’s annual incentive plan (“Annual Bonus Plan”) for each calendar year included in the Employment Term, with such opportunity to be earned based upon attainment of performance objectives established by the Committee (“Annual Bonus”). The Employee’s “bonus factor” or “bonus target” under the Annual Bonus Plan shall be not less than 100% of the Employee’s Annual Base Salary. The Employee’s “bonus factor” may be periodically reviewed and increased (but not decreased without the Employee’s express written consent) at the discretion of the Committee. The Annual Bonus shall be paid no later than the March 15</w:t>
      </w:r>
      <w:r>
        <w:rPr>
          <w:rFonts w:ascii="Arial" w:cs="Arial" w:eastAsia="Arial" w:hAnsi="Arial"/>
          <w:sz w:val="13"/>
          <w:szCs w:val="13"/>
          <w:color w:val="auto"/>
        </w:rPr>
        <w:t>th</w:t>
      </w:r>
      <w:r>
        <w:rPr>
          <w:rFonts w:ascii="Arial" w:cs="Arial" w:eastAsia="Arial" w:hAnsi="Arial"/>
          <w:sz w:val="16"/>
          <w:szCs w:val="16"/>
          <w:color w:val="auto"/>
        </w:rPr>
        <w:t xml:space="preserve"> first following the calendar year to which the Annual Bonus relates. Unless provided otherwise herein or the Board determines otherwise, no Annual Bonus shall be paid to the Employee unless the Employee is employed by the Company, or an affiliate thereof, on the Annual Bonus payment date; and</w:t>
      </w:r>
    </w:p>
    <w:p>
      <w:pPr>
        <w:spacing w:after="0" w:line="73" w:lineRule="exact"/>
        <w:rPr>
          <w:rFonts w:ascii="Arial" w:cs="Arial" w:eastAsia="Arial" w:hAnsi="Arial"/>
          <w:sz w:val="16"/>
          <w:szCs w:val="16"/>
          <w:color w:val="auto"/>
        </w:rPr>
      </w:pPr>
    </w:p>
    <w:p>
      <w:pPr>
        <w:ind w:left="660" w:hanging="447"/>
        <w:spacing w:after="0"/>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participation in the Company’s equity incentive plans.</w:t>
      </w:r>
    </w:p>
    <w:p>
      <w:pPr>
        <w:spacing w:after="0" w:line="113" w:lineRule="exact"/>
        <w:rPr>
          <w:rFonts w:ascii="Arial" w:cs="Arial" w:eastAsia="Arial" w:hAnsi="Arial"/>
          <w:sz w:val="18"/>
          <w:szCs w:val="18"/>
          <w:color w:val="auto"/>
        </w:rPr>
      </w:pPr>
    </w:p>
    <w:p>
      <w:pPr>
        <w:ind w:left="-20" w:right="80" w:firstLine="229"/>
        <w:spacing w:after="0" w:line="279" w:lineRule="auto"/>
        <w:tabs>
          <w:tab w:leader="none" w:pos="38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For and during each calendar year within the Employment Term, the Employee shall be entitled to reasonable paid vacation periods consistent with his positions with the Company and in accordance with the Company’s standard policies, or as the Board may approve. In addition, the Employee shall be entitled to such holidays consistent with the Company’s standard policies or as the Board or the Committee may approve.</w:t>
      </w:r>
    </w:p>
    <w:p>
      <w:pPr>
        <w:spacing w:after="0" w:line="65" w:lineRule="exact"/>
        <w:rPr>
          <w:rFonts w:ascii="Arial" w:cs="Arial" w:eastAsia="Arial" w:hAnsi="Arial"/>
          <w:sz w:val="17"/>
          <w:szCs w:val="17"/>
          <w:color w:val="auto"/>
        </w:rPr>
      </w:pPr>
    </w:p>
    <w:p>
      <w:pPr>
        <w:ind w:left="-20" w:right="220" w:firstLine="229"/>
        <w:spacing w:after="0" w:line="279" w:lineRule="auto"/>
        <w:tabs>
          <w:tab w:leader="none" w:pos="38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Expense Reimbursement</w:t>
      </w:r>
      <w:r>
        <w:rPr>
          <w:rFonts w:ascii="Arial" w:cs="Arial" w:eastAsia="Arial" w:hAnsi="Arial"/>
          <w:sz w:val="17"/>
          <w:szCs w:val="17"/>
          <w:color w:val="auto"/>
        </w:rPr>
        <w:t>. In addition to the compensation and benefits provided herein, the Company shall, upon receipt of appropriate documentation, reimburse the Employee each month for his reasonable travel, lodging, entertainment, promotion and other ordinary and necessary business expenses to the extent such reimbursement is permitted under the Company’s expense reimbursement policy.</w:t>
      </w:r>
    </w:p>
    <w:p>
      <w:pPr>
        <w:spacing w:after="0" w:line="65" w:lineRule="exact"/>
        <w:rPr>
          <w:rFonts w:ascii="Arial" w:cs="Arial" w:eastAsia="Arial" w:hAnsi="Arial"/>
          <w:sz w:val="17"/>
          <w:szCs w:val="17"/>
          <w:color w:val="auto"/>
        </w:rPr>
      </w:pPr>
    </w:p>
    <w:p>
      <w:pPr>
        <w:ind w:left="-20" w:right="40" w:firstLine="229"/>
        <w:spacing w:after="0" w:line="257" w:lineRule="auto"/>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The Company or the Employee may terminate the Employee’s employment at any time and for any reason in accordance with subsection 7(a) below. The Employment Term shall be deemed to have ended on the last day of the Employee’s employment. The Employment Term shall terminate automatically upon the Employee’s death.</w:t>
      </w:r>
    </w:p>
    <w:p>
      <w:pPr>
        <w:spacing w:after="0" w:line="81" w:lineRule="exact"/>
        <w:rPr>
          <w:rFonts w:ascii="Arial" w:cs="Arial" w:eastAsia="Arial" w:hAnsi="Arial"/>
          <w:sz w:val="18"/>
          <w:szCs w:val="18"/>
          <w:color w:val="auto"/>
        </w:rPr>
      </w:pPr>
    </w:p>
    <w:p>
      <w:pPr>
        <w:ind w:left="660" w:right="200" w:hanging="447"/>
        <w:spacing w:after="0" w:line="267"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purported termination of the Employee’s employment (other than by reason of death) shall be communicated by written Notice of Termination (as defined herein) from one party hereto to the other party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145415</wp:posOffset>
            </wp:positionV>
            <wp:extent cx="725233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60" w:top="1034" w:right="259" w:bottom="1440" w:gutter="0" w:footer="0" w:header="0"/>
        </w:sectPr>
      </w:pPr>
    </w:p>
    <w:bookmarkStart w:id="135" w:name="page136"/>
    <w:bookmarkEnd w:id="135"/>
    <w:p>
      <w:pPr>
        <w:ind w:left="447"/>
        <w:spacing w:after="0" w:line="269" w:lineRule="auto"/>
        <w:rPr>
          <w:sz w:val="20"/>
          <w:szCs w:val="20"/>
          <w:color w:val="auto"/>
        </w:rPr>
      </w:pPr>
      <w:r>
        <w:rPr>
          <w:rFonts w:ascii="Arial" w:cs="Arial" w:eastAsia="Arial" w:hAnsi="Arial"/>
          <w:sz w:val="17"/>
          <w:szCs w:val="17"/>
          <w:color w:val="auto"/>
        </w:rPr>
        <w:t>hereto in accordance with the notice provisions contained in Section 25. For purposes of this Agreement, a “Notice of Termination” shall mean a notice that indicates the Date of Termination (as that term is defined in Section 7(b)) and, with respect to a termination due to Disability (as that term is defined in Section 7(e)), Cause (as that term is defined in Section 7(d)) or Good Reason (as that term is defined in Section 7(f)), sets forth in reasonable detail the facts and circumstances that are alleged to provide a basis for such termination. A Notice of Termination from the Company shall specify whether the termination is with or without Cause or due to the Employee’s Disability. A Notice of Termination from the Employee shall specify whether the termination is with or without Good Reason or due to Disability.</w:t>
      </w:r>
    </w:p>
    <w:p>
      <w:pPr>
        <w:spacing w:after="0" w:line="72" w:lineRule="exact"/>
        <w:rPr>
          <w:sz w:val="20"/>
          <w:szCs w:val="20"/>
          <w:color w:val="auto"/>
        </w:rPr>
      </w:pPr>
    </w:p>
    <w:p>
      <w:pPr>
        <w:ind w:left="447" w:right="380" w:hanging="447"/>
        <w:spacing w:after="0" w:line="257" w:lineRule="auto"/>
        <w:tabs>
          <w:tab w:leader="none" w:pos="44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Date of Termination</w:t>
      </w:r>
      <w:r>
        <w:rPr>
          <w:rFonts w:ascii="Arial" w:cs="Arial" w:eastAsia="Arial" w:hAnsi="Arial"/>
          <w:sz w:val="18"/>
          <w:szCs w:val="18"/>
          <w:color w:val="auto"/>
        </w:rPr>
        <w:t>. For purposes of this Agreement, “Date of Termination” shall mean the date specified in the Notice of Termination (but in no event shall such date be earlier than the 30th day following the date the Notice of Termination is given, unless expressly agreed to by the parties hereto) or the date of the Employee’s death.</w:t>
      </w:r>
    </w:p>
    <w:p>
      <w:pPr>
        <w:spacing w:after="0" w:line="95" w:lineRule="exact"/>
        <w:rPr>
          <w:rFonts w:ascii="Arial" w:cs="Arial" w:eastAsia="Arial" w:hAnsi="Arial"/>
          <w:sz w:val="18"/>
          <w:szCs w:val="18"/>
          <w:color w:val="auto"/>
        </w:rPr>
      </w:pPr>
    </w:p>
    <w:p>
      <w:pPr>
        <w:ind w:left="447" w:right="100" w:hanging="447"/>
        <w:spacing w:after="0" w:line="257" w:lineRule="auto"/>
        <w:tabs>
          <w:tab w:leader="none" w:pos="44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95" w:lineRule="exact"/>
        <w:rPr>
          <w:rFonts w:ascii="Arial" w:cs="Arial" w:eastAsia="Arial" w:hAnsi="Arial"/>
          <w:sz w:val="18"/>
          <w:szCs w:val="18"/>
          <w:color w:val="auto"/>
        </w:rPr>
      </w:pPr>
    </w:p>
    <w:p>
      <w:pPr>
        <w:ind w:left="447" w:hanging="447"/>
        <w:spacing w:after="0" w:line="265" w:lineRule="auto"/>
        <w:tabs>
          <w:tab w:leader="none" w:pos="447"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xml:space="preserve">. For purposes of this Agreement, a termination for “Cause” means a termination by the Company based upon the Employee’s (i) persistent failure to perform duties consistent with a commercially 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 (iii) conviction of, or pleading nolo contendere to, criminal or other illegal activities involving dishonesty; (iv) material breach of this Agreement; or (v) impeding, or failing to materially cooperate with, an investigation authorized by the Board. The Employee’s termination for Cause shall be effective when and if a resolution is duly adopted by an affirmative vote of at least </w:t>
      </w:r>
      <w:r>
        <w:rPr>
          <w:rFonts w:ascii="Arial" w:cs="Arial" w:eastAsia="Arial" w:hAnsi="Arial"/>
          <w:sz w:val="9"/>
          <w:szCs w:val="9"/>
          <w:color w:val="auto"/>
        </w:rPr>
        <w:t>3</w:t>
      </w:r>
      <w:r>
        <w:rPr>
          <w:rFonts w:ascii="Arial" w:cs="Arial" w:eastAsia="Arial" w:hAnsi="Arial"/>
          <w:sz w:val="17"/>
          <w:szCs w:val="17"/>
          <w:color w:val="auto"/>
        </w:rPr>
        <w:t>/</w:t>
      </w:r>
      <w:r>
        <w:rPr>
          <w:rFonts w:ascii="Arial" w:cs="Arial" w:eastAsia="Arial" w:hAnsi="Arial"/>
          <w:sz w:val="9"/>
          <w:szCs w:val="9"/>
          <w:color w:val="auto"/>
        </w:rPr>
        <w:t>4</w:t>
      </w:r>
      <w:r>
        <w:rPr>
          <w:rFonts w:ascii="Arial" w:cs="Arial" w:eastAsia="Arial" w:hAnsi="Arial"/>
          <w:sz w:val="17"/>
          <w:szCs w:val="17"/>
          <w:color w:val="auto"/>
        </w:rPr>
        <w:t xml:space="preserve"> of the Board (less the Employee), stating that, in the good faith opinion of the Board, the Employee is guilty of the conduct described in the Notice of Termination and such conduct constitutes Cause under this Agreement; provided, however, that the Employee shall have been given reasonable opportunity (i) to cure any act or omission that constitutes Cause if capable of cure and (ii), together with counsel, during the thirty (30) day period following the receipt by the Employee of the Notice of Termination and prior to the adoption of the Board’s resolution, to be heard by the Board.</w:t>
      </w:r>
    </w:p>
    <w:p>
      <w:pPr>
        <w:spacing w:after="0" w:line="92" w:lineRule="exact"/>
        <w:rPr>
          <w:rFonts w:ascii="Arial" w:cs="Arial" w:eastAsia="Arial" w:hAnsi="Arial"/>
          <w:sz w:val="17"/>
          <w:szCs w:val="17"/>
          <w:color w:val="auto"/>
        </w:rPr>
      </w:pPr>
    </w:p>
    <w:p>
      <w:pPr>
        <w:ind w:left="447" w:right="220" w:hanging="447"/>
        <w:spacing w:after="0" w:line="267" w:lineRule="auto"/>
        <w:tabs>
          <w:tab w:leader="none" w:pos="44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For purposes of this Agreement, a termination based upon “Disability” means a termination by the Company based upon the Employee’s entitlement to</w:t>
      </w:r>
    </w:p>
    <w:p>
      <w:pPr>
        <w:spacing w:after="0" w:line="153" w:lineRule="exact"/>
        <w:rPr>
          <w:sz w:val="20"/>
          <w:szCs w:val="20"/>
          <w:color w:val="auto"/>
        </w:rPr>
      </w:pPr>
    </w:p>
    <w:p>
      <w:pPr>
        <w:jc w:val="center"/>
        <w:ind w:right="213"/>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7"/>
          </w:cols>
          <w:pgMar w:left="473" w:top="927" w:right="239" w:bottom="1440" w:gutter="0" w:footer="0" w:header="0"/>
        </w:sectPr>
      </w:pPr>
    </w:p>
    <w:bookmarkStart w:id="136" w:name="page137"/>
    <w:bookmarkEnd w:id="136"/>
    <w:p>
      <w:pPr>
        <w:ind w:left="447"/>
        <w:spacing w:after="0"/>
        <w:rPr>
          <w:sz w:val="20"/>
          <w:szCs w:val="20"/>
          <w:color w:val="auto"/>
        </w:rPr>
      </w:pPr>
      <w:r>
        <w:rPr>
          <w:rFonts w:ascii="Arial" w:cs="Arial" w:eastAsia="Arial" w:hAnsi="Arial"/>
          <w:sz w:val="16"/>
          <w:szCs w:val="16"/>
          <w:color w:val="auto"/>
        </w:rPr>
        <w:t>long-term disability benefits under the Company’s long-term disability plan or policy, as the case may be, as in effect on the Date of Termination.</w:t>
      </w:r>
    </w:p>
    <w:p>
      <w:pPr>
        <w:spacing w:after="0" w:line="136" w:lineRule="exact"/>
        <w:rPr>
          <w:sz w:val="20"/>
          <w:szCs w:val="20"/>
          <w:color w:val="auto"/>
        </w:rPr>
      </w:pPr>
    </w:p>
    <w:p>
      <w:pPr>
        <w:ind w:left="447" w:right="80" w:hanging="447"/>
        <w:spacing w:after="0" w:line="267" w:lineRule="auto"/>
        <w:tabs>
          <w:tab w:leader="none" w:pos="44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For purposes of this Agreement, a termination for “Good Reason” means a termination by the Employee during the Employment Term based upon the occurrence (without the Employee’s express written consent) of any of the following:</w:t>
      </w:r>
    </w:p>
    <w:p>
      <w:pPr>
        <w:spacing w:after="0" w:line="72" w:lineRule="exact"/>
        <w:rPr>
          <w:rFonts w:ascii="Arial" w:cs="Arial" w:eastAsia="Arial" w:hAnsi="Arial"/>
          <w:sz w:val="18"/>
          <w:szCs w:val="18"/>
          <w:color w:val="auto"/>
        </w:rPr>
      </w:pPr>
    </w:p>
    <w:p>
      <w:pPr>
        <w:ind w:left="887" w:right="200" w:hanging="433"/>
        <w:spacing w:after="0" w:line="267" w:lineRule="auto"/>
        <w:tabs>
          <w:tab w:leader="none" w:pos="88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material diminution in the Employee’s position or title, or the assignment of duties to the Employee that are materially inconsistent with the Employee’s position or title;</w:t>
      </w:r>
    </w:p>
    <w:p>
      <w:pPr>
        <w:spacing w:after="0" w:line="86" w:lineRule="exact"/>
        <w:rPr>
          <w:rFonts w:ascii="Arial" w:cs="Arial" w:eastAsia="Arial" w:hAnsi="Arial"/>
          <w:sz w:val="18"/>
          <w:szCs w:val="18"/>
          <w:color w:val="auto"/>
        </w:rPr>
      </w:pPr>
    </w:p>
    <w:p>
      <w:pPr>
        <w:ind w:left="887" w:hanging="433"/>
        <w:spacing w:after="0"/>
        <w:tabs>
          <w:tab w:leader="none" w:pos="88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material diminution in the Employee’s Annual Base Salary or Annual Bonus Opportunity;</w:t>
      </w:r>
    </w:p>
    <w:p>
      <w:pPr>
        <w:spacing w:after="0" w:line="126" w:lineRule="exact"/>
        <w:rPr>
          <w:rFonts w:ascii="Arial" w:cs="Arial" w:eastAsia="Arial" w:hAnsi="Arial"/>
          <w:sz w:val="18"/>
          <w:szCs w:val="18"/>
          <w:color w:val="auto"/>
        </w:rPr>
      </w:pPr>
    </w:p>
    <w:p>
      <w:pPr>
        <w:ind w:left="887" w:hanging="433"/>
        <w:spacing w:after="0" w:line="266" w:lineRule="auto"/>
        <w:tabs>
          <w:tab w:leader="none" w:pos="887" w:val="left"/>
        </w:tabs>
        <w:numPr>
          <w:ilvl w:val="1"/>
          <w:numId w:val="64"/>
        </w:numPr>
        <w:rPr>
          <w:rFonts w:ascii="Arial" w:cs="Arial" w:eastAsia="Arial" w:hAnsi="Arial"/>
          <w:sz w:val="17"/>
          <w:szCs w:val="17"/>
          <w:color w:val="auto"/>
        </w:rPr>
      </w:pPr>
      <w:r>
        <w:rPr>
          <w:rFonts w:ascii="Arial" w:cs="Arial" w:eastAsia="Arial" w:hAnsi="Arial"/>
          <w:sz w:val="17"/>
          <w:szCs w:val="17"/>
          <w:color w:val="auto"/>
        </w:rPr>
        <w:t>within six (6) months immediately preceding or within two (2) years immediately following a Change in Control: (A) a material adverse change in the Employee’s status, authority or responsibility (</w:t>
      </w:r>
      <w:r>
        <w:rPr>
          <w:rFonts w:ascii="Arial" w:cs="Arial" w:eastAsia="Arial" w:hAnsi="Arial"/>
          <w:sz w:val="17"/>
          <w:szCs w:val="17"/>
          <w:i w:val="1"/>
          <w:iCs w:val="1"/>
          <w:color w:val="auto"/>
        </w:rPr>
        <w:t>e.g.</w:t>
      </w:r>
      <w:r>
        <w:rPr>
          <w:rFonts w:ascii="Arial" w:cs="Arial" w:eastAsia="Arial" w:hAnsi="Arial"/>
          <w:sz w:val="17"/>
          <w:szCs w:val="17"/>
          <w:color w:val="auto"/>
        </w:rPr>
        <w:t>, the Company has determined that a change in the departments or functional groups over which the Employee has managerial authority would constitute such a material adverse change); (B) a material adverse change in the position to whom the Employee reports (including any requirement that the Employee report to a corporate officer or employee instead of reporting directly to the CEO) or to the Employee’s service relationship (or the conditions under which the Employee performs his duties) as a result of such reporting structure change, or a material diminution in the authority, duties or responsibilities of the position to whom the Employee reports; (C) a material diminution in the budget over which the Employee has managing authority; or (D) a material change in the geographic location of the Employee’s principal place of employment (</w:t>
      </w:r>
      <w:r>
        <w:rPr>
          <w:rFonts w:ascii="Arial" w:cs="Arial" w:eastAsia="Arial" w:hAnsi="Arial"/>
          <w:sz w:val="17"/>
          <w:szCs w:val="17"/>
          <w:i w:val="1"/>
          <w:iCs w:val="1"/>
          <w:color w:val="auto"/>
        </w:rPr>
        <w:t>e.g.</w:t>
      </w:r>
      <w:r>
        <w:rPr>
          <w:rFonts w:ascii="Arial" w:cs="Arial" w:eastAsia="Arial" w:hAnsi="Arial"/>
          <w:sz w:val="17"/>
          <w:szCs w:val="17"/>
          <w:color w:val="auto"/>
        </w:rPr>
        <w:t>, the Company has determined that a relocation of more than thirty-five (35) miles would constitute such a material change); or</w:t>
      </w:r>
    </w:p>
    <w:p>
      <w:pPr>
        <w:spacing w:after="0" w:line="90" w:lineRule="exact"/>
        <w:rPr>
          <w:rFonts w:ascii="Arial" w:cs="Arial" w:eastAsia="Arial" w:hAnsi="Arial"/>
          <w:sz w:val="17"/>
          <w:szCs w:val="17"/>
          <w:color w:val="auto"/>
        </w:rPr>
      </w:pPr>
    </w:p>
    <w:p>
      <w:pPr>
        <w:ind w:left="887" w:hanging="433"/>
        <w:spacing w:after="0"/>
        <w:tabs>
          <w:tab w:leader="none" w:pos="887"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material breach by the Company of any of its other obligations under this Agreement.</w:t>
      </w:r>
    </w:p>
    <w:p>
      <w:pPr>
        <w:spacing w:after="0" w:line="113" w:lineRule="exact"/>
        <w:rPr>
          <w:sz w:val="20"/>
          <w:szCs w:val="20"/>
          <w:color w:val="auto"/>
        </w:rPr>
      </w:pPr>
    </w:p>
    <w:p>
      <w:pPr>
        <w:ind w:left="7"/>
        <w:spacing w:after="0" w:line="269" w:lineRule="auto"/>
        <w:rPr>
          <w:sz w:val="20"/>
          <w:szCs w:val="20"/>
          <w:color w:val="auto"/>
        </w:rPr>
      </w:pPr>
      <w:r>
        <w:rPr>
          <w:rFonts w:ascii="Arial" w:cs="Arial" w:eastAsia="Arial" w:hAnsi="Arial"/>
          <w:sz w:val="17"/>
          <w:szCs w:val="17"/>
          <w:color w:val="auto"/>
        </w:rPr>
        <w:t>Notwithstanding the foregoing, the Board placing the Employee on a paid leave for up to 60 days pending the determination of whether there is a basis to terminate the Employee for Cause, shall not constitute Good Reason. The Employee’s continued employment shall not constitute consent to, or a waiver of rights with respect to, any act or failure to act constituting Good Reason hereunder; provided, however, that no such event described above shall constitute Good Reason unless: (1) the Employee has given a Notice of Termination to the Company specifying the condition or event relied upon for such termination either: (x) within ninety (90) days of the initial existence of such event; or (y) in the case of an event predating a Change in Control, within ninety (90) days of the Change in Control; and (2) the Company fails to cure the condition or event constituting</w:t>
      </w:r>
    </w:p>
    <w:p>
      <w:pPr>
        <w:spacing w:after="0" w:line="152" w:lineRule="exact"/>
        <w:rPr>
          <w:sz w:val="20"/>
          <w:szCs w:val="20"/>
          <w:color w:val="auto"/>
        </w:rPr>
      </w:pPr>
    </w:p>
    <w:p>
      <w:pPr>
        <w:jc w:val="center"/>
        <w:ind w:right="173"/>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47"/>
          </w:cols>
          <w:pgMar w:left="473" w:top="927" w:right="279" w:bottom="1440" w:gutter="0" w:footer="0" w:header="0"/>
        </w:sectPr>
      </w:pPr>
    </w:p>
    <w:bookmarkStart w:id="137" w:name="page138"/>
    <w:bookmarkEnd w:id="137"/>
    <w:p>
      <w:pPr>
        <w:ind w:left="20"/>
        <w:spacing w:after="0"/>
        <w:rPr>
          <w:sz w:val="20"/>
          <w:szCs w:val="20"/>
          <w:color w:val="auto"/>
        </w:rPr>
      </w:pPr>
      <w:r>
        <w:rPr>
          <w:rFonts w:ascii="Arial" w:cs="Arial" w:eastAsia="Arial" w:hAnsi="Arial"/>
          <w:sz w:val="18"/>
          <w:szCs w:val="18"/>
          <w:color w:val="auto"/>
        </w:rPr>
        <w:t>Good Reason within the thirty (30) day period following receipt of the Employee’s Notice of Termination.</w:t>
      </w:r>
    </w:p>
    <w:p>
      <w:pPr>
        <w:spacing w:after="0" w:line="113" w:lineRule="exact"/>
        <w:rPr>
          <w:sz w:val="20"/>
          <w:szCs w:val="20"/>
          <w:color w:val="auto"/>
        </w:rPr>
      </w:pPr>
    </w:p>
    <w:p>
      <w:pPr>
        <w:ind w:left="180" w:hanging="171"/>
        <w:spacing w:after="0"/>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Obligations of the Company upon Termination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60" w:right="720" w:hanging="447"/>
        <w:spacing w:after="0" w:line="331" w:lineRule="auto"/>
        <w:tabs>
          <w:tab w:leader="none" w:pos="460"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for other than Cause, Death or Disability or Termination by the Employee for Good Reason</w:t>
      </w:r>
      <w:r>
        <w:rPr>
          <w:rFonts w:ascii="Arial" w:cs="Arial" w:eastAsia="Arial" w:hAnsi="Arial"/>
          <w:sz w:val="16"/>
          <w:szCs w:val="16"/>
          <w:color w:val="auto"/>
        </w:rPr>
        <w:t>. If the Employee’s employment is terminated by the Company for any reason, other than Cause, Death or Disability or by the Employee for Good Reason:</w:t>
      </w:r>
    </w:p>
    <w:p>
      <w:pPr>
        <w:spacing w:after="0" w:line="25" w:lineRule="exact"/>
        <w:rPr>
          <w:rFonts w:ascii="Arial" w:cs="Arial" w:eastAsia="Arial" w:hAnsi="Arial"/>
          <w:sz w:val="16"/>
          <w:szCs w:val="16"/>
          <w:color w:val="auto"/>
        </w:rPr>
      </w:pPr>
    </w:p>
    <w:p>
      <w:pPr>
        <w:ind w:left="900" w:right="300" w:hanging="433"/>
        <w:spacing w:after="0" w:line="304" w:lineRule="auto"/>
        <w:tabs>
          <w:tab w:leader="none" w:pos="900" w:val="left"/>
        </w:tabs>
        <w:numPr>
          <w:ilvl w:val="2"/>
          <w:numId w:val="65"/>
        </w:numPr>
        <w:rPr>
          <w:rFonts w:ascii="Arial" w:cs="Arial" w:eastAsia="Arial" w:hAnsi="Arial"/>
          <w:sz w:val="16"/>
          <w:szCs w:val="16"/>
          <w:color w:val="auto"/>
        </w:rPr>
      </w:pPr>
      <w:r>
        <w:rPr>
          <w:rFonts w:ascii="Arial" w:cs="Arial" w:eastAsia="Arial" w:hAnsi="Arial"/>
          <w:sz w:val="16"/>
          <w:szCs w:val="16"/>
          <w:color w:val="auto"/>
        </w:rPr>
        <w:t>the Company shall pay to the Employee (A) within five (5) business days after the Date of Termination, any earned but unpaid Annual Base Salary and any expense reimbursement payments owed to the Employee and (B) no later than March 15 of the year in which the Date of Termination occurs, any earned but unpaid Annual Bonus payments relating to the prior calendar year (the “Accrued Obligations”);</w:t>
      </w:r>
    </w:p>
    <w:p>
      <w:pPr>
        <w:spacing w:after="0" w:line="60" w:lineRule="exact"/>
        <w:rPr>
          <w:rFonts w:ascii="Arial" w:cs="Arial" w:eastAsia="Arial" w:hAnsi="Arial"/>
          <w:sz w:val="16"/>
          <w:szCs w:val="16"/>
          <w:color w:val="auto"/>
        </w:rPr>
      </w:pPr>
    </w:p>
    <w:p>
      <w:pPr>
        <w:ind w:left="900" w:hanging="433"/>
        <w:spacing w:after="0" w:line="269" w:lineRule="auto"/>
        <w:tabs>
          <w:tab w:leader="none" w:pos="900" w:val="left"/>
        </w:tabs>
        <w:numPr>
          <w:ilvl w:val="2"/>
          <w:numId w:val="65"/>
        </w:numPr>
        <w:rPr>
          <w:rFonts w:ascii="Arial" w:cs="Arial" w:eastAsia="Arial" w:hAnsi="Arial"/>
          <w:sz w:val="17"/>
          <w:szCs w:val="17"/>
          <w:color w:val="auto"/>
        </w:rPr>
      </w:pPr>
      <w:r>
        <w:rPr>
          <w:rFonts w:ascii="Arial" w:cs="Arial" w:eastAsia="Arial" w:hAnsi="Arial"/>
          <w:sz w:val="17"/>
          <w:szCs w:val="17"/>
          <w:color w:val="auto"/>
        </w:rPr>
        <w:t>the Company shall pay to the Employee no later than March 15 of the calendar year following the year in which the Date of Termination occurs, a prorated Annual Bonus based upon the actual Annual Bonus that would have been earned by the Employee for the year in which the Date of Termination occurs (based upon the target Annual Bonus opportunity in the year in which the Date of Termination occurred, or the prior year if no target Annual Bonus opportunity has yet been determined, and the actual satisfaction of the applicable performance measures, but ignoring any requirement under the Annual Bonus Plan that the Employee must be employed on the payment date) multiplied by the percentage of the calendar year completed before the Date of Termination;</w:t>
      </w:r>
    </w:p>
    <w:p>
      <w:pPr>
        <w:spacing w:after="0" w:line="84" w:lineRule="exact"/>
        <w:rPr>
          <w:rFonts w:ascii="Arial" w:cs="Arial" w:eastAsia="Arial" w:hAnsi="Arial"/>
          <w:sz w:val="17"/>
          <w:szCs w:val="17"/>
          <w:color w:val="auto"/>
        </w:rPr>
      </w:pPr>
    </w:p>
    <w:p>
      <w:pPr>
        <w:ind w:left="900" w:right="220" w:hanging="433"/>
        <w:spacing w:after="0" w:line="252" w:lineRule="auto"/>
        <w:tabs>
          <w:tab w:leader="none" w:pos="900"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Company shall pay to the Employee, no later than the sixty-fifth (65</w:t>
      </w:r>
      <w:r>
        <w:rPr>
          <w:rFonts w:ascii="Arial" w:cs="Arial" w:eastAsia="Arial" w:hAnsi="Arial"/>
          <w:sz w:val="15"/>
          <w:szCs w:val="15"/>
          <w:color w:val="auto"/>
        </w:rPr>
        <w:t>th</w:t>
      </w:r>
      <w:r>
        <w:rPr>
          <w:rFonts w:ascii="Arial" w:cs="Arial" w:eastAsia="Arial" w:hAnsi="Arial"/>
          <w:sz w:val="18"/>
          <w:szCs w:val="18"/>
          <w:color w:val="auto"/>
        </w:rPr>
        <w:t>) calendar day after the Date of Termination, a lump-sum payment equal to 200% of the sum of (x) the Employee’s Annual Base Salary in effect immediately prior to the Date of Termination (disregarding any reduction in Annual Base Salary to which the Employee did not expressly consent in writing) and (y) the highest Annual Bonus paid to the Employee by the Company within the three (3) years preceding his termination of employment or, if higher, the target Annual Bonus opportunity in the year in which the Date of Termination occurs;</w:t>
      </w:r>
    </w:p>
    <w:p>
      <w:pPr>
        <w:spacing w:after="0" w:line="101" w:lineRule="exact"/>
        <w:rPr>
          <w:rFonts w:ascii="Arial" w:cs="Arial" w:eastAsia="Arial" w:hAnsi="Arial"/>
          <w:sz w:val="18"/>
          <w:szCs w:val="18"/>
          <w:color w:val="auto"/>
        </w:rPr>
      </w:pPr>
    </w:p>
    <w:p>
      <w:pPr>
        <w:ind w:left="900" w:right="20" w:hanging="433"/>
        <w:spacing w:after="0" w:line="254" w:lineRule="auto"/>
        <w:tabs>
          <w:tab w:leader="none" w:pos="900" w:val="left"/>
        </w:tabs>
        <w:numPr>
          <w:ilvl w:val="2"/>
          <w:numId w:val="65"/>
        </w:numPr>
        <w:rPr>
          <w:rFonts w:ascii="Arial" w:cs="Arial" w:eastAsia="Arial" w:hAnsi="Arial"/>
          <w:sz w:val="18"/>
          <w:szCs w:val="18"/>
          <w:color w:val="auto"/>
        </w:rPr>
      </w:pPr>
      <w:r>
        <w:rPr>
          <w:rFonts w:ascii="Arial" w:cs="Arial" w:eastAsia="Arial" w:hAnsi="Arial"/>
          <w:sz w:val="18"/>
          <w:szCs w:val="18"/>
          <w:color w:val="auto"/>
        </w:rPr>
        <w:t>all stock option, restricted stock and other equity-based incentive awards granted by the Company that were outstanding but not vested as of the Date of Termination shall become immediately vested and/or payable, as the case may be, unless the equity incentive awards are based upon satisfaction of performance criteria (not based solely on the passage of time); in which case, they will only vest pursuant to their express terms; and</w:t>
      </w:r>
    </w:p>
    <w:p>
      <w:pPr>
        <w:spacing w:after="0" w:line="16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145415</wp:posOffset>
            </wp:positionV>
            <wp:extent cx="725233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60"/>
          </w:cols>
          <w:pgMar w:left="460" w:top="927" w:right="279" w:bottom="1440" w:gutter="0" w:footer="0" w:header="0"/>
        </w:sectPr>
      </w:pPr>
    </w:p>
    <w:bookmarkStart w:id="138" w:name="page139"/>
    <w:bookmarkEnd w:id="138"/>
    <w:p>
      <w:pPr>
        <w:ind w:left="887" w:hanging="433"/>
        <w:spacing w:after="0"/>
        <w:tabs>
          <w:tab w:leader="none" w:pos="887"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Company shall provide the Employee with certain continued welfare benefits as follows:</w:t>
      </w:r>
    </w:p>
    <w:p>
      <w:pPr>
        <w:spacing w:after="0" w:line="113" w:lineRule="exact"/>
        <w:rPr>
          <w:rFonts w:ascii="Arial" w:cs="Arial" w:eastAsia="Arial" w:hAnsi="Arial"/>
          <w:sz w:val="18"/>
          <w:szCs w:val="18"/>
          <w:color w:val="auto"/>
        </w:rPr>
      </w:pPr>
    </w:p>
    <w:p>
      <w:pPr>
        <w:ind w:left="1347" w:right="20" w:hanging="440"/>
        <w:spacing w:after="0" w:line="287" w:lineRule="auto"/>
        <w:tabs>
          <w:tab w:leader="none" w:pos="1347" w:val="left"/>
        </w:tabs>
        <w:numPr>
          <w:ilvl w:val="2"/>
          <w:numId w:val="66"/>
        </w:numPr>
        <w:rPr>
          <w:rFonts w:ascii="Arial" w:cs="Arial" w:eastAsia="Arial" w:hAnsi="Arial"/>
          <w:sz w:val="16"/>
          <w:szCs w:val="16"/>
          <w:color w:val="auto"/>
        </w:rPr>
      </w:pPr>
      <w:r>
        <w:rPr>
          <w:rFonts w:ascii="Arial" w:cs="Arial" w:eastAsia="Arial" w:hAnsi="Arial"/>
          <w:sz w:val="16"/>
          <w:szCs w:val="16"/>
          <w:color w:val="auto"/>
        </w:rPr>
        <w:t>Any life insurance coverage provided by the Company shall terminate at the same time as life insurance coverage would normally terminate for any other employee that terminates employment with the Company, and the Employee shall have the right to convert that life insurance coverage to an individual policy under the regular rules of the Company’s group policy. In addition, if the Employee is covered under or receives life insurance coverage provided by the Company on the Date of Termination, then within thirty (30) business days after the Date of Termination, the Company shall pay the Employee a lump sum cash payment equal to thirty-six (36) monthly life insurance premiums based on the monthly premiums that would be due assuming that the Employee had converted his Company life insurance coverage that was in effect on the Notice of Termination into an individual policy.</w:t>
      </w:r>
    </w:p>
    <w:p>
      <w:pPr>
        <w:spacing w:after="0" w:line="73" w:lineRule="exact"/>
        <w:rPr>
          <w:rFonts w:ascii="Arial" w:cs="Arial" w:eastAsia="Arial" w:hAnsi="Arial"/>
          <w:sz w:val="16"/>
          <w:szCs w:val="16"/>
          <w:color w:val="auto"/>
        </w:rPr>
      </w:pPr>
    </w:p>
    <w:p>
      <w:pPr>
        <w:ind w:left="1347" w:hanging="440"/>
        <w:spacing w:after="0" w:line="267" w:lineRule="auto"/>
        <w:tabs>
          <w:tab w:leader="none" w:pos="1347" w:val="left"/>
        </w:tabs>
        <w:numPr>
          <w:ilvl w:val="2"/>
          <w:numId w:val="66"/>
        </w:numPr>
        <w:rPr>
          <w:rFonts w:ascii="Arial" w:cs="Arial" w:eastAsia="Arial" w:hAnsi="Arial"/>
          <w:sz w:val="17"/>
          <w:szCs w:val="17"/>
          <w:color w:val="auto"/>
        </w:rPr>
      </w:pPr>
      <w:r>
        <w:rPr>
          <w:rFonts w:ascii="Arial" w:cs="Arial" w:eastAsia="Arial" w:hAnsi="Arial"/>
          <w:sz w:val="17"/>
          <w:szCs w:val="17"/>
          <w:color w:val="auto"/>
        </w:rPr>
        <w:t>As long as the Employee pays the full monthly premiums for COBRA coverage, the Company shall provide the Employee and, as applicable, the Employee’s eligible dependents with continued medical and dental coverage, on the same basis as provided to the Company’s active executives and their dependents until the earlier of: (i) three (3) years after the Date of Termination; or (ii) the date the Employee is first eligible for medical and dental coverage (without pre-existing condition limitations) with a subsequent employer. In addition, within thirty (30) business days after the Date of Termination, the Company shall pay the Employee a lump sum cash payment equal to thirty-six (36) monthly medical and dental COBRA premiums based on the level of coverage in effect for the Employee (</w:t>
      </w:r>
      <w:r>
        <w:rPr>
          <w:rFonts w:ascii="Arial" w:cs="Arial" w:eastAsia="Arial" w:hAnsi="Arial"/>
          <w:sz w:val="17"/>
          <w:szCs w:val="17"/>
          <w:i w:val="1"/>
          <w:iCs w:val="1"/>
          <w:color w:val="auto"/>
        </w:rPr>
        <w:t>e.g.</w:t>
      </w:r>
      <w:r>
        <w:rPr>
          <w:rFonts w:ascii="Arial" w:cs="Arial" w:eastAsia="Arial" w:hAnsi="Arial"/>
          <w:sz w:val="17"/>
          <w:szCs w:val="17"/>
          <w:color w:val="auto"/>
        </w:rPr>
        <w:t>, employee only or family coverage) on the Date of Termination.</w:t>
      </w:r>
    </w:p>
    <w:p>
      <w:pPr>
        <w:spacing w:after="0" w:line="77" w:lineRule="exact"/>
        <w:rPr>
          <w:rFonts w:ascii="Arial" w:cs="Arial" w:eastAsia="Arial" w:hAnsi="Arial"/>
          <w:sz w:val="17"/>
          <w:szCs w:val="17"/>
          <w:color w:val="auto"/>
        </w:rPr>
      </w:pPr>
    </w:p>
    <w:p>
      <w:pPr>
        <w:ind w:left="447" w:right="100" w:hanging="447"/>
        <w:spacing w:after="0" w:line="257" w:lineRule="auto"/>
        <w:tabs>
          <w:tab w:leader="none" w:pos="44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or by the Employee without Good Reason</w:t>
      </w:r>
      <w:r>
        <w:rPr>
          <w:rFonts w:ascii="Arial" w:cs="Arial" w:eastAsia="Arial" w:hAnsi="Arial"/>
          <w:sz w:val="18"/>
          <w:szCs w:val="18"/>
          <w:color w:val="auto"/>
        </w:rPr>
        <w:t>. If the Employee’s employment is terminated (i) by the Company for Cause or (ii) by the Employee without Good Reason, the Company’s only obligation under this Agreement shall be payment of any earned but unpaid Annual Base Salary and any expense reimbursement payments owed to the Employee.</w:t>
      </w:r>
    </w:p>
    <w:p>
      <w:pPr>
        <w:spacing w:after="0" w:line="81" w:lineRule="exact"/>
        <w:rPr>
          <w:rFonts w:ascii="Arial" w:cs="Arial" w:eastAsia="Arial" w:hAnsi="Arial"/>
          <w:sz w:val="18"/>
          <w:szCs w:val="18"/>
          <w:color w:val="auto"/>
        </w:rPr>
      </w:pPr>
    </w:p>
    <w:p>
      <w:pPr>
        <w:ind w:left="447" w:right="40" w:hanging="447"/>
        <w:spacing w:after="0" w:line="254" w:lineRule="auto"/>
        <w:tabs>
          <w:tab w:leader="none" w:pos="44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If the Employee’s employment is terminated due to death or Disability, the Company shall pay to the Employee (or to the Employee’s estate or personal representative in the case of the Employee’s death), within thirty (30) business days after the Date of Termination, (i) any Accrued Obligations and (ii) a prorated Annual Bonus based on (A) the target Annual Bonus opportunity in the year in which the Date of Termination occurs or</w:t>
      </w:r>
    </w:p>
    <w:p>
      <w:pPr>
        <w:spacing w:after="0" w:line="164" w:lineRule="exact"/>
        <w:rPr>
          <w:sz w:val="20"/>
          <w:szCs w:val="20"/>
          <w:color w:val="auto"/>
        </w:rPr>
      </w:pPr>
    </w:p>
    <w:p>
      <w:pPr>
        <w:jc w:val="center"/>
        <w:ind w:right="93"/>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067"/>
          </w:cols>
          <w:pgMar w:left="473" w:top="1034" w:right="359" w:bottom="1440" w:gutter="0" w:footer="0" w:header="0"/>
        </w:sectPr>
      </w:pPr>
    </w:p>
    <w:bookmarkStart w:id="139" w:name="page140"/>
    <w:bookmarkEnd w:id="139"/>
    <w:p>
      <w:pPr>
        <w:ind w:left="447"/>
        <w:spacing w:after="0"/>
        <w:rPr>
          <w:sz w:val="20"/>
          <w:szCs w:val="20"/>
          <w:color w:val="auto"/>
        </w:rPr>
      </w:pPr>
      <w:r>
        <w:rPr>
          <w:rFonts w:ascii="Arial" w:cs="Arial" w:eastAsia="Arial" w:hAnsi="Arial"/>
          <w:sz w:val="17"/>
          <w:szCs w:val="17"/>
          <w:color w:val="auto"/>
        </w:rPr>
        <w:t>the prior year if no target Annual Bonus opportunity has yet been determined and (B) the fraction of the year the Employee was employed.</w:t>
      </w:r>
    </w:p>
    <w:p>
      <w:pPr>
        <w:spacing w:after="0" w:line="125" w:lineRule="exact"/>
        <w:rPr>
          <w:sz w:val="20"/>
          <w:szCs w:val="20"/>
          <w:color w:val="auto"/>
        </w:rPr>
      </w:pPr>
    </w:p>
    <w:p>
      <w:pPr>
        <w:ind w:left="447" w:right="160" w:hanging="447"/>
        <w:spacing w:after="0" w:line="267" w:lineRule="auto"/>
        <w:tabs>
          <w:tab w:leader="none" w:pos="44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Definition of Change in Control</w:t>
      </w:r>
      <w:r>
        <w:rPr>
          <w:rFonts w:ascii="Arial" w:cs="Arial" w:eastAsia="Arial" w:hAnsi="Arial"/>
          <w:sz w:val="18"/>
          <w:szCs w:val="18"/>
          <w:color w:val="auto"/>
        </w:rPr>
        <w:t>. For purposes of this Agreement, the term “Change in Control” shall mean that the conditions set forth in any one of the following subsections shall have been satisfied:</w:t>
      </w:r>
    </w:p>
    <w:p>
      <w:pPr>
        <w:spacing w:after="0" w:line="72" w:lineRule="exact"/>
        <w:rPr>
          <w:rFonts w:ascii="Arial" w:cs="Arial" w:eastAsia="Arial" w:hAnsi="Arial"/>
          <w:sz w:val="18"/>
          <w:szCs w:val="18"/>
          <w:color w:val="auto"/>
        </w:rPr>
      </w:pPr>
    </w:p>
    <w:p>
      <w:pPr>
        <w:ind w:left="887" w:right="200" w:hanging="433"/>
        <w:spacing w:after="0" w:line="254" w:lineRule="auto"/>
        <w:tabs>
          <w:tab w:leader="none" w:pos="887"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acquisition, directly or indirectly, by any “person” (within the meaning of Section 3(a)(9) of the Securities and Exchange Act of 1934, as amended (the “Exchange Act”) and used in Sections 13(d) and 14(d) thereof) of “beneficial ownership” (within the meaning of Rule 13d-3 of the Exchange Act) of securities of the Company possessing more than 50% of the total combined voting power of all outstanding securities of the Company;</w:t>
      </w:r>
    </w:p>
    <w:p>
      <w:pPr>
        <w:spacing w:after="0" w:line="97" w:lineRule="exact"/>
        <w:rPr>
          <w:rFonts w:ascii="Arial" w:cs="Arial" w:eastAsia="Arial" w:hAnsi="Arial"/>
          <w:sz w:val="18"/>
          <w:szCs w:val="18"/>
          <w:color w:val="auto"/>
        </w:rPr>
      </w:pPr>
    </w:p>
    <w:p>
      <w:pPr>
        <w:ind w:left="887" w:right="40" w:hanging="433"/>
        <w:spacing w:after="0" w:line="304" w:lineRule="auto"/>
        <w:tabs>
          <w:tab w:leader="none" w:pos="887" w:val="left"/>
        </w:tabs>
        <w:numPr>
          <w:ilvl w:val="1"/>
          <w:numId w:val="68"/>
        </w:numPr>
        <w:rPr>
          <w:rFonts w:ascii="Arial" w:cs="Arial" w:eastAsia="Arial" w:hAnsi="Arial"/>
          <w:sz w:val="16"/>
          <w:szCs w:val="16"/>
          <w:color w:val="auto"/>
        </w:rPr>
      </w:pPr>
      <w:r>
        <w:rPr>
          <w:rFonts w:ascii="Arial" w:cs="Arial" w:eastAsia="Arial" w:hAnsi="Arial"/>
          <w:sz w:val="16"/>
          <w:szCs w:val="16"/>
          <w:color w:val="auto"/>
        </w:rPr>
        <w:t>a merger or consolidation in which the Company is not the surviving entity, except for a transaction in which the holders of the outstanding voting securities of the Company immediately prior to such merger or consolidation hold, in the aggregate, securities possessing more than 50% of the total combined voting power of all outstanding voting securities of the surviving entity immediately after such merger or consolidation;</w:t>
      </w:r>
    </w:p>
    <w:p>
      <w:pPr>
        <w:spacing w:after="0" w:line="60" w:lineRule="exact"/>
        <w:rPr>
          <w:rFonts w:ascii="Arial" w:cs="Arial" w:eastAsia="Arial" w:hAnsi="Arial"/>
          <w:sz w:val="16"/>
          <w:szCs w:val="16"/>
          <w:color w:val="auto"/>
        </w:rPr>
      </w:pPr>
    </w:p>
    <w:p>
      <w:pPr>
        <w:ind w:left="887" w:right="220" w:hanging="433"/>
        <w:spacing w:after="0" w:line="257" w:lineRule="auto"/>
        <w:tabs>
          <w:tab w:leader="none" w:pos="887"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reverse merger in which the Company is the surviving entity but in which securities possessing more than 50% of the total combined voting power of all outstanding voting securities of the Company are transferred to or acquired by a person or persons different from the persons holding those securities immediately prior to such merger;</w:t>
      </w:r>
    </w:p>
    <w:p>
      <w:pPr>
        <w:spacing w:after="0" w:line="95" w:lineRule="exact"/>
        <w:rPr>
          <w:rFonts w:ascii="Arial" w:cs="Arial" w:eastAsia="Arial" w:hAnsi="Arial"/>
          <w:sz w:val="18"/>
          <w:szCs w:val="18"/>
          <w:color w:val="auto"/>
        </w:rPr>
      </w:pPr>
    </w:p>
    <w:p>
      <w:pPr>
        <w:ind w:left="887" w:hanging="433"/>
        <w:spacing w:after="0" w:line="254" w:lineRule="auto"/>
        <w:tabs>
          <w:tab w:leader="none" w:pos="887" w:val="left"/>
        </w:tabs>
        <w:numPr>
          <w:ilvl w:val="1"/>
          <w:numId w:val="68"/>
        </w:numPr>
        <w:rPr>
          <w:rFonts w:ascii="Arial" w:cs="Arial" w:eastAsia="Arial" w:hAnsi="Arial"/>
          <w:sz w:val="18"/>
          <w:szCs w:val="18"/>
          <w:color w:val="auto"/>
        </w:rPr>
      </w:pPr>
      <w:r>
        <w:rPr>
          <w:rFonts w:ascii="Arial" w:cs="Arial" w:eastAsia="Arial" w:hAnsi="Arial"/>
          <w:sz w:val="18"/>
          <w:szCs w:val="18"/>
          <w:color w:val="auto"/>
        </w:rPr>
        <w:t>during any period of two (2) consecutive years during the Employment Term or any extensions thereof, individuals, who, at the beginning of such period, constitute the Board, cease for any reason to constitute at least a majority thereof, unless the election of each director who was not a director at the beginning of such period has been approved in advance by directors representing at least two-thirds of the directors then in office who were directors at the beginning of the period;</w:t>
      </w:r>
    </w:p>
    <w:p>
      <w:pPr>
        <w:spacing w:after="0" w:line="97" w:lineRule="exact"/>
        <w:rPr>
          <w:rFonts w:ascii="Arial" w:cs="Arial" w:eastAsia="Arial" w:hAnsi="Arial"/>
          <w:sz w:val="18"/>
          <w:szCs w:val="18"/>
          <w:color w:val="auto"/>
        </w:rPr>
      </w:pPr>
    </w:p>
    <w:p>
      <w:pPr>
        <w:ind w:left="887" w:right="20" w:hanging="433"/>
        <w:spacing w:after="0" w:line="251" w:lineRule="auto"/>
        <w:tabs>
          <w:tab w:leader="none" w:pos="887"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sale, transfer or other disposition (in one transaction or a series of related transactions) of assets of the Company that have a total fair market value equal to or more than one-third of the total fair market value of all of the assets of the Company immediately prior to such sale, transfer or other disposition, other than a sale, transfer or other disposition to an entity (x) which immediately following such sale, transfer or other disposition owns, directly or indirectly, at least 50% of the Company’s outstanding voting securities or (y) 50% or more of whose outstanding voting securities is immediately following such sale, transfer or other disposition owned, directly or indirectly, by the Company. For purposes of the foregoing</w:t>
      </w:r>
    </w:p>
    <w:p>
      <w:pPr>
        <w:spacing w:after="0" w:line="168" w:lineRule="exact"/>
        <w:rPr>
          <w:sz w:val="20"/>
          <w:szCs w:val="20"/>
          <w:color w:val="auto"/>
        </w:rPr>
      </w:pPr>
    </w:p>
    <w:p>
      <w:pPr>
        <w:jc w:val="center"/>
        <w:ind w:right="213"/>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7"/>
          </w:cols>
          <w:pgMar w:left="473" w:top="927" w:right="239" w:bottom="1440" w:gutter="0" w:footer="0" w:header="0"/>
        </w:sectPr>
      </w:pPr>
    </w:p>
    <w:bookmarkStart w:id="140" w:name="page141"/>
    <w:bookmarkEnd w:id="140"/>
    <w:p>
      <w:pPr>
        <w:ind w:left="900"/>
        <w:spacing w:after="0"/>
        <w:rPr>
          <w:sz w:val="20"/>
          <w:szCs w:val="20"/>
          <w:color w:val="auto"/>
        </w:rPr>
      </w:pPr>
      <w:r>
        <w:rPr>
          <w:rFonts w:ascii="Arial" w:cs="Arial" w:eastAsia="Arial" w:hAnsi="Arial"/>
          <w:sz w:val="16"/>
          <w:szCs w:val="16"/>
          <w:color w:val="auto"/>
        </w:rPr>
        <w:t>clause, the sale of stock of a subsidiary of the Company (or the assets of such subsidiary) shall be treated as a sale of assets of the Company; or</w:t>
      </w:r>
    </w:p>
    <w:p>
      <w:pPr>
        <w:spacing w:after="0" w:line="136" w:lineRule="exact"/>
        <w:rPr>
          <w:sz w:val="20"/>
          <w:szCs w:val="20"/>
          <w:color w:val="auto"/>
        </w:rPr>
      </w:pPr>
    </w:p>
    <w:p>
      <w:pPr>
        <w:ind w:left="900" w:hanging="433"/>
        <w:spacing w:after="0"/>
        <w:tabs>
          <w:tab w:leader="none" w:pos="9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approval by the stockholders of a plan or proposal for the liquidation or dissolution of the Company.</w:t>
      </w:r>
    </w:p>
    <w:p>
      <w:pPr>
        <w:spacing w:after="0" w:line="113" w:lineRule="exact"/>
        <w:rPr>
          <w:rFonts w:ascii="Arial" w:cs="Arial" w:eastAsia="Arial" w:hAnsi="Arial"/>
          <w:sz w:val="18"/>
          <w:szCs w:val="18"/>
          <w:color w:val="auto"/>
        </w:rPr>
      </w:pPr>
    </w:p>
    <w:p>
      <w:pPr>
        <w:ind w:left="460" w:right="80" w:hanging="447"/>
        <w:spacing w:after="0" w:line="267" w:lineRule="auto"/>
        <w:tabs>
          <w:tab w:leader="none" w:pos="460"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Six-Month Delay</w:t>
      </w:r>
      <w:r>
        <w:rPr>
          <w:rFonts w:ascii="Arial" w:cs="Arial" w:eastAsia="Arial" w:hAnsi="Arial"/>
          <w:sz w:val="17"/>
          <w:szCs w:val="17"/>
          <w:color w:val="auto"/>
        </w:rPr>
        <w:t>. To the extent the Employee is a “specified employee,” as defined in Section 409A(a)(2)(B)(i) of the Code and the regulations and other guidance promulgated thereunder and any elections made by the Company in accordance therewith, notwithstanding the timing of payment provided in any other Section of this Agreement, no payment, distribution or benefit under this Agreement that constitutes a distribution of deferred compensation (within the meaning of Treasury Regulation Section 1.409A-1(b)) upon separation from service (within the meaning of Treasury Regulation Section 1.409A-1(h)), after taking into account all available exemptions, that would otherwise be payable during the six (6) month period after separation from service, will be made during such six (6) month period, and any such payment, distribution or benefit will instead be paid on the first business day after such six (6) month period.</w:t>
      </w:r>
    </w:p>
    <w:p>
      <w:pPr>
        <w:spacing w:after="0" w:line="77" w:lineRule="exact"/>
        <w:rPr>
          <w:rFonts w:ascii="Arial" w:cs="Arial" w:eastAsia="Arial" w:hAnsi="Arial"/>
          <w:sz w:val="17"/>
          <w:szCs w:val="17"/>
          <w:color w:val="auto"/>
        </w:rPr>
      </w:pPr>
    </w:p>
    <w:p>
      <w:pPr>
        <w:ind w:left="180" w:hanging="171"/>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Excise Tax Gross-up Payments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60" w:hanging="447"/>
        <w:spacing w:after="0" w:line="265" w:lineRule="auto"/>
        <w:tabs>
          <w:tab w:leader="none" w:pos="460" w:val="left"/>
        </w:tabs>
        <w:numPr>
          <w:ilvl w:val="1"/>
          <w:numId w:val="71"/>
        </w:numPr>
        <w:rPr>
          <w:rFonts w:ascii="Arial" w:cs="Arial" w:eastAsia="Arial" w:hAnsi="Arial"/>
          <w:sz w:val="17"/>
          <w:szCs w:val="17"/>
          <w:color w:val="auto"/>
        </w:rPr>
      </w:pPr>
      <w:r>
        <w:rPr>
          <w:rFonts w:ascii="Arial" w:cs="Arial" w:eastAsia="Arial" w:hAnsi="Arial"/>
          <w:sz w:val="17"/>
          <w:szCs w:val="17"/>
          <w:color w:val="auto"/>
        </w:rPr>
        <w:t>If any payments or benefits paid or provided or to be paid or provided to the Employee or for his benefit pursuant to the terms of this Agreement or otherwise in connection with, or arising out of, his employment with the Company or its subsidiaries or the termination thereof (a “Payment” and, collectively, the “Payments”) would be subject to the excise tax (the “Excise Tax”) imposed by Section 4999 of the Code, then, except as otherwise provided in this Section 9(a), the Employee will be entitled to receive an additional payment (a “Gross-Up Payment”) in an amount such that, after payment by the Employee of all income taxes, all employment taxes and any Excise Tax imposed upon the Gross-Up Payment (including any related interest and penalties), the Employee retains an amount of the Gross-Up Payment equal to the Excise Tax (including any related interest and penalties) imposed upon the Payments. Notwithstanding the foregoing, if the amount of the Payments does not exceed by more than 3% the amount that would be payable to the Employee if the Payments were reduced to one dollar less than what would constitute a “parachute payment” under Section 280G of the Code (the “</w:t>
      </w:r>
      <w:r>
        <w:rPr>
          <w:rFonts w:ascii="Arial" w:cs="Arial" w:eastAsia="Arial" w:hAnsi="Arial"/>
          <w:sz w:val="17"/>
          <w:szCs w:val="17"/>
          <w:u w:val="single" w:color="auto"/>
          <w:color w:val="auto"/>
        </w:rPr>
        <w:t>Scaled Back Amount</w:t>
      </w:r>
      <w:r>
        <w:rPr>
          <w:rFonts w:ascii="Arial" w:cs="Arial" w:eastAsia="Arial" w:hAnsi="Arial"/>
          <w:sz w:val="17"/>
          <w:szCs w:val="17"/>
          <w:color w:val="auto"/>
        </w:rPr>
        <w:t>”), then the Payments shall be reduced, in a manner determined by the Employee, to the Scaled Back Amount, and the Employee shall not be entitled to any Gross-Up Payment.</w:t>
      </w:r>
    </w:p>
    <w:p>
      <w:pPr>
        <w:spacing w:after="0" w:line="95" w:lineRule="exact"/>
        <w:rPr>
          <w:rFonts w:ascii="Arial" w:cs="Arial" w:eastAsia="Arial" w:hAnsi="Arial"/>
          <w:sz w:val="17"/>
          <w:szCs w:val="17"/>
          <w:color w:val="auto"/>
        </w:rPr>
      </w:pPr>
    </w:p>
    <w:p>
      <w:pPr>
        <w:ind w:left="460" w:right="200" w:hanging="447"/>
        <w:spacing w:after="0" w:line="295" w:lineRule="auto"/>
        <w:tabs>
          <w:tab w:leader="none" w:pos="4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An initial determination of (i) whether a Gross-Up Payment is required pursuant to this Agreement, and, if applicable, the amount of such Gross-Up Payment or (ii) whether the Payments must be reduced to the Scaled Back Amount and, if so, the amount of such reduction, will be made at the Company’s expense by an accounting firm selected by the Company. The accounting firm will provide its determination, together with detailed supporting calculations and documentation, to the Company and the Employee within ten (10) business days after the date of</w:t>
      </w:r>
    </w:p>
    <w:p>
      <w:pPr>
        <w:spacing w:after="0" w:line="13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145415</wp:posOffset>
            </wp:positionV>
            <wp:extent cx="725233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0"/>
          </w:cols>
          <w:pgMar w:left="460" w:top="927" w:right="259" w:bottom="1440" w:gutter="0" w:footer="0" w:header="0"/>
        </w:sectPr>
      </w:pPr>
    </w:p>
    <w:bookmarkStart w:id="141" w:name="page142"/>
    <w:bookmarkEnd w:id="141"/>
    <w:p>
      <w:pPr>
        <w:ind w:left="447" w:right="20"/>
        <w:spacing w:after="0" w:line="281" w:lineRule="auto"/>
        <w:rPr>
          <w:sz w:val="20"/>
          <w:szCs w:val="20"/>
          <w:color w:val="auto"/>
        </w:rPr>
      </w:pPr>
      <w:r>
        <w:rPr>
          <w:rFonts w:ascii="Arial" w:cs="Arial" w:eastAsia="Arial" w:hAnsi="Arial"/>
          <w:sz w:val="16"/>
          <w:szCs w:val="16"/>
          <w:color w:val="auto"/>
        </w:rPr>
        <w:t>termination of Employee’s employment, or such other time as may be reasonably requested by the Company or the Employee. If the accounting firm determines that no Excise Tax is payable by the Employee with respect to a Payment or Payments, it will furnish the Employee with an opinion to that effect. If a Gross-Up Payment becomes payable, such Gross-Up Payment will be paid by the Company to the Employee within thirty (30) business days of the receipt of the accounting firm’s determination. If a reduction in Payments is required, such reduction shall be effectuated within thirty</w:t>
      </w:r>
    </w:p>
    <w:p>
      <w:pPr>
        <w:spacing w:after="0" w:line="3" w:lineRule="exact"/>
        <w:rPr>
          <w:sz w:val="20"/>
          <w:szCs w:val="20"/>
          <w:color w:val="auto"/>
        </w:rPr>
      </w:pPr>
    </w:p>
    <w:p>
      <w:pPr>
        <w:ind w:left="447"/>
        <w:spacing w:after="0" w:line="263" w:lineRule="auto"/>
        <w:rPr>
          <w:sz w:val="20"/>
          <w:szCs w:val="20"/>
          <w:color w:val="auto"/>
        </w:rPr>
      </w:pPr>
      <w:r>
        <w:rPr>
          <w:rFonts w:ascii="Arial" w:cs="Arial" w:eastAsia="Arial" w:hAnsi="Arial"/>
          <w:sz w:val="17"/>
          <w:szCs w:val="17"/>
          <w:color w:val="auto"/>
        </w:rPr>
        <w:t>(30) business days of the receipt of the accounting firm’s determination. Within ten (10) business days after the accounting firm delivers its determination to the Employee, the Employee will have the right to dispute the determination. The existence of a dispute will not in any way affect the Employee’s right to receive a Gross-Up Payment in accordance with the determination. If there is no dispute, the determination will be binding, final, and conclusive upon the Company and the Employee. If there is a dispute, the Company and the Employee will together select a second accounting firm, which will review the determination and the Employee’s basis for the dispute and then will render its own determination, which will be binding, final, and conclusive on the Company and on the Employee for purposes of determining whether a Gross-Up Payment is required pursuant to this Section 9(b) or whether a reduction to the Scaled Back Amount is required, as the case may be. If as a result of any dispute pursuant to this Section 9(b) a Gross-Up Payment is made or additional Gross-Up Payments are made, such Gross-Up Payment(s) will be paid by the Company to the Employee within thirty (30) business days of the receipt of the second accounting firm’s determination. The Company will bear all costs associated with the second accounting firm’s determination, unless such determination does not result in additional Gross-Up Payments to the Employee or unless such determination does not mitigate the reduction in Payments required to arrive at the Scaled Back Amount, in which case all such costs will be borne by the Employee.</w:t>
      </w:r>
    </w:p>
    <w:p>
      <w:pPr>
        <w:spacing w:after="0" w:line="85" w:lineRule="exact"/>
        <w:rPr>
          <w:sz w:val="20"/>
          <w:szCs w:val="20"/>
          <w:color w:val="auto"/>
        </w:rPr>
      </w:pPr>
    </w:p>
    <w:p>
      <w:pPr>
        <w:ind w:left="447" w:hanging="447"/>
        <w:spacing w:after="0" w:line="270" w:lineRule="auto"/>
        <w:tabs>
          <w:tab w:leader="none" w:pos="447" w:val="left"/>
        </w:tabs>
        <w:numPr>
          <w:ilvl w:val="0"/>
          <w:numId w:val="72"/>
        </w:numPr>
        <w:rPr>
          <w:rFonts w:ascii="Arial" w:cs="Arial" w:eastAsia="Arial" w:hAnsi="Arial"/>
          <w:sz w:val="17"/>
          <w:szCs w:val="17"/>
          <w:color w:val="auto"/>
        </w:rPr>
      </w:pPr>
      <w:r>
        <w:rPr>
          <w:rFonts w:ascii="Arial" w:cs="Arial" w:eastAsia="Arial" w:hAnsi="Arial"/>
          <w:sz w:val="17"/>
          <w:szCs w:val="17"/>
          <w:color w:val="auto"/>
        </w:rPr>
        <w:t>For purposes of determining the amount of the Gross-Up Payment and, if applicable, the Scaled Back Amount, the Employee will be deemed to pay federal income taxes at the highest marginal rate of federal income taxation in the calendar year in which the Gross-Up Payment is to be made or the Scaled Back Amount is determined, as the case may be, and applicable state and local income taxes at the highest marginal rate of taxation in the state and locality of the Employee’s residence on the date of termination of Employee’s employment, net of the maximum reduction in federal income taxes that would be obtained from deduction of those state and local taxes.</w:t>
      </w:r>
    </w:p>
    <w:p>
      <w:pPr>
        <w:spacing w:after="0" w:line="87" w:lineRule="exact"/>
        <w:rPr>
          <w:rFonts w:ascii="Arial" w:cs="Arial" w:eastAsia="Arial" w:hAnsi="Arial"/>
          <w:sz w:val="17"/>
          <w:szCs w:val="17"/>
          <w:color w:val="auto"/>
        </w:rPr>
      </w:pPr>
    </w:p>
    <w:p>
      <w:pPr>
        <w:ind w:left="447" w:right="80" w:hanging="447"/>
        <w:spacing w:after="0" w:line="295" w:lineRule="auto"/>
        <w:tabs>
          <w:tab w:leader="none" w:pos="447" w:val="left"/>
        </w:tabs>
        <w:numPr>
          <w:ilvl w:val="0"/>
          <w:numId w:val="72"/>
        </w:numPr>
        <w:rPr>
          <w:rFonts w:ascii="Arial" w:cs="Arial" w:eastAsia="Arial" w:hAnsi="Arial"/>
          <w:sz w:val="16"/>
          <w:szCs w:val="16"/>
          <w:color w:val="auto"/>
        </w:rPr>
      </w:pPr>
      <w:r>
        <w:rPr>
          <w:rFonts w:ascii="Arial" w:cs="Arial" w:eastAsia="Arial" w:hAnsi="Arial"/>
          <w:sz w:val="16"/>
          <w:szCs w:val="16"/>
          <w:color w:val="auto"/>
        </w:rPr>
        <w:t>As a result of the uncertainty in the application of Section 4999 of the Code, it is possible that Gross-Up Payments which will not have been made by the Company should have been made, the Employee’s Payments will be reduced to the Scaled Back Amount when they should not have been or the Employee’s Payments are reduced to a greater extent than they should have been (an “Underpayment”) or Gross-Up Payments are made by the Company which should not have been made, the Employee’s Payments are not reduced to the Scaled Back Amount when they</w:t>
      </w:r>
    </w:p>
    <w:p>
      <w:pPr>
        <w:spacing w:after="0" w:line="136" w:lineRule="exact"/>
        <w:rPr>
          <w:sz w:val="20"/>
          <w:szCs w:val="20"/>
          <w:color w:val="auto"/>
        </w:rPr>
      </w:pPr>
    </w:p>
    <w:p>
      <w:pPr>
        <w:jc w:val="center"/>
        <w:ind w:right="173"/>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47"/>
          </w:cols>
          <w:pgMar w:left="473" w:top="927" w:right="279" w:bottom="1440" w:gutter="0" w:footer="0" w:header="0"/>
        </w:sectPr>
      </w:pPr>
    </w:p>
    <w:bookmarkStart w:id="142" w:name="page143"/>
    <w:bookmarkEnd w:id="142"/>
    <w:p>
      <w:pPr>
        <w:ind w:left="447"/>
        <w:spacing w:after="0" w:line="284" w:lineRule="auto"/>
        <w:rPr>
          <w:sz w:val="20"/>
          <w:szCs w:val="20"/>
          <w:color w:val="auto"/>
        </w:rPr>
      </w:pPr>
      <w:r>
        <w:rPr>
          <w:rFonts w:ascii="Arial" w:cs="Arial" w:eastAsia="Arial" w:hAnsi="Arial"/>
          <w:sz w:val="16"/>
          <w:szCs w:val="16"/>
          <w:color w:val="auto"/>
        </w:rPr>
        <w:t>should have been or they are not reduced to the extent they should have been (an “Overpayment”). If it is determined that an Underpayment has occurred, the accounting firm shall determine the amount of the Underpayment that has occurred and any such Underpayment (together with interest at the rate provided in Section 1274(b)(2)(B) of the Code) shall be promptly paid by the Company to or for the benefit of Employee. If it is determined that an Overpayment has occurred, the accounting firm shall determine the amount of the Overpayment that has occurred and any such Overpayment (together with interest at the rate provided in Section 1274(b)(2) of the Code) shall be promptly paid by the Employee (to the extent he has received a refund if the applicable Excise Tax has been paid to the Internal Revenue Service) to or for the benefit of the Company; provided, however, that if the Company determines that such repayment obligation would be or result in an unlawful extension of credit under Section 13(k) of the Exchange Act, repayment shall not be required. The Employee shall cooperate, to the extent his expenses are reimbursed by the Company, with any reasonable requests by the Company in connection with any contest or disputes with the Internal Revenue Service in connection with the Excise Tax.</w:t>
      </w:r>
    </w:p>
    <w:p>
      <w:pPr>
        <w:spacing w:after="0" w:line="67" w:lineRule="exact"/>
        <w:rPr>
          <w:sz w:val="20"/>
          <w:szCs w:val="20"/>
          <w:color w:val="auto"/>
        </w:rPr>
      </w:pPr>
    </w:p>
    <w:p>
      <w:pPr>
        <w:ind w:left="447" w:right="40" w:hanging="447"/>
        <w:spacing w:after="0" w:line="269" w:lineRule="auto"/>
        <w:tabs>
          <w:tab w:leader="none" w:pos="447"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Employee shall notify the Company in writing of any claim by the Internal Revenue Service that, if successful, would require a payment resulting in an Underpayment. Such notification shall be given as soon as practicable but no later than ten (10) business days after the Employee is informed in writing of such claim and shall apprise the Company of the nature of such claim and the date on which such claim is requested to be paid. The Employee shall not pay such claim prior to the expiration of the thirty (30) day period following the date on which he gives such notice to the Company (or such shorter period ending on the date that any payment of taxes with respect to such claim is due). If the Company notifies the Employee in writing prior to the expiration of such period that it desires to contest such claim, the Employee shall:</w:t>
      </w:r>
    </w:p>
    <w:p>
      <w:pPr>
        <w:spacing w:after="0" w:line="72" w:lineRule="exact"/>
        <w:rPr>
          <w:rFonts w:ascii="Arial" w:cs="Arial" w:eastAsia="Arial" w:hAnsi="Arial"/>
          <w:sz w:val="17"/>
          <w:szCs w:val="17"/>
          <w:color w:val="auto"/>
        </w:rPr>
      </w:pPr>
    </w:p>
    <w:p>
      <w:pPr>
        <w:ind w:left="887" w:hanging="433"/>
        <w:spacing w:after="0"/>
        <w:tabs>
          <w:tab w:leader="none" w:pos="887" w:val="left"/>
        </w:tabs>
        <w:numPr>
          <w:ilvl w:val="1"/>
          <w:numId w:val="73"/>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w:t>
      </w:r>
    </w:p>
    <w:p>
      <w:pPr>
        <w:spacing w:after="0" w:line="126" w:lineRule="exact"/>
        <w:rPr>
          <w:rFonts w:ascii="Arial" w:cs="Arial" w:eastAsia="Arial" w:hAnsi="Arial"/>
          <w:sz w:val="18"/>
          <w:szCs w:val="18"/>
          <w:color w:val="auto"/>
        </w:rPr>
      </w:pPr>
    </w:p>
    <w:p>
      <w:pPr>
        <w:ind w:left="887" w:right="400" w:hanging="433"/>
        <w:spacing w:after="0" w:line="331" w:lineRule="auto"/>
        <w:tabs>
          <w:tab w:leader="none" w:pos="887" w:val="left"/>
        </w:tabs>
        <w:numPr>
          <w:ilvl w:val="1"/>
          <w:numId w:val="73"/>
        </w:numPr>
        <w:rPr>
          <w:rFonts w:ascii="Arial" w:cs="Arial" w:eastAsia="Arial" w:hAnsi="Arial"/>
          <w:sz w:val="16"/>
          <w:szCs w:val="16"/>
          <w:color w:val="auto"/>
        </w:rPr>
      </w:pPr>
      <w:r>
        <w:rPr>
          <w:rFonts w:ascii="Arial" w:cs="Arial" w:eastAsia="Arial" w:hAnsi="Arial"/>
          <w:sz w:val="16"/>
          <w:szCs w:val="16"/>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39" w:lineRule="exact"/>
        <w:rPr>
          <w:rFonts w:ascii="Arial" w:cs="Arial" w:eastAsia="Arial" w:hAnsi="Arial"/>
          <w:sz w:val="16"/>
          <w:szCs w:val="16"/>
          <w:color w:val="auto"/>
        </w:rPr>
      </w:pPr>
    </w:p>
    <w:p>
      <w:pPr>
        <w:ind w:left="887" w:hanging="433"/>
        <w:spacing w:after="0"/>
        <w:tabs>
          <w:tab w:leader="none" w:pos="887" w:val="left"/>
        </w:tabs>
        <w:numPr>
          <w:ilvl w:val="1"/>
          <w:numId w:val="73"/>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effectively to contest such claim, and</w:t>
      </w:r>
    </w:p>
    <w:p>
      <w:pPr>
        <w:spacing w:after="0" w:line="126" w:lineRule="exact"/>
        <w:rPr>
          <w:rFonts w:ascii="Arial" w:cs="Arial" w:eastAsia="Arial" w:hAnsi="Arial"/>
          <w:sz w:val="18"/>
          <w:szCs w:val="18"/>
          <w:color w:val="auto"/>
        </w:rPr>
      </w:pPr>
    </w:p>
    <w:p>
      <w:pPr>
        <w:ind w:left="887" w:hanging="433"/>
        <w:spacing w:after="0"/>
        <w:tabs>
          <w:tab w:leader="none" w:pos="887" w:val="left"/>
        </w:tabs>
        <w:numPr>
          <w:ilvl w:val="1"/>
          <w:numId w:val="73"/>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 relating to such claim;</w:t>
      </w:r>
    </w:p>
    <w:p>
      <w:pPr>
        <w:spacing w:after="0" w:line="113" w:lineRule="exact"/>
        <w:rPr>
          <w:sz w:val="20"/>
          <w:szCs w:val="20"/>
          <w:color w:val="auto"/>
        </w:rPr>
      </w:pPr>
    </w:p>
    <w:p>
      <w:pPr>
        <w:ind w:left="467" w:right="540"/>
        <w:spacing w:after="0" w:line="267" w:lineRule="auto"/>
        <w:rPr>
          <w:sz w:val="20"/>
          <w:szCs w:val="20"/>
          <w:color w:val="auto"/>
        </w:rPr>
      </w:pPr>
      <w:r>
        <w:rPr>
          <w:rFonts w:ascii="Arial" w:cs="Arial" w:eastAsia="Arial" w:hAnsi="Arial"/>
          <w:sz w:val="18"/>
          <w:szCs w:val="18"/>
          <w:color w:val="auto"/>
        </w:rPr>
        <w:t>provided, however, that the Company shall bear and pay directly all costs and expenses (including additional interest and penalties) incurred in connection with such contest and shall indemnify and hold the Employee harmless, on an after-tax</w:t>
      </w:r>
    </w:p>
    <w:p>
      <w:pPr>
        <w:spacing w:after="0" w:line="153" w:lineRule="exact"/>
        <w:rPr>
          <w:sz w:val="20"/>
          <w:szCs w:val="20"/>
          <w:color w:val="auto"/>
        </w:rPr>
      </w:pPr>
    </w:p>
    <w:p>
      <w:pPr>
        <w:jc w:val="center"/>
        <w:ind w:right="193"/>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67"/>
          </w:cols>
          <w:pgMar w:left="473" w:top="927" w:right="259" w:bottom="1440" w:gutter="0" w:footer="0" w:header="0"/>
        </w:sectPr>
      </w:pPr>
    </w:p>
    <w:bookmarkStart w:id="143" w:name="page144"/>
    <w:bookmarkEnd w:id="143"/>
    <w:p>
      <w:pPr>
        <w:ind w:left="660"/>
        <w:spacing w:after="0" w:line="283" w:lineRule="auto"/>
        <w:rPr>
          <w:sz w:val="20"/>
          <w:szCs w:val="20"/>
          <w:color w:val="auto"/>
        </w:rPr>
      </w:pPr>
      <w:r>
        <w:rPr>
          <w:rFonts w:ascii="Arial" w:cs="Arial" w:eastAsia="Arial" w:hAnsi="Arial"/>
          <w:sz w:val="16"/>
          <w:szCs w:val="16"/>
          <w:color w:val="auto"/>
        </w:rPr>
        <w:t>basis, for any Excise Tax or income tax (including related interest and penalties) imposed as a result of such representation and payment of costs and expenses. Without limitation on the foregoing provisions of this Section 9(e),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Employee to pay the tax claimed and sue for a refund or contest the claim in any permissible manner, and the Employee agrees to prosecute such contest to a determination before any administrative tribunal, in a court of initial jurisdiction and in one or more appellate courts, as the Company shall determine; provided, however, that if the Company directs the Employee to pay such claim and sue for a refund, the Company shall advance the amount of such payment to the Employee, on an interest-free basis and shall indemnify and hold the Employee harmless, on an after-tax basis, from any Excise Tax or income tax (including related interest or penalties) imposed with respect to such advance or with respect to any imputed income with respect to such advance. The Company’s control of the contest shall be limited to issues that may impact Gross-Up Payments or reduction in Payments under this Section 9, and the Employee shall be entitled to settle or contest, as the case may be, any other issue raised by the Internal Revenue Service or any other taxing authority.</w:t>
      </w:r>
    </w:p>
    <w:p>
      <w:pPr>
        <w:spacing w:after="0" w:line="67" w:lineRule="exact"/>
        <w:rPr>
          <w:sz w:val="20"/>
          <w:szCs w:val="20"/>
          <w:color w:val="auto"/>
        </w:rPr>
      </w:pPr>
    </w:p>
    <w:p>
      <w:pPr>
        <w:ind w:left="640" w:hanging="447"/>
        <w:spacing w:after="0" w:line="288" w:lineRule="auto"/>
        <w:tabs>
          <w:tab w:leader="none" w:pos="6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If, after the receipt by the Employee of an amount advanced by the Company pursuant to Section 9(e), the Employee becomes entitled to receive any refund with respect to such claim, the Employee shall (subject to the Company’s complying with the requirements of Section 9(e)) promptly pay to the Company the amount of such refund (together with any interest paid or credited thereon after taxes applicable thereto). If, after the receipt by the Employee of an amount advanced by the Company pursuant to Section 9(e), a determination is made that the Employee shall not be entitled to any refund with respect to such claim and the Company does not notify the Employee in writing of its intent to contest such denial of refund prior to the expiration of thirty (30) days after such determination, then such advance shall be forgiven and shall not be required to be repaid.</w:t>
      </w:r>
    </w:p>
    <w:p>
      <w:pPr>
        <w:spacing w:after="0" w:line="75" w:lineRule="exact"/>
        <w:rPr>
          <w:rFonts w:ascii="Arial" w:cs="Arial" w:eastAsia="Arial" w:hAnsi="Arial"/>
          <w:sz w:val="16"/>
          <w:szCs w:val="16"/>
          <w:color w:val="auto"/>
        </w:rPr>
      </w:pPr>
    </w:p>
    <w:p>
      <w:pPr>
        <w:ind w:left="640" w:right="120" w:hanging="447"/>
        <w:spacing w:after="0" w:line="267" w:lineRule="auto"/>
        <w:tabs>
          <w:tab w:leader="none" w:pos="6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payment under this Section 9 must be made by the Company no later than the end of the Employee’s tax year following the Employee’s tax year in which the Employee remits the related tax payments.</w:t>
      </w:r>
    </w:p>
    <w:p>
      <w:pPr>
        <w:spacing w:after="0" w:line="72" w:lineRule="exact"/>
        <w:rPr>
          <w:rFonts w:ascii="Arial" w:cs="Arial" w:eastAsia="Arial" w:hAnsi="Arial"/>
          <w:sz w:val="18"/>
          <w:szCs w:val="18"/>
          <w:color w:val="auto"/>
        </w:rPr>
      </w:pPr>
    </w:p>
    <w:p>
      <w:pPr>
        <w:ind w:left="-40" w:right="140" w:firstLine="229"/>
        <w:spacing w:after="0" w:line="331" w:lineRule="auto"/>
        <w:tabs>
          <w:tab w:leader="none" w:pos="449"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Non-Delegation of Employee’s Rights</w:t>
      </w:r>
      <w:r>
        <w:rPr>
          <w:rFonts w:ascii="Arial" w:cs="Arial" w:eastAsia="Arial" w:hAnsi="Arial"/>
          <w:sz w:val="16"/>
          <w:szCs w:val="16"/>
          <w:color w:val="auto"/>
        </w:rPr>
        <w:t>. The obligations, rights and benefits of the Employee hereunder are personal and may not be delegated, assigned or transferred in any manner whatsoever, nor are such obligations, rights or benefits subject to involuntary alienation, assignment or transfer.</w:t>
      </w:r>
    </w:p>
    <w:p>
      <w:pPr>
        <w:spacing w:after="0" w:line="25" w:lineRule="exact"/>
        <w:rPr>
          <w:rFonts w:ascii="Arial" w:cs="Arial" w:eastAsia="Arial" w:hAnsi="Arial"/>
          <w:sz w:val="16"/>
          <w:szCs w:val="16"/>
          <w:color w:val="auto"/>
        </w:rPr>
      </w:pPr>
    </w:p>
    <w:p>
      <w:pPr>
        <w:ind w:left="-40" w:right="160" w:firstLine="229"/>
        <w:spacing w:after="0" w:line="257" w:lineRule="auto"/>
        <w:tabs>
          <w:tab w:leader="none" w:pos="44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Employee acknowledges that in his capacity as an employee of the Company he will occupy a position of trust and confidence and he further acknowledges that he will have access to and learn substantial information about the Company and its affiliates and their operations that is confidential or not generally known in the industry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145415</wp:posOffset>
            </wp:positionV>
            <wp:extent cx="725233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80" w:top="927" w:right="259" w:bottom="1440" w:gutter="0" w:footer="0" w:header="0"/>
        </w:sectPr>
      </w:pPr>
    </w:p>
    <w:bookmarkStart w:id="144" w:name="page145"/>
    <w:bookmarkEnd w:id="144"/>
    <w:p>
      <w:pPr>
        <w:ind w:right="100"/>
        <w:spacing w:after="0" w:line="266" w:lineRule="auto"/>
        <w:rPr>
          <w:sz w:val="20"/>
          <w:szCs w:val="20"/>
          <w:color w:val="auto"/>
        </w:rPr>
      </w:pPr>
      <w:r>
        <w:rPr>
          <w:rFonts w:ascii="Arial" w:cs="Arial" w:eastAsia="Arial" w:hAnsi="Arial"/>
          <w:sz w:val="17"/>
          <w:szCs w:val="17"/>
          <w:color w:val="auto"/>
        </w:rPr>
        <w:t>including, without limitation, information that relates to purchasing, sales, customers, marketing, and the Company’s and its affiliates’ financial positions and financing arrangements. The Employee agrees that all such information is proprietary or confidential, or constitutes trade secrets and is the sole property of the Company and/or its affiliates, as the case may be. The Employee will keep confidential, and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the Employee advise, discuss with or in any way assist any other person, firm or entity in obtaining or learning about any of the items described in this Section 11. Accordingly, the Employee agrees that during the Employment Term and at all times thereafter he will not disclose, or permit or encourage anyone else to disclose, any such information, nor will he utilize any such information, either alone or with others, outside the scope of his duties and responsibilities with the Company and its affiliates.</w:t>
      </w:r>
    </w:p>
    <w:p>
      <w:pPr>
        <w:spacing w:after="0" w:line="77" w:lineRule="exact"/>
        <w:rPr>
          <w:sz w:val="20"/>
          <w:szCs w:val="20"/>
          <w:color w:val="auto"/>
        </w:rPr>
      </w:pPr>
    </w:p>
    <w:p>
      <w:pPr>
        <w:ind w:firstLine="229"/>
        <w:spacing w:after="0" w:line="266" w:lineRule="auto"/>
        <w:tabs>
          <w:tab w:leader="none" w:pos="489"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Non-Competition During Employment Term</w:t>
      </w:r>
      <w:r>
        <w:rPr>
          <w:rFonts w:ascii="Arial" w:cs="Arial" w:eastAsia="Arial" w:hAnsi="Arial"/>
          <w:sz w:val="17"/>
          <w:szCs w:val="17"/>
          <w:color w:val="auto"/>
        </w:rPr>
        <w:t>. The Employee agrees that, during the Employment Term, he will devote such business time, attention and energies reasonably necessary to the diligent and faithful performance of the services to the Company and its affiliates, and he will not engage in any way whatsoever, directly or indirectly, in any business that is a direct competitor with the Company’s or its affiliates’ principal business, nor solicit customers, suppliers or employees of the Company or affiliates on behalf of, or in any other manner work for or assist any business which is a direct competitor with the Company’s or its affiliates’ principal business. For purposes of clarification, Fidelity National Information Services, Inc. and its affiliates shall not be considered to be competitive with the Company and its affiliates, for purposes of Section 12 and Section 13 of this Agreement. In addition, during the Employment Term, the Employee will undertake no planning for or organization of any business activity competitive with the work he performs as an employee of the Company, and the Employee will not combine or conspire with any other employee of the Company or any other person for the purpose of organizing any such competitive business activity.</w:t>
      </w:r>
    </w:p>
    <w:p>
      <w:pPr>
        <w:spacing w:after="0" w:line="77" w:lineRule="exact"/>
        <w:rPr>
          <w:rFonts w:ascii="Arial" w:cs="Arial" w:eastAsia="Arial" w:hAnsi="Arial"/>
          <w:sz w:val="17"/>
          <w:szCs w:val="17"/>
          <w:color w:val="auto"/>
        </w:rPr>
      </w:pPr>
    </w:p>
    <w:p>
      <w:pPr>
        <w:ind w:right="20" w:firstLine="229"/>
        <w:spacing w:after="0" w:line="284" w:lineRule="auto"/>
        <w:tabs>
          <w:tab w:leader="none" w:pos="489"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Non-Competition After Employment Term</w:t>
      </w:r>
      <w:r>
        <w:rPr>
          <w:rFonts w:ascii="Arial" w:cs="Arial" w:eastAsia="Arial" w:hAnsi="Arial"/>
          <w:sz w:val="16"/>
          <w:szCs w:val="16"/>
          <w:color w:val="auto"/>
        </w:rPr>
        <w:t>. The parties acknowledge that as an executive officer of the Company the Employee will acquire substantial knowledge and information concerning the business of the Company and its affiliates as a result of his employment. The parties further acknowledge that the scope of business in which the Company and its affiliates are engaged as of the Effective Date is national and very competitive and one in which few companies can successfully compete. Competition by an executive officer such as the Employee in that business after the Employment Term is terminated would severely injure the Company and its affiliates. Accordingly, for a period of one (1) year after the Employee’s employment terminates for any reason whatsoever, except as otherwise stated herein below, the Employee agrees (a) not to become an employee, consultant, advisor, principal, partner or substantial shareholder of any firm or business that directly competes with the Company or its affiliates in their principal products and markets, and (b), on behalf of any such competitive firm or business, not to solicit any person or business that was at the time of such termination and remains a customer or prospective customer, a supplier or prospective supplier, or an employee of the Company or an affiliate. Notwithstanding any of the foregoing provisions to the contrary, the Employee shall not be subject to the restrictions set forth in this Section 13 under the following circumstances: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45" w:name="page146"/>
    <w:bookmarkEnd w:id="145"/>
    <w:p>
      <w:pPr>
        <w:ind w:left="680" w:hanging="447"/>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Employee’s employment is terminated by the Company without Cause;</w:t>
      </w:r>
    </w:p>
    <w:p>
      <w:pPr>
        <w:spacing w:after="0" w:line="126" w:lineRule="exact"/>
        <w:rPr>
          <w:rFonts w:ascii="Arial" w:cs="Arial" w:eastAsia="Arial" w:hAnsi="Arial"/>
          <w:sz w:val="18"/>
          <w:szCs w:val="18"/>
          <w:color w:val="auto"/>
        </w:rPr>
      </w:pPr>
    </w:p>
    <w:p>
      <w:pPr>
        <w:ind w:left="680" w:hanging="447"/>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Employee’s employment is terminated as a result of the Company’s unwillingness to extend the Employment Term;</w:t>
      </w:r>
    </w:p>
    <w:p>
      <w:pPr>
        <w:spacing w:after="0" w:line="126" w:lineRule="exact"/>
        <w:rPr>
          <w:rFonts w:ascii="Arial" w:cs="Arial" w:eastAsia="Arial" w:hAnsi="Arial"/>
          <w:sz w:val="18"/>
          <w:szCs w:val="18"/>
          <w:color w:val="auto"/>
        </w:rPr>
      </w:pPr>
    </w:p>
    <w:p>
      <w:pPr>
        <w:ind w:left="680" w:hanging="447"/>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Employee terminates employment for Good Reason; or</w:t>
      </w:r>
    </w:p>
    <w:p>
      <w:pPr>
        <w:spacing w:after="0" w:line="126" w:lineRule="exact"/>
        <w:rPr>
          <w:rFonts w:ascii="Arial" w:cs="Arial" w:eastAsia="Arial" w:hAnsi="Arial"/>
          <w:sz w:val="18"/>
          <w:szCs w:val="18"/>
          <w:color w:val="auto"/>
        </w:rPr>
      </w:pPr>
    </w:p>
    <w:p>
      <w:pPr>
        <w:ind w:left="680" w:hanging="447"/>
        <w:spacing w:after="0"/>
        <w:tabs>
          <w:tab w:leader="none" w:pos="6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the Employee terminates employment without Good Reason, any time during the one (1) year period immediately following a Change in Control.</w:t>
      </w:r>
    </w:p>
    <w:p>
      <w:pPr>
        <w:spacing w:after="0" w:line="136" w:lineRule="exact"/>
        <w:rPr>
          <w:sz w:val="20"/>
          <w:szCs w:val="20"/>
          <w:color w:val="auto"/>
        </w:rPr>
      </w:pPr>
    </w:p>
    <w:p>
      <w:pPr>
        <w:ind w:left="500" w:hanging="271"/>
        <w:spacing w:after="0"/>
        <w:tabs>
          <w:tab w:leader="none" w:pos="500"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Return of Company Documents</w:t>
      </w:r>
      <w:r>
        <w:rPr>
          <w:rFonts w:ascii="Arial" w:cs="Arial" w:eastAsia="Arial" w:hAnsi="Arial"/>
          <w:sz w:val="17"/>
          <w:szCs w:val="17"/>
          <w:color w:val="auto"/>
        </w:rPr>
        <w:t>. Upon termination of the Employment Term, Employee shall return immediately to the Company all records and</w:t>
      </w:r>
    </w:p>
    <w:p>
      <w:pPr>
        <w:spacing w:after="0" w:line="28" w:lineRule="exact"/>
        <w:rPr>
          <w:rFonts w:ascii="Arial" w:cs="Arial" w:eastAsia="Arial" w:hAnsi="Arial"/>
          <w:sz w:val="17"/>
          <w:szCs w:val="17"/>
          <w:color w:val="auto"/>
        </w:rPr>
      </w:pPr>
    </w:p>
    <w:p>
      <w:pPr>
        <w:ind w:right="80"/>
        <w:spacing w:after="0" w:line="254" w:lineRule="auto"/>
        <w:rPr>
          <w:rFonts w:ascii="Arial" w:cs="Arial" w:eastAsia="Arial" w:hAnsi="Arial"/>
          <w:sz w:val="17"/>
          <w:szCs w:val="17"/>
          <w:color w:val="auto"/>
        </w:rPr>
      </w:pPr>
      <w:r>
        <w:rPr>
          <w:rFonts w:ascii="Arial" w:cs="Arial" w:eastAsia="Arial" w:hAnsi="Arial"/>
          <w:sz w:val="18"/>
          <w:szCs w:val="18"/>
          <w:color w:val="auto"/>
        </w:rPr>
        <w:t>documents of or pertaining to the Company or its affiliates and shall not make or retain any copy or extract of any such record or document, and other property of the Company or its affiliates.</w:t>
      </w:r>
    </w:p>
    <w:p>
      <w:pPr>
        <w:spacing w:after="0" w:line="84" w:lineRule="exact"/>
        <w:rPr>
          <w:rFonts w:ascii="Arial" w:cs="Arial" w:eastAsia="Arial" w:hAnsi="Arial"/>
          <w:sz w:val="17"/>
          <w:szCs w:val="17"/>
          <w:color w:val="auto"/>
        </w:rPr>
      </w:pPr>
    </w:p>
    <w:p>
      <w:pPr>
        <w:ind w:right="100" w:firstLine="229"/>
        <w:spacing w:after="0" w:line="270" w:lineRule="auto"/>
        <w:tabs>
          <w:tab w:leader="none" w:pos="489"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Improvements and Inventions</w:t>
      </w:r>
      <w:r>
        <w:rPr>
          <w:rFonts w:ascii="Arial" w:cs="Arial" w:eastAsia="Arial" w:hAnsi="Arial"/>
          <w:sz w:val="17"/>
          <w:szCs w:val="17"/>
          <w:color w:val="auto"/>
        </w:rPr>
        <w:t>. Any and all improvements or inventions, which the Employee may make or participate in during the Employment Term, unless wholly unrelated to the business of the Company and its affiliates and produced not in the scope of Employee’s employment hereunder, shall be the sole and exclusive property of the Company. The Employee will, whenever requested by the Company, execute and deliver any and all documents which the Company shall deem appropriate in order to apply for and obtain patents for improvements or inventions or in order to assign and convey to the Company the sole and exclusive right, title and interest in and to such improvements, inventions, patents or applications.</w:t>
      </w:r>
    </w:p>
    <w:p>
      <w:pPr>
        <w:spacing w:after="0" w:line="73" w:lineRule="exact"/>
        <w:rPr>
          <w:rFonts w:ascii="Arial" w:cs="Arial" w:eastAsia="Arial" w:hAnsi="Arial"/>
          <w:sz w:val="17"/>
          <w:szCs w:val="17"/>
          <w:color w:val="auto"/>
        </w:rPr>
      </w:pPr>
    </w:p>
    <w:p>
      <w:pPr>
        <w:ind w:firstLine="229"/>
        <w:spacing w:after="0" w:line="267" w:lineRule="auto"/>
        <w:tabs>
          <w:tab w:leader="none" w:pos="489"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Actions</w:t>
      </w:r>
      <w:r>
        <w:rPr>
          <w:rFonts w:ascii="Arial" w:cs="Arial" w:eastAsia="Arial" w:hAnsi="Arial"/>
          <w:sz w:val="17"/>
          <w:szCs w:val="17"/>
          <w:color w:val="auto"/>
        </w:rPr>
        <w:t>. The parties agree and acknowledge that the rights conveyed by this Agreement are of a unique and special nature and that the Company will not have an adequate remedy at law in the event of a failure by the Employee to abide by its terms and conditions nor will money damages adequately compensate for such injury. It is, therefore, agreed between and hereby acknowledged by the parties that, in the event of a breach by the Employee of any of his obligations contained in this Agreement, the Company shall have the right, among other rights, to damages sustained thereby and to obtain an injunction or decree of specific performance from any court of competent jurisdiction to restrain or compel the Employee to perform as agreed herein. The Employee hereby acknowledges that obligations under Sections 11, 13, 14, 15, 16, 17 and 18 shall survive the termination of his employment and he shall be bound by their terms at all times subsequent to the termination of his employment for the periods specified therein. Nothing herein contained shall in any way limit or exclude any other right granted by law or equity to the Company.</w:t>
      </w:r>
    </w:p>
    <w:p>
      <w:pPr>
        <w:spacing w:after="0" w:line="73" w:lineRule="exact"/>
        <w:rPr>
          <w:rFonts w:ascii="Arial" w:cs="Arial" w:eastAsia="Arial" w:hAnsi="Arial"/>
          <w:sz w:val="17"/>
          <w:szCs w:val="17"/>
          <w:color w:val="auto"/>
        </w:rPr>
      </w:pPr>
    </w:p>
    <w:p>
      <w:pPr>
        <w:ind w:right="80" w:firstLine="229"/>
        <w:spacing w:after="0" w:line="269" w:lineRule="auto"/>
        <w:tabs>
          <w:tab w:leader="none" w:pos="489"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Notwithstanding any provision herein to the contrary, the Company may require that, prior to payment of any amount or provision of any benefit under Section 8 or payment of any Gross-Up Payment pursuant to Section 9 of this Agreement (other than due to the Employee’s death), the Employee shall have executed a complete release of the Company and its affiliates and related parties in such form as is reasonably required by the Company, and any waiting periods contained in such release shall have expired; provided, however, that such release relates only to the Employee’s employment relationship with the Company. With respect to any release required to receive payments owed pursuant to Section 8, the Company must provide the Employee with the form of release no later than seven (7) days after the Date of</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46" w:name="page147"/>
    <w:bookmarkEnd w:id="146"/>
    <w:p>
      <w:pPr>
        <w:ind w:right="160"/>
        <w:spacing w:after="0" w:line="267" w:lineRule="auto"/>
        <w:rPr>
          <w:sz w:val="20"/>
          <w:szCs w:val="20"/>
          <w:color w:val="auto"/>
        </w:rPr>
      </w:pPr>
      <w:r>
        <w:rPr>
          <w:rFonts w:ascii="Arial" w:cs="Arial" w:eastAsia="Arial" w:hAnsi="Arial"/>
          <w:sz w:val="18"/>
          <w:szCs w:val="18"/>
          <w:color w:val="auto"/>
        </w:rPr>
        <w:t>Termination and the release must be signed by the Employee and returned to the Company, unchanged, effective and irrevocable, no later than sixty (60) days after the Date of Termination.</w:t>
      </w:r>
    </w:p>
    <w:p>
      <w:pPr>
        <w:spacing w:after="0" w:line="73" w:lineRule="exact"/>
        <w:rPr>
          <w:sz w:val="20"/>
          <w:szCs w:val="20"/>
          <w:color w:val="auto"/>
        </w:rPr>
      </w:pPr>
    </w:p>
    <w:p>
      <w:pPr>
        <w:ind w:right="20" w:firstLine="229"/>
        <w:spacing w:after="0" w:line="254" w:lineRule="auto"/>
        <w:tabs>
          <w:tab w:leader="none" w:pos="489"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 Mitigation</w:t>
      </w:r>
      <w:r>
        <w:rPr>
          <w:rFonts w:ascii="Arial" w:cs="Arial" w:eastAsia="Arial" w:hAnsi="Arial"/>
          <w:sz w:val="18"/>
          <w:szCs w:val="18"/>
          <w:color w:val="auto"/>
        </w:rPr>
        <w:t>. The Company agrees that, if the Employee’s employment hereunder is terminated during the Employment Term, the Employee is not required to seek other employment or to attempt in any way to reduce any amounts payable to the Employee by the Company hereunder. Further, the amount of any payment or benefit provided for hereunder (other than pursuant to Section 8(a)(v) hereof) shall not be reduced by any compensation earned by the Employee as the result of employment by another employer, by retirement benefits or otherwise.</w:t>
      </w:r>
    </w:p>
    <w:p>
      <w:pPr>
        <w:spacing w:after="0" w:line="83" w:lineRule="exact"/>
        <w:rPr>
          <w:rFonts w:ascii="Arial" w:cs="Arial" w:eastAsia="Arial" w:hAnsi="Arial"/>
          <w:sz w:val="18"/>
          <w:szCs w:val="18"/>
          <w:color w:val="auto"/>
        </w:rPr>
      </w:pPr>
    </w:p>
    <w:p>
      <w:pPr>
        <w:ind w:right="380" w:firstLine="229"/>
        <w:spacing w:after="0" w:line="279" w:lineRule="auto"/>
        <w:tabs>
          <w:tab w:leader="none" w:pos="489"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Entire Agreement and Amendment</w:t>
      </w:r>
      <w:r>
        <w:rPr>
          <w:rFonts w:ascii="Arial" w:cs="Arial" w:eastAsia="Arial" w:hAnsi="Arial"/>
          <w:sz w:val="17"/>
          <w:szCs w:val="17"/>
          <w:color w:val="auto"/>
        </w:rPr>
        <w: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65" w:lineRule="exact"/>
        <w:rPr>
          <w:rFonts w:ascii="Arial" w:cs="Arial" w:eastAsia="Arial" w:hAnsi="Arial"/>
          <w:sz w:val="17"/>
          <w:szCs w:val="17"/>
          <w:color w:val="auto"/>
        </w:rPr>
      </w:pPr>
    </w:p>
    <w:p>
      <w:pPr>
        <w:jc w:val="both"/>
        <w:ind w:right="280" w:firstLine="229"/>
        <w:spacing w:after="0" w:line="257" w:lineRule="auto"/>
        <w:tabs>
          <w:tab w:leader="none" w:pos="489"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Florida, excluding any conflicts or choice of law rule or principle that might otherwise refer construction or interpretation of this Agreement to the substantive law of another jurisdiction. Any litigation pertaining to this Agreement shall be adjudicated in courts located in Duval County, Florida.</w:t>
      </w:r>
    </w:p>
    <w:p>
      <w:pPr>
        <w:spacing w:after="0" w:line="81" w:lineRule="exact"/>
        <w:rPr>
          <w:rFonts w:ascii="Arial" w:cs="Arial" w:eastAsia="Arial" w:hAnsi="Arial"/>
          <w:sz w:val="18"/>
          <w:szCs w:val="18"/>
          <w:color w:val="auto"/>
        </w:rPr>
      </w:pPr>
    </w:p>
    <w:p>
      <w:pPr>
        <w:ind w:firstLine="229"/>
        <w:spacing w:after="0" w:line="267" w:lineRule="auto"/>
        <w:tabs>
          <w:tab w:leader="none" w:pos="489"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In addition to any obligations imposed by law upon any successor to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Failure of the Company to obtain such assumption by a successor shall be a material breach of this Agreement. The Employee agrees and consents to any such assumption by a successor of the Company, as well as any assignment of this Agreement by the Company for that purpose. As used in this Agreement, “Company” shall mean the Company as herein before defined and any such successor that expressly assumes this Agreement or otherwise becomes bound by all the terms and provisions of this Agreement by operation of law.</w:t>
      </w:r>
    </w:p>
    <w:p>
      <w:pPr>
        <w:spacing w:after="0" w:line="77" w:lineRule="exact"/>
        <w:rPr>
          <w:rFonts w:ascii="Arial" w:cs="Arial" w:eastAsia="Arial" w:hAnsi="Arial"/>
          <w:sz w:val="17"/>
          <w:szCs w:val="17"/>
          <w:color w:val="auto"/>
        </w:rPr>
      </w:pPr>
    </w:p>
    <w:p>
      <w:pPr>
        <w:ind w:right="40" w:firstLine="229"/>
        <w:spacing w:after="0" w:line="267" w:lineRule="auto"/>
        <w:tabs>
          <w:tab w:leader="none" w:pos="489"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constitute one and the same instrument.</w:t>
      </w:r>
    </w:p>
    <w:p>
      <w:pPr>
        <w:spacing w:after="0" w:line="72" w:lineRule="exact"/>
        <w:rPr>
          <w:rFonts w:ascii="Arial" w:cs="Arial" w:eastAsia="Arial" w:hAnsi="Arial"/>
          <w:sz w:val="18"/>
          <w:szCs w:val="18"/>
          <w:color w:val="auto"/>
        </w:rPr>
      </w:pPr>
    </w:p>
    <w:p>
      <w:pPr>
        <w:ind w:left="500" w:hanging="271"/>
        <w:spacing w:after="0"/>
        <w:tabs>
          <w:tab w:leader="none" w:pos="500"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Attorneys’ Fees</w:t>
      </w:r>
      <w:r>
        <w:rPr>
          <w:rFonts w:ascii="Arial" w:cs="Arial" w:eastAsia="Arial" w:hAnsi="Arial"/>
          <w:sz w:val="17"/>
          <w:szCs w:val="17"/>
          <w:color w:val="auto"/>
        </w:rPr>
        <w:t>. If any party finds it necessary to employ legal counsel or to bring an action at law or other proceedings against the other party to</w:t>
      </w:r>
    </w:p>
    <w:p>
      <w:pPr>
        <w:spacing w:after="0" w:line="28" w:lineRule="exact"/>
        <w:rPr>
          <w:rFonts w:ascii="Arial" w:cs="Arial" w:eastAsia="Arial" w:hAnsi="Arial"/>
          <w:sz w:val="17"/>
          <w:szCs w:val="17"/>
          <w:color w:val="auto"/>
        </w:rPr>
      </w:pPr>
    </w:p>
    <w:p>
      <w:pPr>
        <w:ind w:right="40"/>
        <w:spacing w:after="0" w:line="269" w:lineRule="auto"/>
        <w:rPr>
          <w:rFonts w:ascii="Arial" w:cs="Arial" w:eastAsia="Arial" w:hAnsi="Arial"/>
          <w:sz w:val="17"/>
          <w:szCs w:val="17"/>
          <w:color w:val="auto"/>
        </w:rPr>
      </w:pPr>
      <w:r>
        <w:rPr>
          <w:rFonts w:ascii="Arial" w:cs="Arial" w:eastAsia="Arial" w:hAnsi="Arial"/>
          <w:sz w:val="17"/>
          <w:szCs w:val="17"/>
          <w:color w:val="auto"/>
        </w:rPr>
        <w:t>interpret or enforce any of the terms hereof, the party prevailing in any such action or other proceeding shall be paid by the other party its reasonable legal fees, court costs, litigation expenses, all as determined by the court and not a jury, and such payment shall be made by the non-prevailing party no later than the end of the Employee’s tax year following the Employee’s tax year in which the payment amount becomes known and payable; provided, however, that on or after a Change in Control, if any party finds it necessary to employ legal counsel or to bring an action at law or other</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147" w:name="page148"/>
    <w:bookmarkEnd w:id="147"/>
    <w:p>
      <w:pPr>
        <w:ind w:right="100"/>
        <w:spacing w:after="0" w:line="273" w:lineRule="auto"/>
        <w:rPr>
          <w:sz w:val="20"/>
          <w:szCs w:val="20"/>
          <w:color w:val="auto"/>
        </w:rPr>
      </w:pPr>
      <w:r>
        <w:rPr>
          <w:rFonts w:ascii="Arial" w:cs="Arial" w:eastAsia="Arial" w:hAnsi="Arial"/>
          <w:sz w:val="17"/>
          <w:szCs w:val="17"/>
          <w:color w:val="auto"/>
        </w:rPr>
        <w:t>proceedings against the other party to interpret or enforce any of the terms hereof, the Company shall pay (on an ongoing basis) to the Employee to the fullest extent permitted by law, all legal fees, court costs and litigation expenses reasonably incurred by the Employee or others on his behalf (such amounts collectively referred to as the “Reimbursed Amounts”); provided, further, that the Employee shall reimburse the Company for the Reimbursed Amounts if it is determined that a majority of the Employee’s claims or defenses were frivolous or without merit.</w:t>
      </w:r>
    </w:p>
    <w:p>
      <w:pPr>
        <w:spacing w:after="0" w:line="71" w:lineRule="exact"/>
        <w:rPr>
          <w:sz w:val="20"/>
          <w:szCs w:val="20"/>
          <w:color w:val="auto"/>
        </w:rPr>
      </w:pPr>
    </w:p>
    <w:p>
      <w:pPr>
        <w:ind w:firstLine="229"/>
        <w:spacing w:after="0" w:line="287" w:lineRule="auto"/>
        <w:tabs>
          <w:tab w:leader="none" w:pos="489"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the Employee in this Agreement shall each be construed as an agreement independent of any other provision in this Agreement, and the existence of any claim or cause of action of the Employee against the Company, whether predicated on this Agreement or otherwise, shall not constitute a defense to the enforcement by the Company of the covenants in this Agreement.</w:t>
      </w:r>
    </w:p>
    <w:p>
      <w:pPr>
        <w:spacing w:after="0" w:line="60" w:lineRule="exact"/>
        <w:rPr>
          <w:rFonts w:ascii="Arial" w:cs="Arial" w:eastAsia="Arial" w:hAnsi="Arial"/>
          <w:sz w:val="16"/>
          <w:szCs w:val="16"/>
          <w:color w:val="auto"/>
        </w:rPr>
      </w:pPr>
    </w:p>
    <w:p>
      <w:pPr>
        <w:ind w:left="500" w:hanging="271"/>
        <w:spacing w:after="0"/>
        <w:tabs>
          <w:tab w:leader="none" w:pos="500"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or instruction to be given hereunder shall be in writing and shall be deemed given when personally delivered or three</w:t>
      </w:r>
    </w:p>
    <w:p>
      <w:pPr>
        <w:spacing w:after="0" w:line="40" w:lineRule="exact"/>
        <w:rPr>
          <w:rFonts w:ascii="Arial" w:cs="Arial" w:eastAsia="Arial" w:hAnsi="Arial"/>
          <w:sz w:val="16"/>
          <w:szCs w:val="16"/>
          <w:color w:val="auto"/>
        </w:rPr>
      </w:pPr>
    </w:p>
    <w:p>
      <w:pPr>
        <w:ind w:right="200" w:firstLine="7"/>
        <w:spacing w:after="0" w:line="254" w:lineRule="auto"/>
        <w:tabs>
          <w:tab w:leader="none" w:pos="2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days after being sent by United States Certified Mail, postage prepaid, with Return Receipt Requested, to the parties at their respective addresses set forth below:</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the Company:</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Fidelity National Financial, Inc.</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601 Riverside Avenue</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Jacksonville, FL 32204</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General Counsel</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the Employee: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Anthony J. Park</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 Fidelity National Financial, Inc.</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601 Riverside Avenue</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Jacksonville, FL 32204</w:t>
      </w:r>
    </w:p>
    <w:p>
      <w:pPr>
        <w:spacing w:after="0" w:line="102" w:lineRule="exact"/>
        <w:rPr>
          <w:sz w:val="20"/>
          <w:szCs w:val="20"/>
          <w:color w:val="auto"/>
        </w:rPr>
      </w:pPr>
    </w:p>
    <w:p>
      <w:pPr>
        <w:ind w:right="100" w:firstLine="229"/>
        <w:spacing w:after="0" w:line="267" w:lineRule="auto"/>
        <w:tabs>
          <w:tab w:leader="none" w:pos="489"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Waiver of Breach</w:t>
      </w:r>
      <w:r>
        <w:rPr>
          <w:rFonts w:ascii="Arial" w:cs="Arial" w:eastAsia="Arial" w:hAnsi="Arial"/>
          <w:sz w:val="18"/>
          <w:szCs w:val="18"/>
          <w:color w:val="auto"/>
        </w:rPr>
        <w:t>. The waiver by any party of any provisions of this Agreement shall not operate or be construed as a waiver of any prior or subsequent breach by the other party.</w:t>
      </w:r>
    </w:p>
    <w:p>
      <w:pPr>
        <w:spacing w:after="0" w:line="72" w:lineRule="exact"/>
        <w:rPr>
          <w:rFonts w:ascii="Arial" w:cs="Arial" w:eastAsia="Arial" w:hAnsi="Arial"/>
          <w:sz w:val="18"/>
          <w:szCs w:val="18"/>
          <w:color w:val="auto"/>
        </w:rPr>
      </w:pPr>
    </w:p>
    <w:p>
      <w:pPr>
        <w:ind w:right="100" w:firstLine="229"/>
        <w:spacing w:after="0" w:line="267" w:lineRule="auto"/>
        <w:tabs>
          <w:tab w:leader="none" w:pos="489"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or an affiliate may deduct from all compensation and benefits payable under this Agreement any taxes or withholdings the Company is required to deduct pursuant to state, federal or local laws.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148" w:name="page149"/>
    <w:bookmarkEnd w:id="148"/>
    <w:p>
      <w:pPr>
        <w:ind w:firstLine="229"/>
        <w:spacing w:after="0" w:line="283" w:lineRule="auto"/>
        <w:tabs>
          <w:tab w:leader="none" w:pos="489"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To the extent applicable, it is intended that this Agreement and any payment made hereunder shall comply with the requirements of Section 409A of the Code, and any related regulations or other guidance promulgated with respect to such Section by the U.S. Department of the Treasury or the Internal Revenue Service (“Code Section 409A”). Any provision that would cause the Agreement or any payment hereof to fail to satisfy Code</w:t>
      </w:r>
    </w:p>
    <w:p>
      <w:pPr>
        <w:jc w:val="both"/>
        <w:ind w:right="20"/>
        <w:spacing w:after="0" w:line="272" w:lineRule="auto"/>
        <w:rPr>
          <w:rFonts w:ascii="Arial" w:cs="Arial" w:eastAsia="Arial" w:hAnsi="Arial"/>
          <w:sz w:val="16"/>
          <w:szCs w:val="16"/>
          <w:color w:val="auto"/>
        </w:rPr>
      </w:pPr>
      <w:r>
        <w:rPr>
          <w:rFonts w:ascii="Arial" w:cs="Arial" w:eastAsia="Arial" w:hAnsi="Arial"/>
          <w:sz w:val="17"/>
          <w:szCs w:val="17"/>
          <w:color w:val="auto"/>
        </w:rPr>
        <w:t>Section 409A shall have no force or effect until amended to comply with Code Section 409A, which amendment may be retroactive to the extent permitted by Code Section 409A. In addition, the direct payment or reimbursement of expenses permitted under this Agreement or otherwise shall be made no later than the last day of the Employee’s taxable year following the taxable year in which such expense was incurred.</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WITNESS WHEREOF the parties have executed this Agreement to be effective as of the date first set forth above.</w:t>
      </w:r>
    </w:p>
    <w:p>
      <w:pPr>
        <w:spacing w:after="0" w:line="22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FIDELITY NATIONAL FINANCIAL, INC.</w:t>
      </w:r>
    </w:p>
    <w:p>
      <w:pPr>
        <w:spacing w:after="0" w:line="22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12065</wp:posOffset>
            </wp:positionV>
            <wp:extent cx="25654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8"/>
          <w:szCs w:val="18"/>
          <w:color w:val="auto"/>
        </w:rPr>
        <w:t>Its: President</w:t>
      </w:r>
    </w:p>
    <w:p>
      <w:pPr>
        <w:spacing w:after="0" w:line="200" w:lineRule="exact"/>
        <w:rPr>
          <w:sz w:val="20"/>
          <w:szCs w:val="20"/>
          <w:color w:val="auto"/>
        </w:rPr>
      </w:pPr>
    </w:p>
    <w:p>
      <w:pPr>
        <w:spacing w:after="0" w:line="23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ANTHONY J. PARK</w:t>
      </w:r>
    </w:p>
    <w:p>
      <w:pPr>
        <w:spacing w:after="0" w:line="22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12065</wp:posOffset>
            </wp:positionV>
            <wp:extent cx="27857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927"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10.14</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02" w:lineRule="exact"/>
        <w:rPr>
          <w:sz w:val="20"/>
          <w:szCs w:val="20"/>
          <w:color w:val="auto"/>
        </w:rPr>
      </w:pPr>
    </w:p>
    <w:p>
      <w:pPr>
        <w:ind w:right="420" w:firstLine="219"/>
        <w:spacing w:after="0" w:line="257" w:lineRule="auto"/>
        <w:rPr>
          <w:sz w:val="20"/>
          <w:szCs w:val="20"/>
          <w:color w:val="auto"/>
        </w:rPr>
      </w:pPr>
      <w:r>
        <w:rPr>
          <w:rFonts w:ascii="Arial" w:cs="Arial" w:eastAsia="Arial" w:hAnsi="Arial"/>
          <w:sz w:val="18"/>
          <w:szCs w:val="18"/>
          <w:color w:val="auto"/>
        </w:rPr>
        <w:t xml:space="preserve">THIS AMENDED AND RESTATED EMPLOYMENT AGREEMENT (the “Agreement”) is effective as of July 2, 2008 (the “Effective Date”), by and between </w:t>
      </w:r>
      <w:r>
        <w:rPr>
          <w:rFonts w:ascii="Arial" w:cs="Arial" w:eastAsia="Arial" w:hAnsi="Arial"/>
          <w:sz w:val="18"/>
          <w:szCs w:val="18"/>
          <w:b w:val="1"/>
          <w:bCs w:val="1"/>
          <w:color w:val="auto"/>
        </w:rPr>
        <w:t>FIDELITY NATIONAL FINANCIAL, INC.</w:t>
      </w:r>
      <w:r>
        <w:rPr>
          <w:rFonts w:ascii="Arial" w:cs="Arial" w:eastAsia="Arial" w:hAnsi="Arial"/>
          <w:sz w:val="18"/>
          <w:szCs w:val="18"/>
          <w:color w:val="auto"/>
        </w:rPr>
        <w:t xml:space="preserve">, a Delaware corporation (the “Company”), and </w:t>
      </w:r>
      <w:r>
        <w:rPr>
          <w:rFonts w:ascii="Arial" w:cs="Arial" w:eastAsia="Arial" w:hAnsi="Arial"/>
          <w:sz w:val="18"/>
          <w:szCs w:val="18"/>
          <w:b w:val="1"/>
          <w:bCs w:val="1"/>
          <w:color w:val="auto"/>
        </w:rPr>
        <w:t>WILLIAM P. FOLEY, II</w:t>
      </w:r>
      <w:r>
        <w:rPr>
          <w:rFonts w:ascii="Arial" w:cs="Arial" w:eastAsia="Arial" w:hAnsi="Arial"/>
          <w:sz w:val="18"/>
          <w:szCs w:val="18"/>
          <w:color w:val="auto"/>
        </w:rPr>
        <w:t xml:space="preserve"> (the “Employee”). In consideration of the mutual covenants and agreements set forth herein, the parties agree as follows:</w:t>
      </w:r>
    </w:p>
    <w:p>
      <w:pPr>
        <w:spacing w:after="0" w:line="82" w:lineRule="exact"/>
        <w:rPr>
          <w:sz w:val="20"/>
          <w:szCs w:val="20"/>
          <w:color w:val="auto"/>
        </w:rPr>
      </w:pPr>
    </w:p>
    <w:p>
      <w:pPr>
        <w:ind w:right="100" w:firstLine="229"/>
        <w:spacing w:after="0" w:line="254" w:lineRule="auto"/>
        <w:tabs>
          <w:tab w:leader="none" w:pos="40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This Agreement amends and restates, in its entirety, the obligations of the parties under the agreement between the Company and the Employee, dated as of October 24, 2006 (the “Prior Agreement”). The purpose of this Agreement is to recognize the Employee’s significant contributions to the overall financial performance and success of the Company and to provide a single, integrated document which shall provide the basis for the Employee’s continued employment by the Company.</w:t>
      </w:r>
    </w:p>
    <w:p>
      <w:pPr>
        <w:spacing w:after="0" w:line="83" w:lineRule="exact"/>
        <w:rPr>
          <w:rFonts w:ascii="Arial" w:cs="Arial" w:eastAsia="Arial" w:hAnsi="Arial"/>
          <w:sz w:val="18"/>
          <w:szCs w:val="18"/>
          <w:color w:val="auto"/>
        </w:rPr>
      </w:pPr>
    </w:p>
    <w:p>
      <w:pPr>
        <w:ind w:right="100" w:firstLine="229"/>
        <w:spacing w:after="0" w:line="252" w:lineRule="auto"/>
        <w:tabs>
          <w:tab w:leader="none" w:pos="40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Employment and Duties</w:t>
      </w:r>
      <w:r>
        <w:rPr>
          <w:rFonts w:ascii="Arial" w:cs="Arial" w:eastAsia="Arial" w:hAnsi="Arial"/>
          <w:sz w:val="18"/>
          <w:szCs w:val="18"/>
          <w:color w:val="auto"/>
        </w:rPr>
        <w:t>. Subject to the terms and conditions of this Agreement, the Company employs the Employee to serve in an executive capacity as Chairman. The Employee accepts such employment and agrees to undertake and discharge the duties, functions and responsibilities set forth in Appendix A attached hereto. In addition to the duties and responsibilities specifically assigned to the Employee pursuant to Appendix A, the Employee will perform such other duties and responsibilities as are from time to time assigned to the Employee by the Board of Directors of the Company (the “Board”) in writing, consistent with the terms and provisions of this Agreement.</w:t>
      </w:r>
    </w:p>
    <w:p>
      <w:pPr>
        <w:spacing w:after="0" w:line="86" w:lineRule="exact"/>
        <w:rPr>
          <w:rFonts w:ascii="Arial" w:cs="Arial" w:eastAsia="Arial" w:hAnsi="Arial"/>
          <w:sz w:val="18"/>
          <w:szCs w:val="18"/>
          <w:color w:val="auto"/>
        </w:rPr>
      </w:pPr>
    </w:p>
    <w:p>
      <w:pPr>
        <w:jc w:val="both"/>
        <w:ind w:right="40" w:firstLine="229"/>
        <w:spacing w:after="0" w:line="283" w:lineRule="auto"/>
        <w:tabs>
          <w:tab w:leader="none" w:pos="400"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shall commence on the Effective Date and shall continue for a period of three (3) years ending on the third anniversary of the Effective Date or, if later, ending on the last day of any extension made pursuant to the next sentence, subject to prior termination as set forth in Section 8 (such term, including any extensions pursuant to the next sentence, the “Employment Term”). The Employment Term shall be extended automatically for one</w:t>
      </w:r>
    </w:p>
    <w:p>
      <w:pPr>
        <w:jc w:val="both"/>
        <w:ind w:right="20" w:firstLine="7"/>
        <w:spacing w:after="0" w:line="249" w:lineRule="auto"/>
        <w:tabs>
          <w:tab w:leader="none" w:pos="252"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additional year on the first anniversary of the Effective Date and for an additional year each anniversary thereafter unless and until either party gives written notice to the other not to extend the Employment Term before such extension would be effectuated. Notwithstanding any termination of the Employment Term or the Employee’s employment, the Employee and the Company agree that Sections 8 through 10 shall remain in effect until all parties’ obligations and benefits are satisfied thereunder.</w:t>
      </w:r>
    </w:p>
    <w:p>
      <w:pPr>
        <w:spacing w:after="0" w:line="90" w:lineRule="exact"/>
        <w:rPr>
          <w:rFonts w:ascii="Arial" w:cs="Arial" w:eastAsia="Arial" w:hAnsi="Arial"/>
          <w:sz w:val="18"/>
          <w:szCs w:val="18"/>
          <w:color w:val="auto"/>
        </w:rPr>
      </w:pPr>
    </w:p>
    <w:p>
      <w:pPr>
        <w:ind w:firstLine="229"/>
        <w:spacing w:after="0" w:line="270" w:lineRule="auto"/>
        <w:tabs>
          <w:tab w:leader="none" w:pos="400"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Salary</w:t>
      </w:r>
      <w:r>
        <w:rPr>
          <w:rFonts w:ascii="Arial" w:cs="Arial" w:eastAsia="Arial" w:hAnsi="Arial"/>
          <w:sz w:val="17"/>
          <w:szCs w:val="17"/>
          <w:color w:val="auto"/>
        </w:rPr>
        <w:t>. During the Employment Term, the Company shall pay the Employee an annual base salary, before deducting all applicable withholdings, of no less than $600,000 per year, payable at the time and in the manner dictated by the Company’s standard payroll policies. Such minimum annual base salary may be periodically reviewed and increased (but not decreased without the Employee’s express written consent) at the discretion of the Board or the Compensation Committee of the Board (the “Committee”) to reflect, among other matters, cost of living increases and performance results (such annual base salary, including any increases pursuant to this Section 4, the “Annual Base Salary”).</w:t>
      </w:r>
    </w:p>
    <w:p>
      <w:pPr>
        <w:spacing w:after="0" w:line="73" w:lineRule="exact"/>
        <w:rPr>
          <w:rFonts w:ascii="Arial" w:cs="Arial" w:eastAsia="Arial" w:hAnsi="Arial"/>
          <w:sz w:val="17"/>
          <w:szCs w:val="17"/>
          <w:color w:val="auto"/>
        </w:rPr>
      </w:pPr>
    </w:p>
    <w:p>
      <w:pPr>
        <w:ind w:right="300" w:firstLine="229"/>
        <w:spacing w:after="0" w:line="267" w:lineRule="auto"/>
        <w:tabs>
          <w:tab w:leader="none" w:pos="400"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Other Compensation and Fringe Benefits</w:t>
      </w:r>
      <w:r>
        <w:rPr>
          <w:rFonts w:ascii="Arial" w:cs="Arial" w:eastAsia="Arial" w:hAnsi="Arial"/>
          <w:sz w:val="18"/>
          <w:szCs w:val="18"/>
          <w:color w:val="auto"/>
        </w:rPr>
        <w:t>. In addition to any executive bonus, pension, deferred compensation and long-term incentive plans which the Company or an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725233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0" w:name="page151"/>
    <w:bookmarkEnd w:id="150"/>
    <w:p>
      <w:pPr>
        <w:spacing w:after="0"/>
        <w:rPr>
          <w:sz w:val="20"/>
          <w:szCs w:val="20"/>
          <w:color w:val="auto"/>
        </w:rPr>
      </w:pPr>
      <w:r>
        <w:rPr>
          <w:rFonts w:ascii="Arial" w:cs="Arial" w:eastAsia="Arial" w:hAnsi="Arial"/>
          <w:sz w:val="17"/>
          <w:szCs w:val="17"/>
          <w:color w:val="auto"/>
        </w:rPr>
        <w:t>of the Company may from time to time make available to the Employee, the Employee shall be entitled to the following during the Employment Term:</w:t>
      </w:r>
    </w:p>
    <w:p>
      <w:pPr>
        <w:spacing w:after="0" w:line="125" w:lineRule="exact"/>
        <w:rPr>
          <w:sz w:val="20"/>
          <w:szCs w:val="20"/>
          <w:color w:val="auto"/>
        </w:rPr>
      </w:pPr>
    </w:p>
    <w:p>
      <w:pPr>
        <w:ind w:left="680" w:hanging="447"/>
        <w:spacing w:after="0"/>
        <w:tabs>
          <w:tab w:leader="none" w:pos="6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standard Company benefits enjoyed by the Company’s other top executives as a group;</w:t>
      </w:r>
    </w:p>
    <w:p>
      <w:pPr>
        <w:spacing w:after="0" w:line="126" w:lineRule="exact"/>
        <w:rPr>
          <w:rFonts w:ascii="Arial" w:cs="Arial" w:eastAsia="Arial" w:hAnsi="Arial"/>
          <w:sz w:val="18"/>
          <w:szCs w:val="18"/>
          <w:color w:val="auto"/>
        </w:rPr>
      </w:pPr>
    </w:p>
    <w:p>
      <w:pPr>
        <w:ind w:left="680" w:hanging="447"/>
        <w:spacing w:after="0"/>
        <w:tabs>
          <w:tab w:leader="none" w:pos="680" w:val="left"/>
        </w:tabs>
        <w:numPr>
          <w:ilvl w:val="1"/>
          <w:numId w:val="86"/>
        </w:numPr>
        <w:rPr>
          <w:rFonts w:ascii="Arial" w:cs="Arial" w:eastAsia="Arial" w:hAnsi="Arial"/>
          <w:sz w:val="14"/>
          <w:szCs w:val="14"/>
          <w:color w:val="auto"/>
        </w:rPr>
      </w:pPr>
      <w:r>
        <w:rPr>
          <w:rFonts w:ascii="Arial" w:cs="Arial" w:eastAsia="Arial" w:hAnsi="Arial"/>
          <w:sz w:val="14"/>
          <w:szCs w:val="14"/>
          <w:color w:val="auto"/>
        </w:rPr>
        <w:t>medical and other insurance coverage (for the Employee and any covered dependents) provided by the Company to its other top executives as a group;</w:t>
      </w:r>
    </w:p>
    <w:p>
      <w:pPr>
        <w:spacing w:after="0" w:line="172" w:lineRule="exact"/>
        <w:rPr>
          <w:rFonts w:ascii="Arial" w:cs="Arial" w:eastAsia="Arial" w:hAnsi="Arial"/>
          <w:sz w:val="14"/>
          <w:szCs w:val="14"/>
          <w:color w:val="auto"/>
        </w:rPr>
      </w:pPr>
    </w:p>
    <w:p>
      <w:pPr>
        <w:ind w:left="680" w:hanging="447"/>
        <w:spacing w:after="0"/>
        <w:tabs>
          <w:tab w:leader="none" w:pos="6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supplemental disability insurance sufficient to provide two-thirds of the Employee’s pre-disability Annual Base Salary;</w:t>
      </w:r>
    </w:p>
    <w:p>
      <w:pPr>
        <w:spacing w:after="0" w:line="126" w:lineRule="exact"/>
        <w:rPr>
          <w:rFonts w:ascii="Arial" w:cs="Arial" w:eastAsia="Arial" w:hAnsi="Arial"/>
          <w:sz w:val="18"/>
          <w:szCs w:val="18"/>
          <w:color w:val="auto"/>
        </w:rPr>
      </w:pPr>
    </w:p>
    <w:p>
      <w:pPr>
        <w:ind w:left="680" w:right="420" w:hanging="447"/>
        <w:spacing w:after="0" w:line="285" w:lineRule="auto"/>
        <w:tabs>
          <w:tab w:leader="none" w:pos="6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an annual incentive bonus opportunity under the Company’s annual incentive plan (“Annual Bonus Plan”) for each calendar year included in the Employment Term, with such opportunity to be earned based upon attainment of performance objectives established by the Committee (“Annual Bonus”). The Employee’s target Annual Bonus under the Annual Bonus Plan shall be no less than 250% of the Employee’s Annual Base Salary (collectively, the target and maximum are referred to as the “Annual Bonus Opportunity”). The Employee’s Annual Bonus Opportunity may be periodically reviewed and increased (but not decreased without the Employee’s express written consent) at the discretion of the Committee. The Annual Bonus shall be paid no later than the March 15</w:t>
      </w:r>
      <w:r>
        <w:rPr>
          <w:rFonts w:ascii="Arial" w:cs="Arial" w:eastAsia="Arial" w:hAnsi="Arial"/>
          <w:sz w:val="13"/>
          <w:szCs w:val="13"/>
          <w:color w:val="auto"/>
        </w:rPr>
        <w:t>th</w:t>
      </w:r>
      <w:r>
        <w:rPr>
          <w:rFonts w:ascii="Arial" w:cs="Arial" w:eastAsia="Arial" w:hAnsi="Arial"/>
          <w:sz w:val="16"/>
          <w:szCs w:val="16"/>
          <w:color w:val="auto"/>
        </w:rPr>
        <w:t xml:space="preserve"> first following the calendar year to which the Annual Bonus relates. Unless provided otherwise herein or the Board determines otherwise, no Annual Bonus shall be paid to the Employee unless the Employee is employed by the Company, or an affiliate thereof, on the Annual Bonus payment date; and</w:t>
      </w:r>
    </w:p>
    <w:p>
      <w:pPr>
        <w:spacing w:after="0" w:line="79" w:lineRule="exact"/>
        <w:rPr>
          <w:rFonts w:ascii="Arial" w:cs="Arial" w:eastAsia="Arial" w:hAnsi="Arial"/>
          <w:sz w:val="16"/>
          <w:szCs w:val="16"/>
          <w:color w:val="auto"/>
        </w:rPr>
      </w:pPr>
    </w:p>
    <w:p>
      <w:pPr>
        <w:ind w:left="680" w:hanging="447"/>
        <w:spacing w:after="0"/>
        <w:tabs>
          <w:tab w:leader="none" w:pos="6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participation in the Company’s equity incentive plans.</w:t>
      </w:r>
    </w:p>
    <w:p>
      <w:pPr>
        <w:spacing w:after="0" w:line="113" w:lineRule="exact"/>
        <w:rPr>
          <w:rFonts w:ascii="Arial" w:cs="Arial" w:eastAsia="Arial" w:hAnsi="Arial"/>
          <w:sz w:val="18"/>
          <w:szCs w:val="18"/>
          <w:color w:val="auto"/>
        </w:rPr>
      </w:pPr>
    </w:p>
    <w:p>
      <w:pPr>
        <w:ind w:right="20" w:firstLine="229"/>
        <w:spacing w:after="0" w:line="279" w:lineRule="auto"/>
        <w:tabs>
          <w:tab w:leader="none" w:pos="40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For and during each calendar year within the Employment Term, the Employee shall be entitled to reasonable paid vacation periods consistent with the Employee’s position and in accordance with the Company’s standard policies, or as the Board may approve. In addition, the Employee shall be entitled to such holidays consistent with the Company’s standard policies or as the Board or the Committee may approve.</w:t>
      </w:r>
    </w:p>
    <w:p>
      <w:pPr>
        <w:spacing w:after="0" w:line="65" w:lineRule="exact"/>
        <w:rPr>
          <w:rFonts w:ascii="Arial" w:cs="Arial" w:eastAsia="Arial" w:hAnsi="Arial"/>
          <w:sz w:val="17"/>
          <w:szCs w:val="17"/>
          <w:color w:val="auto"/>
        </w:rPr>
      </w:pPr>
    </w:p>
    <w:p>
      <w:pPr>
        <w:ind w:right="220" w:firstLine="229"/>
        <w:spacing w:after="0" w:line="279" w:lineRule="auto"/>
        <w:tabs>
          <w:tab w:leader="none" w:pos="40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Expense Reimbursement</w:t>
      </w:r>
      <w:r>
        <w:rPr>
          <w:rFonts w:ascii="Arial" w:cs="Arial" w:eastAsia="Arial" w:hAnsi="Arial"/>
          <w:sz w:val="17"/>
          <w:szCs w:val="17"/>
          <w:color w:val="auto"/>
        </w:rPr>
        <w:t>. In addition to the compensation and benefits provided herein, the Company shall, upon receipt of appropriate documentation, reimburse the Employee each month for his reasonable travel, lodging, entertainment, promotion and other ordinary and necessary business expenses to the extent such reimbursement is permitted under the Company’s expense reimbursement policy.</w:t>
      </w:r>
    </w:p>
    <w:p>
      <w:pPr>
        <w:spacing w:after="0" w:line="65" w:lineRule="exact"/>
        <w:rPr>
          <w:rFonts w:ascii="Arial" w:cs="Arial" w:eastAsia="Arial" w:hAnsi="Arial"/>
          <w:sz w:val="17"/>
          <w:szCs w:val="17"/>
          <w:color w:val="auto"/>
        </w:rPr>
      </w:pPr>
    </w:p>
    <w:p>
      <w:pPr>
        <w:ind w:right="20" w:firstLine="229"/>
        <w:spacing w:after="0" w:line="257" w:lineRule="auto"/>
        <w:tabs>
          <w:tab w:leader="none" w:pos="4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The Company or the Employee may terminate the Employee’s employment at any time and for any reason in accordance with Subsection 8(a) below. The Employment Term shall be deemed to have ended on the last day of the Employee’s employment. The Employment Term shall terminate automatically upon the Employee’s death.</w:t>
      </w:r>
    </w:p>
    <w:p>
      <w:pPr>
        <w:spacing w:after="0" w:line="81" w:lineRule="exact"/>
        <w:rPr>
          <w:rFonts w:ascii="Arial" w:cs="Arial" w:eastAsia="Arial" w:hAnsi="Arial"/>
          <w:sz w:val="18"/>
          <w:szCs w:val="18"/>
          <w:color w:val="auto"/>
        </w:rPr>
      </w:pPr>
    </w:p>
    <w:p>
      <w:pPr>
        <w:ind w:left="680" w:hanging="447"/>
        <w:spacing w:after="0"/>
        <w:tabs>
          <w:tab w:leader="none" w:pos="680"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purported termination of the Employee’s employment (other than by reason of death) shall be communicated by written</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51" w:name="page152"/>
    <w:bookmarkEnd w:id="151"/>
    <w:p>
      <w:pPr>
        <w:ind w:left="447"/>
        <w:spacing w:after="0" w:line="288" w:lineRule="auto"/>
        <w:rPr>
          <w:sz w:val="20"/>
          <w:szCs w:val="20"/>
          <w:color w:val="auto"/>
        </w:rPr>
      </w:pPr>
      <w:r>
        <w:rPr>
          <w:rFonts w:ascii="Arial" w:cs="Arial" w:eastAsia="Arial" w:hAnsi="Arial"/>
          <w:sz w:val="16"/>
          <w:szCs w:val="16"/>
          <w:color w:val="auto"/>
        </w:rPr>
        <w:t>Notice of Termination (as defined herein) from one party to the other in accordance with the notice provisions contained in Section 25. For purposes of this Agreement, a “Notice of Termination” shall mean a notice that indicates the Date of Termination (as that term is defined in Subsection 8(b)) and, with respect to a termination due to Disability (as that term is defined in Subsection 8(e)), Cause (as that term is defined in Subsection 8(d)), or Good Reason (as that term is defined in Subsection 8(f)), sets forth in reasonable detail the facts and circumstances that are alleged to provide a basis for such termination. A Notice of Termination from the Company shall specify whether the termination is with or without Cause or due to the Employee’s Disability. A Notice of Termination from the Employee shall specify whether the termination is with or without Good Reason.</w:t>
      </w:r>
    </w:p>
    <w:p>
      <w:pPr>
        <w:spacing w:after="0" w:line="62" w:lineRule="exact"/>
        <w:rPr>
          <w:sz w:val="20"/>
          <w:szCs w:val="20"/>
          <w:color w:val="auto"/>
        </w:rPr>
      </w:pPr>
    </w:p>
    <w:p>
      <w:pPr>
        <w:ind w:left="447" w:right="100" w:hanging="447"/>
        <w:spacing w:after="0" w:line="331" w:lineRule="auto"/>
        <w:tabs>
          <w:tab w:leader="none" w:pos="447"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For purposes of this Agreement, “Date of Termination” shall mean the date specified in the Notice of Termination (but in no event shall such date be earlier than the thirtieth (30</w:t>
      </w:r>
      <w:r>
        <w:rPr>
          <w:rFonts w:ascii="Arial" w:cs="Arial" w:eastAsia="Arial" w:hAnsi="Arial"/>
          <w:sz w:val="13"/>
          <w:szCs w:val="13"/>
          <w:color w:val="auto"/>
        </w:rPr>
        <w:t>th</w:t>
      </w:r>
      <w:r>
        <w:rPr>
          <w:rFonts w:ascii="Arial" w:cs="Arial" w:eastAsia="Arial" w:hAnsi="Arial"/>
          <w:sz w:val="16"/>
          <w:szCs w:val="16"/>
          <w:color w:val="auto"/>
        </w:rPr>
        <w:t>) day following the date the Notice of Termination is given) or the date of the Employee’s death.</w:t>
      </w:r>
    </w:p>
    <w:p>
      <w:pPr>
        <w:spacing w:after="0" w:line="39" w:lineRule="exact"/>
        <w:rPr>
          <w:rFonts w:ascii="Arial" w:cs="Arial" w:eastAsia="Arial" w:hAnsi="Arial"/>
          <w:sz w:val="16"/>
          <w:szCs w:val="16"/>
          <w:color w:val="auto"/>
        </w:rPr>
      </w:pPr>
    </w:p>
    <w:p>
      <w:pPr>
        <w:ind w:left="447" w:right="100" w:hanging="447"/>
        <w:spacing w:after="0" w:line="257" w:lineRule="auto"/>
        <w:tabs>
          <w:tab w:leader="none" w:pos="44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95" w:lineRule="exact"/>
        <w:rPr>
          <w:rFonts w:ascii="Arial" w:cs="Arial" w:eastAsia="Arial" w:hAnsi="Arial"/>
          <w:sz w:val="18"/>
          <w:szCs w:val="18"/>
          <w:color w:val="auto"/>
        </w:rPr>
      </w:pPr>
    </w:p>
    <w:p>
      <w:pPr>
        <w:ind w:left="447" w:hanging="447"/>
        <w:spacing w:after="0" w:line="265" w:lineRule="auto"/>
        <w:tabs>
          <w:tab w:leader="none" w:pos="447"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xml:space="preserve">. For purposes of this Agreement, a termination for “Cause” means a termination by the Company based upon the Employee’s: (i) persistent failure to perform duties consistent with a commercially 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 (iii) conviction of, or pleading nolo contendere to, criminal or other illegal activities involving dishonesty; (iv) material breach of this Agreement; or (v) failure to materially cooperate with or impeding an investigation authorized by the Board. The Employee’s termination for Cause shall be effective when and if a resolution is duly adopted by an affirmative vote of at least </w:t>
      </w:r>
      <w:r>
        <w:rPr>
          <w:rFonts w:ascii="Arial" w:cs="Arial" w:eastAsia="Arial" w:hAnsi="Arial"/>
          <w:sz w:val="9"/>
          <w:szCs w:val="9"/>
          <w:color w:val="auto"/>
        </w:rPr>
        <w:t>3</w:t>
      </w:r>
      <w:r>
        <w:rPr>
          <w:rFonts w:ascii="Arial" w:cs="Arial" w:eastAsia="Arial" w:hAnsi="Arial"/>
          <w:sz w:val="17"/>
          <w:szCs w:val="17"/>
          <w:color w:val="auto"/>
        </w:rPr>
        <w:t>/</w:t>
      </w:r>
      <w:r>
        <w:rPr>
          <w:rFonts w:ascii="Arial" w:cs="Arial" w:eastAsia="Arial" w:hAnsi="Arial"/>
          <w:sz w:val="9"/>
          <w:szCs w:val="9"/>
          <w:color w:val="auto"/>
        </w:rPr>
        <w:t>4</w:t>
      </w:r>
      <w:r>
        <w:rPr>
          <w:rFonts w:ascii="Arial" w:cs="Arial" w:eastAsia="Arial" w:hAnsi="Arial"/>
          <w:sz w:val="17"/>
          <w:szCs w:val="17"/>
          <w:color w:val="auto"/>
        </w:rPr>
        <w:t xml:space="preserve"> of the Board (less the Employee), stating that, in the good faith opinion of the Board, the Employee is guilty of the conduct described in the Notice of Termination and such conduct constitutes Cause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Employee shall have been given reasonable opportunity (A) to cure any act or omission that constitutes Cause if capable of cure and (B), together with counsel, during the thirty (30) day period following the receipt by the Employee of the Notice of Termination and prior to the adoption of the Board’s resolution, to be heard by the Board.</w:t>
      </w:r>
    </w:p>
    <w:p>
      <w:pPr>
        <w:spacing w:after="0" w:line="92" w:lineRule="exact"/>
        <w:rPr>
          <w:rFonts w:ascii="Arial" w:cs="Arial" w:eastAsia="Arial" w:hAnsi="Arial"/>
          <w:sz w:val="17"/>
          <w:szCs w:val="17"/>
          <w:color w:val="auto"/>
        </w:rPr>
      </w:pPr>
    </w:p>
    <w:p>
      <w:pPr>
        <w:ind w:left="447" w:right="220" w:hanging="447"/>
        <w:spacing w:after="0" w:line="267" w:lineRule="auto"/>
        <w:tabs>
          <w:tab w:leader="none" w:pos="44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For purposes of this Agreement, a termination based upon “Disability” means a termination by the Company based upon the Employee’s entitlement to</w:t>
      </w:r>
    </w:p>
    <w:p>
      <w:pPr>
        <w:spacing w:after="0" w:line="153" w:lineRule="exact"/>
        <w:rPr>
          <w:sz w:val="20"/>
          <w:szCs w:val="20"/>
          <w:color w:val="auto"/>
        </w:rPr>
      </w:pPr>
    </w:p>
    <w:p>
      <w:pPr>
        <w:jc w:val="center"/>
        <w:ind w:right="213"/>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7"/>
          </w:cols>
          <w:pgMar w:left="473" w:top="927" w:right="239" w:bottom="1440" w:gutter="0" w:footer="0" w:header="0"/>
        </w:sectPr>
      </w:pPr>
    </w:p>
    <w:bookmarkStart w:id="152" w:name="page153"/>
    <w:bookmarkEnd w:id="152"/>
    <w:p>
      <w:pPr>
        <w:ind w:left="447"/>
        <w:spacing w:after="0"/>
        <w:rPr>
          <w:sz w:val="20"/>
          <w:szCs w:val="20"/>
          <w:color w:val="auto"/>
        </w:rPr>
      </w:pPr>
      <w:r>
        <w:rPr>
          <w:rFonts w:ascii="Arial" w:cs="Arial" w:eastAsia="Arial" w:hAnsi="Arial"/>
          <w:sz w:val="16"/>
          <w:szCs w:val="16"/>
          <w:color w:val="auto"/>
        </w:rPr>
        <w:t>long-term disability benefits under the Company’s long-term disability plan or policy, as the case may be, as in effect on the Date of Termination.</w:t>
      </w:r>
    </w:p>
    <w:p>
      <w:pPr>
        <w:spacing w:after="0" w:line="136" w:lineRule="exact"/>
        <w:rPr>
          <w:sz w:val="20"/>
          <w:szCs w:val="20"/>
          <w:color w:val="auto"/>
        </w:rPr>
      </w:pPr>
    </w:p>
    <w:p>
      <w:pPr>
        <w:ind w:left="447" w:right="80" w:hanging="447"/>
        <w:spacing w:after="0" w:line="267" w:lineRule="auto"/>
        <w:tabs>
          <w:tab w:leader="none" w:pos="447"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For purposes of this Agreement, a termination for “Good Reason” means a termination by the Employee during the Employment Term based upon the occurrence (without the Employee’s express written consent) of any of the following:</w:t>
      </w:r>
    </w:p>
    <w:p>
      <w:pPr>
        <w:spacing w:after="0" w:line="72" w:lineRule="exact"/>
        <w:rPr>
          <w:rFonts w:ascii="Arial" w:cs="Arial" w:eastAsia="Arial" w:hAnsi="Arial"/>
          <w:sz w:val="18"/>
          <w:szCs w:val="18"/>
          <w:color w:val="auto"/>
        </w:rPr>
      </w:pPr>
    </w:p>
    <w:p>
      <w:pPr>
        <w:ind w:left="887" w:right="200" w:hanging="433"/>
        <w:spacing w:after="0" w:line="267" w:lineRule="auto"/>
        <w:tabs>
          <w:tab w:leader="none" w:pos="887"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material diminution in the Employee’s position or title, or the assignment of duties to the Employee that are materially inconsistent with the Employee’s position or title;</w:t>
      </w:r>
    </w:p>
    <w:p>
      <w:pPr>
        <w:spacing w:after="0" w:line="86" w:lineRule="exact"/>
        <w:rPr>
          <w:rFonts w:ascii="Arial" w:cs="Arial" w:eastAsia="Arial" w:hAnsi="Arial"/>
          <w:sz w:val="18"/>
          <w:szCs w:val="18"/>
          <w:color w:val="auto"/>
        </w:rPr>
      </w:pPr>
    </w:p>
    <w:p>
      <w:pPr>
        <w:ind w:left="887" w:hanging="433"/>
        <w:spacing w:after="0"/>
        <w:tabs>
          <w:tab w:leader="none" w:pos="887"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material diminution in the Employee’s Annual Base Salary or Annual Bonus Opportunity;</w:t>
      </w:r>
    </w:p>
    <w:p>
      <w:pPr>
        <w:spacing w:after="0" w:line="126" w:lineRule="exact"/>
        <w:rPr>
          <w:rFonts w:ascii="Arial" w:cs="Arial" w:eastAsia="Arial" w:hAnsi="Arial"/>
          <w:sz w:val="18"/>
          <w:szCs w:val="18"/>
          <w:color w:val="auto"/>
        </w:rPr>
      </w:pPr>
    </w:p>
    <w:p>
      <w:pPr>
        <w:ind w:left="887" w:hanging="433"/>
        <w:spacing w:after="0" w:line="285" w:lineRule="auto"/>
        <w:tabs>
          <w:tab w:leader="none" w:pos="887" w:val="left"/>
        </w:tabs>
        <w:numPr>
          <w:ilvl w:val="1"/>
          <w:numId w:val="89"/>
        </w:numPr>
        <w:rPr>
          <w:rFonts w:ascii="Arial" w:cs="Arial" w:eastAsia="Arial" w:hAnsi="Arial"/>
          <w:sz w:val="16"/>
          <w:szCs w:val="16"/>
          <w:color w:val="auto"/>
        </w:rPr>
      </w:pPr>
      <w:r>
        <w:rPr>
          <w:rFonts w:ascii="Arial" w:cs="Arial" w:eastAsia="Arial" w:hAnsi="Arial"/>
          <w:sz w:val="16"/>
          <w:szCs w:val="16"/>
          <w:color w:val="auto"/>
        </w:rPr>
        <w:t>within six (6) months immediately preceding or within two (2) years immediately following a Change in Control: (A) a material adverse change in the Employee’s status, authority or responsibility (</w:t>
      </w:r>
      <w:r>
        <w:rPr>
          <w:rFonts w:ascii="Arial" w:cs="Arial" w:eastAsia="Arial" w:hAnsi="Arial"/>
          <w:sz w:val="16"/>
          <w:szCs w:val="16"/>
          <w:i w:val="1"/>
          <w:iCs w:val="1"/>
          <w:color w:val="auto"/>
        </w:rPr>
        <w:t>e.g.</w:t>
      </w:r>
      <w:r>
        <w:rPr>
          <w:rFonts w:ascii="Arial" w:cs="Arial" w:eastAsia="Arial" w:hAnsi="Arial"/>
          <w:sz w:val="16"/>
          <w:szCs w:val="16"/>
          <w:color w:val="auto"/>
        </w:rPr>
        <w:t>, the Employee no longer serving as Chairman of the Board would constitute such a material adverse change); (B) a material adverse change in the position to whom the Employee reports (including any requirement that the Employee report to a corporate officer or employee instead of reporting directly to the Board) or to the Employee’s service relationship (or the conditions under which the Employee performs his duties) as a result of such reporting structure change, or a material diminution in the authority, duties or responsibilities of the position to whom the Employee reports; (C) a material diminution in the budget over which the Employee has managing authority; or (D) a material change in the geographic location of the Employee’s principal place of employment (</w:t>
      </w:r>
      <w:r>
        <w:rPr>
          <w:rFonts w:ascii="Arial" w:cs="Arial" w:eastAsia="Arial" w:hAnsi="Arial"/>
          <w:sz w:val="16"/>
          <w:szCs w:val="16"/>
          <w:i w:val="1"/>
          <w:iCs w:val="1"/>
          <w:color w:val="auto"/>
        </w:rPr>
        <w:t>e.g.</w:t>
      </w:r>
      <w:r>
        <w:rPr>
          <w:rFonts w:ascii="Arial" w:cs="Arial" w:eastAsia="Arial" w:hAnsi="Arial"/>
          <w:sz w:val="16"/>
          <w:szCs w:val="16"/>
          <w:color w:val="auto"/>
        </w:rPr>
        <w:t>, the Company has determined that a relocation of more than thirty-five (35) miles would constitute such a material change); or</w:t>
      </w:r>
    </w:p>
    <w:p>
      <w:pPr>
        <w:spacing w:after="0" w:line="79" w:lineRule="exact"/>
        <w:rPr>
          <w:rFonts w:ascii="Arial" w:cs="Arial" w:eastAsia="Arial" w:hAnsi="Arial"/>
          <w:sz w:val="16"/>
          <w:szCs w:val="16"/>
          <w:color w:val="auto"/>
        </w:rPr>
      </w:pPr>
    </w:p>
    <w:p>
      <w:pPr>
        <w:ind w:left="887" w:hanging="433"/>
        <w:spacing w:after="0"/>
        <w:tabs>
          <w:tab w:leader="none" w:pos="887"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material breach by the Company of any of its obligations under this Agreement.</w:t>
      </w:r>
    </w:p>
    <w:p>
      <w:pPr>
        <w:spacing w:after="0" w:line="126" w:lineRule="exact"/>
        <w:rPr>
          <w:rFonts w:ascii="Arial" w:cs="Arial" w:eastAsia="Arial" w:hAnsi="Arial"/>
          <w:sz w:val="18"/>
          <w:szCs w:val="18"/>
          <w:color w:val="auto"/>
        </w:rPr>
      </w:pPr>
    </w:p>
    <w:p>
      <w:pPr>
        <w:ind w:left="887" w:right="40"/>
        <w:spacing w:after="0" w:line="287" w:lineRule="auto"/>
        <w:rPr>
          <w:rFonts w:ascii="Arial" w:cs="Arial" w:eastAsia="Arial" w:hAnsi="Arial"/>
          <w:sz w:val="18"/>
          <w:szCs w:val="18"/>
          <w:color w:val="auto"/>
        </w:rPr>
      </w:pPr>
      <w:r>
        <w:rPr>
          <w:rFonts w:ascii="Arial" w:cs="Arial" w:eastAsia="Arial" w:hAnsi="Arial"/>
          <w:sz w:val="16"/>
          <w:szCs w:val="16"/>
          <w:color w:val="auto"/>
        </w:rPr>
        <w:t xml:space="preserve">Notwithstanding the foregoing, the Employee being placed on a paid leave for up to sixty (60) days pending a determination of whether there is a basis to terminate the Employee for Cause shall not constitute Good Reason. The Employee’s continued employment shall not constitute consent to, or a waiver of rights with respect to, any act or failure to act constituting Good Reason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event described above shall constitute Good Reason unless: (1) the Employee gives Notice of Termination to the Company specifying the condition or event relied upon for such termination either: (x) within ninety (90) days of the initial existence of such event; or (y) in the case of an event predating a Change in Control, within ninety (90) days of the Change in Control; and (2) the Company fails to cure the condition or event constituting Good Reason within thirty (30) days following receipt of the Employee’s Notice of Termination.</w:t>
      </w:r>
    </w:p>
    <w:p>
      <w:pPr>
        <w:spacing w:after="0" w:line="140" w:lineRule="exact"/>
        <w:rPr>
          <w:sz w:val="20"/>
          <w:szCs w:val="20"/>
          <w:color w:val="auto"/>
        </w:rPr>
      </w:pPr>
    </w:p>
    <w:p>
      <w:pPr>
        <w:jc w:val="center"/>
        <w:ind w:right="173"/>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47"/>
          </w:cols>
          <w:pgMar w:left="473" w:top="927" w:right="279" w:bottom="1440" w:gutter="0" w:footer="0" w:header="0"/>
        </w:sectPr>
      </w:pPr>
    </w:p>
    <w:bookmarkStart w:id="153" w:name="page154"/>
    <w:bookmarkEnd w:id="153"/>
    <w:p>
      <w:pPr>
        <w:ind w:left="180" w:hanging="171"/>
        <w:spacing w:after="0"/>
        <w:tabs>
          <w:tab w:leader="none" w:pos="1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Obligations of the Company Upon Termination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60" w:hanging="447"/>
        <w:spacing w:after="0" w:line="254" w:lineRule="auto"/>
        <w:tabs>
          <w:tab w:leader="none" w:pos="46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a Reason Other than Cause, Death or Disability and Termination by the Employee for Good Reason or following a Change in Control</w:t>
      </w:r>
      <w:r>
        <w:rPr>
          <w:rFonts w:ascii="Arial" w:cs="Arial" w:eastAsia="Arial" w:hAnsi="Arial"/>
          <w:sz w:val="18"/>
          <w:szCs w:val="18"/>
          <w:color w:val="auto"/>
        </w:rPr>
        <w:t>. If the Employee’s employment is terminated by: (1) the Company for any reason other than Cause, Death or Disability; or (2) the Employee for (x) for Good Reason or (y) for any reason during the period immediately following a Change in Control and ending on the six (6) month anniversary of such Change in Control:</w:t>
      </w:r>
    </w:p>
    <w:p>
      <w:pPr>
        <w:spacing w:after="0" w:line="83" w:lineRule="exact"/>
        <w:rPr>
          <w:rFonts w:ascii="Arial" w:cs="Arial" w:eastAsia="Arial" w:hAnsi="Arial"/>
          <w:sz w:val="18"/>
          <w:szCs w:val="18"/>
          <w:color w:val="auto"/>
        </w:rPr>
      </w:pPr>
    </w:p>
    <w:p>
      <w:pPr>
        <w:ind w:left="900" w:right="20" w:hanging="433"/>
        <w:spacing w:after="0" w:line="252" w:lineRule="auto"/>
        <w:tabs>
          <w:tab w:leader="none" w:pos="900" w:val="left"/>
        </w:tabs>
        <w:numPr>
          <w:ilvl w:val="2"/>
          <w:numId w:val="90"/>
        </w:numPr>
        <w:rPr>
          <w:rFonts w:ascii="Arial" w:cs="Arial" w:eastAsia="Arial" w:hAnsi="Arial"/>
          <w:sz w:val="18"/>
          <w:szCs w:val="18"/>
          <w:color w:val="auto"/>
        </w:rPr>
      </w:pPr>
      <w:r>
        <w:rPr>
          <w:rFonts w:ascii="Arial" w:cs="Arial" w:eastAsia="Arial" w:hAnsi="Arial"/>
          <w:sz w:val="18"/>
          <w:szCs w:val="18"/>
          <w:color w:val="auto"/>
        </w:rPr>
        <w:t>the Company shall pay the Employee the following (collectively, the “Accrued Obligations”): (A) within five (5) business days after the Date of Termination, any earned but unpaid Annual Base Salary; (B) within a reasonable time following submission of all applicable documentation, any expense reimbursement payments owed to the Employee for expenses incurred prior to the Date of Termination; and (C) no later than March 15</w:t>
      </w:r>
      <w:r>
        <w:rPr>
          <w:rFonts w:ascii="Arial" w:cs="Arial" w:eastAsia="Arial" w:hAnsi="Arial"/>
          <w:sz w:val="15"/>
          <w:szCs w:val="15"/>
          <w:color w:val="auto"/>
        </w:rPr>
        <w:t>th</w:t>
      </w:r>
      <w:r>
        <w:rPr>
          <w:rFonts w:ascii="Arial" w:cs="Arial" w:eastAsia="Arial" w:hAnsi="Arial"/>
          <w:sz w:val="18"/>
          <w:szCs w:val="18"/>
          <w:color w:val="auto"/>
        </w:rPr>
        <w:t xml:space="preserve"> of the year in which the Date of Termination occurs, any earned but unpaid Annual Bonus payments relating to the prior calendar year;</w:t>
      </w:r>
    </w:p>
    <w:p>
      <w:pPr>
        <w:spacing w:after="0" w:line="99" w:lineRule="exact"/>
        <w:rPr>
          <w:rFonts w:ascii="Arial" w:cs="Arial" w:eastAsia="Arial" w:hAnsi="Arial"/>
          <w:sz w:val="18"/>
          <w:szCs w:val="18"/>
          <w:color w:val="auto"/>
        </w:rPr>
      </w:pPr>
    </w:p>
    <w:p>
      <w:pPr>
        <w:ind w:left="900" w:right="40" w:hanging="433"/>
        <w:spacing w:after="0" w:line="269" w:lineRule="auto"/>
        <w:tabs>
          <w:tab w:leader="none" w:pos="900" w:val="left"/>
        </w:tabs>
        <w:numPr>
          <w:ilvl w:val="2"/>
          <w:numId w:val="90"/>
        </w:numPr>
        <w:rPr>
          <w:rFonts w:ascii="Arial" w:cs="Arial" w:eastAsia="Arial" w:hAnsi="Arial"/>
          <w:sz w:val="17"/>
          <w:szCs w:val="17"/>
          <w:color w:val="auto"/>
        </w:rPr>
      </w:pPr>
      <w:r>
        <w:rPr>
          <w:rFonts w:ascii="Arial" w:cs="Arial" w:eastAsia="Arial" w:hAnsi="Arial"/>
          <w:sz w:val="17"/>
          <w:szCs w:val="17"/>
          <w:color w:val="auto"/>
        </w:rPr>
        <w:t>the Company shall pay the Employee no later than March 15</w:t>
      </w:r>
      <w:r>
        <w:rPr>
          <w:rFonts w:ascii="Arial" w:cs="Arial" w:eastAsia="Arial" w:hAnsi="Arial"/>
          <w:sz w:val="14"/>
          <w:szCs w:val="14"/>
          <w:color w:val="auto"/>
        </w:rPr>
        <w:t>th</w:t>
      </w:r>
      <w:r>
        <w:rPr>
          <w:rFonts w:ascii="Arial" w:cs="Arial" w:eastAsia="Arial" w:hAnsi="Arial"/>
          <w:sz w:val="17"/>
          <w:szCs w:val="17"/>
          <w:color w:val="auto"/>
        </w:rPr>
        <w:t xml:space="preserve"> of the calendar year following the year in which the Date of Termination occurs, a prorated Annual Bonus based upon the actual Annual Bonus that would have been earned by the Employee for the year in which the Date of Termination occurs (based upon the target Annual Bonus Opportunity in the year in which the Date of Termination occurred, or the prior year if no target Annual Bonus Opportunity has yet been determined, and the actual satisfaction of the applicable performance measures, but ignoring any requirement under the Annual Bonus plan that the Employee must be employed on the payment date) multiplied by the percentage of the calendar year completed before the Date of Termination;</w:t>
      </w:r>
    </w:p>
    <w:p>
      <w:pPr>
        <w:spacing w:after="0" w:line="85" w:lineRule="exact"/>
        <w:rPr>
          <w:rFonts w:ascii="Arial" w:cs="Arial" w:eastAsia="Arial" w:hAnsi="Arial"/>
          <w:sz w:val="17"/>
          <w:szCs w:val="17"/>
          <w:color w:val="auto"/>
        </w:rPr>
      </w:pPr>
    </w:p>
    <w:p>
      <w:pPr>
        <w:ind w:left="900" w:right="80" w:hanging="433"/>
        <w:spacing w:after="0" w:line="252" w:lineRule="auto"/>
        <w:tabs>
          <w:tab w:leader="none" w:pos="900" w:val="left"/>
        </w:tabs>
        <w:numPr>
          <w:ilvl w:val="2"/>
          <w:numId w:val="90"/>
        </w:numPr>
        <w:rPr>
          <w:rFonts w:ascii="Arial" w:cs="Arial" w:eastAsia="Arial" w:hAnsi="Arial"/>
          <w:sz w:val="18"/>
          <w:szCs w:val="18"/>
          <w:color w:val="auto"/>
        </w:rPr>
      </w:pPr>
      <w:r>
        <w:rPr>
          <w:rFonts w:ascii="Arial" w:cs="Arial" w:eastAsia="Arial" w:hAnsi="Arial"/>
          <w:sz w:val="18"/>
          <w:szCs w:val="18"/>
          <w:color w:val="auto"/>
        </w:rPr>
        <w:t>the Company shall pay the Employee, no later than the sixty-fifth (65</w:t>
      </w:r>
      <w:r>
        <w:rPr>
          <w:rFonts w:ascii="Arial" w:cs="Arial" w:eastAsia="Arial" w:hAnsi="Arial"/>
          <w:sz w:val="15"/>
          <w:szCs w:val="15"/>
          <w:color w:val="auto"/>
        </w:rPr>
        <w:t>th</w:t>
      </w:r>
      <w:r>
        <w:rPr>
          <w:rFonts w:ascii="Arial" w:cs="Arial" w:eastAsia="Arial" w:hAnsi="Arial"/>
          <w:sz w:val="18"/>
          <w:szCs w:val="18"/>
          <w:color w:val="auto"/>
        </w:rPr>
        <w:t>) calendar day after the Date of Termination, a lump-sum payment equal to 300% of the sum of: (A) the Employee’s Annual Base Salary in effect immediately prior to the Date of Termination (disregarding any reduction in Annual Base Salary to which the Employee did not expressly consent in writing); and (B) the highest Annual Bonus paid to the Employee by the Company within the three (3) years preceding his termination of employment or, if higher, the target Annual Bonus Opportunity in the year in which the Date of Termination occurs;</w:t>
      </w:r>
    </w:p>
    <w:p>
      <w:pPr>
        <w:spacing w:after="0" w:line="101" w:lineRule="exact"/>
        <w:rPr>
          <w:rFonts w:ascii="Arial" w:cs="Arial" w:eastAsia="Arial" w:hAnsi="Arial"/>
          <w:sz w:val="18"/>
          <w:szCs w:val="18"/>
          <w:color w:val="auto"/>
        </w:rPr>
      </w:pPr>
    </w:p>
    <w:p>
      <w:pPr>
        <w:ind w:left="900" w:right="40" w:hanging="433"/>
        <w:spacing w:after="0" w:line="254" w:lineRule="auto"/>
        <w:tabs>
          <w:tab w:leader="none" w:pos="900" w:val="left"/>
        </w:tabs>
        <w:numPr>
          <w:ilvl w:val="2"/>
          <w:numId w:val="90"/>
        </w:numPr>
        <w:rPr>
          <w:rFonts w:ascii="Arial" w:cs="Arial" w:eastAsia="Arial" w:hAnsi="Arial"/>
          <w:sz w:val="18"/>
          <w:szCs w:val="18"/>
          <w:color w:val="auto"/>
        </w:rPr>
      </w:pPr>
      <w:r>
        <w:rPr>
          <w:rFonts w:ascii="Arial" w:cs="Arial" w:eastAsia="Arial" w:hAnsi="Arial"/>
          <w:sz w:val="18"/>
          <w:szCs w:val="18"/>
          <w:color w:val="auto"/>
        </w:rPr>
        <w:t>all stock option, restricted stock and other equity-based incentive awards granted by the Company that were outstanding but not vested as of the Date of Termination shall become immediately vested and/or payable, as the case may be, unless the equity incentive awards are based upon satisfaction of performance criteria (not based solely on the passage of time); in which case, they will only vest pursuant to their express terms; and</w:t>
      </w:r>
    </w:p>
    <w:p>
      <w:pPr>
        <w:spacing w:after="0" w:line="16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145415</wp:posOffset>
            </wp:positionV>
            <wp:extent cx="725233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0"/>
          </w:cols>
          <w:pgMar w:left="460" w:top="1034" w:right="259" w:bottom="1440" w:gutter="0" w:footer="0" w:header="0"/>
        </w:sectPr>
      </w:pPr>
    </w:p>
    <w:bookmarkStart w:id="154" w:name="page155"/>
    <w:bookmarkEnd w:id="154"/>
    <w:p>
      <w:pPr>
        <w:ind w:left="887" w:hanging="433"/>
        <w:spacing w:after="0"/>
        <w:tabs>
          <w:tab w:leader="none" w:pos="887"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Company shall provide the Employee with certain continued welfare benefits as follows:</w:t>
      </w:r>
    </w:p>
    <w:p>
      <w:pPr>
        <w:spacing w:after="0" w:line="113" w:lineRule="exact"/>
        <w:rPr>
          <w:rFonts w:ascii="Arial" w:cs="Arial" w:eastAsia="Arial" w:hAnsi="Arial"/>
          <w:sz w:val="18"/>
          <w:szCs w:val="18"/>
          <w:color w:val="auto"/>
        </w:rPr>
      </w:pPr>
    </w:p>
    <w:p>
      <w:pPr>
        <w:ind w:left="1347" w:right="40" w:hanging="440"/>
        <w:spacing w:after="0" w:line="287" w:lineRule="auto"/>
        <w:tabs>
          <w:tab w:leader="none" w:pos="1347" w:val="left"/>
        </w:tabs>
        <w:numPr>
          <w:ilvl w:val="2"/>
          <w:numId w:val="91"/>
        </w:numPr>
        <w:rPr>
          <w:rFonts w:ascii="Arial" w:cs="Arial" w:eastAsia="Arial" w:hAnsi="Arial"/>
          <w:sz w:val="16"/>
          <w:szCs w:val="16"/>
          <w:color w:val="auto"/>
        </w:rPr>
      </w:pPr>
      <w:r>
        <w:rPr>
          <w:rFonts w:ascii="Arial" w:cs="Arial" w:eastAsia="Arial" w:hAnsi="Arial"/>
          <w:sz w:val="16"/>
          <w:szCs w:val="16"/>
          <w:color w:val="auto"/>
        </w:rPr>
        <w:t>Any life insurance coverage provided by the Company shall terminate at the same time as life insurance coverage would normally terminate for any other employee that terminates employment with the Company, and the Employee shall have the right to convert that life insurance coverage to an individual policy under the regular rules of the Company’s group policy. In addition, if the Employee is covered under or receives life insurance coverage provided by the Company on the Date of Termination, then within thirty (30) business days after the Date of Termination, the Company shall pay the Employee a lump sum cash payment equal to thirty-six (36) monthly life insurance premiums based on the monthly premiums that would be due assuming that the Employee had converted his Company life insurance coverage that was in effect on the Notice of Termination into an individual policy.</w:t>
      </w:r>
    </w:p>
    <w:p>
      <w:pPr>
        <w:spacing w:after="0" w:line="73" w:lineRule="exact"/>
        <w:rPr>
          <w:rFonts w:ascii="Arial" w:cs="Arial" w:eastAsia="Arial" w:hAnsi="Arial"/>
          <w:sz w:val="16"/>
          <w:szCs w:val="16"/>
          <w:color w:val="auto"/>
        </w:rPr>
      </w:pPr>
    </w:p>
    <w:p>
      <w:pPr>
        <w:ind w:left="1347" w:right="20" w:hanging="440"/>
        <w:spacing w:after="0" w:line="267" w:lineRule="auto"/>
        <w:tabs>
          <w:tab w:leader="none" w:pos="1347" w:val="left"/>
        </w:tabs>
        <w:numPr>
          <w:ilvl w:val="2"/>
          <w:numId w:val="91"/>
        </w:numPr>
        <w:rPr>
          <w:rFonts w:ascii="Arial" w:cs="Arial" w:eastAsia="Arial" w:hAnsi="Arial"/>
          <w:sz w:val="17"/>
          <w:szCs w:val="17"/>
          <w:color w:val="auto"/>
        </w:rPr>
      </w:pPr>
      <w:r>
        <w:rPr>
          <w:rFonts w:ascii="Arial" w:cs="Arial" w:eastAsia="Arial" w:hAnsi="Arial"/>
          <w:sz w:val="17"/>
          <w:szCs w:val="17"/>
          <w:color w:val="auto"/>
        </w:rPr>
        <w:t>As long as the Employee pays the full monthly premiums for COBRA coverage, the Company shall provide the Employee and, as applicable, the Employee’s eligible dependents with continued medical and dental coverage, on the same basis as provided to the Company’s active executives and their dependents until the earlier of: (i) three (3) years after the Date of Termination; or (ii) the date the Employee is first eligible for medical and dental coverage (without pre-existing condition limitations) with a subsequent employer. In addition, within thirty (30) business days after the Date of Termination, the Company shall pay the Employee a lump sum cash payment equal to thirty-six (36) monthly medical and dental COBRA premiums based on the level of coverage in effect for the Employee (</w:t>
      </w:r>
      <w:r>
        <w:rPr>
          <w:rFonts w:ascii="Arial" w:cs="Arial" w:eastAsia="Arial" w:hAnsi="Arial"/>
          <w:sz w:val="17"/>
          <w:szCs w:val="17"/>
          <w:i w:val="1"/>
          <w:iCs w:val="1"/>
          <w:color w:val="auto"/>
        </w:rPr>
        <w:t>e.g.</w:t>
      </w:r>
      <w:r>
        <w:rPr>
          <w:rFonts w:ascii="Arial" w:cs="Arial" w:eastAsia="Arial" w:hAnsi="Arial"/>
          <w:sz w:val="17"/>
          <w:szCs w:val="17"/>
          <w:color w:val="auto"/>
        </w:rPr>
        <w:t>, employee only or family coverage) on the Date of Termination.</w:t>
      </w:r>
    </w:p>
    <w:p>
      <w:pPr>
        <w:spacing w:after="0" w:line="77" w:lineRule="exact"/>
        <w:rPr>
          <w:rFonts w:ascii="Arial" w:cs="Arial" w:eastAsia="Arial" w:hAnsi="Arial"/>
          <w:sz w:val="17"/>
          <w:szCs w:val="17"/>
          <w:color w:val="auto"/>
        </w:rPr>
      </w:pPr>
    </w:p>
    <w:p>
      <w:pPr>
        <w:ind w:left="447" w:hanging="447"/>
        <w:spacing w:after="0" w:line="254" w:lineRule="auto"/>
        <w:tabs>
          <w:tab w:leader="none" w:pos="44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and by the Employee without Good Reason</w:t>
      </w:r>
      <w:r>
        <w:rPr>
          <w:rFonts w:ascii="Arial" w:cs="Arial" w:eastAsia="Arial" w:hAnsi="Arial"/>
          <w:sz w:val="18"/>
          <w:szCs w:val="18"/>
          <w:color w:val="auto"/>
        </w:rPr>
        <w:t>. If the Employee’s employment is terminated (i) by the Company for Cause or (ii) by the Employee without Good Reason (excluding for this purpose the Employee terminating his employment without Good Reason during the six (6) month period immediately following a Change in Control in accordance with Section 9(a)), the Company’s only obligation under this Agreement shall be payment of any Accrued Obligations.</w:t>
      </w:r>
    </w:p>
    <w:p>
      <w:pPr>
        <w:spacing w:after="0" w:line="97" w:lineRule="exact"/>
        <w:rPr>
          <w:rFonts w:ascii="Arial" w:cs="Arial" w:eastAsia="Arial" w:hAnsi="Arial"/>
          <w:sz w:val="18"/>
          <w:szCs w:val="18"/>
          <w:color w:val="auto"/>
        </w:rPr>
      </w:pPr>
    </w:p>
    <w:p>
      <w:pPr>
        <w:ind w:left="447" w:hanging="447"/>
        <w:spacing w:after="0" w:line="254" w:lineRule="auto"/>
        <w:tabs>
          <w:tab w:leader="none" w:pos="44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If the Employee’s employment is terminated due to death or Disability, the Company shall pay the Employee (or to the Employee’s estate or personal representative in the case of death), within thirty (30) business days after the Date of Termination: (i) any Accrued Obligations, plus (ii) a prorated Annual Bonus based upon the target Annual Bonus opportunity in the year in which the Date of Termination occurred (or the prior</w:t>
      </w:r>
    </w:p>
    <w:p>
      <w:pPr>
        <w:spacing w:after="0" w:line="164" w:lineRule="exact"/>
        <w:rPr>
          <w:sz w:val="20"/>
          <w:szCs w:val="20"/>
          <w:color w:val="auto"/>
        </w:rPr>
      </w:pPr>
    </w:p>
    <w:p>
      <w:pPr>
        <w:jc w:val="center"/>
        <w:ind w:right="113"/>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087"/>
          </w:cols>
          <w:pgMar w:left="473" w:top="927" w:right="339" w:bottom="1440" w:gutter="0" w:footer="0" w:header="0"/>
        </w:sectPr>
      </w:pPr>
    </w:p>
    <w:bookmarkStart w:id="155" w:name="page156"/>
    <w:bookmarkEnd w:id="155"/>
    <w:p>
      <w:pPr>
        <w:ind w:left="447" w:right="180"/>
        <w:spacing w:after="0" w:line="267" w:lineRule="auto"/>
        <w:rPr>
          <w:sz w:val="20"/>
          <w:szCs w:val="20"/>
          <w:color w:val="auto"/>
        </w:rPr>
      </w:pPr>
      <w:r>
        <w:rPr>
          <w:rFonts w:ascii="Arial" w:cs="Arial" w:eastAsia="Arial" w:hAnsi="Arial"/>
          <w:sz w:val="18"/>
          <w:szCs w:val="18"/>
          <w:color w:val="auto"/>
        </w:rPr>
        <w:t>year if no target Annual Bonus Opportunity has yet been determined) multiplied by the percentage of the calendar year completed before the Date of Termination.</w:t>
      </w:r>
    </w:p>
    <w:p>
      <w:pPr>
        <w:spacing w:after="0" w:line="73" w:lineRule="exact"/>
        <w:rPr>
          <w:sz w:val="20"/>
          <w:szCs w:val="20"/>
          <w:color w:val="auto"/>
        </w:rPr>
      </w:pPr>
    </w:p>
    <w:p>
      <w:pPr>
        <w:ind w:left="447" w:right="160" w:hanging="447"/>
        <w:spacing w:after="0" w:line="267" w:lineRule="auto"/>
        <w:tabs>
          <w:tab w:leader="none" w:pos="447"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Definition of Change in Control</w:t>
      </w:r>
      <w:r>
        <w:rPr>
          <w:rFonts w:ascii="Arial" w:cs="Arial" w:eastAsia="Arial" w:hAnsi="Arial"/>
          <w:sz w:val="18"/>
          <w:szCs w:val="18"/>
          <w:color w:val="auto"/>
        </w:rPr>
        <w:t>. For purposes of this Agreement, the term “Change in Control” shall mean that the conditions set forth in any one of the following subsections shall have been satisfied:</w:t>
      </w:r>
    </w:p>
    <w:p>
      <w:pPr>
        <w:spacing w:after="0" w:line="72" w:lineRule="exact"/>
        <w:rPr>
          <w:rFonts w:ascii="Arial" w:cs="Arial" w:eastAsia="Arial" w:hAnsi="Arial"/>
          <w:sz w:val="18"/>
          <w:szCs w:val="18"/>
          <w:color w:val="auto"/>
        </w:rPr>
      </w:pPr>
    </w:p>
    <w:p>
      <w:pPr>
        <w:ind w:left="887" w:right="60" w:hanging="433"/>
        <w:spacing w:after="0" w:line="254" w:lineRule="auto"/>
        <w:tabs>
          <w:tab w:leader="none" w:pos="887"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acquisition, directly or indirectly, by any “person” (within the meaning of Section 3(a)(9) of the Securities and Exchange Act of 1934, as amended (the “Exchange Act”) and used in Sections 13(d) and 14(d) thereof) of “beneficial ownership” (within the meaning of Rule 13d-3 of the Exchange Act) of securities of the Company possessing more than fifty percent (50%) of the total combined voting power of all outstanding securities of the Company;</w:t>
      </w:r>
    </w:p>
    <w:p>
      <w:pPr>
        <w:spacing w:after="0" w:line="97" w:lineRule="exact"/>
        <w:rPr>
          <w:rFonts w:ascii="Arial" w:cs="Arial" w:eastAsia="Arial" w:hAnsi="Arial"/>
          <w:sz w:val="18"/>
          <w:szCs w:val="18"/>
          <w:color w:val="auto"/>
        </w:rPr>
      </w:pPr>
    </w:p>
    <w:p>
      <w:pPr>
        <w:ind w:left="887" w:right="60" w:hanging="433"/>
        <w:spacing w:after="0" w:line="254" w:lineRule="auto"/>
        <w:tabs>
          <w:tab w:leader="none" w:pos="887"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except for a transaction in which the holders of the outstanding voting securities of the Company immediately prior to such merger or consolidation hold, in the aggregate, securities possessing more than fifty percent (50%) of the total combined voting power of all outstanding voting securities of the surviving entity immediately after such merger or consolidation;</w:t>
      </w:r>
    </w:p>
    <w:p>
      <w:pPr>
        <w:spacing w:after="0" w:line="97" w:lineRule="exact"/>
        <w:rPr>
          <w:rFonts w:ascii="Arial" w:cs="Arial" w:eastAsia="Arial" w:hAnsi="Arial"/>
          <w:sz w:val="18"/>
          <w:szCs w:val="18"/>
          <w:color w:val="auto"/>
        </w:rPr>
      </w:pPr>
    </w:p>
    <w:p>
      <w:pPr>
        <w:ind w:left="887" w:right="120" w:hanging="433"/>
        <w:spacing w:after="0" w:line="257" w:lineRule="auto"/>
        <w:tabs>
          <w:tab w:leader="none" w:pos="887"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reverse merger in which the Company is the surviving entity but in which securities possessing more than fifty percent (50%) of the total combined voting power of all outstanding voting securities of the Company are transferred to or acquired by a person or persons different from the persons holding those securities immediately prior to such merger;</w:t>
      </w:r>
    </w:p>
    <w:p>
      <w:pPr>
        <w:spacing w:after="0" w:line="95" w:lineRule="exact"/>
        <w:rPr>
          <w:rFonts w:ascii="Arial" w:cs="Arial" w:eastAsia="Arial" w:hAnsi="Arial"/>
          <w:sz w:val="18"/>
          <w:szCs w:val="18"/>
          <w:color w:val="auto"/>
        </w:rPr>
      </w:pPr>
    </w:p>
    <w:p>
      <w:pPr>
        <w:ind w:left="887" w:hanging="433"/>
        <w:spacing w:after="0" w:line="254" w:lineRule="auto"/>
        <w:tabs>
          <w:tab w:leader="none" w:pos="887" w:val="left"/>
        </w:tabs>
        <w:numPr>
          <w:ilvl w:val="1"/>
          <w:numId w:val="93"/>
        </w:numPr>
        <w:rPr>
          <w:rFonts w:ascii="Arial" w:cs="Arial" w:eastAsia="Arial" w:hAnsi="Arial"/>
          <w:sz w:val="18"/>
          <w:szCs w:val="18"/>
          <w:color w:val="auto"/>
        </w:rPr>
      </w:pPr>
      <w:r>
        <w:rPr>
          <w:rFonts w:ascii="Arial" w:cs="Arial" w:eastAsia="Arial" w:hAnsi="Arial"/>
          <w:sz w:val="18"/>
          <w:szCs w:val="18"/>
          <w:color w:val="auto"/>
        </w:rPr>
        <w:t>during any period of two (2) consecutive years during the Employment Term or any extensions thereof, individuals, who, at the beginning of such period, constitute the Board, cease for any reason to constitute at least a majority thereof, unless the election of each director who was not a director at the beginning of such period has been approved in advance by directors representing at least two-thirds of the directors then in office who were directors at the beginning of the period;</w:t>
      </w:r>
    </w:p>
    <w:p>
      <w:pPr>
        <w:spacing w:after="0" w:line="97" w:lineRule="exact"/>
        <w:rPr>
          <w:rFonts w:ascii="Arial" w:cs="Arial" w:eastAsia="Arial" w:hAnsi="Arial"/>
          <w:sz w:val="18"/>
          <w:szCs w:val="18"/>
          <w:color w:val="auto"/>
        </w:rPr>
      </w:pPr>
    </w:p>
    <w:p>
      <w:pPr>
        <w:ind w:left="887" w:right="40" w:hanging="433"/>
        <w:spacing w:after="0" w:line="251" w:lineRule="auto"/>
        <w:tabs>
          <w:tab w:leader="none" w:pos="887"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sale, transfer or other disposition (in one transaction or a series of related transactions) of assets of the Company that have a total fair market value equal to or more than one-third of the total fair market value of all of the assets of the Company immediately prior to such sale, transfer or other disposition, other than a sale, transfer or other disposition to an entity (A) which immediately following such sale, transfer or other disposition owns, directly or indirectly, at least fifty percent (50%) of the Company’s outstanding voting securities or (B) fifty percent (50%) or more of whose outstanding voting securities is immediately following such sale, transfer or other disposition owned, directly or indirectly, by the Company. For</w:t>
      </w:r>
    </w:p>
    <w:p>
      <w:pPr>
        <w:spacing w:after="0" w:line="168" w:lineRule="exact"/>
        <w:rPr>
          <w:sz w:val="20"/>
          <w:szCs w:val="20"/>
          <w:color w:val="auto"/>
        </w:rPr>
      </w:pPr>
    </w:p>
    <w:p>
      <w:pPr>
        <w:jc w:val="center"/>
        <w:ind w:right="213"/>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7"/>
          </w:cols>
          <w:pgMar w:left="473" w:top="927" w:right="239" w:bottom="1440" w:gutter="0" w:footer="0" w:header="0"/>
        </w:sectPr>
      </w:pPr>
    </w:p>
    <w:bookmarkStart w:id="156" w:name="page157"/>
    <w:bookmarkEnd w:id="156"/>
    <w:p>
      <w:pPr>
        <w:ind w:left="900" w:right="40"/>
        <w:spacing w:after="0" w:line="267" w:lineRule="auto"/>
        <w:rPr>
          <w:sz w:val="20"/>
          <w:szCs w:val="20"/>
          <w:color w:val="auto"/>
        </w:rPr>
      </w:pPr>
      <w:r>
        <w:rPr>
          <w:rFonts w:ascii="Arial" w:cs="Arial" w:eastAsia="Arial" w:hAnsi="Arial"/>
          <w:sz w:val="18"/>
          <w:szCs w:val="18"/>
          <w:color w:val="auto"/>
        </w:rPr>
        <w:t>purposes of the foregoing clause, the sale of stock of a subsidiary of the Company (or the assets of such subsidiary) shall be treated as a sale of assets of the Company; or</w:t>
      </w:r>
    </w:p>
    <w:p>
      <w:pPr>
        <w:spacing w:after="0" w:line="73" w:lineRule="exact"/>
        <w:rPr>
          <w:sz w:val="20"/>
          <w:szCs w:val="20"/>
          <w:color w:val="auto"/>
        </w:rPr>
      </w:pPr>
    </w:p>
    <w:p>
      <w:pPr>
        <w:ind w:left="900" w:hanging="433"/>
        <w:spacing w:after="0"/>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approval by the stockholders of a plan or proposal for the liquidation or dissolution of the Company.</w:t>
      </w:r>
    </w:p>
    <w:p>
      <w:pPr>
        <w:spacing w:after="0" w:line="113" w:lineRule="exact"/>
        <w:rPr>
          <w:rFonts w:ascii="Arial" w:cs="Arial" w:eastAsia="Arial" w:hAnsi="Arial"/>
          <w:sz w:val="18"/>
          <w:szCs w:val="18"/>
          <w:color w:val="auto"/>
        </w:rPr>
      </w:pPr>
    </w:p>
    <w:p>
      <w:pPr>
        <w:ind w:left="460" w:hanging="447"/>
        <w:spacing w:after="0" w:line="267" w:lineRule="auto"/>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Six-Month Delay</w:t>
      </w:r>
      <w:r>
        <w:rPr>
          <w:rFonts w:ascii="Arial" w:cs="Arial" w:eastAsia="Arial" w:hAnsi="Arial"/>
          <w:sz w:val="17"/>
          <w:szCs w:val="17"/>
          <w:color w:val="auto"/>
        </w:rPr>
        <w:t>. To the extent the Employee is a “specified employee,” as defined in Section 409A(a)(2)(B)(i) of the Code and the regulations and other guidance promulgated thereunder and any elections made by the Company in accordance therewith, notwithstanding the timing of payment provided in any other Section of this Agreement, no payment, distribution or benefit under this Agreement that constitutes a distribution of deferred compensation (within the meaning of Treasury Regulation Section 1.409A-1(b)) upon separation from service (within the meaning of Treasury Regulation Section 1.409A-1(h)), after taking into account all available exemptions, that would otherwise be payable during the six (6) month period after separation from service, will be made during such six (6) month period, and any such payment, distribution or benefit will instead be paid on the first business day after such six (6) month period.</w:t>
      </w:r>
    </w:p>
    <w:p>
      <w:pPr>
        <w:spacing w:after="0" w:line="78" w:lineRule="exact"/>
        <w:rPr>
          <w:sz w:val="20"/>
          <w:szCs w:val="20"/>
          <w:color w:val="auto"/>
        </w:rPr>
      </w:pPr>
    </w:p>
    <w:p>
      <w:pPr>
        <w:ind w:left="280" w:hanging="271"/>
        <w:spacing w:after="0"/>
        <w:tabs>
          <w:tab w:leader="none" w:pos="2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Excise Tax Gross-up Payments</w:t>
      </w:r>
      <w:r>
        <w:rPr>
          <w:rFonts w:ascii="Arial" w:cs="Arial" w:eastAsia="Arial" w:hAnsi="Arial"/>
          <w:sz w:val="18"/>
          <w:szCs w:val="18"/>
          <w:color w:val="auto"/>
        </w:rPr>
        <w:t>.</w:t>
      </w:r>
    </w:p>
    <w:p>
      <w:pPr>
        <w:spacing w:after="0" w:line="113" w:lineRule="exact"/>
        <w:rPr>
          <w:sz w:val="20"/>
          <w:szCs w:val="20"/>
          <w:color w:val="auto"/>
        </w:rPr>
      </w:pPr>
    </w:p>
    <w:p>
      <w:pPr>
        <w:ind w:left="460" w:right="160" w:hanging="447"/>
        <w:spacing w:after="0" w:line="284"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any payments or benefits paid or provided or to be paid or provided to the Employee or for his benefit pursuant to the terms of this Agreement or otherwise in connection with, or arising out of, his employment with the Company or its subsidiaries or the termination thereof (a “Payment” and, collectively, the “Payments”) would be subject to the excise tax (the “Excise Tax”) imposed by Section 4999 of the Code, then, except as otherwise provided in this Subsection 10(a), the Employee will be entitled to receive an additional payment (a “Gross-Up Payment”) in an amount such that, after payment by the Employee of all income taxes, all employment taxes and any Excise Tax imposed upon the Gross-Up Payment (including any related interest and penalties), the Employee retains an amount of the Gross-Up Payment equal to the Excise Tax (including any related interest and penalties) imposed upon the Payments. Notwithstanding the foregoing, if the amount of the Payments does not exceed by more than three percent (3%) the amount that would be payable to the Employee if the Payments were reduced to one dollar less than what would constitute a “parachute payment” under Section 280G of the Code (the “Scaled Back Amount”), then the Payments shall be reduced, in a manner determined by the Employee, to the Scaled Back Amount, and the Employee shall not be entitled to any Gross-Up Payment.</w:t>
      </w:r>
    </w:p>
    <w:p>
      <w:pPr>
        <w:spacing w:after="0" w:line="76" w:lineRule="exact"/>
        <w:rPr>
          <w:rFonts w:ascii="Arial" w:cs="Arial" w:eastAsia="Arial" w:hAnsi="Arial"/>
          <w:sz w:val="16"/>
          <w:szCs w:val="16"/>
          <w:color w:val="auto"/>
        </w:rPr>
      </w:pPr>
    </w:p>
    <w:p>
      <w:pPr>
        <w:ind w:left="460" w:right="120" w:hanging="447"/>
        <w:spacing w:after="0" w:line="295"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 initial determination of (i) whether a Gross-Up Payment is required pursuant to this Agreement, and, if applicable, the amount of such Gross-Up Payment or (ii) whether the Payments must be reduced to the Scaled Back Amount and, if so, the amount of such reduction, will be made at the Company’s expense by an accounting firm selected by the Company. The accounting firm will provide its determination, together with detailed supporting calculations and documentation, to the Company and the Employee within ten (10) business days after the date of</w:t>
      </w:r>
    </w:p>
    <w:p>
      <w:pPr>
        <w:spacing w:after="0" w:line="13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145415</wp:posOffset>
            </wp:positionV>
            <wp:extent cx="725233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00"/>
          </w:cols>
          <w:pgMar w:left="460" w:top="927" w:right="339" w:bottom="1440" w:gutter="0" w:footer="0" w:header="0"/>
        </w:sectPr>
      </w:pPr>
    </w:p>
    <w:bookmarkStart w:id="157" w:name="page158"/>
    <w:bookmarkEnd w:id="157"/>
    <w:p>
      <w:pPr>
        <w:ind w:left="447"/>
        <w:spacing w:after="0" w:line="283" w:lineRule="auto"/>
        <w:rPr>
          <w:sz w:val="20"/>
          <w:szCs w:val="20"/>
          <w:color w:val="auto"/>
        </w:rPr>
      </w:pPr>
      <w:r>
        <w:rPr>
          <w:rFonts w:ascii="Arial" w:cs="Arial" w:eastAsia="Arial" w:hAnsi="Arial"/>
          <w:sz w:val="16"/>
          <w:szCs w:val="16"/>
          <w:color w:val="auto"/>
        </w:rPr>
        <w:t>termination of the Employee’s employment, or such other time as may be reasonably requested by the Company or the Employee. If the accounting firm determines that no Excise Tax is payable by the Employee with respect to a Payment or Payments, it will furnish the Employee with an opinion to that effect. If a Gross-Up Payment becomes payable, such Gross-Up Payment will be paid by the Company to the Employee within thirty</w:t>
      </w:r>
    </w:p>
    <w:p>
      <w:pPr>
        <w:ind w:left="447"/>
        <w:spacing w:after="0" w:line="281" w:lineRule="auto"/>
        <w:rPr>
          <w:sz w:val="20"/>
          <w:szCs w:val="20"/>
          <w:color w:val="auto"/>
        </w:rPr>
      </w:pPr>
      <w:r>
        <w:rPr>
          <w:rFonts w:ascii="Arial" w:cs="Arial" w:eastAsia="Arial" w:hAnsi="Arial"/>
          <w:sz w:val="16"/>
          <w:szCs w:val="16"/>
          <w:color w:val="auto"/>
        </w:rPr>
        <w:t>(30) business days of the receipt of the accounting firm’s determination. If a reduction in Payments is required, such reduction shall be effectuated within thirty (30) business days of the receipt of the accounting firm’s determination. Within ten (10) business days after the accounting firm delivers its determination to the Employee, the Employee will have the right to dispute the determination. The existence of a dispute will not in any way affect the Employee’s right to receive a Gross-Up Payment in accordance with the determination. If there is no dispute, the determination will be binding, final, and conclusive upon the Company and the Employee. If there is a dispute, the Company and the Employee will together select a second accounting firm, which will review the determination and the Employee’s basis for the dispute and then will render its own determination, which will be binding, final, and conclusive on the Company and on the Employee for purposes of determining whether a Gross-Up Payment is required pursuant to this Subsection 10(b) or whether a reduction to the Scaled Back Amount is required, as the case may be. If as a result of any dispute pursuant to this Subsection 10(b) a Gross-Up Payment is made or additional Gross-Up Payments are made, such Gross-Up Payment(s) will be paid by the Company to the Employee within thirty (30) business days of the receipt of the second accounting firm’s determination. The Company will bear all costs associated with the second accounting firm’s determination, unless such determination does not result in additional Gross-Up Payments to the Employee or unless such determination does not mitigate the reduction in Payments required to arrive at the Scaled Back Amount, in which case all such costs will be borne by the Employee.</w:t>
      </w:r>
    </w:p>
    <w:p>
      <w:pPr>
        <w:spacing w:after="0" w:line="82" w:lineRule="exact"/>
        <w:rPr>
          <w:sz w:val="20"/>
          <w:szCs w:val="20"/>
          <w:color w:val="auto"/>
        </w:rPr>
      </w:pPr>
    </w:p>
    <w:p>
      <w:pPr>
        <w:ind w:left="447" w:right="40" w:hanging="447"/>
        <w:spacing w:after="0" w:line="270" w:lineRule="auto"/>
        <w:tabs>
          <w:tab w:leader="none" w:pos="447" w:val="left"/>
        </w:tabs>
        <w:numPr>
          <w:ilvl w:val="0"/>
          <w:numId w:val="98"/>
        </w:numPr>
        <w:rPr>
          <w:rFonts w:ascii="Arial" w:cs="Arial" w:eastAsia="Arial" w:hAnsi="Arial"/>
          <w:sz w:val="17"/>
          <w:szCs w:val="17"/>
          <w:color w:val="auto"/>
        </w:rPr>
      </w:pPr>
      <w:r>
        <w:rPr>
          <w:rFonts w:ascii="Arial" w:cs="Arial" w:eastAsia="Arial" w:hAnsi="Arial"/>
          <w:sz w:val="17"/>
          <w:szCs w:val="17"/>
          <w:color w:val="auto"/>
        </w:rPr>
        <w:t>For purposes of determining the amount of the Gross-Up Payment and, if applicable, the Scaled Back Amount, the Employee will be deemed to pay federal income taxes at the highest marginal rate of federal income taxation in the calendar year in which the Gross-Up Payment is to be made or the Scaled Back Amount is determined, as the case may be, and applicable state and local income taxes at the highest marginal rate of taxation in the state and locality of the Employee’s residence on the date of termination of the Employee’s employment, net of the maximum reduction in federal income taxes that would be obtained from deduction of those state and local taxes.</w:t>
      </w:r>
    </w:p>
    <w:p>
      <w:pPr>
        <w:spacing w:after="0" w:line="87" w:lineRule="exact"/>
        <w:rPr>
          <w:rFonts w:ascii="Arial" w:cs="Arial" w:eastAsia="Arial" w:hAnsi="Arial"/>
          <w:sz w:val="17"/>
          <w:szCs w:val="17"/>
          <w:color w:val="auto"/>
        </w:rPr>
      </w:pPr>
    </w:p>
    <w:p>
      <w:pPr>
        <w:ind w:left="447" w:right="100" w:hanging="447"/>
        <w:spacing w:after="0" w:line="295" w:lineRule="auto"/>
        <w:tabs>
          <w:tab w:leader="none" w:pos="447" w:val="left"/>
        </w:tabs>
        <w:numPr>
          <w:ilvl w:val="0"/>
          <w:numId w:val="98"/>
        </w:numPr>
        <w:rPr>
          <w:rFonts w:ascii="Arial" w:cs="Arial" w:eastAsia="Arial" w:hAnsi="Arial"/>
          <w:sz w:val="16"/>
          <w:szCs w:val="16"/>
          <w:color w:val="auto"/>
        </w:rPr>
      </w:pPr>
      <w:r>
        <w:rPr>
          <w:rFonts w:ascii="Arial" w:cs="Arial" w:eastAsia="Arial" w:hAnsi="Arial"/>
          <w:sz w:val="16"/>
          <w:szCs w:val="16"/>
          <w:color w:val="auto"/>
        </w:rPr>
        <w:t>As a result of the uncertainty in the application of Section 4999 of the Code, it is possible that Gross-Up Payments which will not have been made by the Company should have been made, the Employee’s Payments will be reduced to the Scaled Back Amount when they should not have been or the Employee’s Payments are reduced to a greater extent than they should have been (an “Underpayment”) or Gross-Up Payments are made by the Company which should not have been made, the Employee’s Payments are not reduced to the Scaled Back Amount when they</w:t>
      </w:r>
    </w:p>
    <w:p>
      <w:pPr>
        <w:spacing w:after="0" w:line="136" w:lineRule="exact"/>
        <w:rPr>
          <w:sz w:val="20"/>
          <w:szCs w:val="20"/>
          <w:color w:val="auto"/>
        </w:rPr>
      </w:pPr>
    </w:p>
    <w:p>
      <w:pPr>
        <w:jc w:val="center"/>
        <w:ind w:right="193"/>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67"/>
          </w:cols>
          <w:pgMar w:left="473" w:top="927" w:right="259" w:bottom="1440" w:gutter="0" w:footer="0" w:header="0"/>
        </w:sectPr>
      </w:pPr>
    </w:p>
    <w:bookmarkStart w:id="158" w:name="page159"/>
    <w:bookmarkEnd w:id="158"/>
    <w:p>
      <w:pPr>
        <w:ind w:left="447" w:right="80"/>
        <w:spacing w:after="0" w:line="265" w:lineRule="auto"/>
        <w:rPr>
          <w:sz w:val="20"/>
          <w:szCs w:val="20"/>
          <w:color w:val="auto"/>
        </w:rPr>
      </w:pPr>
      <w:r>
        <w:rPr>
          <w:rFonts w:ascii="Arial" w:cs="Arial" w:eastAsia="Arial" w:hAnsi="Arial"/>
          <w:sz w:val="17"/>
          <w:szCs w:val="17"/>
          <w:color w:val="auto"/>
        </w:rPr>
        <w:t xml:space="preserve">should have been or they are not reduced to the extent they should have been (an “Overpayment”). If it is determined that an Underpayment has occurred, the accounting firm shall determine the amount of the Underpayment that has occurred and any such Underpayment (together with interest at the rate provided in Section 1274(b)(2)(B) of the Code) shall be promptly paid by the Company to or for the benefit of the Employee. If it is determined that an Overpayment has occurred, the accounting firm shall determine the amount of the Overpayment that has occurred and any such Overpayment (together with interest at the rate provided in Section 1274(b)(2) of the Code) shall be promptly paid by the Employee (to the extent he has received a refund if the applicable Excise Tax has been paid to the Internal Revenue Service) to or for the benefit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determines that such repayment obligation would be or result in an unlawful extension of credit under Section 13(k) of the Exchange Act, repayment shall not be required. The Employee shall cooperate, to the extent his expenses are reimbursed by the Company, with any reasonable requests by the Company in connection with any contest or disputes with the Internal Revenue Service in connection with the Excise Tax.</w:t>
      </w:r>
    </w:p>
    <w:p>
      <w:pPr>
        <w:spacing w:after="0" w:line="95" w:lineRule="exact"/>
        <w:rPr>
          <w:sz w:val="20"/>
          <w:szCs w:val="20"/>
          <w:color w:val="auto"/>
        </w:rPr>
      </w:pPr>
    </w:p>
    <w:p>
      <w:pPr>
        <w:ind w:left="447" w:hanging="447"/>
        <w:spacing w:after="0" w:line="269" w:lineRule="auto"/>
        <w:tabs>
          <w:tab w:leader="none" w:pos="447"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Employee shall notify the Company in writing of any claim by the Internal Revenue Service that, if successful, would require a payment resulting in an Underpayment. Such notification shall be given as soon as practicable but no later than ten (10) business days after the Employee is informed in writing of such claim and shall apprise the Company of the nature of such claim and the date on which such claim is requested to be paid. The Employee shall not pay such claim prior to the expiration of the thirty (30) day period following the date on which he gives such notice to the Company (or such shorter period ending on the date that any payment of taxes with respect to such claim is due). If the Company notifies the Employee in writing prior to the expiration of such period that it desires to contest such claim, the Employee shall:</w:t>
      </w:r>
    </w:p>
    <w:p>
      <w:pPr>
        <w:spacing w:after="0" w:line="72" w:lineRule="exact"/>
        <w:rPr>
          <w:rFonts w:ascii="Arial" w:cs="Arial" w:eastAsia="Arial" w:hAnsi="Arial"/>
          <w:sz w:val="17"/>
          <w:szCs w:val="17"/>
          <w:color w:val="auto"/>
        </w:rPr>
      </w:pPr>
    </w:p>
    <w:p>
      <w:pPr>
        <w:ind w:left="887" w:hanging="433"/>
        <w:spacing w:after="0"/>
        <w:tabs>
          <w:tab w:leader="none" w:pos="887" w:val="left"/>
        </w:tabs>
        <w:numPr>
          <w:ilvl w:val="1"/>
          <w:numId w:val="99"/>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w:t>
      </w:r>
    </w:p>
    <w:p>
      <w:pPr>
        <w:spacing w:after="0" w:line="126" w:lineRule="exact"/>
        <w:rPr>
          <w:rFonts w:ascii="Arial" w:cs="Arial" w:eastAsia="Arial" w:hAnsi="Arial"/>
          <w:sz w:val="18"/>
          <w:szCs w:val="18"/>
          <w:color w:val="auto"/>
        </w:rPr>
      </w:pPr>
    </w:p>
    <w:p>
      <w:pPr>
        <w:ind w:left="887" w:right="360" w:hanging="433"/>
        <w:spacing w:after="0" w:line="331" w:lineRule="auto"/>
        <w:tabs>
          <w:tab w:leader="none" w:pos="887" w:val="left"/>
        </w:tabs>
        <w:numPr>
          <w:ilvl w:val="1"/>
          <w:numId w:val="99"/>
        </w:numPr>
        <w:rPr>
          <w:rFonts w:ascii="Arial" w:cs="Arial" w:eastAsia="Arial" w:hAnsi="Arial"/>
          <w:sz w:val="16"/>
          <w:szCs w:val="16"/>
          <w:color w:val="auto"/>
        </w:rPr>
      </w:pPr>
      <w:r>
        <w:rPr>
          <w:rFonts w:ascii="Arial" w:cs="Arial" w:eastAsia="Arial" w:hAnsi="Arial"/>
          <w:sz w:val="16"/>
          <w:szCs w:val="16"/>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39" w:lineRule="exact"/>
        <w:rPr>
          <w:rFonts w:ascii="Arial" w:cs="Arial" w:eastAsia="Arial" w:hAnsi="Arial"/>
          <w:sz w:val="16"/>
          <w:szCs w:val="16"/>
          <w:color w:val="auto"/>
        </w:rPr>
      </w:pPr>
    </w:p>
    <w:p>
      <w:pPr>
        <w:ind w:left="887" w:hanging="433"/>
        <w:spacing w:after="0"/>
        <w:tabs>
          <w:tab w:leader="none" w:pos="887" w:val="left"/>
        </w:tabs>
        <w:numPr>
          <w:ilvl w:val="1"/>
          <w:numId w:val="99"/>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to effectively contest such claim, and</w:t>
      </w:r>
    </w:p>
    <w:p>
      <w:pPr>
        <w:spacing w:after="0" w:line="126" w:lineRule="exact"/>
        <w:rPr>
          <w:rFonts w:ascii="Arial" w:cs="Arial" w:eastAsia="Arial" w:hAnsi="Arial"/>
          <w:sz w:val="18"/>
          <w:szCs w:val="18"/>
          <w:color w:val="auto"/>
        </w:rPr>
      </w:pPr>
    </w:p>
    <w:p>
      <w:pPr>
        <w:ind w:left="887" w:hanging="433"/>
        <w:spacing w:after="0"/>
        <w:tabs>
          <w:tab w:leader="none" w:pos="887" w:val="left"/>
        </w:tabs>
        <w:numPr>
          <w:ilvl w:val="1"/>
          <w:numId w:val="99"/>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 relating to such claim;</w:t>
      </w:r>
    </w:p>
    <w:p>
      <w:pPr>
        <w:spacing w:after="0" w:line="126" w:lineRule="exact"/>
        <w:rPr>
          <w:rFonts w:ascii="Arial" w:cs="Arial" w:eastAsia="Arial" w:hAnsi="Arial"/>
          <w:sz w:val="18"/>
          <w:szCs w:val="18"/>
          <w:color w:val="auto"/>
        </w:rPr>
      </w:pPr>
    </w:p>
    <w:p>
      <w:pPr>
        <w:ind w:left="887" w:right="60"/>
        <w:spacing w:after="0" w:line="257" w:lineRule="auto"/>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bear and pay directly all costs and expenses (including additional interest and penalties) incurred in connection with such contest and shall indemnify and hold the Employee harmless, on an after-tax basis, for any Excise Tax or income tax (including related interest and penalties)</w:t>
      </w:r>
    </w:p>
    <w:p>
      <w:pPr>
        <w:spacing w:after="0" w:line="162" w:lineRule="exact"/>
        <w:rPr>
          <w:sz w:val="20"/>
          <w:szCs w:val="20"/>
          <w:color w:val="auto"/>
        </w:rPr>
      </w:pPr>
    </w:p>
    <w:p>
      <w:pPr>
        <w:jc w:val="center"/>
        <w:ind w:right="153"/>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27"/>
          </w:cols>
          <w:pgMar w:left="473" w:top="927" w:right="299" w:bottom="1440" w:gutter="0" w:footer="0" w:header="0"/>
        </w:sectPr>
      </w:pPr>
    </w:p>
    <w:bookmarkStart w:id="159" w:name="page160"/>
    <w:bookmarkEnd w:id="159"/>
    <w:p>
      <w:pPr>
        <w:ind w:left="1100"/>
        <w:spacing w:after="0" w:line="283" w:lineRule="auto"/>
        <w:rPr>
          <w:sz w:val="20"/>
          <w:szCs w:val="20"/>
          <w:color w:val="auto"/>
        </w:rPr>
      </w:pPr>
      <w:r>
        <w:rPr>
          <w:rFonts w:ascii="Arial" w:cs="Arial" w:eastAsia="Arial" w:hAnsi="Arial"/>
          <w:sz w:val="16"/>
          <w:szCs w:val="16"/>
          <w:color w:val="auto"/>
        </w:rPr>
        <w:t xml:space="preserve">imposed as a result of such representation and payment of costs and expenses. Without limitation on the foregoing provisions of this Subsection 10(e),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Employee to pay the tax claimed and sue for a refund or contest the claim in any permissible manner, and the Employee agrees to prosecute such contest to a determination before any administrative tribunal, in a court of initial jurisdiction and in one or more appellate courts, as the Company shall determine;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Company directs the Employee to pay such claim and sue for a refund, the Company shall advance the amount of such payment to the Employee, on an interest-free basis and shall indemnify and hold the Employee harmless, on an after-tax basis, from any Excise Tax or income tax (including related interest or penalties) imposed with respect to such advance or with respect to any imputed income with respect to such advance. The Company’s control of the contest shall be limited to issues that may impact Gross-Up Payments or reduction in Payments under this Section 10, and the Employee shall be entitled to settle or contest, as the case may be, any other issue raised by the Internal Revenue Service or any other taxing authority.</w:t>
      </w:r>
    </w:p>
    <w:p>
      <w:pPr>
        <w:spacing w:after="0" w:line="67" w:lineRule="exact"/>
        <w:rPr>
          <w:sz w:val="20"/>
          <w:szCs w:val="20"/>
          <w:color w:val="auto"/>
        </w:rPr>
      </w:pPr>
    </w:p>
    <w:p>
      <w:pPr>
        <w:ind w:left="660" w:hanging="447"/>
        <w:spacing w:after="0" w:line="288" w:lineRule="auto"/>
        <w:tabs>
          <w:tab w:leader="none" w:pos="66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If, after the receipt by the Employee of an amount advanced by the Company pursuant to Subsection 10(e), the Employee becomes entitled to receive any refund with respect to such claim, the Employee shall (subject to the Company’s complying with the requirements of Subsection 10(e)) promptly pay to the Company the amount of such refund (together with any interest paid or credited thereon after taxes applicable thereto). If, after the receipt by the Employee of an amount advanced by the Company pursuant to Subsection 10(e), a determination is made that the Employee shall not be entitled to any refund with respect to such claim and the Company does not notify the Employee in writing of its intent to contest such denial of refund prior to the expiration of thirty (30) days after such determination, then such advance shall be forgiven and shall not be required to be repaid.</w:t>
      </w:r>
    </w:p>
    <w:p>
      <w:pPr>
        <w:spacing w:after="0" w:line="62" w:lineRule="exact"/>
        <w:rPr>
          <w:rFonts w:ascii="Arial" w:cs="Arial" w:eastAsia="Arial" w:hAnsi="Arial"/>
          <w:sz w:val="16"/>
          <w:szCs w:val="16"/>
          <w:color w:val="auto"/>
        </w:rPr>
      </w:pPr>
    </w:p>
    <w:p>
      <w:pPr>
        <w:ind w:left="660" w:right="20" w:hanging="447"/>
        <w:spacing w:after="0" w:line="267" w:lineRule="auto"/>
        <w:tabs>
          <w:tab w:leader="none" w:pos="6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payment under this Section 10 must be made by the Company no later than the end of the Employee’s tax year following the Employee’s tax year in which the Employee remits the related tax payments.</w:t>
      </w:r>
    </w:p>
    <w:p>
      <w:pPr>
        <w:spacing w:after="0" w:line="72" w:lineRule="exact"/>
        <w:rPr>
          <w:rFonts w:ascii="Arial" w:cs="Arial" w:eastAsia="Arial" w:hAnsi="Arial"/>
          <w:sz w:val="18"/>
          <w:szCs w:val="18"/>
          <w:color w:val="auto"/>
        </w:rPr>
      </w:pPr>
    </w:p>
    <w:p>
      <w:pPr>
        <w:ind w:left="-20" w:right="540" w:firstLine="229"/>
        <w:spacing w:after="0" w:line="331" w:lineRule="auto"/>
        <w:tabs>
          <w:tab w:leader="none" w:pos="462"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Non-Delegation of the Employee’s Rights</w:t>
      </w:r>
      <w:r>
        <w:rPr>
          <w:rFonts w:ascii="Arial" w:cs="Arial" w:eastAsia="Arial" w:hAnsi="Arial"/>
          <w:sz w:val="16"/>
          <w:szCs w:val="16"/>
          <w:color w:val="auto"/>
        </w:rPr>
        <w:t>. The obligations, rights and benefits of the Employee hereunder are personal and may not be delegated, assigned or transferred in any manner whatsoever, nor are such obligations, rights or benefits subject to involuntary alienation, assignment or transfer.</w:t>
      </w:r>
    </w:p>
    <w:p>
      <w:pPr>
        <w:spacing w:after="0" w:line="25" w:lineRule="exact"/>
        <w:rPr>
          <w:rFonts w:ascii="Arial" w:cs="Arial" w:eastAsia="Arial" w:hAnsi="Arial"/>
          <w:sz w:val="16"/>
          <w:szCs w:val="16"/>
          <w:color w:val="auto"/>
        </w:rPr>
      </w:pPr>
    </w:p>
    <w:p>
      <w:pPr>
        <w:ind w:left="-20" w:right="200" w:firstLine="229"/>
        <w:spacing w:after="0" w:line="257" w:lineRule="auto"/>
        <w:tabs>
          <w:tab w:leader="none" w:pos="469"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The Employee acknowledges that he will occupy a position of trust and confidence and will have access to and learn substantial information about the Company and its affiliates and their operations that is confidential or not generally known in the industry including, without limitation, information that relates to purchasing, sales,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145415</wp:posOffset>
            </wp:positionV>
            <wp:extent cx="725233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60" w:top="927" w:right="259" w:bottom="1440" w:gutter="0" w:footer="0" w:header="0"/>
        </w:sectPr>
      </w:pPr>
    </w:p>
    <w:bookmarkStart w:id="160" w:name="page161"/>
    <w:bookmarkEnd w:id="160"/>
    <w:p>
      <w:pPr>
        <w:ind w:right="60"/>
        <w:spacing w:after="0" w:line="285" w:lineRule="auto"/>
        <w:rPr>
          <w:sz w:val="20"/>
          <w:szCs w:val="20"/>
          <w:color w:val="auto"/>
        </w:rPr>
      </w:pPr>
      <w:r>
        <w:rPr>
          <w:rFonts w:ascii="Arial" w:cs="Arial" w:eastAsia="Arial" w:hAnsi="Arial"/>
          <w:sz w:val="16"/>
          <w:szCs w:val="16"/>
          <w:color w:val="auto"/>
        </w:rPr>
        <w:t>customers, marketing, and the financial positions and financing arrangements of the Company and its affiliates. The Employee agrees that all such information is proprietary or confidential, or constitutes trade secrets and is the sole property of the Company and/or its affiliates, as the case may be. The Employee will keep confidential, and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the Employee advise, discuss with or in any way assist any other person, firm or entity in obtaining or learning about any of the items described in this Section 12. Accordingly, the Employee agrees that during the Employment Term and at all times thereafter he will not disclose, or permit or encourage anyone else to disclose, any such information, nor will he utilize any such information, either alone or with others, outside the scope of his duties and responsibilities with the Company and its affiliates.</w:t>
      </w:r>
    </w:p>
    <w:p>
      <w:pPr>
        <w:spacing w:after="0" w:line="66" w:lineRule="exact"/>
        <w:rPr>
          <w:sz w:val="20"/>
          <w:szCs w:val="20"/>
          <w:color w:val="auto"/>
        </w:rPr>
      </w:pPr>
    </w:p>
    <w:p>
      <w:pPr>
        <w:ind w:left="500" w:hanging="271"/>
        <w:spacing w:after="0"/>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113" w:lineRule="exact"/>
        <w:rPr>
          <w:sz w:val="20"/>
          <w:szCs w:val="20"/>
          <w:color w:val="auto"/>
        </w:rPr>
      </w:pPr>
    </w:p>
    <w:p>
      <w:pPr>
        <w:ind w:left="680" w:right="140" w:hanging="447"/>
        <w:spacing w:after="0" w:line="250" w:lineRule="auto"/>
        <w:tabs>
          <w:tab w:leader="none" w:pos="68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During Employment Term</w:t>
      </w:r>
      <w:r>
        <w:rPr>
          <w:rFonts w:ascii="Arial" w:cs="Arial" w:eastAsia="Arial" w:hAnsi="Arial"/>
          <w:sz w:val="18"/>
          <w:szCs w:val="18"/>
          <w:color w:val="auto"/>
        </w:rPr>
        <w:t>. The Employee agrees that, during the Employment Term, he will devote such business time, attention and energies reasonably necessary to the diligent and faithful performance of the services to the Company and its affiliates, and he will not engage in any way whatsoever, directly or indirectly, in any business that is a direct competitor with the Company’s or its affiliates’ principal business, nor solicit customers, suppliers or employees of the Company or affiliates on behalf of, or in any other manner work for or assist any business which is a direct competitor with the Company’s or its affiliates’ principal business. In addition, during the Employment Term, the Employee will undertake no planning for or organization of any business activity competitive with the work he performs as an employee of the Company, and the Employee will not combine or conspire with any other employee of the Company or any other person for the purpose of organizing any such competitive business activity.</w:t>
      </w:r>
    </w:p>
    <w:p>
      <w:pPr>
        <w:spacing w:after="0" w:line="102" w:lineRule="exact"/>
        <w:rPr>
          <w:rFonts w:ascii="Arial" w:cs="Arial" w:eastAsia="Arial" w:hAnsi="Arial"/>
          <w:sz w:val="18"/>
          <w:szCs w:val="18"/>
          <w:color w:val="auto"/>
        </w:rPr>
      </w:pPr>
    </w:p>
    <w:p>
      <w:pPr>
        <w:ind w:left="680" w:hanging="447"/>
        <w:spacing w:after="0" w:line="265" w:lineRule="auto"/>
        <w:tabs>
          <w:tab w:leader="none" w:pos="680"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After Employment Term</w:t>
      </w:r>
      <w:r>
        <w:rPr>
          <w:rFonts w:ascii="Arial" w:cs="Arial" w:eastAsia="Arial" w:hAnsi="Arial"/>
          <w:sz w:val="17"/>
          <w:szCs w:val="17"/>
          <w:color w:val="auto"/>
        </w:rPr>
        <w:t>. The parties acknowledge that the Employee will acquire substantial knowledge and information concerning the business of the Company and its affiliates as a result of his employment. The parties further acknowledge that the scope of business in which the Company and its affiliates are engaged as of the Effective Date is national and very competitive and one in which few companies can successfully compete. Competition by the Employee in that business after the Employment Term would severely injure the Company and its affiliates. Accordingly, for a period of one (1) year after the Employee’s employment terminates for any reason whatsoever, except as otherwise stated herein below, the Employee agrees: (i) not to become an employee, consultant, advisor, principal, partner or substantial shareholder of any firm or business that directly competes with the Company or its affiliates in their principal products and markets; and (ii), on behalf of any such competitive firm or business, not to solicit any person or business that was at the time of such termination and remains a customer or prospective customer, a supplier or prospective supplier, or an employee of the Company or an affiliate. Notwithstanding any of the foregoing provisions to the contrary, the Employee shall not be subject to the restrictions set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927" w:right="299" w:bottom="1440" w:gutter="0" w:footer="0" w:header="0"/>
        </w:sectPr>
      </w:pPr>
    </w:p>
    <w:bookmarkStart w:id="161" w:name="page162"/>
    <w:bookmarkEnd w:id="161"/>
    <w:p>
      <w:pPr>
        <w:ind w:left="680" w:right="180"/>
        <w:spacing w:after="0" w:line="254" w:lineRule="auto"/>
        <w:rPr>
          <w:sz w:val="20"/>
          <w:szCs w:val="20"/>
          <w:color w:val="auto"/>
        </w:rPr>
      </w:pPr>
      <w:r>
        <w:rPr>
          <w:rFonts w:ascii="Arial" w:cs="Arial" w:eastAsia="Arial" w:hAnsi="Arial"/>
          <w:sz w:val="18"/>
          <w:szCs w:val="18"/>
          <w:color w:val="auto"/>
        </w:rPr>
        <w:t>forth in this Subsection 13(b) if: (A) the Employee’s employment is terminated by the Company without Cause; (B) the Employee terminates employment for Good Reason; (C) the Employee’s employment is terminated as a result of the Company’s unwillingness to extend the Employment Term; or (D) the Employee terminates employment without Good Reason, any time during the six (6) month period beginning on the first day following the six (6) month anniversary of a Change in Control.</w:t>
      </w:r>
    </w:p>
    <w:p>
      <w:pPr>
        <w:spacing w:after="0" w:line="97" w:lineRule="exact"/>
        <w:rPr>
          <w:sz w:val="20"/>
          <w:szCs w:val="20"/>
          <w:color w:val="auto"/>
        </w:rPr>
      </w:pPr>
    </w:p>
    <w:p>
      <w:pPr>
        <w:ind w:left="680" w:right="100" w:hanging="447"/>
        <w:spacing w:after="0" w:line="254" w:lineRule="auto"/>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Exclusion</w:t>
      </w:r>
      <w:r>
        <w:rPr>
          <w:rFonts w:ascii="Arial" w:cs="Arial" w:eastAsia="Arial" w:hAnsi="Arial"/>
          <w:sz w:val="18"/>
          <w:szCs w:val="18"/>
          <w:color w:val="auto"/>
        </w:rPr>
        <w:t>. Working, directly or indirectly, for any of the following entities shall not be considered competitive to the Company or its affiliates for the purpose of this Section 13: (i) Fidelity National Information Services, Inc., its affiliates or their successors; (ii) Lender Processing Services, Inc., its affiliates or their successors; or (iii) the Company, its affiliates or their successors if this Agreement is assumed by a third party as contemplated in Section 21.</w:t>
      </w:r>
    </w:p>
    <w:p>
      <w:pPr>
        <w:spacing w:after="0" w:line="84" w:lineRule="exact"/>
        <w:rPr>
          <w:sz w:val="20"/>
          <w:szCs w:val="20"/>
          <w:color w:val="auto"/>
        </w:rPr>
      </w:pPr>
    </w:p>
    <w:p>
      <w:pPr>
        <w:ind w:right="340" w:firstLine="229"/>
        <w:spacing w:after="0" w:line="257" w:lineRule="auto"/>
        <w:tabs>
          <w:tab w:leader="none" w:pos="489"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Return of Company Documents</w:t>
      </w:r>
      <w:r>
        <w:rPr>
          <w:rFonts w:ascii="Arial" w:cs="Arial" w:eastAsia="Arial" w:hAnsi="Arial"/>
          <w:sz w:val="18"/>
          <w:szCs w:val="18"/>
          <w:color w:val="auto"/>
        </w:rPr>
        <w:t>. Upon termination of the Employment Term, the Employee shall return immediately to the Company all records and documents of or pertaining to the Company or its affiliates and shall not make or retain any copy or extract of any such record or document, or any other property of the Company or its affiliates.</w:t>
      </w:r>
    </w:p>
    <w:p>
      <w:pPr>
        <w:spacing w:after="0" w:line="81" w:lineRule="exact"/>
        <w:rPr>
          <w:rFonts w:ascii="Arial" w:cs="Arial" w:eastAsia="Arial" w:hAnsi="Arial"/>
          <w:sz w:val="18"/>
          <w:szCs w:val="18"/>
          <w:color w:val="auto"/>
        </w:rPr>
      </w:pPr>
    </w:p>
    <w:p>
      <w:pPr>
        <w:ind w:right="100" w:firstLine="229"/>
        <w:spacing w:after="0" w:line="291" w:lineRule="auto"/>
        <w:tabs>
          <w:tab w:leader="none" w:pos="489"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Improvements and Inventions</w:t>
      </w:r>
      <w:r>
        <w:rPr>
          <w:rFonts w:ascii="Arial" w:cs="Arial" w:eastAsia="Arial" w:hAnsi="Arial"/>
          <w:sz w:val="16"/>
          <w:szCs w:val="16"/>
          <w:color w:val="auto"/>
        </w:rPr>
        <w:t>. Any and all improvements or inventions that the Employee may make or participate in during the Employment Term, unless wholly unrelated to the business of the Company and its affiliates and not produced within the scope of the Employee’s employment hereunder, shall be the sole and exclusive property of the Company. The Employee shall, whenever requested by the Company, execute and deliver any and all documents that the Company deems appropriate in order to apply for and obtain patents or copyrights in improvements or inventions or in order to assign and/or convey to the Company the sole and exclusive right, title and interest in and to such improvements, inventions, patents, copyrights or applications.</w:t>
      </w:r>
    </w:p>
    <w:p>
      <w:pPr>
        <w:spacing w:after="0" w:line="58" w:lineRule="exact"/>
        <w:rPr>
          <w:rFonts w:ascii="Arial" w:cs="Arial" w:eastAsia="Arial" w:hAnsi="Arial"/>
          <w:sz w:val="16"/>
          <w:szCs w:val="16"/>
          <w:color w:val="auto"/>
        </w:rPr>
      </w:pPr>
    </w:p>
    <w:p>
      <w:pPr>
        <w:ind w:firstLine="229"/>
        <w:spacing w:after="0" w:line="267" w:lineRule="auto"/>
        <w:tabs>
          <w:tab w:leader="none" w:pos="489"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Actions</w:t>
      </w:r>
      <w:r>
        <w:rPr>
          <w:rFonts w:ascii="Arial" w:cs="Arial" w:eastAsia="Arial" w:hAnsi="Arial"/>
          <w:sz w:val="17"/>
          <w:szCs w:val="17"/>
          <w:color w:val="auto"/>
        </w:rPr>
        <w:t>. The parties agree and acknowledge that the rights conveyed by this Agreement are of a unique and special nature and that the Company will not have an adequate remedy at law in the event of a failure by the Employee to abide by its terms and conditions, nor will money damages adequately compensate for such injury. Therefore, it is agreed between and hereby acknowledged by the parties that, in the event of a breach by the Employee of any of the obligations of this Agreement, the Company shall have the right, among other rights, to damages sustained thereby and to obtain an injunction or decree of specific performance from any court of competent jurisdiction to restrain or compel the Employee to perform as agreed herein. The Employee hereby acknowledges that obligations under Sections and Subsections 12, 13(b), 14, 15, 16, 17 and 18 shall survive the termination of employment and be binding by their terms at all times subsequent to the termination of employment for the periods specified therein. Nothing herein shall in any way limit or exclude any other right granted by law or equity to the Company.</w:t>
      </w:r>
    </w:p>
    <w:p>
      <w:pPr>
        <w:spacing w:after="0" w:line="73" w:lineRule="exact"/>
        <w:rPr>
          <w:rFonts w:ascii="Arial" w:cs="Arial" w:eastAsia="Arial" w:hAnsi="Arial"/>
          <w:sz w:val="17"/>
          <w:szCs w:val="17"/>
          <w:color w:val="auto"/>
        </w:rPr>
      </w:pPr>
    </w:p>
    <w:p>
      <w:pPr>
        <w:ind w:left="500" w:hanging="271"/>
        <w:spacing w:after="0"/>
        <w:tabs>
          <w:tab w:leader="none" w:pos="500"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Notwithstanding any provision herein to the contrary, the Company may require that, prior to payment of any amount or provision of any</w:t>
      </w:r>
    </w:p>
    <w:p>
      <w:pPr>
        <w:spacing w:after="0" w:line="28" w:lineRule="exact"/>
        <w:rPr>
          <w:rFonts w:ascii="Arial" w:cs="Arial" w:eastAsia="Arial" w:hAnsi="Arial"/>
          <w:sz w:val="17"/>
          <w:szCs w:val="17"/>
          <w:color w:val="auto"/>
        </w:rPr>
      </w:pPr>
    </w:p>
    <w:p>
      <w:pPr>
        <w:ind w:right="20"/>
        <w:spacing w:after="0" w:line="316" w:lineRule="auto"/>
        <w:rPr>
          <w:rFonts w:ascii="Arial" w:cs="Arial" w:eastAsia="Arial" w:hAnsi="Arial"/>
          <w:sz w:val="17"/>
          <w:szCs w:val="17"/>
          <w:color w:val="auto"/>
        </w:rPr>
      </w:pPr>
      <w:r>
        <w:rPr>
          <w:rFonts w:ascii="Arial" w:cs="Arial" w:eastAsia="Arial" w:hAnsi="Arial"/>
          <w:sz w:val="16"/>
          <w:szCs w:val="16"/>
          <w:color w:val="auto"/>
        </w:rPr>
        <w:t>benefit under Section 9 or payment of any Gross-Up Payment pursuant to Section 10 of this Agreement (other than due to the Employee’s death), the Employee shall have executed a complete release of the Company and its affiliates and related parties in such form as is reasonably required by the Company, and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62" w:name="page163"/>
    <w:bookmarkEnd w:id="162"/>
    <w:p>
      <w:pPr>
        <w:ind w:right="20"/>
        <w:spacing w:after="0" w:line="254" w:lineRule="auto"/>
        <w:rPr>
          <w:sz w:val="20"/>
          <w:szCs w:val="20"/>
          <w:color w:val="auto"/>
        </w:rPr>
      </w:pPr>
      <w:r>
        <w:rPr>
          <w:rFonts w:ascii="Arial" w:cs="Arial" w:eastAsia="Arial" w:hAnsi="Arial"/>
          <w:sz w:val="18"/>
          <w:szCs w:val="18"/>
          <w:color w:val="auto"/>
        </w:rPr>
        <w:t xml:space="preserve">waiting periods contained in such release shall have expired;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release relates only to the Employee’s employment relationship with the Company. With respect to any release required to receive payments owed pursuant to Section 9, the Company must provide the Employee with the form of release no later than seven (7) days after the Date of Termination and the release must be signed by the Employee and returned to the Company, unchanged, effective and irrevocable, no later than sixty (60) days after the Date of Termination.</w:t>
      </w:r>
    </w:p>
    <w:p>
      <w:pPr>
        <w:spacing w:after="0" w:line="84" w:lineRule="exact"/>
        <w:rPr>
          <w:sz w:val="20"/>
          <w:szCs w:val="20"/>
          <w:color w:val="auto"/>
        </w:rPr>
      </w:pPr>
    </w:p>
    <w:p>
      <w:pPr>
        <w:ind w:firstLine="229"/>
        <w:spacing w:after="0" w:line="273" w:lineRule="auto"/>
        <w:tabs>
          <w:tab w:leader="none" w:pos="489"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No Mitigation</w:t>
      </w:r>
      <w:r>
        <w:rPr>
          <w:rFonts w:ascii="Arial" w:cs="Arial" w:eastAsia="Arial" w:hAnsi="Arial"/>
          <w:sz w:val="17"/>
          <w:szCs w:val="17"/>
          <w:color w:val="auto"/>
        </w:rPr>
        <w:t>. The Company agrees that, if the Employee’s employment hereunder is terminated during the Employment Term, the Employee is not required to seek other employment or to attempt in any way to reduce any amounts payable to the Employee by the Company hereunder. Further, the amount of any payment or benefit provided for hereunder (other than pursuant to Subsection 9(a)(v) hereof) shall not be reduced by any compensation earned by the Employee as the result of employment by another employer, by retirement benefits or otherwise.</w:t>
      </w:r>
    </w:p>
    <w:p>
      <w:pPr>
        <w:spacing w:after="0" w:line="70" w:lineRule="exact"/>
        <w:rPr>
          <w:rFonts w:ascii="Arial" w:cs="Arial" w:eastAsia="Arial" w:hAnsi="Arial"/>
          <w:sz w:val="17"/>
          <w:szCs w:val="17"/>
          <w:color w:val="auto"/>
        </w:rPr>
      </w:pPr>
    </w:p>
    <w:p>
      <w:pPr>
        <w:ind w:right="360" w:firstLine="229"/>
        <w:spacing w:after="0" w:line="279" w:lineRule="auto"/>
        <w:tabs>
          <w:tab w:leader="none" w:pos="489"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Entire Agreement and Amendment</w:t>
      </w:r>
      <w:r>
        <w:rPr>
          <w:rFonts w:ascii="Arial" w:cs="Arial" w:eastAsia="Arial" w:hAnsi="Arial"/>
          <w:sz w:val="17"/>
          <w:szCs w:val="17"/>
          <w:color w:val="auto"/>
        </w:rPr>
        <w: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65" w:lineRule="exact"/>
        <w:rPr>
          <w:rFonts w:ascii="Arial" w:cs="Arial" w:eastAsia="Arial" w:hAnsi="Arial"/>
          <w:sz w:val="17"/>
          <w:szCs w:val="17"/>
          <w:color w:val="auto"/>
        </w:rPr>
      </w:pPr>
    </w:p>
    <w:p>
      <w:pPr>
        <w:jc w:val="both"/>
        <w:ind w:right="260" w:firstLine="229"/>
        <w:spacing w:after="0" w:line="257" w:lineRule="auto"/>
        <w:tabs>
          <w:tab w:leader="none" w:pos="489"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Florida, excluding any conflicts or choice of law rule or principle that might otherwise refer construction or interpretation of this Agreement to the substantive law of another jurisdiction. Any litigation pertaining to this Agreement shall be adjudicated in courts located in Duval County, Florida.</w:t>
      </w:r>
    </w:p>
    <w:p>
      <w:pPr>
        <w:spacing w:after="0" w:line="81" w:lineRule="exact"/>
        <w:rPr>
          <w:rFonts w:ascii="Arial" w:cs="Arial" w:eastAsia="Arial" w:hAnsi="Arial"/>
          <w:sz w:val="18"/>
          <w:szCs w:val="18"/>
          <w:color w:val="auto"/>
        </w:rPr>
      </w:pPr>
    </w:p>
    <w:p>
      <w:pPr>
        <w:ind w:right="60" w:firstLine="229"/>
        <w:spacing w:after="0" w:line="285" w:lineRule="auto"/>
        <w:tabs>
          <w:tab w:leader="none" w:pos="489"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may not be assigned by the Employee. In addition to any obligations imposed by law upon any successor to the Company, the Company will require any successor (whether direct or indirect, by purchase, merger, consolidation or otherwise) to all or substantially all of the stock, business and/or assets of the Company, to expressly assume and agree to perform this Agreement in the same manner and to the same extent that the Company would be required to perform it if no such succession had taken place. Failure of the Company to obtain such assumption by a successor shall be a material breach of this Agreement. The Employee agrees and consents to any such assumption by a successor of the Company, as well as any assignment of this Agreement by the Company for that purpose. As used in this Agreement, “Company” shall mean the Company as herein before defined as well as any such successor that expressly assumes this Agreement or otherwise becomes bound by all of its terms and provisions by operation of law. This Agreement shall be binding upon and inure to the benefit of the parties and their permitted successors or assigns.</w:t>
      </w:r>
    </w:p>
    <w:p>
      <w:pPr>
        <w:spacing w:after="0" w:line="65" w:lineRule="exact"/>
        <w:rPr>
          <w:rFonts w:ascii="Arial" w:cs="Arial" w:eastAsia="Arial" w:hAnsi="Arial"/>
          <w:sz w:val="16"/>
          <w:szCs w:val="16"/>
          <w:color w:val="auto"/>
        </w:rPr>
      </w:pPr>
    </w:p>
    <w:p>
      <w:pPr>
        <w:ind w:right="20" w:firstLine="229"/>
        <w:spacing w:after="0" w:line="267" w:lineRule="auto"/>
        <w:tabs>
          <w:tab w:leader="none" w:pos="489"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constitute one and the same instrument.</w:t>
      </w:r>
    </w:p>
    <w:p>
      <w:pPr>
        <w:spacing w:after="0" w:line="72" w:lineRule="exact"/>
        <w:rPr>
          <w:rFonts w:ascii="Arial" w:cs="Arial" w:eastAsia="Arial" w:hAnsi="Arial"/>
          <w:sz w:val="18"/>
          <w:szCs w:val="18"/>
          <w:color w:val="auto"/>
        </w:rPr>
      </w:pPr>
    </w:p>
    <w:p>
      <w:pPr>
        <w:ind w:right="520" w:firstLine="229"/>
        <w:spacing w:after="0" w:line="297" w:lineRule="auto"/>
        <w:tabs>
          <w:tab w:leader="none" w:pos="489"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Attorneys’ Fees</w:t>
      </w:r>
      <w:r>
        <w:rPr>
          <w:rFonts w:ascii="Arial" w:cs="Arial" w:eastAsia="Arial" w:hAnsi="Arial"/>
          <w:sz w:val="17"/>
          <w:szCs w:val="17"/>
          <w:color w:val="auto"/>
        </w:rPr>
        <w:t>. If any party finds it necessary to employ legal counsel or to bring an action at law or other proceedings against the other party to interpret or enforce any of the terms hereof, the party prevailing in any such action or other proceeding shall be promptly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927" w:right="299" w:bottom="1440" w:gutter="0" w:footer="0" w:header="0"/>
        </w:sectPr>
      </w:pPr>
    </w:p>
    <w:bookmarkStart w:id="163" w:name="page164"/>
    <w:bookmarkEnd w:id="163"/>
    <w:p>
      <w:pPr>
        <w:spacing w:after="0" w:line="283" w:lineRule="auto"/>
        <w:rPr>
          <w:sz w:val="20"/>
          <w:szCs w:val="20"/>
          <w:color w:val="auto"/>
        </w:rPr>
      </w:pPr>
      <w:r>
        <w:rPr>
          <w:rFonts w:ascii="Arial" w:cs="Arial" w:eastAsia="Arial" w:hAnsi="Arial"/>
          <w:sz w:val="16"/>
          <w:szCs w:val="16"/>
          <w:color w:val="auto"/>
        </w:rPr>
        <w:t xml:space="preserve">paid by the other party its reasonable legal fees, court costs, litigation expenses, all as determined by the court and not a jury, and such payment shall be made by the non-prevailing party no later than the end of the Employee’s tax year following the Employee’s tax year in which the payment amount becomes known and payable;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 or after a Change in Control, and following the Employee’s termination of employment with the Company, if any party finds it necessary to employ legal counsel or to bring an action at law or other proceedings against the other party to interpret or enforce any of the terms hereof, the Company shall pay (on an ongoing basis) to the Employee to the fullest extent permitted by law, all legal fees, court costs and litigation expenses reasonably incurred by the Employee or others on his behalf (such amounts collectively referred to as the “Reimbursed Amounts”); provided, further, that the Employee shall reimburse the Company for the Reimbursed Amounts if it is determined that a majority of the Employee’s claims or defenses were frivolous or without merit. Requests for payment of Reimbursed Amounts, together with all documents required by the Company to substantiate them, must be submitted to the Company no later than ninety (90) days after the expense was incurred. The Reimbursed Amounts shall be paid by the Company within ninety (90) days after receiving the request and all substantiating documents requested from the Employee. The payment of Reimbursed Amounts during the Employee’s tax year will not impact the Reimbursed Amounts for any other taxable year. The rights under this Section 23 shall survive the termination of employment and this Agreement until the expiration of the applicable statute of limitations.</w:t>
      </w:r>
    </w:p>
    <w:p>
      <w:pPr>
        <w:spacing w:after="0" w:line="64" w:lineRule="exact"/>
        <w:rPr>
          <w:sz w:val="20"/>
          <w:szCs w:val="20"/>
          <w:color w:val="auto"/>
        </w:rPr>
      </w:pPr>
    </w:p>
    <w:p>
      <w:pPr>
        <w:ind w:right="20" w:firstLine="229"/>
        <w:spacing w:after="0" w:line="287" w:lineRule="auto"/>
        <w:tabs>
          <w:tab w:leader="none" w:pos="489"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the Employee in this Agreement shall each be construed as an agreement independent of any other provision in this Agreement, and the existence of any claim or cause of action of the Employee against the Company, whether predicated on this Agreement or otherwise, shall not constitute a defense to the enforcement by the Company of the covenants in this Agreement.</w:t>
      </w:r>
    </w:p>
    <w:p>
      <w:pPr>
        <w:spacing w:after="0" w:line="60" w:lineRule="exact"/>
        <w:rPr>
          <w:rFonts w:ascii="Arial" w:cs="Arial" w:eastAsia="Arial" w:hAnsi="Arial"/>
          <w:sz w:val="16"/>
          <w:szCs w:val="16"/>
          <w:color w:val="auto"/>
        </w:rPr>
      </w:pPr>
    </w:p>
    <w:p>
      <w:pPr>
        <w:ind w:left="500" w:hanging="271"/>
        <w:spacing w:after="0"/>
        <w:tabs>
          <w:tab w:leader="none" w:pos="500"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or instruction to be given hereunder shall be in writing and shall be deemed given when personally delivered or three</w:t>
      </w:r>
    </w:p>
    <w:p>
      <w:pPr>
        <w:spacing w:after="0" w:line="40" w:lineRule="exact"/>
        <w:rPr>
          <w:rFonts w:ascii="Arial" w:cs="Arial" w:eastAsia="Arial" w:hAnsi="Arial"/>
          <w:sz w:val="16"/>
          <w:szCs w:val="16"/>
          <w:color w:val="auto"/>
        </w:rPr>
      </w:pPr>
    </w:p>
    <w:p>
      <w:pPr>
        <w:ind w:right="220" w:firstLine="7"/>
        <w:spacing w:after="0" w:line="254" w:lineRule="auto"/>
        <w:tabs>
          <w:tab w:leader="none" w:pos="2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days after being sent by United States Certified Mail, postage prepaid, with Return Receipt Requested, to the parties at their respective addresses set forth below:</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the Company:</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Fidelity National Financial, Inc.</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601 Riverside Avenue</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Jacksonville, FL 32204</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General Counsel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64" w:name="page165"/>
    <w:bookmarkEnd w:id="164"/>
    <w:p>
      <w:pPr>
        <w:ind w:left="220"/>
        <w:spacing w:after="0"/>
        <w:rPr>
          <w:sz w:val="20"/>
          <w:szCs w:val="20"/>
          <w:color w:val="auto"/>
        </w:rPr>
      </w:pPr>
      <w:r>
        <w:rPr>
          <w:rFonts w:ascii="Arial" w:cs="Arial" w:eastAsia="Arial" w:hAnsi="Arial"/>
          <w:sz w:val="18"/>
          <w:szCs w:val="18"/>
          <w:color w:val="auto"/>
        </w:rPr>
        <w:t>To the Employee: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William P. Foley, II</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 Fidelity National Financial, Inc.</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601 Riverside Avenue</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Jacksonville, FL 32204</w:t>
      </w:r>
    </w:p>
    <w:p>
      <w:pPr>
        <w:spacing w:after="0" w:line="102" w:lineRule="exact"/>
        <w:rPr>
          <w:sz w:val="20"/>
          <w:szCs w:val="20"/>
          <w:color w:val="auto"/>
        </w:rPr>
      </w:pPr>
    </w:p>
    <w:p>
      <w:pPr>
        <w:ind w:right="40" w:firstLine="229"/>
        <w:spacing w:after="0" w:line="267" w:lineRule="auto"/>
        <w:tabs>
          <w:tab w:leader="none" w:pos="489"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Waiver of Breach</w:t>
      </w:r>
      <w:r>
        <w:rPr>
          <w:rFonts w:ascii="Arial" w:cs="Arial" w:eastAsia="Arial" w:hAnsi="Arial"/>
          <w:sz w:val="18"/>
          <w:szCs w:val="18"/>
          <w:color w:val="auto"/>
        </w:rPr>
        <w:t>. The waiver by any party of any provisions of this Agreement shall not operate or be construed as a waiver of any prior or subsequent breach by the other party.</w:t>
      </w:r>
    </w:p>
    <w:p>
      <w:pPr>
        <w:spacing w:after="0" w:line="72" w:lineRule="exact"/>
        <w:rPr>
          <w:rFonts w:ascii="Arial" w:cs="Arial" w:eastAsia="Arial" w:hAnsi="Arial"/>
          <w:sz w:val="18"/>
          <w:szCs w:val="18"/>
          <w:color w:val="auto"/>
        </w:rPr>
      </w:pPr>
    </w:p>
    <w:p>
      <w:pPr>
        <w:ind w:right="40" w:firstLine="229"/>
        <w:spacing w:after="0" w:line="267" w:lineRule="auto"/>
        <w:tabs>
          <w:tab w:leader="none" w:pos="489"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or an affiliate may deduct from all compensation and benefits payable under this Agreement any taxes or withholdings the Company is required to deduct pursuant to state, federal or local laws.</w:t>
      </w:r>
    </w:p>
    <w:p>
      <w:pPr>
        <w:spacing w:after="0" w:line="72" w:lineRule="exact"/>
        <w:rPr>
          <w:rFonts w:ascii="Arial" w:cs="Arial" w:eastAsia="Arial" w:hAnsi="Arial"/>
          <w:sz w:val="18"/>
          <w:szCs w:val="18"/>
          <w:color w:val="auto"/>
        </w:rPr>
      </w:pPr>
    </w:p>
    <w:p>
      <w:pPr>
        <w:ind w:firstLine="229"/>
        <w:spacing w:after="0" w:line="283" w:lineRule="auto"/>
        <w:tabs>
          <w:tab w:leader="none" w:pos="489"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To the extent applicable, it is intended that this Agreement and any payment made hereunder shall comply with the requirements of Section 409A of the Code, and any related regulations or other guidance promulgated with respect to such Section by the U.S. Department of the Treasury or the Internal Revenue Service (“Code Section 409A”). Any provision that would cause the Agreement or any payment hereof to fail to satisfy Code</w:t>
      </w:r>
    </w:p>
    <w:p>
      <w:pPr>
        <w:jc w:val="both"/>
        <w:ind w:right="20"/>
        <w:spacing w:after="0" w:line="272" w:lineRule="auto"/>
        <w:rPr>
          <w:rFonts w:ascii="Arial" w:cs="Arial" w:eastAsia="Arial" w:hAnsi="Arial"/>
          <w:sz w:val="16"/>
          <w:szCs w:val="16"/>
          <w:color w:val="auto"/>
        </w:rPr>
      </w:pPr>
      <w:r>
        <w:rPr>
          <w:rFonts w:ascii="Arial" w:cs="Arial" w:eastAsia="Arial" w:hAnsi="Arial"/>
          <w:sz w:val="17"/>
          <w:szCs w:val="17"/>
          <w:color w:val="auto"/>
        </w:rPr>
        <w:t>Section 409A shall have no force or effect until amended to comply with Code Section 409A, which amendment may be retroactive to the extent permitted by Code Section 409A. In addition, the direct payment or reimbursement of expenses permitted under this Agreement or otherwise shall be made no later than the last day of the Employee’s taxable year following the taxable year in which such expense was incurred.</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WITNESS WHEREOF the parties have executed this Agreement to be effective as of the date first set forth above.</w:t>
      </w:r>
    </w:p>
    <w:p>
      <w:pPr>
        <w:spacing w:after="0" w:line="22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FIDELITY NATIONAL FINANCIAL, INC.</w:t>
      </w:r>
    </w:p>
    <w:p>
      <w:pPr>
        <w:spacing w:after="0" w:line="22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 /s/ Alan L. Stinson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12065</wp:posOffset>
            </wp:positionV>
            <wp:extent cx="25654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WILLIAM P. FOLEY, II</w:t>
      </w:r>
    </w:p>
    <w:p>
      <w:pPr>
        <w:spacing w:after="0" w:line="220"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William P. Foley,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12065</wp:posOffset>
            </wp:positionV>
            <wp:extent cx="27603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20"/>
          </w:cols>
          <w:pgMar w:left="240" w:top="927" w:right="339" w:bottom="1440" w:gutter="0" w:footer="0" w:header="0"/>
        </w:sectPr>
      </w:pPr>
    </w:p>
    <w:bookmarkStart w:id="165" w:name="page166"/>
    <w:bookmarkEnd w:id="165"/>
    <w:p>
      <w:pPr>
        <w:spacing w:after="0" w:line="1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APPENDIX A</w:t>
      </w:r>
    </w:p>
    <w:p>
      <w:pPr>
        <w:spacing w:after="0" w:line="1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Position Title: Chairman of the Board</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DUTIES AND RESPONSIBILITIES: Reporting to the Board, the Employee’s duties and responsibilities include:</w:t>
      </w:r>
    </w:p>
    <w:p>
      <w:pPr>
        <w:spacing w:after="0" w:line="136" w:lineRule="exact"/>
        <w:rPr>
          <w:sz w:val="20"/>
          <w:szCs w:val="20"/>
          <w:color w:val="auto"/>
        </w:rPr>
      </w:pPr>
    </w:p>
    <w:p>
      <w:pPr>
        <w:ind w:left="460" w:hanging="447"/>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member of the Company’s Board as Chairman;</w:t>
      </w:r>
    </w:p>
    <w:p>
      <w:pPr>
        <w:spacing w:after="0" w:line="126" w:lineRule="exact"/>
        <w:rPr>
          <w:rFonts w:ascii="Arial" w:cs="Arial" w:eastAsia="Arial" w:hAnsi="Arial"/>
          <w:sz w:val="18"/>
          <w:szCs w:val="18"/>
          <w:color w:val="auto"/>
        </w:rPr>
      </w:pPr>
    </w:p>
    <w:p>
      <w:pPr>
        <w:ind w:left="460" w:hanging="447"/>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strategic planning and initiatives;</w:t>
      </w:r>
    </w:p>
    <w:p>
      <w:pPr>
        <w:spacing w:after="0" w:line="126" w:lineRule="exact"/>
        <w:rPr>
          <w:rFonts w:ascii="Arial" w:cs="Arial" w:eastAsia="Arial" w:hAnsi="Arial"/>
          <w:sz w:val="18"/>
          <w:szCs w:val="18"/>
          <w:color w:val="auto"/>
        </w:rPr>
      </w:pPr>
    </w:p>
    <w:p>
      <w:pPr>
        <w:ind w:left="460" w:hanging="447"/>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mergers and acquisitions;</w:t>
      </w:r>
    </w:p>
    <w:p>
      <w:pPr>
        <w:spacing w:after="0" w:line="126" w:lineRule="exact"/>
        <w:rPr>
          <w:rFonts w:ascii="Arial" w:cs="Arial" w:eastAsia="Arial" w:hAnsi="Arial"/>
          <w:sz w:val="18"/>
          <w:szCs w:val="18"/>
          <w:color w:val="auto"/>
        </w:rPr>
      </w:pPr>
    </w:p>
    <w:p>
      <w:pPr>
        <w:ind w:left="460" w:hanging="447"/>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business development;</w:t>
      </w:r>
    </w:p>
    <w:p>
      <w:pPr>
        <w:spacing w:after="0" w:line="126" w:lineRule="exact"/>
        <w:rPr>
          <w:rFonts w:ascii="Arial" w:cs="Arial" w:eastAsia="Arial" w:hAnsi="Arial"/>
          <w:sz w:val="18"/>
          <w:szCs w:val="18"/>
          <w:color w:val="auto"/>
        </w:rPr>
      </w:pPr>
    </w:p>
    <w:p>
      <w:pPr>
        <w:ind w:left="460" w:hanging="447"/>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budget and long range planning advice;</w:t>
      </w:r>
    </w:p>
    <w:p>
      <w:pPr>
        <w:spacing w:after="0" w:line="126" w:lineRule="exact"/>
        <w:rPr>
          <w:rFonts w:ascii="Arial" w:cs="Arial" w:eastAsia="Arial" w:hAnsi="Arial"/>
          <w:sz w:val="18"/>
          <w:szCs w:val="18"/>
          <w:color w:val="auto"/>
        </w:rPr>
      </w:pPr>
    </w:p>
    <w:p>
      <w:pPr>
        <w:ind w:left="460" w:hanging="447"/>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presiding over meetings of the Board and shareholders as Chairman of the Board;</w:t>
      </w:r>
    </w:p>
    <w:p>
      <w:pPr>
        <w:spacing w:after="0" w:line="126" w:lineRule="exact"/>
        <w:rPr>
          <w:rFonts w:ascii="Arial" w:cs="Arial" w:eastAsia="Arial" w:hAnsi="Arial"/>
          <w:sz w:val="18"/>
          <w:szCs w:val="18"/>
          <w:color w:val="auto"/>
        </w:rPr>
      </w:pPr>
    </w:p>
    <w:p>
      <w:pPr>
        <w:ind w:left="460" w:hanging="447"/>
        <w:spacing w:after="0"/>
        <w:tabs>
          <w:tab w:leader="none" w:pos="4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planning the contents and agenda of such meetings with the assistance of Company management;</w:t>
      </w:r>
    </w:p>
    <w:p>
      <w:pPr>
        <w:spacing w:after="0" w:line="137" w:lineRule="exact"/>
        <w:rPr>
          <w:rFonts w:ascii="Arial" w:cs="Arial" w:eastAsia="Arial" w:hAnsi="Arial"/>
          <w:sz w:val="17"/>
          <w:szCs w:val="17"/>
          <w:color w:val="auto"/>
        </w:rPr>
      </w:pPr>
    </w:p>
    <w:p>
      <w:pPr>
        <w:ind w:left="460" w:hanging="447"/>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supervising the Company’s communications with its shareholders;</w:t>
      </w:r>
    </w:p>
    <w:p>
      <w:pPr>
        <w:spacing w:after="0" w:line="126" w:lineRule="exact"/>
        <w:rPr>
          <w:rFonts w:ascii="Arial" w:cs="Arial" w:eastAsia="Arial" w:hAnsi="Arial"/>
          <w:sz w:val="18"/>
          <w:szCs w:val="18"/>
          <w:color w:val="auto"/>
        </w:rPr>
      </w:pPr>
    </w:p>
    <w:p>
      <w:pPr>
        <w:ind w:left="460" w:hanging="447"/>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participating in customer relations and public relations.</w:t>
      </w:r>
    </w:p>
    <w:p>
      <w:pPr>
        <w:sectPr>
          <w:pgSz w:w="11900" w:h="16838" w:orient="portrait"/>
          <w:cols w:equalWidth="0" w:num="1">
            <w:col w:w="9999"/>
          </w:cols>
          <w:pgMar w:left="460" w:top="1440" w:right="1440"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10.15</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02" w:lineRule="exact"/>
        <w:rPr>
          <w:sz w:val="20"/>
          <w:szCs w:val="20"/>
          <w:color w:val="auto"/>
        </w:rPr>
      </w:pPr>
    </w:p>
    <w:p>
      <w:pPr>
        <w:jc w:val="both"/>
        <w:ind w:right="280" w:firstLine="219"/>
        <w:spacing w:after="0" w:line="279" w:lineRule="auto"/>
        <w:rPr>
          <w:sz w:val="20"/>
          <w:szCs w:val="20"/>
          <w:color w:val="auto"/>
        </w:rPr>
      </w:pPr>
      <w:r>
        <w:rPr>
          <w:rFonts w:ascii="Arial" w:cs="Arial" w:eastAsia="Arial" w:hAnsi="Arial"/>
          <w:sz w:val="17"/>
          <w:szCs w:val="17"/>
          <w:color w:val="auto"/>
        </w:rPr>
        <w:t xml:space="preserve">THIS AMENDED AND RESTATED EMPLOYMENT AGREEMENT dated as of January 1, 2009 (the “Agreement”) is effective as of July 2, 2008 (the “Effective Date”), by and between </w:t>
      </w:r>
      <w:r>
        <w:rPr>
          <w:rFonts w:ascii="Arial" w:cs="Arial" w:eastAsia="Arial" w:hAnsi="Arial"/>
          <w:sz w:val="17"/>
          <w:szCs w:val="17"/>
          <w:b w:val="1"/>
          <w:bCs w:val="1"/>
          <w:color w:val="auto"/>
        </w:rPr>
        <w:t>FIDELITY NATIONAL FINANCIAL, INC.</w:t>
      </w:r>
      <w:r>
        <w:rPr>
          <w:rFonts w:ascii="Arial" w:cs="Arial" w:eastAsia="Arial" w:hAnsi="Arial"/>
          <w:sz w:val="17"/>
          <w:szCs w:val="17"/>
          <w:color w:val="auto"/>
        </w:rPr>
        <w:t xml:space="preserve">, a Delaware corporation (the “Company”), and </w:t>
      </w:r>
      <w:r>
        <w:rPr>
          <w:rFonts w:ascii="Arial" w:cs="Arial" w:eastAsia="Arial" w:hAnsi="Arial"/>
          <w:sz w:val="17"/>
          <w:szCs w:val="17"/>
          <w:b w:val="1"/>
          <w:bCs w:val="1"/>
          <w:color w:val="auto"/>
        </w:rPr>
        <w:t>ALAN L. STINSON</w:t>
      </w:r>
      <w:r>
        <w:rPr>
          <w:rFonts w:ascii="Arial" w:cs="Arial" w:eastAsia="Arial" w:hAnsi="Arial"/>
          <w:sz w:val="17"/>
          <w:szCs w:val="17"/>
          <w:color w:val="auto"/>
        </w:rPr>
        <w:t xml:space="preserve"> (the “Employee”). In consideration of the mutual covenants and agreements set forth herein, the parties agree as follows:</w:t>
      </w:r>
    </w:p>
    <w:p>
      <w:pPr>
        <w:spacing w:after="0" w:line="65" w:lineRule="exact"/>
        <w:rPr>
          <w:sz w:val="20"/>
          <w:szCs w:val="20"/>
          <w:color w:val="auto"/>
        </w:rPr>
      </w:pPr>
    </w:p>
    <w:p>
      <w:pPr>
        <w:ind w:right="40" w:firstLine="229"/>
        <w:spacing w:after="0" w:line="254" w:lineRule="auto"/>
        <w:tabs>
          <w:tab w:leader="none" w:pos="400"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This Agreement amends and restates, in its entirety, the obligations of the parties under the agreements between the Company and the Employee, dated as of October 24, 2006 and July 2, 2008. The purpose of this Agreement is to recognize the Employee’s significant contributions to the overall financial performance and success of the Company and to provide a single, integrated document which shall provide the basis for the Employee’s continued employment by the Company.</w:t>
      </w:r>
    </w:p>
    <w:p>
      <w:pPr>
        <w:spacing w:after="0" w:line="83" w:lineRule="exact"/>
        <w:rPr>
          <w:rFonts w:ascii="Arial" w:cs="Arial" w:eastAsia="Arial" w:hAnsi="Arial"/>
          <w:sz w:val="18"/>
          <w:szCs w:val="18"/>
          <w:color w:val="auto"/>
        </w:rPr>
      </w:pPr>
    </w:p>
    <w:p>
      <w:pPr>
        <w:ind w:right="80" w:firstLine="229"/>
        <w:spacing w:after="0" w:line="250" w:lineRule="auto"/>
        <w:tabs>
          <w:tab w:leader="none" w:pos="400"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Employment and Duties</w:t>
      </w:r>
      <w:r>
        <w:rPr>
          <w:rFonts w:ascii="Arial" w:cs="Arial" w:eastAsia="Arial" w:hAnsi="Arial"/>
          <w:sz w:val="18"/>
          <w:szCs w:val="18"/>
          <w:color w:val="auto"/>
        </w:rPr>
        <w:t>. Subject to the terms and conditions of this Agreement, the Company employs the Employee to serve in an executive capacity as Chief Executive Officer. The Employee accepts such employment and agrees to undertake and discharge the duties, functions and responsibilities commensurate with the aforesaid position and such other duties and responsibilities as may be prescribed from time to time by the Board of Directors of the Company (the “Board”). Except as expressly provided in Subsection 13(c), the Employee shall devote substantially all of his business time, attention and effort to the performance of his duties hereunder and shall not engage in any business, profession or occupation, for compensation or otherwise without the express written consent of the Board, other than personal, personal investment, charitable, or civic activities or other matters that do not conflict with the Employee’s duties.</w:t>
      </w:r>
    </w:p>
    <w:p>
      <w:pPr>
        <w:spacing w:after="0" w:line="90" w:lineRule="exact"/>
        <w:rPr>
          <w:rFonts w:ascii="Arial" w:cs="Arial" w:eastAsia="Arial" w:hAnsi="Arial"/>
          <w:sz w:val="18"/>
          <w:szCs w:val="18"/>
          <w:color w:val="auto"/>
        </w:rPr>
      </w:pPr>
    </w:p>
    <w:p>
      <w:pPr>
        <w:jc w:val="both"/>
        <w:ind w:right="40" w:firstLine="229"/>
        <w:spacing w:after="0" w:line="283" w:lineRule="auto"/>
        <w:tabs>
          <w:tab w:leader="none" w:pos="400"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shall commence on the Effective Date and shall continue for a period of three (3) years ending on the third anniversary of the Effective Date or, if later, ending on the last day of any extension made pursuant to the next sentence, subject to prior termination as set forth in Section 8 (such term, including any extensions pursuant to the next sentence, the “Employment Term”). The Employment Term shall be extended automatically for one</w:t>
      </w:r>
    </w:p>
    <w:p>
      <w:pPr>
        <w:jc w:val="both"/>
        <w:ind w:right="20" w:firstLine="7"/>
        <w:spacing w:after="0" w:line="249" w:lineRule="auto"/>
        <w:tabs>
          <w:tab w:leader="none" w:pos="25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additional year on the first anniversary of the Effective Date and for an additional year each anniversary thereafter unless and until either party gives written notice to the other not to extend the Employment Term before such extension would be effectuated. Notwithstanding any termination of the Employment Term or the Employee’s employment, the Employee and the Company agree that Sections 8 through 10 shall remain in effect until all parties’ obligations and benefits are satisfied thereunder.</w:t>
      </w:r>
    </w:p>
    <w:p>
      <w:pPr>
        <w:spacing w:after="0" w:line="90" w:lineRule="exact"/>
        <w:rPr>
          <w:rFonts w:ascii="Arial" w:cs="Arial" w:eastAsia="Arial" w:hAnsi="Arial"/>
          <w:sz w:val="18"/>
          <w:szCs w:val="18"/>
          <w:color w:val="auto"/>
        </w:rPr>
      </w:pPr>
    </w:p>
    <w:p>
      <w:pPr>
        <w:ind w:right="180" w:firstLine="229"/>
        <w:spacing w:after="0" w:line="252" w:lineRule="auto"/>
        <w:tabs>
          <w:tab w:leader="none" w:pos="400"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During the period from July 2, 2008 through December 31, 2008 of the Employment Term, the Company shall pay the Employee an annual base salary, before deducting all applicable withholdings, of no less than $560,000 per year, payable at the time and in the manner dictated by the Company’s standard payroll policies. During the period from January 1, 2009 through the end of the Employment Term, the Company shall pay the Employee an annual base salary, before deducting all applicable withholdings, of no less than $648,000 per year, payable at the time and in the manner dictated by the Company’s standard payroll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725233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7" w:name="page168"/>
    <w:bookmarkEnd w:id="167"/>
    <w:p>
      <w:pPr>
        <w:ind w:right="500"/>
        <w:spacing w:after="0" w:line="279" w:lineRule="auto"/>
        <w:rPr>
          <w:sz w:val="20"/>
          <w:szCs w:val="20"/>
          <w:color w:val="auto"/>
        </w:rPr>
      </w:pPr>
      <w:r>
        <w:rPr>
          <w:rFonts w:ascii="Arial" w:cs="Arial" w:eastAsia="Arial" w:hAnsi="Arial"/>
          <w:sz w:val="17"/>
          <w:szCs w:val="17"/>
          <w:color w:val="auto"/>
        </w:rPr>
        <w:t>Such minimum annual base salary may be periodically reviewed and increased (but not decreased without the Employee’s express written consent) at the discretion of the Board or the Compensation Committee of the Board (the “Committee”) to reflect, among other matters, cost of living increases and performance results (such annual base salary, including any increases pursuant to this Section 4, the “Annual Base Salary”).</w:t>
      </w:r>
    </w:p>
    <w:p>
      <w:pPr>
        <w:spacing w:after="0" w:line="65" w:lineRule="exact"/>
        <w:rPr>
          <w:sz w:val="20"/>
          <w:szCs w:val="20"/>
          <w:color w:val="auto"/>
        </w:rPr>
      </w:pPr>
    </w:p>
    <w:p>
      <w:pPr>
        <w:ind w:right="280" w:firstLine="229"/>
        <w:spacing w:after="0" w:line="257" w:lineRule="auto"/>
        <w:tabs>
          <w:tab w:leader="none" w:pos="40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Other Compensation and Fringe Benefits</w:t>
      </w:r>
      <w:r>
        <w:rPr>
          <w:rFonts w:ascii="Arial" w:cs="Arial" w:eastAsia="Arial" w:hAnsi="Arial"/>
          <w:sz w:val="18"/>
          <w:szCs w:val="18"/>
          <w:color w:val="auto"/>
        </w:rPr>
        <w:t>. In addition to any executive bonus, pension, deferred compensation and long-term incentive plans which the Company or an affiliate of the Company may from time to time make available to the Employee, the Employee shall be entitled to the following during the Employment Term:</w:t>
      </w:r>
    </w:p>
    <w:p>
      <w:pPr>
        <w:spacing w:after="0" w:line="81" w:lineRule="exact"/>
        <w:rPr>
          <w:rFonts w:ascii="Arial" w:cs="Arial" w:eastAsia="Arial" w:hAnsi="Arial"/>
          <w:sz w:val="18"/>
          <w:szCs w:val="18"/>
          <w:color w:val="auto"/>
        </w:rPr>
      </w:pPr>
    </w:p>
    <w:p>
      <w:pPr>
        <w:ind w:left="680" w:hanging="447"/>
        <w:spacing w:after="0"/>
        <w:tabs>
          <w:tab w:leader="none" w:pos="6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standard Company benefits enjoyed by the Company’s other top executives as a group;</w:t>
      </w:r>
    </w:p>
    <w:p>
      <w:pPr>
        <w:spacing w:after="0" w:line="126" w:lineRule="exact"/>
        <w:rPr>
          <w:rFonts w:ascii="Arial" w:cs="Arial" w:eastAsia="Arial" w:hAnsi="Arial"/>
          <w:sz w:val="18"/>
          <w:szCs w:val="18"/>
          <w:color w:val="auto"/>
        </w:rPr>
      </w:pPr>
    </w:p>
    <w:p>
      <w:pPr>
        <w:ind w:left="680" w:hanging="447"/>
        <w:spacing w:after="0"/>
        <w:tabs>
          <w:tab w:leader="none" w:pos="680" w:val="left"/>
        </w:tabs>
        <w:numPr>
          <w:ilvl w:val="1"/>
          <w:numId w:val="113"/>
        </w:numPr>
        <w:rPr>
          <w:rFonts w:ascii="Arial" w:cs="Arial" w:eastAsia="Arial" w:hAnsi="Arial"/>
          <w:sz w:val="14"/>
          <w:szCs w:val="14"/>
          <w:color w:val="auto"/>
        </w:rPr>
      </w:pPr>
      <w:r>
        <w:rPr>
          <w:rFonts w:ascii="Arial" w:cs="Arial" w:eastAsia="Arial" w:hAnsi="Arial"/>
          <w:sz w:val="14"/>
          <w:szCs w:val="14"/>
          <w:color w:val="auto"/>
        </w:rPr>
        <w:t>medical and other insurance coverage (for the Employee and any covered dependents) provided by the Company to its other top executives as a group;</w:t>
      </w:r>
    </w:p>
    <w:p>
      <w:pPr>
        <w:spacing w:after="0" w:line="172" w:lineRule="exact"/>
        <w:rPr>
          <w:rFonts w:ascii="Arial" w:cs="Arial" w:eastAsia="Arial" w:hAnsi="Arial"/>
          <w:sz w:val="14"/>
          <w:szCs w:val="14"/>
          <w:color w:val="auto"/>
        </w:rPr>
      </w:pPr>
    </w:p>
    <w:p>
      <w:pPr>
        <w:ind w:left="680" w:hanging="447"/>
        <w:spacing w:after="0"/>
        <w:tabs>
          <w:tab w:leader="none" w:pos="6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supplemental disability insurance sufficient to provide two-thirds of the Employee’s pre-disability Annual Base Salary;</w:t>
      </w:r>
    </w:p>
    <w:p>
      <w:pPr>
        <w:spacing w:after="0" w:line="126" w:lineRule="exact"/>
        <w:rPr>
          <w:rFonts w:ascii="Arial" w:cs="Arial" w:eastAsia="Arial" w:hAnsi="Arial"/>
          <w:sz w:val="18"/>
          <w:szCs w:val="18"/>
          <w:color w:val="auto"/>
        </w:rPr>
      </w:pPr>
    </w:p>
    <w:p>
      <w:pPr>
        <w:ind w:left="680" w:right="420" w:hanging="447"/>
        <w:spacing w:after="0" w:line="285" w:lineRule="auto"/>
        <w:tabs>
          <w:tab w:leader="none" w:pos="68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an annual incentive bonus opportunity under the Company’s annual incentive plan (“Annual Bonus Plan”) for each calendar year included in the Employment Term, with such opportunity to be earned based upon attainment of performance objectives established by the Committee (“Annual Bonus”). The Employee’s target Annual Bonus under the Annual Bonus Plan shall be no less than 150% of the Employee’s Annual Base Salary (collectively, the target and maximum are referred to as the “Annual Bonus Opportunity”). The Employee’s Annual Bonus Opportunity may be periodically reviewed and increased (but not decreased without the Employee’s express written consent) at the discretion of the Committee. The Annual Bonus shall be paid no later than the March 15</w:t>
      </w:r>
      <w:r>
        <w:rPr>
          <w:rFonts w:ascii="Arial" w:cs="Arial" w:eastAsia="Arial" w:hAnsi="Arial"/>
          <w:sz w:val="13"/>
          <w:szCs w:val="13"/>
          <w:color w:val="auto"/>
        </w:rPr>
        <w:t>th</w:t>
      </w:r>
      <w:r>
        <w:rPr>
          <w:rFonts w:ascii="Arial" w:cs="Arial" w:eastAsia="Arial" w:hAnsi="Arial"/>
          <w:sz w:val="16"/>
          <w:szCs w:val="16"/>
          <w:color w:val="auto"/>
        </w:rPr>
        <w:t xml:space="preserve"> first following the calendar year to which the Annual Bonus relates. Unless provided otherwise herein or the Board determines otherwise, no Annual Bonus shall be paid to the Employee unless the Employee is employed by the Company, or an affiliate thereof, on the Annual Bonus payment date; and</w:t>
      </w:r>
    </w:p>
    <w:p>
      <w:pPr>
        <w:spacing w:after="0" w:line="79" w:lineRule="exact"/>
        <w:rPr>
          <w:rFonts w:ascii="Arial" w:cs="Arial" w:eastAsia="Arial" w:hAnsi="Arial"/>
          <w:sz w:val="16"/>
          <w:szCs w:val="16"/>
          <w:color w:val="auto"/>
        </w:rPr>
      </w:pPr>
    </w:p>
    <w:p>
      <w:pPr>
        <w:ind w:left="680" w:hanging="447"/>
        <w:spacing w:after="0"/>
        <w:tabs>
          <w:tab w:leader="none" w:pos="6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participation in the Company’s equity incentive plans.</w:t>
      </w:r>
    </w:p>
    <w:p>
      <w:pPr>
        <w:spacing w:after="0" w:line="113" w:lineRule="exact"/>
        <w:rPr>
          <w:rFonts w:ascii="Arial" w:cs="Arial" w:eastAsia="Arial" w:hAnsi="Arial"/>
          <w:sz w:val="18"/>
          <w:szCs w:val="18"/>
          <w:color w:val="auto"/>
        </w:rPr>
      </w:pPr>
    </w:p>
    <w:p>
      <w:pPr>
        <w:ind w:right="20" w:firstLine="229"/>
        <w:spacing w:after="0" w:line="279" w:lineRule="auto"/>
        <w:tabs>
          <w:tab w:leader="none" w:pos="40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For and during each calendar year within the Employment Term, the Employee shall be entitled to reasonable paid vacation periods consistent with the Employee’s position and in accordance with the Company’s standard policies, or as the Board may approve. In addition, the Employee shall be entitled to such holidays consistent with the Company’s standard policies or as the Board or the Committee may approve.</w:t>
      </w:r>
    </w:p>
    <w:p>
      <w:pPr>
        <w:spacing w:after="0" w:line="65" w:lineRule="exact"/>
        <w:rPr>
          <w:rFonts w:ascii="Arial" w:cs="Arial" w:eastAsia="Arial" w:hAnsi="Arial"/>
          <w:sz w:val="17"/>
          <w:szCs w:val="17"/>
          <w:color w:val="auto"/>
        </w:rPr>
      </w:pPr>
    </w:p>
    <w:p>
      <w:pPr>
        <w:ind w:right="220" w:firstLine="229"/>
        <w:spacing w:after="0" w:line="279" w:lineRule="auto"/>
        <w:tabs>
          <w:tab w:leader="none" w:pos="40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Expense Reimbursement</w:t>
      </w:r>
      <w:r>
        <w:rPr>
          <w:rFonts w:ascii="Arial" w:cs="Arial" w:eastAsia="Arial" w:hAnsi="Arial"/>
          <w:sz w:val="17"/>
          <w:szCs w:val="17"/>
          <w:color w:val="auto"/>
        </w:rPr>
        <w:t>. In addition to the compensation and benefits provided herein, the Company shall, upon receipt of appropriate documentation, reimburse the Employee each month for his reasonable travel, lodging, entertainment, promotion and other ordinary and necessary business expenses to the extent such reimbursement is permitted under the Company’s expense reimbursement policy.</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68" w:name="page169"/>
    <w:bookmarkEnd w:id="168"/>
    <w:p>
      <w:pPr>
        <w:ind w:left="-20" w:right="40" w:firstLine="229"/>
        <w:spacing w:after="0" w:line="257" w:lineRule="auto"/>
        <w:tabs>
          <w:tab w:leader="none" w:pos="3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The Company or the Employee may terminate the Employee’s employment at any time and for any reason in accordance with Subsection 8(a) below. The Employment Term shall be deemed to have ended on the last day of the Employee’s employment. The Employment Term shall terminate automatically upon the Employee’s death.</w:t>
      </w:r>
    </w:p>
    <w:p>
      <w:pPr>
        <w:spacing w:after="0" w:line="81" w:lineRule="exact"/>
        <w:rPr>
          <w:rFonts w:ascii="Arial" w:cs="Arial" w:eastAsia="Arial" w:hAnsi="Arial"/>
          <w:sz w:val="18"/>
          <w:szCs w:val="18"/>
          <w:color w:val="auto"/>
        </w:rPr>
      </w:pPr>
    </w:p>
    <w:p>
      <w:pPr>
        <w:ind w:left="660" w:hanging="447"/>
        <w:spacing w:after="0" w:line="287" w:lineRule="auto"/>
        <w:tabs>
          <w:tab w:leader="none" w:pos="660"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purported termination of the Employee’s employment (other than by reason of death) shall be communicated by written Notice of Termination (as defined herein) from one party to the other in accordance with the notice provisions contained in Section 25. For purposes of this Agreement, a “Notice of Termination” shall mean a notice that indicates the Date of Termination (as that term is defined in Subsection 8(b)) and, with respect to a termination due to Disability (as that term is defined in Subsection 8(e)), Cause (as that term is defined in Subsection 8(d)), or Good Reason (as that term is defined in Subsection 8(f)), sets forth in reasonable detail the facts and circumstances that are alleged to provide a basis for such termination. A Notice of Termination from the Company shall specify whether the termination is with or without Cause or due to the Employee’s Disability. A Notice of Termination from the Employee shall specify whether the termination is with or without Good Reason.</w:t>
      </w:r>
    </w:p>
    <w:p>
      <w:pPr>
        <w:spacing w:after="0" w:line="73" w:lineRule="exact"/>
        <w:rPr>
          <w:rFonts w:ascii="Arial" w:cs="Arial" w:eastAsia="Arial" w:hAnsi="Arial"/>
          <w:sz w:val="16"/>
          <w:szCs w:val="16"/>
          <w:color w:val="auto"/>
        </w:rPr>
      </w:pPr>
    </w:p>
    <w:p>
      <w:pPr>
        <w:ind w:left="660" w:right="100" w:hanging="447"/>
        <w:spacing w:after="0" w:line="331" w:lineRule="auto"/>
        <w:tabs>
          <w:tab w:leader="none" w:pos="660"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For purposes of this Agreement, “Date of Termination” shall mean the date specified in the Notice of Termination (but in no event shall such date be earlier than the thirtieth (30</w:t>
      </w:r>
      <w:r>
        <w:rPr>
          <w:rFonts w:ascii="Arial" w:cs="Arial" w:eastAsia="Arial" w:hAnsi="Arial"/>
          <w:sz w:val="13"/>
          <w:szCs w:val="13"/>
          <w:color w:val="auto"/>
        </w:rPr>
        <w:t>th</w:t>
      </w:r>
      <w:r>
        <w:rPr>
          <w:rFonts w:ascii="Arial" w:cs="Arial" w:eastAsia="Arial" w:hAnsi="Arial"/>
          <w:sz w:val="16"/>
          <w:szCs w:val="16"/>
          <w:color w:val="auto"/>
        </w:rPr>
        <w:t>) day following the date the Notice of Termination is given) or the date of the Employee’s death.</w:t>
      </w:r>
    </w:p>
    <w:p>
      <w:pPr>
        <w:spacing w:after="0" w:line="39" w:lineRule="exact"/>
        <w:rPr>
          <w:rFonts w:ascii="Arial" w:cs="Arial" w:eastAsia="Arial" w:hAnsi="Arial"/>
          <w:sz w:val="16"/>
          <w:szCs w:val="16"/>
          <w:color w:val="auto"/>
        </w:rPr>
      </w:pPr>
    </w:p>
    <w:p>
      <w:pPr>
        <w:ind w:left="660" w:right="100" w:hanging="447"/>
        <w:spacing w:after="0" w:line="257" w:lineRule="auto"/>
        <w:tabs>
          <w:tab w:leader="none" w:pos="660"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95" w:lineRule="exact"/>
        <w:rPr>
          <w:rFonts w:ascii="Arial" w:cs="Arial" w:eastAsia="Arial" w:hAnsi="Arial"/>
          <w:sz w:val="18"/>
          <w:szCs w:val="18"/>
          <w:color w:val="auto"/>
        </w:rPr>
      </w:pPr>
    </w:p>
    <w:p>
      <w:pPr>
        <w:ind w:left="660" w:hanging="447"/>
        <w:spacing w:after="0" w:line="266" w:lineRule="auto"/>
        <w:tabs>
          <w:tab w:leader="none" w:pos="660" w:val="left"/>
        </w:tabs>
        <w:numPr>
          <w:ilvl w:val="1"/>
          <w:numId w:val="114"/>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xml:space="preserve">. For purposes of this Agreement, a termination for “Cause” means a termination by the Company based upon the Employee’s: (i) persistent failure to perform duties consistent with a commercially 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 (iii) conviction of, or pleading nolo contendere to, criminal or other illegal activities involving dishonesty; (iv) material breach of this Agreement; or (v) failure to materially cooperate with or impeding an investigation authorized by the Board. The Employee’s termination for Cause shall be effective when and if a resolution is duly adopted by an affirmative vote of at least </w:t>
      </w:r>
      <w:r>
        <w:rPr>
          <w:rFonts w:ascii="Arial" w:cs="Arial" w:eastAsia="Arial" w:hAnsi="Arial"/>
          <w:sz w:val="9"/>
          <w:szCs w:val="9"/>
          <w:color w:val="auto"/>
        </w:rPr>
        <w:t>3</w:t>
      </w:r>
      <w:r>
        <w:rPr>
          <w:rFonts w:ascii="Arial" w:cs="Arial" w:eastAsia="Arial" w:hAnsi="Arial"/>
          <w:sz w:val="17"/>
          <w:szCs w:val="17"/>
          <w:color w:val="auto"/>
        </w:rPr>
        <w:t>/</w:t>
      </w:r>
      <w:r>
        <w:rPr>
          <w:rFonts w:ascii="Arial" w:cs="Arial" w:eastAsia="Arial" w:hAnsi="Arial"/>
          <w:sz w:val="9"/>
          <w:szCs w:val="9"/>
          <w:color w:val="auto"/>
        </w:rPr>
        <w:t>4</w:t>
      </w:r>
      <w:r>
        <w:rPr>
          <w:rFonts w:ascii="Arial" w:cs="Arial" w:eastAsia="Arial" w:hAnsi="Arial"/>
          <w:sz w:val="17"/>
          <w:szCs w:val="17"/>
          <w:color w:val="auto"/>
        </w:rPr>
        <w:t xml:space="preserve"> of the Board (less the Employee), stating that, in the good faith opinion of the Board, the Employee is guilty of the conduct described in the Notice of Termination and such conduct constitutes Cause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Employee shall have been given reasonable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145415</wp:posOffset>
            </wp:positionV>
            <wp:extent cx="725233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60" w:top="927" w:right="239" w:bottom="1440" w:gutter="0" w:footer="0" w:header="0"/>
        </w:sectPr>
      </w:pPr>
    </w:p>
    <w:bookmarkStart w:id="169" w:name="page170"/>
    <w:bookmarkEnd w:id="169"/>
    <w:p>
      <w:pPr>
        <w:ind w:left="447" w:right="200"/>
        <w:spacing w:after="0" w:line="331" w:lineRule="auto"/>
        <w:rPr>
          <w:sz w:val="20"/>
          <w:szCs w:val="20"/>
          <w:color w:val="auto"/>
        </w:rPr>
      </w:pPr>
      <w:r>
        <w:rPr>
          <w:rFonts w:ascii="Arial" w:cs="Arial" w:eastAsia="Arial" w:hAnsi="Arial"/>
          <w:sz w:val="16"/>
          <w:szCs w:val="16"/>
          <w:color w:val="auto"/>
        </w:rPr>
        <w:t>opportunity (A) to cure any act or omission that constitutes Cause if capable of cure and (B), together with counsel, during the thirty (30) day period following the receipt by the Employee of the Notice of Termination and prior to the adoption of the Board’s resolution, to be heard by the Board.</w:t>
      </w:r>
    </w:p>
    <w:p>
      <w:pPr>
        <w:spacing w:after="0" w:line="26" w:lineRule="exact"/>
        <w:rPr>
          <w:sz w:val="20"/>
          <w:szCs w:val="20"/>
          <w:color w:val="auto"/>
        </w:rPr>
      </w:pPr>
    </w:p>
    <w:p>
      <w:pPr>
        <w:ind w:left="447" w:right="220" w:hanging="447"/>
        <w:spacing w:after="0" w:line="257" w:lineRule="auto"/>
        <w:tabs>
          <w:tab w:leader="none" w:pos="447"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For purposes of this Agreement, a termination based upon “Disability” means a termination by the Company based upon the Employee’s entitlement to long-term disability benefits under the Company’s long-term disability plan or policy, as the case may be, as in effect on the Date of Termination.</w:t>
      </w:r>
    </w:p>
    <w:p>
      <w:pPr>
        <w:spacing w:after="0" w:line="95" w:lineRule="exact"/>
        <w:rPr>
          <w:rFonts w:ascii="Arial" w:cs="Arial" w:eastAsia="Arial" w:hAnsi="Arial"/>
          <w:sz w:val="18"/>
          <w:szCs w:val="18"/>
          <w:color w:val="auto"/>
        </w:rPr>
      </w:pPr>
    </w:p>
    <w:p>
      <w:pPr>
        <w:ind w:left="447" w:right="120" w:hanging="447"/>
        <w:spacing w:after="0" w:line="267" w:lineRule="auto"/>
        <w:tabs>
          <w:tab w:leader="none" w:pos="447"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For purposes of this Agreement, a termination for “Good Reason” means a termination by the Employee during the Employment Term based upon the occurrence (without the Employee’s express written consent) of any of the following:</w:t>
      </w:r>
    </w:p>
    <w:p>
      <w:pPr>
        <w:spacing w:after="0" w:line="72" w:lineRule="exact"/>
        <w:rPr>
          <w:rFonts w:ascii="Arial" w:cs="Arial" w:eastAsia="Arial" w:hAnsi="Arial"/>
          <w:sz w:val="18"/>
          <w:szCs w:val="18"/>
          <w:color w:val="auto"/>
        </w:rPr>
      </w:pPr>
    </w:p>
    <w:p>
      <w:pPr>
        <w:ind w:left="887" w:right="240" w:hanging="433"/>
        <w:spacing w:after="0" w:line="267" w:lineRule="auto"/>
        <w:tabs>
          <w:tab w:leader="none" w:pos="88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 material diminution in the Employee’s position or title, or the assignment of duties to the Employee that are materially inconsistent with the Employee’s position or title;</w:t>
      </w:r>
    </w:p>
    <w:p>
      <w:pPr>
        <w:spacing w:after="0" w:line="86" w:lineRule="exact"/>
        <w:rPr>
          <w:rFonts w:ascii="Arial" w:cs="Arial" w:eastAsia="Arial" w:hAnsi="Arial"/>
          <w:sz w:val="18"/>
          <w:szCs w:val="18"/>
          <w:color w:val="auto"/>
        </w:rPr>
      </w:pPr>
    </w:p>
    <w:p>
      <w:pPr>
        <w:ind w:left="887" w:hanging="433"/>
        <w:spacing w:after="0"/>
        <w:tabs>
          <w:tab w:leader="none" w:pos="88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 material diminution in the Employee’s Annual Base Salary or Annual Bonus Opportunity;</w:t>
      </w:r>
    </w:p>
    <w:p>
      <w:pPr>
        <w:spacing w:after="0" w:line="126" w:lineRule="exact"/>
        <w:rPr>
          <w:rFonts w:ascii="Arial" w:cs="Arial" w:eastAsia="Arial" w:hAnsi="Arial"/>
          <w:sz w:val="18"/>
          <w:szCs w:val="18"/>
          <w:color w:val="auto"/>
        </w:rPr>
      </w:pPr>
    </w:p>
    <w:p>
      <w:pPr>
        <w:ind w:left="887" w:right="20" w:hanging="433"/>
        <w:spacing w:after="0" w:line="280" w:lineRule="auto"/>
        <w:tabs>
          <w:tab w:leader="none" w:pos="887" w:val="left"/>
        </w:tabs>
        <w:numPr>
          <w:ilvl w:val="1"/>
          <w:numId w:val="115"/>
        </w:numPr>
        <w:rPr>
          <w:rFonts w:ascii="Arial" w:cs="Arial" w:eastAsia="Arial" w:hAnsi="Arial"/>
          <w:sz w:val="16"/>
          <w:szCs w:val="16"/>
          <w:color w:val="auto"/>
        </w:rPr>
      </w:pPr>
      <w:r>
        <w:rPr>
          <w:rFonts w:ascii="Arial" w:cs="Arial" w:eastAsia="Arial" w:hAnsi="Arial"/>
          <w:sz w:val="16"/>
          <w:szCs w:val="16"/>
          <w:color w:val="auto"/>
        </w:rPr>
        <w:t>within six (6) months immediately preceding or within two (2) years immediately following a Change in Control: (A) a material adverse change in the Employee’s status, authority or responsibility (</w:t>
      </w:r>
      <w:r>
        <w:rPr>
          <w:rFonts w:ascii="Arial" w:cs="Arial" w:eastAsia="Arial" w:hAnsi="Arial"/>
          <w:sz w:val="16"/>
          <w:szCs w:val="16"/>
          <w:i w:val="1"/>
          <w:iCs w:val="1"/>
          <w:color w:val="auto"/>
        </w:rPr>
        <w:t>e.g.</w:t>
      </w:r>
      <w:r>
        <w:rPr>
          <w:rFonts w:ascii="Arial" w:cs="Arial" w:eastAsia="Arial" w:hAnsi="Arial"/>
          <w:sz w:val="16"/>
          <w:szCs w:val="16"/>
          <w:color w:val="auto"/>
        </w:rPr>
        <w:t>, the Company has determined that a change in the department or functional group over which the Employee has managerial authority would constitute such a material adverse change); (B) a material adverse change in the position to whom the Employee reports (including any requirement that the Employee report to a corporate officer or employee instead of reporting directly to the Board) or to the Employee’s service relationship (or the conditions under which the Employee performs his duties) as a result of such reporting structure change, or a material diminution in the authority, duties or responsibilities of the position to whom the Employee reports;</w:t>
      </w:r>
    </w:p>
    <w:p>
      <w:pPr>
        <w:spacing w:after="0" w:line="3" w:lineRule="exact"/>
        <w:rPr>
          <w:rFonts w:ascii="Arial" w:cs="Arial" w:eastAsia="Arial" w:hAnsi="Arial"/>
          <w:sz w:val="16"/>
          <w:szCs w:val="16"/>
          <w:color w:val="auto"/>
        </w:rPr>
      </w:pPr>
    </w:p>
    <w:p>
      <w:pPr>
        <w:ind w:left="887" w:right="20"/>
        <w:spacing w:after="0" w:line="251" w:lineRule="auto"/>
        <w:rPr>
          <w:rFonts w:ascii="Arial" w:cs="Arial" w:eastAsia="Arial" w:hAnsi="Arial"/>
          <w:sz w:val="16"/>
          <w:szCs w:val="16"/>
          <w:color w:val="auto"/>
        </w:rPr>
      </w:pPr>
      <w:r>
        <w:rPr>
          <w:rFonts w:ascii="Arial" w:cs="Arial" w:eastAsia="Arial" w:hAnsi="Arial"/>
          <w:sz w:val="18"/>
          <w:szCs w:val="18"/>
          <w:color w:val="auto"/>
        </w:rPr>
        <w:t>(C) a material diminution in the budget over which the Employee has managing authority; or (D) a material change in the geographic location of the Employee’s principal place of employment (</w:t>
      </w:r>
      <w:r>
        <w:rPr>
          <w:rFonts w:ascii="Arial" w:cs="Arial" w:eastAsia="Arial" w:hAnsi="Arial"/>
          <w:sz w:val="18"/>
          <w:szCs w:val="18"/>
          <w:i w:val="1"/>
          <w:iCs w:val="1"/>
          <w:color w:val="auto"/>
        </w:rPr>
        <w:t>e.g.</w:t>
      </w:r>
      <w:r>
        <w:rPr>
          <w:rFonts w:ascii="Arial" w:cs="Arial" w:eastAsia="Arial" w:hAnsi="Arial"/>
          <w:sz w:val="18"/>
          <w:szCs w:val="18"/>
          <w:color w:val="auto"/>
        </w:rPr>
        <w:t>, the Company has determined that a relocation of more than thirty-five (35) miles would constitute such a material change); or</w:t>
      </w:r>
    </w:p>
    <w:p>
      <w:pPr>
        <w:spacing w:after="0" w:line="99" w:lineRule="exact"/>
        <w:rPr>
          <w:rFonts w:ascii="Arial" w:cs="Arial" w:eastAsia="Arial" w:hAnsi="Arial"/>
          <w:sz w:val="16"/>
          <w:szCs w:val="16"/>
          <w:color w:val="auto"/>
        </w:rPr>
      </w:pPr>
    </w:p>
    <w:p>
      <w:pPr>
        <w:ind w:left="887" w:hanging="433"/>
        <w:spacing w:after="0"/>
        <w:tabs>
          <w:tab w:leader="none" w:pos="88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 material breach by the Company of any of its obligations under this Agreement.</w:t>
      </w:r>
    </w:p>
    <w:p>
      <w:pPr>
        <w:spacing w:after="0" w:line="113" w:lineRule="exact"/>
        <w:rPr>
          <w:sz w:val="20"/>
          <w:szCs w:val="20"/>
          <w:color w:val="auto"/>
        </w:rPr>
      </w:pPr>
    </w:p>
    <w:p>
      <w:pPr>
        <w:ind w:left="467"/>
        <w:spacing w:after="0" w:line="257" w:lineRule="auto"/>
        <w:rPr>
          <w:sz w:val="20"/>
          <w:szCs w:val="20"/>
          <w:color w:val="auto"/>
        </w:rPr>
      </w:pPr>
      <w:r>
        <w:rPr>
          <w:rFonts w:ascii="Arial" w:cs="Arial" w:eastAsia="Arial" w:hAnsi="Arial"/>
          <w:sz w:val="18"/>
          <w:szCs w:val="18"/>
          <w:color w:val="auto"/>
        </w:rPr>
        <w:t>Notwithstanding the foregoing, the Employee being placed on a paid leave for up to sixty (60) days pending a determination of whether there is a basis to terminate the Employee for Cause shall not constitute Good Reason. The Employee’s continued employment shall not constitute consent to, or a waiver of rights with</w:t>
      </w:r>
    </w:p>
    <w:p>
      <w:pPr>
        <w:spacing w:after="0" w:line="162" w:lineRule="exact"/>
        <w:rPr>
          <w:sz w:val="20"/>
          <w:szCs w:val="20"/>
          <w:color w:val="auto"/>
        </w:rPr>
      </w:pPr>
    </w:p>
    <w:p>
      <w:pPr>
        <w:jc w:val="center"/>
        <w:ind w:right="213"/>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7"/>
          </w:cols>
          <w:pgMar w:left="473" w:top="927" w:right="239" w:bottom="1440" w:gutter="0" w:footer="0" w:header="0"/>
        </w:sectPr>
      </w:pPr>
    </w:p>
    <w:bookmarkStart w:id="170" w:name="page171"/>
    <w:bookmarkEnd w:id="170"/>
    <w:p>
      <w:pPr>
        <w:ind w:left="480" w:right="80"/>
        <w:spacing w:after="0" w:line="283" w:lineRule="auto"/>
        <w:rPr>
          <w:sz w:val="20"/>
          <w:szCs w:val="20"/>
          <w:color w:val="auto"/>
        </w:rPr>
      </w:pPr>
      <w:r>
        <w:rPr>
          <w:rFonts w:ascii="Arial" w:cs="Arial" w:eastAsia="Arial" w:hAnsi="Arial"/>
          <w:sz w:val="16"/>
          <w:szCs w:val="16"/>
          <w:color w:val="auto"/>
        </w:rPr>
        <w:t xml:space="preserve">respect to, any act or failure to act constituting Good Reason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event described above shall constitute Good Reason unless: (1) the Employee gives Notice of Termination to the Company specifying the condition or event relied upon for such termination either: (x) within ninety (90) days of the initial existence of such event; or (y) in the case of an event predating a Change in Control, within ninety</w:t>
      </w:r>
    </w:p>
    <w:p>
      <w:pPr>
        <w:ind w:left="480" w:right="600" w:hanging="8"/>
        <w:spacing w:after="0" w:line="254" w:lineRule="auto"/>
        <w:tabs>
          <w:tab w:leader="none" w:pos="820" w:val="left"/>
        </w:tabs>
        <w:numPr>
          <w:ilvl w:val="3"/>
          <w:numId w:val="116"/>
        </w:numPr>
        <w:rPr>
          <w:rFonts w:ascii="Arial" w:cs="Arial" w:eastAsia="Arial" w:hAnsi="Arial"/>
          <w:sz w:val="18"/>
          <w:szCs w:val="18"/>
          <w:color w:val="auto"/>
        </w:rPr>
      </w:pPr>
      <w:r>
        <w:rPr>
          <w:rFonts w:ascii="Arial" w:cs="Arial" w:eastAsia="Arial" w:hAnsi="Arial"/>
          <w:sz w:val="18"/>
          <w:szCs w:val="18"/>
          <w:color w:val="auto"/>
        </w:rPr>
        <w:t>days of the Change in Control; and (2) the Company fails to cure the condition or event constituting Good Reason within thirty (30) days following receipt of the Employee’s Notice of Termination.</w:t>
      </w:r>
    </w:p>
    <w:p>
      <w:pPr>
        <w:spacing w:after="0" w:line="84" w:lineRule="exact"/>
        <w:rPr>
          <w:rFonts w:ascii="Arial" w:cs="Arial" w:eastAsia="Arial" w:hAnsi="Arial"/>
          <w:sz w:val="18"/>
          <w:szCs w:val="18"/>
          <w:color w:val="auto"/>
        </w:rPr>
      </w:pPr>
    </w:p>
    <w:p>
      <w:pPr>
        <w:ind w:left="180" w:hanging="171"/>
        <w:spacing w:after="0"/>
        <w:tabs>
          <w:tab w:leader="none" w:pos="1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Obligations of the Company Upon Termination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60" w:right="480" w:hanging="447"/>
        <w:spacing w:after="0" w:line="257" w:lineRule="auto"/>
        <w:tabs>
          <w:tab w:leader="none" w:pos="460"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a Reason Other than Cause, Death or Disability and Termination by the Employee for Good Reason</w:t>
      </w:r>
      <w:r>
        <w:rPr>
          <w:rFonts w:ascii="Arial" w:cs="Arial" w:eastAsia="Arial" w:hAnsi="Arial"/>
          <w:sz w:val="18"/>
          <w:szCs w:val="18"/>
          <w:color w:val="auto"/>
        </w:rPr>
        <w:t>. If the Employee’s employment is terminated by: (1) the Company for any reason other than Cause, Death or Disability; or (2) the Employee for Good Reason:</w:t>
      </w:r>
    </w:p>
    <w:p>
      <w:pPr>
        <w:spacing w:after="0" w:line="81" w:lineRule="exact"/>
        <w:rPr>
          <w:rFonts w:ascii="Arial" w:cs="Arial" w:eastAsia="Arial" w:hAnsi="Arial"/>
          <w:sz w:val="18"/>
          <w:szCs w:val="18"/>
          <w:color w:val="auto"/>
        </w:rPr>
      </w:pPr>
    </w:p>
    <w:p>
      <w:pPr>
        <w:ind w:left="900" w:hanging="433"/>
        <w:spacing w:after="0" w:line="252" w:lineRule="auto"/>
        <w:tabs>
          <w:tab w:leader="none" w:pos="90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the Company shall pay the Employee the following (collectively, the “Accrued Obligations”): (A) within five (5) business days after the Date of Termination, any earned but unpaid Annual Base Salary; (B) within a reasonable time following submission of all applicable documentation, any expense reimbursement payments owed to the Employee for expenses incurred prior to the Date of Termination; and (C) no later than March 15</w:t>
      </w:r>
      <w:r>
        <w:rPr>
          <w:rFonts w:ascii="Arial" w:cs="Arial" w:eastAsia="Arial" w:hAnsi="Arial"/>
          <w:sz w:val="15"/>
          <w:szCs w:val="15"/>
          <w:color w:val="auto"/>
        </w:rPr>
        <w:t>th</w:t>
      </w:r>
      <w:r>
        <w:rPr>
          <w:rFonts w:ascii="Arial" w:cs="Arial" w:eastAsia="Arial" w:hAnsi="Arial"/>
          <w:sz w:val="18"/>
          <w:szCs w:val="18"/>
          <w:color w:val="auto"/>
        </w:rPr>
        <w:t xml:space="preserve"> of the year in which the Date of Termination occurs, any earned but unpaid Annual Bonus payments relating to the prior calendar year;</w:t>
      </w:r>
    </w:p>
    <w:p>
      <w:pPr>
        <w:spacing w:after="0" w:line="99" w:lineRule="exact"/>
        <w:rPr>
          <w:rFonts w:ascii="Arial" w:cs="Arial" w:eastAsia="Arial" w:hAnsi="Arial"/>
          <w:sz w:val="18"/>
          <w:szCs w:val="18"/>
          <w:color w:val="auto"/>
        </w:rPr>
      </w:pPr>
    </w:p>
    <w:p>
      <w:pPr>
        <w:ind w:left="900" w:right="20" w:hanging="433"/>
        <w:spacing w:after="0" w:line="269" w:lineRule="auto"/>
        <w:tabs>
          <w:tab w:leader="none" w:pos="900" w:val="left"/>
        </w:tabs>
        <w:numPr>
          <w:ilvl w:val="2"/>
          <w:numId w:val="117"/>
        </w:numPr>
        <w:rPr>
          <w:rFonts w:ascii="Arial" w:cs="Arial" w:eastAsia="Arial" w:hAnsi="Arial"/>
          <w:sz w:val="17"/>
          <w:szCs w:val="17"/>
          <w:color w:val="auto"/>
        </w:rPr>
      </w:pPr>
      <w:r>
        <w:rPr>
          <w:rFonts w:ascii="Arial" w:cs="Arial" w:eastAsia="Arial" w:hAnsi="Arial"/>
          <w:sz w:val="17"/>
          <w:szCs w:val="17"/>
          <w:color w:val="auto"/>
        </w:rPr>
        <w:t>the Company shall pay the Employee no later than March 15</w:t>
      </w:r>
      <w:r>
        <w:rPr>
          <w:rFonts w:ascii="Arial" w:cs="Arial" w:eastAsia="Arial" w:hAnsi="Arial"/>
          <w:sz w:val="14"/>
          <w:szCs w:val="14"/>
          <w:color w:val="auto"/>
        </w:rPr>
        <w:t>th</w:t>
      </w:r>
      <w:r>
        <w:rPr>
          <w:rFonts w:ascii="Arial" w:cs="Arial" w:eastAsia="Arial" w:hAnsi="Arial"/>
          <w:sz w:val="17"/>
          <w:szCs w:val="17"/>
          <w:color w:val="auto"/>
        </w:rPr>
        <w:t xml:space="preserve"> of the calendar year following the year in which the Date of Termination occurs, a prorated Annual Bonus based upon the actual Annual Bonus that would have been earned by the Employee for the year in which the Date of Termination occurs (based upon the target Annual Bonus Opportunity in the year in which the Date of Termination occurred, or the prior year if no target Annual Bonus Opportunity has yet been determined, and the actual satisfaction of the applicable performance measures, but ignoring any requirement under the Annual Bonus plan that the Employee must be employed on the payment date) multiplied by the percentage of the calendar year completed before the Date of Termination;</w:t>
      </w:r>
    </w:p>
    <w:p>
      <w:pPr>
        <w:spacing w:after="0" w:line="85" w:lineRule="exact"/>
        <w:rPr>
          <w:rFonts w:ascii="Arial" w:cs="Arial" w:eastAsia="Arial" w:hAnsi="Arial"/>
          <w:sz w:val="17"/>
          <w:szCs w:val="17"/>
          <w:color w:val="auto"/>
        </w:rPr>
      </w:pPr>
    </w:p>
    <w:p>
      <w:pPr>
        <w:ind w:left="900" w:right="60" w:hanging="433"/>
        <w:spacing w:after="0" w:line="252" w:lineRule="auto"/>
        <w:tabs>
          <w:tab w:leader="none" w:pos="90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the Company shall pay the Employee, no later than the sixty-fifth (65</w:t>
      </w:r>
      <w:r>
        <w:rPr>
          <w:rFonts w:ascii="Arial" w:cs="Arial" w:eastAsia="Arial" w:hAnsi="Arial"/>
          <w:sz w:val="15"/>
          <w:szCs w:val="15"/>
          <w:color w:val="auto"/>
        </w:rPr>
        <w:t>th</w:t>
      </w:r>
      <w:r>
        <w:rPr>
          <w:rFonts w:ascii="Arial" w:cs="Arial" w:eastAsia="Arial" w:hAnsi="Arial"/>
          <w:sz w:val="18"/>
          <w:szCs w:val="18"/>
          <w:color w:val="auto"/>
        </w:rPr>
        <w:t>) calendar day after the Date of Termination, a lump-sum payment equal to 200% of the sum of: (A) the Employee’s Annual Base Salary in effect immediately prior to the Date of Termination (disregarding any reduction in Annual Base Salary to which the Employee did not expressly consent in writing); and (B) the highest Annual Bonus paid to the Employee by the Company within the three (3) years preceding his termination of employment or, if higher, the target Annual Bonus Opportunity in the year in which the Date of Termination occurs;</w:t>
      </w:r>
    </w:p>
    <w:p>
      <w:pPr>
        <w:spacing w:after="0" w:line="16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145415</wp:posOffset>
            </wp:positionV>
            <wp:extent cx="725233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60"/>
          </w:cols>
          <w:pgMar w:left="460" w:top="927" w:right="279" w:bottom="1440" w:gutter="0" w:footer="0" w:header="0"/>
        </w:sectPr>
      </w:pPr>
    </w:p>
    <w:bookmarkStart w:id="171" w:name="page172"/>
    <w:bookmarkEnd w:id="171"/>
    <w:p>
      <w:pPr>
        <w:ind w:left="887" w:hanging="433"/>
        <w:spacing w:after="0" w:line="254" w:lineRule="auto"/>
        <w:tabs>
          <w:tab w:leader="none" w:pos="88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stock option, restricted stock and other equity-based incentive awards granted by the Company that were outstanding but not vested as of the Date of Termination shall become immediately vested and/or payable, as the case may be, unless the equity incentive awards are based upon satisfaction of performance criteria (not based solely on the passage of time); in which case, they will only vest pursuant to their express terms; and</w:t>
      </w:r>
    </w:p>
    <w:p>
      <w:pPr>
        <w:spacing w:after="0" w:line="97" w:lineRule="exact"/>
        <w:rPr>
          <w:rFonts w:ascii="Arial" w:cs="Arial" w:eastAsia="Arial" w:hAnsi="Arial"/>
          <w:sz w:val="18"/>
          <w:szCs w:val="18"/>
          <w:color w:val="auto"/>
        </w:rPr>
      </w:pPr>
    </w:p>
    <w:p>
      <w:pPr>
        <w:ind w:left="887" w:hanging="433"/>
        <w:spacing w:after="0"/>
        <w:tabs>
          <w:tab w:leader="none" w:pos="88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Company shall provide the Employee with certain continued welfare benefits as follows:</w:t>
      </w:r>
    </w:p>
    <w:p>
      <w:pPr>
        <w:spacing w:after="0" w:line="113" w:lineRule="exact"/>
        <w:rPr>
          <w:rFonts w:ascii="Arial" w:cs="Arial" w:eastAsia="Arial" w:hAnsi="Arial"/>
          <w:sz w:val="18"/>
          <w:szCs w:val="18"/>
          <w:color w:val="auto"/>
        </w:rPr>
      </w:pPr>
    </w:p>
    <w:p>
      <w:pPr>
        <w:ind w:left="1347" w:right="80" w:hanging="440"/>
        <w:spacing w:after="0" w:line="287" w:lineRule="auto"/>
        <w:tabs>
          <w:tab w:leader="none" w:pos="1347" w:val="left"/>
        </w:tabs>
        <w:numPr>
          <w:ilvl w:val="2"/>
          <w:numId w:val="118"/>
        </w:numPr>
        <w:rPr>
          <w:rFonts w:ascii="Arial" w:cs="Arial" w:eastAsia="Arial" w:hAnsi="Arial"/>
          <w:sz w:val="16"/>
          <w:szCs w:val="16"/>
          <w:color w:val="auto"/>
        </w:rPr>
      </w:pPr>
      <w:r>
        <w:rPr>
          <w:rFonts w:ascii="Arial" w:cs="Arial" w:eastAsia="Arial" w:hAnsi="Arial"/>
          <w:sz w:val="16"/>
          <w:szCs w:val="16"/>
          <w:color w:val="auto"/>
        </w:rPr>
        <w:t>Any life insurance coverage provided by the Company shall terminate at the same time as life insurance coverage would normally terminate for any other employee that terminates employment with the Company, and the Employee shall have the right to convert that life insurance coverage to an individual policy under the regular rules of the Company’s group policy. In addition, if the Employee is covered under or receives life insurance coverage provided by the Company on the Date of Termination, then within thirty (30) business days after the Date of Termination, the Company shall pay the Employee a lump sum cash payment equal to thirty-six (36) monthly life insurance premiums based on the monthly premiums that would be due assuming that the Employee had converted his Company life insurance coverage that was in effect on the Notice of Termination into an individual policy.</w:t>
      </w:r>
    </w:p>
    <w:p>
      <w:pPr>
        <w:spacing w:after="0" w:line="73" w:lineRule="exact"/>
        <w:rPr>
          <w:rFonts w:ascii="Arial" w:cs="Arial" w:eastAsia="Arial" w:hAnsi="Arial"/>
          <w:sz w:val="16"/>
          <w:szCs w:val="16"/>
          <w:color w:val="auto"/>
        </w:rPr>
      </w:pPr>
    </w:p>
    <w:p>
      <w:pPr>
        <w:ind w:left="1347" w:right="60" w:hanging="440"/>
        <w:spacing w:after="0" w:line="267" w:lineRule="auto"/>
        <w:tabs>
          <w:tab w:leader="none" w:pos="1347" w:val="left"/>
        </w:tabs>
        <w:numPr>
          <w:ilvl w:val="2"/>
          <w:numId w:val="118"/>
        </w:numPr>
        <w:rPr>
          <w:rFonts w:ascii="Arial" w:cs="Arial" w:eastAsia="Arial" w:hAnsi="Arial"/>
          <w:sz w:val="17"/>
          <w:szCs w:val="17"/>
          <w:color w:val="auto"/>
        </w:rPr>
      </w:pPr>
      <w:r>
        <w:rPr>
          <w:rFonts w:ascii="Arial" w:cs="Arial" w:eastAsia="Arial" w:hAnsi="Arial"/>
          <w:sz w:val="17"/>
          <w:szCs w:val="17"/>
          <w:color w:val="auto"/>
        </w:rPr>
        <w:t>As long as the Employee pays the full monthly premiums for COBRA coverage, the Company shall provide the Employee and, as applicable, the Employee’s eligible dependents with continued medical and dental coverage, on the same basis as provided to the Company’s active executives and their dependents until the earlier of: (i) three (3) years after the Date of Termination; or (ii) the date the Employee is first eligible for medical and dental coverage (without pre-existing condition limitations) with a subsequent employer. In addition, within thirty (30) business days after the Date of Termination, the Company shall pay the Employee a lump sum cash payment equal to thirty-six (36) monthly medical and dental COBRA premiums based on the level of coverage in effect for the Employee (</w:t>
      </w:r>
      <w:r>
        <w:rPr>
          <w:rFonts w:ascii="Arial" w:cs="Arial" w:eastAsia="Arial" w:hAnsi="Arial"/>
          <w:sz w:val="17"/>
          <w:szCs w:val="17"/>
          <w:i w:val="1"/>
          <w:iCs w:val="1"/>
          <w:color w:val="auto"/>
        </w:rPr>
        <w:t>e.g.</w:t>
      </w:r>
      <w:r>
        <w:rPr>
          <w:rFonts w:ascii="Arial" w:cs="Arial" w:eastAsia="Arial" w:hAnsi="Arial"/>
          <w:sz w:val="17"/>
          <w:szCs w:val="17"/>
          <w:color w:val="auto"/>
        </w:rPr>
        <w:t>, employee only or family coverage) on the Date of Termination.</w:t>
      </w:r>
    </w:p>
    <w:p>
      <w:pPr>
        <w:spacing w:after="0" w:line="77" w:lineRule="exact"/>
        <w:rPr>
          <w:rFonts w:ascii="Arial" w:cs="Arial" w:eastAsia="Arial" w:hAnsi="Arial"/>
          <w:sz w:val="17"/>
          <w:szCs w:val="17"/>
          <w:color w:val="auto"/>
        </w:rPr>
      </w:pPr>
    </w:p>
    <w:p>
      <w:pPr>
        <w:ind w:left="447" w:right="40" w:hanging="447"/>
        <w:spacing w:after="0" w:line="257" w:lineRule="auto"/>
        <w:tabs>
          <w:tab w:leader="none" w:pos="447"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and by the Employee without Good Reason</w:t>
      </w:r>
      <w:r>
        <w:rPr>
          <w:rFonts w:ascii="Arial" w:cs="Arial" w:eastAsia="Arial" w:hAnsi="Arial"/>
          <w:sz w:val="18"/>
          <w:szCs w:val="18"/>
          <w:color w:val="auto"/>
        </w:rPr>
        <w:t>. If the Employee’s employment is terminated (i) by the Company for Cause or (ii) by the Employee without Good Reason, the Company’s only obligation under this Agreement shall be payment of any Accrued Obligations.</w:t>
      </w:r>
    </w:p>
    <w:p>
      <w:pPr>
        <w:spacing w:after="0" w:line="162" w:lineRule="exact"/>
        <w:rPr>
          <w:sz w:val="20"/>
          <w:szCs w:val="20"/>
          <w:color w:val="auto"/>
        </w:rPr>
      </w:pPr>
    </w:p>
    <w:p>
      <w:pPr>
        <w:jc w:val="center"/>
        <w:ind w:right="153"/>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27"/>
          </w:cols>
          <w:pgMar w:left="473" w:top="1034" w:right="299" w:bottom="1440" w:gutter="0" w:footer="0" w:header="0"/>
        </w:sectPr>
      </w:pPr>
    </w:p>
    <w:bookmarkStart w:id="172" w:name="page173"/>
    <w:bookmarkEnd w:id="172"/>
    <w:p>
      <w:pPr>
        <w:ind w:left="447" w:right="100" w:hanging="447"/>
        <w:spacing w:after="0" w:line="252" w:lineRule="auto"/>
        <w:tabs>
          <w:tab w:leader="none" w:pos="447"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If the Employee’s employment is terminated due to death or Disability, the Company shall pay the Employee (or to the Employee’s estate or personal representative in the case of death), within thirty (30) business days after the Date of Termination: (i) any Accrued Obligations, plus (ii) a prorated Annual Bonus based upon the target Annual Bonus opportunity in the year in which the Date of Termination occurred (or the prior year if no target Annual Bonus Opportunity has yet been determined) multiplied by the percentage of the calendar year completed before the Date of Termination.</w:t>
      </w:r>
    </w:p>
    <w:p>
      <w:pPr>
        <w:spacing w:after="0" w:line="100" w:lineRule="exact"/>
        <w:rPr>
          <w:rFonts w:ascii="Arial" w:cs="Arial" w:eastAsia="Arial" w:hAnsi="Arial"/>
          <w:sz w:val="18"/>
          <w:szCs w:val="18"/>
          <w:color w:val="auto"/>
        </w:rPr>
      </w:pPr>
    </w:p>
    <w:p>
      <w:pPr>
        <w:ind w:left="447" w:right="160" w:hanging="447"/>
        <w:spacing w:after="0" w:line="267" w:lineRule="auto"/>
        <w:tabs>
          <w:tab w:leader="none" w:pos="447"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Definition of Change in Control</w:t>
      </w:r>
      <w:r>
        <w:rPr>
          <w:rFonts w:ascii="Arial" w:cs="Arial" w:eastAsia="Arial" w:hAnsi="Arial"/>
          <w:sz w:val="18"/>
          <w:szCs w:val="18"/>
          <w:color w:val="auto"/>
        </w:rPr>
        <w:t>. For purposes of this Agreement, the term “Change in Control” shall mean that the conditions set forth in any one of the following subsections shall have been satisfied:</w:t>
      </w:r>
    </w:p>
    <w:p>
      <w:pPr>
        <w:spacing w:after="0" w:line="72" w:lineRule="exact"/>
        <w:rPr>
          <w:rFonts w:ascii="Arial" w:cs="Arial" w:eastAsia="Arial" w:hAnsi="Arial"/>
          <w:sz w:val="18"/>
          <w:szCs w:val="18"/>
          <w:color w:val="auto"/>
        </w:rPr>
      </w:pPr>
    </w:p>
    <w:p>
      <w:pPr>
        <w:ind w:left="887" w:right="60" w:hanging="433"/>
        <w:spacing w:after="0" w:line="254" w:lineRule="auto"/>
        <w:tabs>
          <w:tab w:leader="none" w:pos="88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acquisition, directly or indirectly, by any “person” (within the meaning of Section 3(a)(9) of the Securities and Exchange Act of 1934, as amended (the “Exchange Act”) and used in Sections 13(d) and 14(d) thereof) of “beneficial ownership” (within the meaning of Rule 13d-3 of the Exchange Act) of securities of the Company possessing more than fifty percent (50%) of the total combined voting power of all outstanding securities of the Company;</w:t>
      </w:r>
    </w:p>
    <w:p>
      <w:pPr>
        <w:spacing w:after="0" w:line="97" w:lineRule="exact"/>
        <w:rPr>
          <w:rFonts w:ascii="Arial" w:cs="Arial" w:eastAsia="Arial" w:hAnsi="Arial"/>
          <w:sz w:val="18"/>
          <w:szCs w:val="18"/>
          <w:color w:val="auto"/>
        </w:rPr>
      </w:pPr>
    </w:p>
    <w:p>
      <w:pPr>
        <w:ind w:left="887" w:right="60" w:hanging="433"/>
        <w:spacing w:after="0" w:line="254" w:lineRule="auto"/>
        <w:tabs>
          <w:tab w:leader="none" w:pos="88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except for a transaction in which the holders of the outstanding voting securities of the Company immediately prior to such merger or consolidation hold, in the aggregate, securities possessing more than fifty percent (50%) of the total combined voting power of all outstanding voting securities of the surviving entity immediately after such merger or consolidation;</w:t>
      </w:r>
    </w:p>
    <w:p>
      <w:pPr>
        <w:spacing w:after="0" w:line="97" w:lineRule="exact"/>
        <w:rPr>
          <w:rFonts w:ascii="Arial" w:cs="Arial" w:eastAsia="Arial" w:hAnsi="Arial"/>
          <w:sz w:val="18"/>
          <w:szCs w:val="18"/>
          <w:color w:val="auto"/>
        </w:rPr>
      </w:pPr>
    </w:p>
    <w:p>
      <w:pPr>
        <w:ind w:left="887" w:right="120" w:hanging="433"/>
        <w:spacing w:after="0" w:line="257" w:lineRule="auto"/>
        <w:tabs>
          <w:tab w:leader="none" w:pos="88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 reverse merger in which the Company is the surviving entity but in which securities possessing more than fifty percent (50%) of the total combined voting power of all outstanding voting securities of the Company are transferred to or acquired by a person or persons different from the persons holding those securities immediately prior to such merger;</w:t>
      </w:r>
    </w:p>
    <w:p>
      <w:pPr>
        <w:spacing w:after="0" w:line="95" w:lineRule="exact"/>
        <w:rPr>
          <w:rFonts w:ascii="Arial" w:cs="Arial" w:eastAsia="Arial" w:hAnsi="Arial"/>
          <w:sz w:val="18"/>
          <w:szCs w:val="18"/>
          <w:color w:val="auto"/>
        </w:rPr>
      </w:pPr>
    </w:p>
    <w:p>
      <w:pPr>
        <w:ind w:left="887" w:hanging="433"/>
        <w:spacing w:after="0" w:line="254" w:lineRule="auto"/>
        <w:tabs>
          <w:tab w:leader="none" w:pos="88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during any period of two (2) consecutive years during the Employment Term or any extensions thereof, individuals, who, at the beginning of such period, constitute the Board, cease for any reason to constitute at least a majority thereof, unless the election of each director who was not a director at the beginning of such period has been approved in advance by directors representing at least two-thirds of the directors then in office who were directors at the beginning of the period;</w:t>
      </w:r>
    </w:p>
    <w:p>
      <w:pPr>
        <w:spacing w:after="0" w:line="97" w:lineRule="exact"/>
        <w:rPr>
          <w:rFonts w:ascii="Arial" w:cs="Arial" w:eastAsia="Arial" w:hAnsi="Arial"/>
          <w:sz w:val="18"/>
          <w:szCs w:val="18"/>
          <w:color w:val="auto"/>
        </w:rPr>
      </w:pPr>
    </w:p>
    <w:p>
      <w:pPr>
        <w:ind w:left="887" w:right="40" w:hanging="433"/>
        <w:spacing w:after="0" w:line="267" w:lineRule="auto"/>
        <w:tabs>
          <w:tab w:leader="none" w:pos="88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sale, transfer or other disposition (in one transaction or a series of related transactions) of assets of the Company that have a total fair market value equal to or more than one-third of the total fair market value of all of</w:t>
      </w:r>
    </w:p>
    <w:p>
      <w:pPr>
        <w:spacing w:after="0" w:line="153" w:lineRule="exact"/>
        <w:rPr>
          <w:sz w:val="20"/>
          <w:szCs w:val="20"/>
          <w:color w:val="auto"/>
        </w:rPr>
      </w:pPr>
    </w:p>
    <w:p>
      <w:pPr>
        <w:jc w:val="center"/>
        <w:ind w:right="213"/>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7"/>
          </w:cols>
          <w:pgMar w:left="473" w:top="1034" w:right="239" w:bottom="1440" w:gutter="0" w:footer="0" w:header="0"/>
        </w:sectPr>
      </w:pPr>
    </w:p>
    <w:bookmarkStart w:id="173" w:name="page174"/>
    <w:bookmarkEnd w:id="173"/>
    <w:p>
      <w:pPr>
        <w:ind w:left="900"/>
        <w:spacing w:after="0"/>
        <w:rPr>
          <w:sz w:val="20"/>
          <w:szCs w:val="20"/>
          <w:color w:val="auto"/>
        </w:rPr>
      </w:pPr>
      <w:r>
        <w:rPr>
          <w:rFonts w:ascii="Arial" w:cs="Arial" w:eastAsia="Arial" w:hAnsi="Arial"/>
          <w:sz w:val="16"/>
          <w:szCs w:val="16"/>
          <w:color w:val="auto"/>
        </w:rPr>
        <w:t>the assets of the Company immediately prior to such sale, transfer or other disposition, other than a sale, transfer or other disposition to an entity</w:t>
      </w:r>
    </w:p>
    <w:p>
      <w:pPr>
        <w:spacing w:after="0" w:line="40" w:lineRule="exact"/>
        <w:rPr>
          <w:sz w:val="20"/>
          <w:szCs w:val="20"/>
          <w:color w:val="auto"/>
        </w:rPr>
      </w:pPr>
    </w:p>
    <w:p>
      <w:pPr>
        <w:ind w:left="900" w:right="20"/>
        <w:spacing w:after="0" w:line="269" w:lineRule="auto"/>
        <w:rPr>
          <w:sz w:val="20"/>
          <w:szCs w:val="20"/>
          <w:color w:val="auto"/>
        </w:rPr>
      </w:pPr>
      <w:r>
        <w:rPr>
          <w:rFonts w:ascii="Arial" w:cs="Arial" w:eastAsia="Arial" w:hAnsi="Arial"/>
          <w:sz w:val="17"/>
          <w:szCs w:val="17"/>
          <w:color w:val="auto"/>
        </w:rPr>
        <w:t>(A) which immediately following such sale, transfer or other disposition owns, directly or indirectly, at least fifty percent (50%) of the Company’s outstanding voting securities or (B) fifty percent (50%) or more of whose outstanding voting securities is immediately following such sale, transfer or other disposition owned, directly or indirectly, by the Company. For purposes of the foregoing clause, the sale of stock of a subsidiary of the Company (or the assets of such subsidiary) shall be treated as a sale of assets of the Company; or</w:t>
      </w:r>
    </w:p>
    <w:p>
      <w:pPr>
        <w:spacing w:after="0" w:line="72" w:lineRule="exact"/>
        <w:rPr>
          <w:sz w:val="20"/>
          <w:szCs w:val="20"/>
          <w:color w:val="auto"/>
        </w:rPr>
      </w:pPr>
    </w:p>
    <w:p>
      <w:pPr>
        <w:ind w:left="900" w:hanging="433"/>
        <w:spacing w:after="0"/>
        <w:tabs>
          <w:tab w:leader="none" w:pos="9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approval by the stockholders of a plan or proposal for the liquidation or dissolution of the Company.</w:t>
      </w:r>
    </w:p>
    <w:p>
      <w:pPr>
        <w:spacing w:after="0" w:line="113" w:lineRule="exact"/>
        <w:rPr>
          <w:rFonts w:ascii="Arial" w:cs="Arial" w:eastAsia="Arial" w:hAnsi="Arial"/>
          <w:sz w:val="18"/>
          <w:szCs w:val="18"/>
          <w:color w:val="auto"/>
        </w:rPr>
      </w:pPr>
    </w:p>
    <w:p>
      <w:pPr>
        <w:ind w:left="460" w:right="80" w:hanging="447"/>
        <w:spacing w:after="0" w:line="267" w:lineRule="auto"/>
        <w:tabs>
          <w:tab w:leader="none" w:pos="460"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Six-Month Delay</w:t>
      </w:r>
      <w:r>
        <w:rPr>
          <w:rFonts w:ascii="Arial" w:cs="Arial" w:eastAsia="Arial" w:hAnsi="Arial"/>
          <w:sz w:val="17"/>
          <w:szCs w:val="17"/>
          <w:color w:val="auto"/>
        </w:rPr>
        <w:t>. To the extent the Employee is a “specified employee,” as defined in Section 409A(a)(2)(B)(i) of the Code and the regulations and other guidance promulgated thereunder and any elections made by the Company in accordance therewith, notwithstanding the timing of payment provided in any other Section of this Agreement, no payment, distribution or benefit under this Agreement that constitutes a distribution of deferred compensation (within the meaning of Treasury Regulation Section 1.409A-1(b)) upon separation from service (within the meaning of Treasury Regulation Section 1.409A-1(h)), after taking into account all available exemptions, that would otherwise be payable during the six (6) month period after separation from service, will be made during such six (6) month period, and any such payment, distribution or benefit will instead be paid on the first business day after such six (6) month period.</w:t>
      </w:r>
    </w:p>
    <w:p>
      <w:pPr>
        <w:spacing w:after="0" w:line="78" w:lineRule="exact"/>
        <w:rPr>
          <w:sz w:val="20"/>
          <w:szCs w:val="20"/>
          <w:color w:val="auto"/>
        </w:rPr>
      </w:pPr>
    </w:p>
    <w:p>
      <w:pPr>
        <w:ind w:left="280" w:hanging="271"/>
        <w:spacing w:after="0"/>
        <w:tabs>
          <w:tab w:leader="none" w:pos="28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Excise Tax Gross-up Payments</w:t>
      </w:r>
      <w:r>
        <w:rPr>
          <w:rFonts w:ascii="Arial" w:cs="Arial" w:eastAsia="Arial" w:hAnsi="Arial"/>
          <w:sz w:val="18"/>
          <w:szCs w:val="18"/>
          <w:color w:val="auto"/>
        </w:rPr>
        <w:t>.</w:t>
      </w:r>
    </w:p>
    <w:p>
      <w:pPr>
        <w:spacing w:after="0" w:line="113" w:lineRule="exact"/>
        <w:rPr>
          <w:sz w:val="20"/>
          <w:szCs w:val="20"/>
          <w:color w:val="auto"/>
        </w:rPr>
      </w:pPr>
    </w:p>
    <w:p>
      <w:pPr>
        <w:ind w:left="460" w:right="240" w:hanging="447"/>
        <w:spacing w:after="0" w:line="284" w:lineRule="auto"/>
        <w:tabs>
          <w:tab w:leader="none" w:pos="4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If any payments or benefits paid or provided or to be paid or provided to the Employee or for his benefit pursuant to the terms of this Agreement or otherwise in connection with, or arising out of, his employment with the Company or its subsidiaries or the termination thereof (a “Payment” and, collectively, the “Payments”) would be subject to the excise tax (the “Excise Tax”) imposed by Section 4999 of the Code, then, except as otherwise provided in this Subsection 10(a), the Employee will be entitled to receive an additional payment (a “Gross-Up Payment”) in an amount such that, after payment by the Employee of all income taxes, all employment taxes and any Excise Tax imposed upon the Gross-Up Payment (including any related interest and penalties), the Employee retains an amount of the Gross-Up Payment equal to the Excise Tax (including any related interest and penalties) imposed upon the Payments. Notwithstanding the foregoing, if the amount of the Payments does not exceed by more than three percent (3%) the amount that would be payable to the Employee if the Payments were reduced to one dollar less than what would constitute a “parachute payment” under Section 280G of the Code (the “Scaled Back Amount”), then the Payments shall be reduced, in a manner determined by the Employee, to the Scaled Back Amount, and the Employee shall not be entitled to any Gross-Up Payment.</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145415</wp:posOffset>
            </wp:positionV>
            <wp:extent cx="725233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0"/>
          </w:cols>
          <w:pgMar w:left="460" w:top="927" w:right="259" w:bottom="1440" w:gutter="0" w:footer="0" w:header="0"/>
        </w:sectPr>
      </w:pPr>
    </w:p>
    <w:bookmarkStart w:id="174" w:name="page175"/>
    <w:bookmarkEnd w:id="174"/>
    <w:p>
      <w:pPr>
        <w:ind w:left="447" w:hanging="447"/>
        <w:spacing w:after="0" w:line="281" w:lineRule="auto"/>
        <w:tabs>
          <w:tab w:leader="none" w:pos="44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 initial determination of (i) whether a Gross-Up Payment is required pursuant to this Agreement, and, if applicable, the amount of such Gross-Up Payment or (ii) whether the Payments must be reduced to the Scaled Back Amount and, if so, the amount of such reduction, will be made at the Company’s expense by an accounting firm selected by the Company. The accounting firm will provide its determination, together with detailed supporting calculations and documentation, to the Company and the Employee within ten (10) business days after the date of termination of the Employee’s employment, or such other time as may be reasonably requested by the Company or the Employee. If the accounting firm determines that no Excise Tax is payable by the Employee with respect to a Payment or Payments, it will furnish the Employee with an opinion to that effect. If a Gross-Up Payment becomes payable, such Gross-Up Payment will be paid by the Company to the Employee within thirty (30) business days of the receipt of the accounting firm’s determination. If a reduction in Payments is required, such reduction shall be effectuated within thirty (30) business days of the receipt of the accounting firm’s determination. Within ten (10) business days after the accounting firm delivers its determination to the Employee, the Employee will have the right to dispute the determination. The existence of a dispute will not in any way affect the Employee’s right to receive a Gross-Up Payment in accordance with the determination. If there is no dispute, the determination will be binding, final, and conclusive upon the Company and the Employee. If there is a dispute, the Company and the Employee will together select a second accounting firm, which will review the determination and the Employee’s basis for the dispute and then will render its own determination, which will be binding, final, and conclusive on the Company and on the Employee for purposes of determining whether a Gross-Up Payment is required pursuant to this Subsection 10(b) or whether a reduction to the Scaled Back Amount is required, as the case may be. If as a result of any dispute pursuant to this Subsection 10(b) a Gross-Up Payment is made or additional Gross-Up Payments are made, such Gross-Up Payment(s) will be paid by the Company to the Employee within thirty (30) business days of the receipt of the second accounting firm’s determination. The Company will bear all costs associated with the second accounting firm’s determination, unless such determination does not result in additional Gross-Up Payments to the Employee or unless such determination does not mitigate the reduction in Payments required to arrive at the Scaled Back Amount, in which case all such costs will be borne by the Employee.</w:t>
      </w:r>
    </w:p>
    <w:p>
      <w:pPr>
        <w:spacing w:after="0" w:line="294" w:lineRule="exact"/>
        <w:rPr>
          <w:rFonts w:ascii="Arial" w:cs="Arial" w:eastAsia="Arial" w:hAnsi="Arial"/>
          <w:sz w:val="16"/>
          <w:szCs w:val="16"/>
          <w:color w:val="auto"/>
        </w:rPr>
      </w:pPr>
    </w:p>
    <w:p>
      <w:pPr>
        <w:ind w:left="447" w:right="20" w:hanging="447"/>
        <w:spacing w:after="0" w:line="270" w:lineRule="auto"/>
        <w:tabs>
          <w:tab w:leader="none" w:pos="447" w:val="left"/>
        </w:tabs>
        <w:numPr>
          <w:ilvl w:val="0"/>
          <w:numId w:val="125"/>
        </w:numPr>
        <w:rPr>
          <w:rFonts w:ascii="Arial" w:cs="Arial" w:eastAsia="Arial" w:hAnsi="Arial"/>
          <w:sz w:val="17"/>
          <w:szCs w:val="17"/>
          <w:color w:val="auto"/>
        </w:rPr>
      </w:pPr>
      <w:r>
        <w:rPr>
          <w:rFonts w:ascii="Arial" w:cs="Arial" w:eastAsia="Arial" w:hAnsi="Arial"/>
          <w:sz w:val="17"/>
          <w:szCs w:val="17"/>
          <w:color w:val="auto"/>
        </w:rPr>
        <w:t>For purposes of determining the amount of the Gross-Up Payment and, if applicable, the Scaled Back Amount, the Employee will be deemed to pay federal income taxes at the highest marginal rate of federal income taxation in the calendar year in which the Gross-Up Payment is to be made or the Scaled Back Amount is determined, as the case may be, and applicable state and local income taxes at the highest marginal rate of taxation in the state and locality of the Employee’s residence on the date of termination of the Employee’s employment, net of the maximum reduction in federal income taxes that would be obtained from deduction of those state and local taxes.</w:t>
      </w:r>
    </w:p>
    <w:p>
      <w:pPr>
        <w:spacing w:after="0" w:line="154" w:lineRule="exact"/>
        <w:rPr>
          <w:sz w:val="20"/>
          <w:szCs w:val="20"/>
          <w:color w:val="auto"/>
        </w:rPr>
      </w:pPr>
    </w:p>
    <w:p>
      <w:pPr>
        <w:jc w:val="center"/>
        <w:ind w:right="173"/>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47"/>
          </w:cols>
          <w:pgMar w:left="473" w:top="1034" w:right="279" w:bottom="1440" w:gutter="0" w:footer="0" w:header="0"/>
        </w:sectPr>
      </w:pPr>
    </w:p>
    <w:bookmarkStart w:id="175" w:name="page176"/>
    <w:bookmarkEnd w:id="175"/>
    <w:p>
      <w:pPr>
        <w:ind w:left="447" w:right="40" w:hanging="447"/>
        <w:spacing w:after="0" w:line="282" w:lineRule="auto"/>
        <w:tabs>
          <w:tab w:leader="none" w:pos="44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As a result of the uncertainty in the application of Section 4999 of the Code, it is possible that Gross-Up Payments which will not have been made by the Company should have been made, the Employee’s Payments will be reduced to the Scaled Back Amount when they should not have been or the Employee’s Payments are reduced to a greater extent than they should have been (an “Underpayment”) or Gross-Up Payments are made by the Company which should not have been made, the Employee’s Payments are not reduced to the Scaled Back Amount when they should have been or they are not reduced to the extent they should have been (an “Overpayment”). If it is determined that an Underpayment has occurred, the accounting firm shall determine the amount of the Underpayment that has occurred and any such Underpayment (together with interest at the rate provided in Section 1274(b)(2)(B) of the Code) shall be promptly paid by the Company to or for the benefit of the Employee. If it is determined that an Overpayment has occurred, the accounting firm shall determine the amount of the Overpayment that has occurred and any such Overpayment (together with interest at the rate provided in Section 1274(b)(2) of the Code) shall be promptly paid by the Employee (to the extent he has received a refund if the applicable Excise Tax has been paid to the Internal Revenue Service) to or for the benefit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Company determines that such repayment obligation would be or result in an unlawful extension of credit under Section 13(k) of the Exchange Act, repayment shall not be required. The Employee shall cooperate, to the extent his expenses are reimbursed by the Company, with any reasonable requests by the Company in connection with any contest or disputes with the Internal Revenue Service in connection with the Excise Tax.</w:t>
      </w:r>
    </w:p>
    <w:p>
      <w:pPr>
        <w:spacing w:after="0" w:line="83" w:lineRule="exact"/>
        <w:rPr>
          <w:rFonts w:ascii="Arial" w:cs="Arial" w:eastAsia="Arial" w:hAnsi="Arial"/>
          <w:sz w:val="16"/>
          <w:szCs w:val="16"/>
          <w:color w:val="auto"/>
        </w:rPr>
      </w:pPr>
    </w:p>
    <w:p>
      <w:pPr>
        <w:ind w:left="447" w:hanging="447"/>
        <w:spacing w:after="0" w:line="269" w:lineRule="auto"/>
        <w:tabs>
          <w:tab w:leader="none" w:pos="447"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Employee shall notify the Company in writing of any claim by the Internal Revenue Service that, if successful, would require a payment resulting in an Underpayment. Such notification shall be given as soon as practicable but no later than ten (10) business days after the Employee is informed in writing of such claim and shall apprise the Company of the nature of such claim and the date on which such claim is requested to be paid. The Employee shall not pay such claim prior to the expiration of the thirty (30) day period following the date on which he gives such notice to the Company (or such shorter period ending on the date that any payment of taxes with respect to such claim is due). If the Company notifies the Employee in writing prior to the expiration of such period that it desires to contest such claim, the Employee shall:</w:t>
      </w:r>
    </w:p>
    <w:p>
      <w:pPr>
        <w:spacing w:after="0" w:line="72" w:lineRule="exact"/>
        <w:rPr>
          <w:rFonts w:ascii="Arial" w:cs="Arial" w:eastAsia="Arial" w:hAnsi="Arial"/>
          <w:sz w:val="17"/>
          <w:szCs w:val="17"/>
          <w:color w:val="auto"/>
        </w:rPr>
      </w:pPr>
    </w:p>
    <w:p>
      <w:pPr>
        <w:ind w:left="887" w:hanging="433"/>
        <w:spacing w:after="0"/>
        <w:tabs>
          <w:tab w:leader="none" w:pos="88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w:t>
      </w:r>
    </w:p>
    <w:p>
      <w:pPr>
        <w:spacing w:after="0" w:line="126" w:lineRule="exact"/>
        <w:rPr>
          <w:rFonts w:ascii="Arial" w:cs="Arial" w:eastAsia="Arial" w:hAnsi="Arial"/>
          <w:sz w:val="18"/>
          <w:szCs w:val="18"/>
          <w:color w:val="auto"/>
        </w:rPr>
      </w:pPr>
    </w:p>
    <w:p>
      <w:pPr>
        <w:ind w:left="887" w:right="360" w:hanging="433"/>
        <w:spacing w:after="0" w:line="331" w:lineRule="auto"/>
        <w:tabs>
          <w:tab w:leader="none" w:pos="887"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39" w:lineRule="exact"/>
        <w:rPr>
          <w:rFonts w:ascii="Arial" w:cs="Arial" w:eastAsia="Arial" w:hAnsi="Arial"/>
          <w:sz w:val="16"/>
          <w:szCs w:val="16"/>
          <w:color w:val="auto"/>
        </w:rPr>
      </w:pPr>
    </w:p>
    <w:p>
      <w:pPr>
        <w:ind w:left="887" w:hanging="433"/>
        <w:spacing w:after="0"/>
        <w:tabs>
          <w:tab w:leader="none" w:pos="88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to effectively contest such claim, and</w:t>
      </w:r>
    </w:p>
    <w:p>
      <w:pPr>
        <w:spacing w:after="0" w:line="193" w:lineRule="exact"/>
        <w:rPr>
          <w:sz w:val="20"/>
          <w:szCs w:val="20"/>
          <w:color w:val="auto"/>
        </w:rPr>
      </w:pPr>
    </w:p>
    <w:p>
      <w:pPr>
        <w:jc w:val="center"/>
        <w:ind w:right="153"/>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27"/>
          </w:cols>
          <w:pgMar w:left="473" w:top="1034" w:right="299" w:bottom="1440" w:gutter="0" w:footer="0" w:header="0"/>
        </w:sectPr>
      </w:pPr>
    </w:p>
    <w:bookmarkStart w:id="176" w:name="page177"/>
    <w:bookmarkEnd w:id="176"/>
    <w:p>
      <w:pPr>
        <w:ind w:left="1100" w:hanging="433"/>
        <w:spacing w:after="0"/>
        <w:tabs>
          <w:tab w:leader="none" w:pos="11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 relating to such claim;</w:t>
      </w:r>
    </w:p>
    <w:p>
      <w:pPr>
        <w:spacing w:after="0" w:line="113" w:lineRule="exact"/>
        <w:rPr>
          <w:sz w:val="20"/>
          <w:szCs w:val="20"/>
          <w:color w:val="auto"/>
        </w:rPr>
      </w:pPr>
    </w:p>
    <w:p>
      <w:pPr>
        <w:ind w:left="680"/>
        <w:spacing w:after="0" w:line="28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bear and pay directly all costs and expenses (including additional interest and penalties) incurred in connection with such contest and shall indemnify and hold the Employee harmless, on an after-tax basis, for any Excise Tax or income tax (including related interest and penalties) imposed as a result of such representation and payment of costs and expenses. Without limitation on the foregoing provisions of this Subsection 10(e),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Employee to pay the tax claimed and sue for a refund or contest the claim in any permissible manner, and the Employee agrees to prosecute such contest to a determination before any administrative tribunal, in a court of initial jurisdiction and in one or more appellate courts, as the Company shall determine;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Company directs the Employee to pay such claim and sue for a refund, the Company shall advance the amount of such payment to the Employee, on an interest-free basis and shall indemnify and hold the Employee harmless, on an after-tax basis, from any Excise Tax or income tax (including related interest or penalties) imposed with respect to such advance or with respect to any imputed income with respect to such advance. The Company’s control of the contest shall be limited to issues that may impact Gross-Up Payments or reduction in Payments under this Section 10, and the Employee shall be entitled to settle or contest, as the case may be, any other issue raised by the Internal Revenue Service or any other taxing authority.</w:t>
      </w:r>
    </w:p>
    <w:p>
      <w:pPr>
        <w:spacing w:after="0" w:line="70" w:lineRule="exact"/>
        <w:rPr>
          <w:sz w:val="20"/>
          <w:szCs w:val="20"/>
          <w:color w:val="auto"/>
        </w:rPr>
      </w:pPr>
    </w:p>
    <w:p>
      <w:pPr>
        <w:ind w:left="660" w:hanging="447"/>
        <w:spacing w:after="0" w:line="288" w:lineRule="auto"/>
        <w:tabs>
          <w:tab w:leader="none" w:pos="66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If, after the receipt by the Employee of an amount advanced by the Company pursuant to Subsection 10(e), the Employee becomes entitled to receive any refund with respect to such claim, the Employee shall (subject to the Company’s complying with the requirements of Subsection 10(e)) promptly pay to the Company the amount of such refund (together with any interest paid or credited thereon after taxes applicable thereto). If, after the receipt by the Employee of an amount advanced by the Company pursuant to Subsection 10(e), a determination is made that the Employee shall not be entitled to any refund with respect to such claim and the Company does not notify the Employee in writing of its intent to contest such denial of refund prior to the expiration of thirty (30) days after such determination, then such advance shall be forgiven and shall not be required to be repaid.</w:t>
      </w:r>
    </w:p>
    <w:p>
      <w:pPr>
        <w:spacing w:after="0" w:line="75" w:lineRule="exact"/>
        <w:rPr>
          <w:rFonts w:ascii="Arial" w:cs="Arial" w:eastAsia="Arial" w:hAnsi="Arial"/>
          <w:sz w:val="16"/>
          <w:szCs w:val="16"/>
          <w:color w:val="auto"/>
        </w:rPr>
      </w:pPr>
    </w:p>
    <w:p>
      <w:pPr>
        <w:ind w:left="660" w:right="20" w:hanging="447"/>
        <w:spacing w:after="0" w:line="267" w:lineRule="auto"/>
        <w:tabs>
          <w:tab w:leader="none" w:pos="6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payment under this Section 10 must be made by the Company no later than the end of the Employee’s tax year following the Employee’s tax year in which the Employee remits the related tax payments.</w:t>
      </w:r>
    </w:p>
    <w:p>
      <w:pPr>
        <w:spacing w:after="0" w:line="72" w:lineRule="exact"/>
        <w:rPr>
          <w:rFonts w:ascii="Arial" w:cs="Arial" w:eastAsia="Arial" w:hAnsi="Arial"/>
          <w:sz w:val="18"/>
          <w:szCs w:val="18"/>
          <w:color w:val="auto"/>
        </w:rPr>
      </w:pPr>
    </w:p>
    <w:p>
      <w:pPr>
        <w:ind w:left="-20" w:right="540" w:firstLine="229"/>
        <w:spacing w:after="0" w:line="267" w:lineRule="auto"/>
        <w:tabs>
          <w:tab w:leader="none" w:pos="462"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Non-Delegation of the Employee’s Rights</w:t>
      </w:r>
      <w:r>
        <w:rPr>
          <w:rFonts w:ascii="Arial" w:cs="Arial" w:eastAsia="Arial" w:hAnsi="Arial"/>
          <w:sz w:val="18"/>
          <w:szCs w:val="18"/>
          <w:color w:val="auto"/>
        </w:rPr>
        <w:t>. The obligations, rights and benefits of the Employee hereunder are personal and may not be delegated, assigned or transferred in any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145415</wp:posOffset>
            </wp:positionV>
            <wp:extent cx="725233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60" w:top="1034" w:right="2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manner whatsoever, nor are such obligations, rights or benefits subject to involuntary alienation, assignment or transfer.</w:t>
      </w:r>
    </w:p>
    <w:p>
      <w:pPr>
        <w:spacing w:after="0" w:line="113" w:lineRule="exact"/>
        <w:rPr>
          <w:sz w:val="20"/>
          <w:szCs w:val="20"/>
          <w:color w:val="auto"/>
        </w:rPr>
      </w:pPr>
    </w:p>
    <w:p>
      <w:pPr>
        <w:ind w:firstLine="229"/>
        <w:spacing w:after="0" w:line="265" w:lineRule="auto"/>
        <w:tabs>
          <w:tab w:leader="none" w:pos="489"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The Employee acknowledges that he will occupy a position of trust and confidence and will have access to and learn substantial information about the Company and its affiliates and their operations that is confidential or not generally known in the industry including, without limitation, information that relates to purchasing, sales, customers, marketing, and the financial positions and financing arrangements of the Company and its affiliates. The Employee agrees that all such information is proprietary or confidential, or constitutes trade secrets and is the sole property of the Company and/or its affiliates, as the case may be. The Employee will keep confidential, and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the Employee advise, discuss with or in any way assist any other person, firm or entity in obtaining or learning about any of the items described in this Section 12. Accordingly, the Employee agrees that during the Employment Term and at all times thereafter he will not disclose, or permit or encourage anyone else to disclose, any such information, nor will he utilize any such information, either alone or with others, outside the scope of his duties and responsibilities with the Company and its affiliates.</w:t>
      </w:r>
    </w:p>
    <w:p>
      <w:pPr>
        <w:spacing w:after="0" w:line="79" w:lineRule="exact"/>
        <w:rPr>
          <w:rFonts w:ascii="Arial" w:cs="Arial" w:eastAsia="Arial" w:hAnsi="Arial"/>
          <w:sz w:val="17"/>
          <w:szCs w:val="17"/>
          <w:color w:val="auto"/>
        </w:rPr>
      </w:pPr>
    </w:p>
    <w:p>
      <w:pPr>
        <w:ind w:left="500" w:hanging="271"/>
        <w:spacing w:after="0"/>
        <w:tabs>
          <w:tab w:leader="none" w:pos="50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113" w:lineRule="exact"/>
        <w:rPr>
          <w:sz w:val="20"/>
          <w:szCs w:val="20"/>
          <w:color w:val="auto"/>
        </w:rPr>
      </w:pPr>
    </w:p>
    <w:p>
      <w:pPr>
        <w:ind w:left="680" w:right="140" w:hanging="447"/>
        <w:spacing w:after="0" w:line="250" w:lineRule="auto"/>
        <w:tabs>
          <w:tab w:leader="none" w:pos="6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During Employment Term</w:t>
      </w:r>
      <w:r>
        <w:rPr>
          <w:rFonts w:ascii="Arial" w:cs="Arial" w:eastAsia="Arial" w:hAnsi="Arial"/>
          <w:sz w:val="18"/>
          <w:szCs w:val="18"/>
          <w:color w:val="auto"/>
        </w:rPr>
        <w:t>. The Employee agrees that, during the Employment Term, he will devote such business time, attention and energies reasonably necessary to the diligent and faithful performance of the services to the Company and its affiliates, and he will not engage in any way whatsoever, directly or indirectly, in any business that is a direct competitor with the Company’s or its affiliates’ principal business, nor solicit customers, suppliers or employees of the Company or affiliates on behalf of, or in any other manner work for or assist any business which is a direct competitor with the Company’s or its affiliates’ principal business. In addition, during the Employment Term, the Employee will undertake no planning for or organization of any business activity competitive with the work he performs as an employee of the Company, and the Employee will not combine or conspire with any other employee of the Company or any other person for the purpose of organizing any such competitive business activity.</w:t>
      </w:r>
    </w:p>
    <w:p>
      <w:pPr>
        <w:spacing w:after="0" w:line="102" w:lineRule="exact"/>
        <w:rPr>
          <w:rFonts w:ascii="Arial" w:cs="Arial" w:eastAsia="Arial" w:hAnsi="Arial"/>
          <w:sz w:val="18"/>
          <w:szCs w:val="18"/>
          <w:color w:val="auto"/>
        </w:rPr>
      </w:pPr>
    </w:p>
    <w:p>
      <w:pPr>
        <w:ind w:left="680" w:hanging="447"/>
        <w:spacing w:after="0" w:line="269" w:lineRule="auto"/>
        <w:tabs>
          <w:tab w:leader="none" w:pos="680"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After Employment Term</w:t>
      </w:r>
      <w:r>
        <w:rPr>
          <w:rFonts w:ascii="Arial" w:cs="Arial" w:eastAsia="Arial" w:hAnsi="Arial"/>
          <w:sz w:val="17"/>
          <w:szCs w:val="17"/>
          <w:color w:val="auto"/>
        </w:rPr>
        <w:t>. The parties acknowledge that the Employee will acquire substantial knowledge and information concerning the business of the Company and its affiliates as a result of his employment. The parties further acknowledge that the scope of business in which the Company and its affiliates are engaged as of the Effective Date is national and very competitive and one in which few companies can successfully compete. Competition by the Employee in that business after the Employment Term would severely injure the Company and its affiliates. Accordingly, for a period of one (1) year after the Employee’s employment terminates for any reason whatsoever, except as otherwise stated herein below, the Employee agrees: (i) not to become an employee, consultant,</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927" w:right="299" w:bottom="1440" w:gutter="0" w:footer="0" w:header="0"/>
        </w:sectPr>
      </w:pPr>
    </w:p>
    <w:bookmarkStart w:id="178" w:name="page179"/>
    <w:bookmarkEnd w:id="178"/>
    <w:p>
      <w:pPr>
        <w:ind w:left="660" w:right="60"/>
        <w:spacing w:after="0" w:line="281" w:lineRule="auto"/>
        <w:rPr>
          <w:sz w:val="20"/>
          <w:szCs w:val="20"/>
          <w:color w:val="auto"/>
        </w:rPr>
      </w:pPr>
      <w:r>
        <w:rPr>
          <w:rFonts w:ascii="Arial" w:cs="Arial" w:eastAsia="Arial" w:hAnsi="Arial"/>
          <w:sz w:val="16"/>
          <w:szCs w:val="16"/>
          <w:color w:val="auto"/>
        </w:rPr>
        <w:t>advisor, principal, partner or substantial shareholder of any firm or business that directly competes with the Company or its affiliates in their principal products and markets; and (ii), on behalf of any such competitive firm or business, not to solicit any person or business that was at the time of such termination and remains a customer or prospective customer, a supplier or prospective supplier, or an employee of the Company or an affiliate. Notwithstanding any of the foregoing provisions to the contrary, the Employee shall not be subject to the restrictions set forth in this Subsection 13(b) if: (A) the Employee’s employment is terminated by the Company without Cause; (B) the Employee terminates employment for Good Reason; 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the Employee’s employment is terminated as a result of the Company’s unwillingness to extend the Employment Term.</w:t>
      </w:r>
    </w:p>
    <w:p>
      <w:pPr>
        <w:spacing w:after="0" w:line="102" w:lineRule="exact"/>
        <w:rPr>
          <w:sz w:val="20"/>
          <w:szCs w:val="20"/>
          <w:color w:val="auto"/>
        </w:rPr>
      </w:pPr>
    </w:p>
    <w:p>
      <w:pPr>
        <w:ind w:left="660" w:right="100" w:hanging="447"/>
        <w:spacing w:after="0" w:line="254"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Exclusion</w:t>
      </w:r>
      <w:r>
        <w:rPr>
          <w:rFonts w:ascii="Arial" w:cs="Arial" w:eastAsia="Arial" w:hAnsi="Arial"/>
          <w:sz w:val="18"/>
          <w:szCs w:val="18"/>
          <w:color w:val="auto"/>
        </w:rPr>
        <w:t>. Working, directly or indirectly, for any of the following entities shall not be considered competitive to the Company or its affiliates for the purpose of this Section 13: (i) Fidelity National Information Services, Inc., its affiliates or their successors; (ii) Lender Processing Services, Inc., its affiliates or their successors; or (iii) the Company, its affiliates or their successors if this Agreement is assumed by a third party as contemplated in Section 21.</w:t>
      </w:r>
    </w:p>
    <w:p>
      <w:pPr>
        <w:spacing w:after="0" w:line="84" w:lineRule="exact"/>
        <w:rPr>
          <w:sz w:val="20"/>
          <w:szCs w:val="20"/>
          <w:color w:val="auto"/>
        </w:rPr>
      </w:pPr>
    </w:p>
    <w:p>
      <w:pPr>
        <w:ind w:left="-20" w:right="340" w:firstLine="229"/>
        <w:spacing w:after="0" w:line="257" w:lineRule="auto"/>
        <w:tabs>
          <w:tab w:leader="none" w:pos="469"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Return of Company Documents</w:t>
      </w:r>
      <w:r>
        <w:rPr>
          <w:rFonts w:ascii="Arial" w:cs="Arial" w:eastAsia="Arial" w:hAnsi="Arial"/>
          <w:sz w:val="18"/>
          <w:szCs w:val="18"/>
          <w:color w:val="auto"/>
        </w:rPr>
        <w:t>. Upon termination of the Employment Term, the Employee shall return immediately to the Company all records and documents of or pertaining to the Company or its affiliates and shall not make or retain any copy or extract of any such record or document, or any other property of the Company or its affiliates.</w:t>
      </w:r>
    </w:p>
    <w:p>
      <w:pPr>
        <w:spacing w:after="0" w:line="81" w:lineRule="exact"/>
        <w:rPr>
          <w:rFonts w:ascii="Arial" w:cs="Arial" w:eastAsia="Arial" w:hAnsi="Arial"/>
          <w:sz w:val="18"/>
          <w:szCs w:val="18"/>
          <w:color w:val="auto"/>
        </w:rPr>
      </w:pPr>
    </w:p>
    <w:p>
      <w:pPr>
        <w:ind w:left="-20" w:right="100" w:firstLine="229"/>
        <w:spacing w:after="0" w:line="291" w:lineRule="auto"/>
        <w:tabs>
          <w:tab w:leader="none" w:pos="469"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Improvements and Inventions</w:t>
      </w:r>
      <w:r>
        <w:rPr>
          <w:rFonts w:ascii="Arial" w:cs="Arial" w:eastAsia="Arial" w:hAnsi="Arial"/>
          <w:sz w:val="16"/>
          <w:szCs w:val="16"/>
          <w:color w:val="auto"/>
        </w:rPr>
        <w:t>. Any and all improvements or inventions that the Employee may make or participate in during the Employment Term, unless wholly unrelated to the business of the Company and its affiliates and not produced within the scope of the Employee’s employment hereunder, shall be the sole and exclusive property of the Company. The Employee shall, whenever requested by the Company, execute and deliver any and all documents that the Company deems appropriate in order to apply for and obtain patents or copyrights in improvements or inventions or in order to assign and/or convey to the Company the sole and exclusive right, title and interest in and to such improvements, inventions, patents, copyrights or applications.</w:t>
      </w:r>
    </w:p>
    <w:p>
      <w:pPr>
        <w:spacing w:after="0" w:line="58" w:lineRule="exact"/>
        <w:rPr>
          <w:rFonts w:ascii="Arial" w:cs="Arial" w:eastAsia="Arial" w:hAnsi="Arial"/>
          <w:sz w:val="16"/>
          <w:szCs w:val="16"/>
          <w:color w:val="auto"/>
        </w:rPr>
      </w:pPr>
    </w:p>
    <w:p>
      <w:pPr>
        <w:ind w:left="-20" w:firstLine="229"/>
        <w:spacing w:after="0" w:line="267" w:lineRule="auto"/>
        <w:tabs>
          <w:tab w:leader="none" w:pos="469"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Actions</w:t>
      </w:r>
      <w:r>
        <w:rPr>
          <w:rFonts w:ascii="Arial" w:cs="Arial" w:eastAsia="Arial" w:hAnsi="Arial"/>
          <w:sz w:val="17"/>
          <w:szCs w:val="17"/>
          <w:color w:val="auto"/>
        </w:rPr>
        <w:t>. The parties agree and acknowledge that the rights conveyed by this Agreement are of a unique and special nature and that the Company will not have an adequate remedy at law in the event of a failure by the Employee to abide by its terms and conditions, nor will money damages adequately compensate for such injury. Therefore, it is agreed between and hereby acknowledged by the parties that, in the event of a breach by the Employee of any of the obligations of this Agreement, the Company shall have the right, among other rights, to damages sustained thereby and to obtain an injunction or decree of specific performance from any court of competent jurisdiction to restrain or compel the Employee to perform as agreed herein. The Employee hereby acknowledges that obligations under Sections and Subsections 12, 13(b), 14, 15, 16, 17 and 18 shall survive the termination of employment and be binding by their terms at all times subsequent to the termination of employment for the periods specified therein. Nothing herein shall in any way limit or exclude any other right granted by law or equity to the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145415</wp:posOffset>
            </wp:positionV>
            <wp:extent cx="725233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60" w:top="927" w:right="259" w:bottom="1440" w:gutter="0" w:footer="0" w:header="0"/>
        </w:sectPr>
      </w:pPr>
    </w:p>
    <w:bookmarkStart w:id="179" w:name="page180"/>
    <w:bookmarkEnd w:id="179"/>
    <w:p>
      <w:pPr>
        <w:ind w:left="500" w:hanging="271"/>
        <w:spacing w:after="0"/>
        <w:tabs>
          <w:tab w:leader="none" w:pos="50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Notwithstanding any provision herein to the contrary, the Company may require that, prior to payment of any amount or provision of any</w:t>
      </w:r>
    </w:p>
    <w:p>
      <w:pPr>
        <w:spacing w:after="0" w:line="40" w:lineRule="exact"/>
        <w:rPr>
          <w:rFonts w:ascii="Arial" w:cs="Arial" w:eastAsia="Arial" w:hAnsi="Arial"/>
          <w:sz w:val="16"/>
          <w:szCs w:val="16"/>
          <w:color w:val="auto"/>
        </w:rPr>
      </w:pPr>
    </w:p>
    <w:p>
      <w:pPr>
        <w:spacing w:after="0" w:line="266" w:lineRule="auto"/>
        <w:rPr>
          <w:rFonts w:ascii="Arial" w:cs="Arial" w:eastAsia="Arial" w:hAnsi="Arial"/>
          <w:sz w:val="16"/>
          <w:szCs w:val="16"/>
          <w:color w:val="auto"/>
        </w:rPr>
      </w:pPr>
      <w:r>
        <w:rPr>
          <w:rFonts w:ascii="Arial" w:cs="Arial" w:eastAsia="Arial" w:hAnsi="Arial"/>
          <w:sz w:val="17"/>
          <w:szCs w:val="17"/>
          <w:color w:val="auto"/>
        </w:rPr>
        <w:t xml:space="preserve">benefit under Section 9 or payment of any Gross-Up Payment pursuant to Section 10 of this Agreement (other than due to the Employee’s death), the Employee shall have executed a complete release of the Company and its affiliates and related parties in such form as is reasonably required by the Company, and any waiting periods contained in such release shall have expired;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release relates only to the Employee’s employment relationship with the Company. With respect to any release required to receive payments owed pursuant to Section 9, the Company must provide the Employee with the form of release no later than seven (7) days after the Date of Termination and the release must be signed by the Employee and returned to the Company, unchanged, effective and irrevocable, no later than sixty (60) days after the Date of Termination.</w:t>
      </w:r>
    </w:p>
    <w:p>
      <w:pPr>
        <w:spacing w:after="0" w:line="75" w:lineRule="exact"/>
        <w:rPr>
          <w:rFonts w:ascii="Arial" w:cs="Arial" w:eastAsia="Arial" w:hAnsi="Arial"/>
          <w:sz w:val="16"/>
          <w:szCs w:val="16"/>
          <w:color w:val="auto"/>
        </w:rPr>
      </w:pPr>
    </w:p>
    <w:p>
      <w:pPr>
        <w:ind w:right="20" w:firstLine="229"/>
        <w:spacing w:after="0" w:line="273" w:lineRule="auto"/>
        <w:tabs>
          <w:tab w:leader="none" w:pos="489"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No Mitigation</w:t>
      </w:r>
      <w:r>
        <w:rPr>
          <w:rFonts w:ascii="Arial" w:cs="Arial" w:eastAsia="Arial" w:hAnsi="Arial"/>
          <w:sz w:val="17"/>
          <w:szCs w:val="17"/>
          <w:color w:val="auto"/>
        </w:rPr>
        <w:t>. The Company agrees that, if the Employee’s employment hereunder is terminated during the Employment Term, the Employee is not required to seek other employment or to attempt in any way to reduce any amounts payable to the Employee by the Company hereunder. Further, the amount of any payment or benefit provided for hereunder (other than pursuant to Subsection 9(a)(v) hereof) shall not be reduced by any compensation earned by the Employee as the result of employment by another employer, by retirement benefits or otherwise.</w:t>
      </w:r>
    </w:p>
    <w:p>
      <w:pPr>
        <w:spacing w:after="0" w:line="70" w:lineRule="exact"/>
        <w:rPr>
          <w:rFonts w:ascii="Arial" w:cs="Arial" w:eastAsia="Arial" w:hAnsi="Arial"/>
          <w:sz w:val="17"/>
          <w:szCs w:val="17"/>
          <w:color w:val="auto"/>
        </w:rPr>
      </w:pPr>
    </w:p>
    <w:p>
      <w:pPr>
        <w:ind w:right="380" w:firstLine="229"/>
        <w:spacing w:after="0" w:line="279" w:lineRule="auto"/>
        <w:tabs>
          <w:tab w:leader="none" w:pos="489"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Entire Agreement and Amendment</w:t>
      </w:r>
      <w:r>
        <w:rPr>
          <w:rFonts w:ascii="Arial" w:cs="Arial" w:eastAsia="Arial" w:hAnsi="Arial"/>
          <w:sz w:val="17"/>
          <w:szCs w:val="17"/>
          <w:color w:val="auto"/>
        </w:rPr>
        <w: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65" w:lineRule="exact"/>
        <w:rPr>
          <w:rFonts w:ascii="Arial" w:cs="Arial" w:eastAsia="Arial" w:hAnsi="Arial"/>
          <w:sz w:val="17"/>
          <w:szCs w:val="17"/>
          <w:color w:val="auto"/>
        </w:rPr>
      </w:pPr>
    </w:p>
    <w:p>
      <w:pPr>
        <w:jc w:val="both"/>
        <w:ind w:right="280" w:firstLine="229"/>
        <w:spacing w:after="0" w:line="257" w:lineRule="auto"/>
        <w:tabs>
          <w:tab w:leader="none" w:pos="489"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Florida, excluding any conflicts or choice of law rule or principle that might otherwise refer construction or interpretation of this Agreement to the substantive law of another jurisdiction. Any litigation pertaining to this Agreement shall be adjudicated in courts located in Duval County, Florida.</w:t>
      </w:r>
    </w:p>
    <w:p>
      <w:pPr>
        <w:spacing w:after="0" w:line="81" w:lineRule="exact"/>
        <w:rPr>
          <w:rFonts w:ascii="Arial" w:cs="Arial" w:eastAsia="Arial" w:hAnsi="Arial"/>
          <w:sz w:val="18"/>
          <w:szCs w:val="18"/>
          <w:color w:val="auto"/>
        </w:rPr>
      </w:pPr>
    </w:p>
    <w:p>
      <w:pPr>
        <w:ind w:right="80" w:firstLine="229"/>
        <w:spacing w:after="0" w:line="285" w:lineRule="auto"/>
        <w:tabs>
          <w:tab w:leader="none" w:pos="489"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may not be assigned by the Employee. In addition to any obligations imposed by law upon any successor to the Company, the Company will require any successor (whether direct or indirect, by purchase, merger, consolidation or otherwise) to all or substantially all of the stock, business and/or assets of the Company, to expressly assume and agree to perform this Agreement in the same manner and to the same extent that the Company would be required to perform it if no such succession had taken place. Failure of the Company to obtain such assumption by a successor shall be a material breach of this Agreement. The Employee agrees and consents to any such assumption by a successor of the Company, as well as any assignment of this Agreement by the Company for that purpose. As used in this Agreement, “Company” shall mean the Company as herein before defined as well as any such successor that expressly assumes this Agreement or otherwise becomes bound by all of its terms and provisions by operation of law. This Agreement shall be binding upon and inure to the benefit of the parties and their permitted successors or assigns.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180" w:name="page181"/>
    <w:bookmarkEnd w:id="180"/>
    <w:p>
      <w:pPr>
        <w:ind w:left="-7" w:right="40" w:firstLine="229"/>
        <w:spacing w:after="0" w:line="267" w:lineRule="auto"/>
        <w:tabs>
          <w:tab w:leader="none" w:pos="482"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constitute one and the same instrument.</w:t>
      </w:r>
    </w:p>
    <w:p>
      <w:pPr>
        <w:spacing w:after="0" w:line="72" w:lineRule="exact"/>
        <w:rPr>
          <w:rFonts w:ascii="Arial" w:cs="Arial" w:eastAsia="Arial" w:hAnsi="Arial"/>
          <w:sz w:val="18"/>
          <w:szCs w:val="18"/>
          <w:color w:val="auto"/>
        </w:rPr>
      </w:pPr>
    </w:p>
    <w:p>
      <w:pPr>
        <w:ind w:left="-7" w:right="40" w:firstLine="229"/>
        <w:spacing w:after="0" w:line="279" w:lineRule="auto"/>
        <w:tabs>
          <w:tab w:leader="none" w:pos="482" w:val="left"/>
        </w:tabs>
        <w:numPr>
          <w:ilvl w:val="1"/>
          <w:numId w:val="135"/>
        </w:numPr>
        <w:rPr>
          <w:rFonts w:ascii="Arial" w:cs="Arial" w:eastAsia="Arial" w:hAnsi="Arial"/>
          <w:sz w:val="16"/>
          <w:szCs w:val="16"/>
          <w:color w:val="auto"/>
        </w:rPr>
      </w:pPr>
      <w:r>
        <w:rPr>
          <w:rFonts w:ascii="Arial" w:cs="Arial" w:eastAsia="Arial" w:hAnsi="Arial"/>
          <w:sz w:val="16"/>
          <w:szCs w:val="16"/>
          <w:u w:val="single" w:color="auto"/>
          <w:color w:val="auto"/>
        </w:rPr>
        <w:t>Attorneys’ Fees</w:t>
      </w:r>
      <w:r>
        <w:rPr>
          <w:rFonts w:ascii="Arial" w:cs="Arial" w:eastAsia="Arial" w:hAnsi="Arial"/>
          <w:sz w:val="16"/>
          <w:szCs w:val="16"/>
          <w:color w:val="auto"/>
        </w:rPr>
        <w:t xml:space="preserve">. If any party finds it necessary to employ legal counsel or to bring an action at law or other proceedings against the other party to interpret or enforce any of the terms hereof, the party prevailing in any such action or other proceeding shall be promptly paid by the other party its reasonable legal fees, court costs, litigation expenses, all as determined by the court and not a jury, and such payment shall be made by the non-prevailing party no later than the end of the Employee’s tax year following the Employee’s tax year in which the payment amount becomes known and payable;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 or after a Change in Control, and following the Employee’s termination of employment with the Company, if any party finds it necessary to employ legal counsel or to bring an action at law or other proceedings against the other party to interpret or enforce any of the terms hereof, the Company shall pay (on an ongoing basis) to the Employee to the fullest extent permitted by law, all legal fees, court costs and litigation expenses reasonably incurred by the Employee or others on his behalf (such amounts collectively referred to as the “Reimbursed Amounts”); provided, further, that the Employee shall reimburse the Company for the Reimbursed Amounts if it is determined that a majority of the Employee’s claims or defenses were frivolous or without merit. Requests for payment of Reimbursed Amounts, together with all documents required by the Company to substantiate them, must be submitted to the Company no later than ninety</w:t>
      </w:r>
    </w:p>
    <w:p>
      <w:pPr>
        <w:spacing w:after="0" w:line="5" w:lineRule="exact"/>
        <w:rPr>
          <w:rFonts w:ascii="Arial" w:cs="Arial" w:eastAsia="Arial" w:hAnsi="Arial"/>
          <w:sz w:val="16"/>
          <w:szCs w:val="16"/>
          <w:color w:val="auto"/>
        </w:rPr>
      </w:pPr>
    </w:p>
    <w:p>
      <w:pPr>
        <w:ind w:left="-7" w:right="20" w:firstLine="7"/>
        <w:spacing w:after="0" w:line="249" w:lineRule="auto"/>
        <w:tabs>
          <w:tab w:leader="none" w:pos="33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days after the expense was incurred. The Reimbursed Amounts shall be paid by the Company within ninety (90) days after receiving the request and all substantiating documents requested from the Employee. The payment of Reimbursed Amounts during the Employee’s tax year will not impact the Reimbursed Amounts for any other taxable year. The rights under this Section 23 shall survive the termination of employment and this Agreement until the expiration of the applicable statute of limitations.</w:t>
      </w:r>
    </w:p>
    <w:p>
      <w:pPr>
        <w:spacing w:after="0" w:line="90" w:lineRule="exact"/>
        <w:rPr>
          <w:rFonts w:ascii="Arial" w:cs="Arial" w:eastAsia="Arial" w:hAnsi="Arial"/>
          <w:sz w:val="18"/>
          <w:szCs w:val="18"/>
          <w:color w:val="auto"/>
        </w:rPr>
      </w:pPr>
    </w:p>
    <w:p>
      <w:pPr>
        <w:ind w:left="-7" w:firstLine="229"/>
        <w:spacing w:after="0" w:line="287" w:lineRule="auto"/>
        <w:tabs>
          <w:tab w:leader="none" w:pos="482"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the Employee in this Agreement shall each be construed as an agreement independent of any other provision in this Agreement, and the existence of any claim or cause of action of the Employee against the Company, whether predicated on this Agreement or otherwise, shall not constitute a defense to the enforcement by the Company of the covenants in this Agreement.</w:t>
      </w:r>
    </w:p>
    <w:p>
      <w:pPr>
        <w:spacing w:after="0" w:line="60" w:lineRule="exact"/>
        <w:rPr>
          <w:rFonts w:ascii="Arial" w:cs="Arial" w:eastAsia="Arial" w:hAnsi="Arial"/>
          <w:sz w:val="16"/>
          <w:szCs w:val="16"/>
          <w:color w:val="auto"/>
        </w:rPr>
      </w:pPr>
    </w:p>
    <w:p>
      <w:pPr>
        <w:ind w:left="493" w:hanging="271"/>
        <w:spacing w:after="0"/>
        <w:tabs>
          <w:tab w:leader="none" w:pos="493" w:val="left"/>
        </w:tabs>
        <w:numPr>
          <w:ilvl w:val="1"/>
          <w:numId w:val="13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or instruction to be given hereunder shall be in writing and shall be deemed given when personally delivered or three</w:t>
      </w:r>
    </w:p>
    <w:p>
      <w:pPr>
        <w:spacing w:after="0" w:line="40" w:lineRule="exact"/>
        <w:rPr>
          <w:sz w:val="20"/>
          <w:szCs w:val="20"/>
          <w:color w:val="auto"/>
        </w:rPr>
      </w:pPr>
    </w:p>
    <w:p>
      <w:pPr>
        <w:ind w:left="-7" w:right="200" w:firstLine="7"/>
        <w:spacing w:after="0" w:line="254" w:lineRule="auto"/>
        <w:tabs>
          <w:tab w:leader="none" w:pos="24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days after being sent by United States Certified Mail, postage prepaid, with Return Receipt Requested, to the parties at their respective addresses set forth below:</w:t>
      </w:r>
    </w:p>
    <w:p>
      <w:pPr>
        <w:spacing w:after="0" w:line="164"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145415</wp:posOffset>
            </wp:positionV>
            <wp:extent cx="725233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73"/>
          </w:cols>
          <w:pgMar w:left="247" w:top="927" w:right="279" w:bottom="1440" w:gutter="0" w:footer="0" w:header="0"/>
        </w:sectPr>
      </w:pPr>
    </w:p>
    <w:bookmarkStart w:id="181" w:name="page182"/>
    <w:bookmarkEnd w:id="181"/>
    <w:p>
      <w:pPr>
        <w:ind w:left="220"/>
        <w:spacing w:after="0"/>
        <w:rPr>
          <w:sz w:val="20"/>
          <w:szCs w:val="20"/>
          <w:color w:val="auto"/>
        </w:rPr>
      </w:pPr>
      <w:r>
        <w:rPr>
          <w:rFonts w:ascii="Arial" w:cs="Arial" w:eastAsia="Arial" w:hAnsi="Arial"/>
          <w:sz w:val="18"/>
          <w:szCs w:val="18"/>
          <w:color w:val="auto"/>
        </w:rPr>
        <w:t>To the Company:</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Fidelity National Financial, Inc.</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601 Riverside Avenue</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Jacksonville, FL 32204</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General Counsel</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the Employee: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Alan L. Stinson</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 Fidelity National Financial, Inc.</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601 Riverside Avenue</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Jacksonville, FL 32204</w:t>
      </w:r>
    </w:p>
    <w:p>
      <w:pPr>
        <w:spacing w:after="0" w:line="102" w:lineRule="exact"/>
        <w:rPr>
          <w:sz w:val="20"/>
          <w:szCs w:val="20"/>
          <w:color w:val="auto"/>
        </w:rPr>
      </w:pPr>
    </w:p>
    <w:p>
      <w:pPr>
        <w:ind w:right="40" w:firstLine="229"/>
        <w:spacing w:after="0" w:line="267" w:lineRule="auto"/>
        <w:tabs>
          <w:tab w:leader="none" w:pos="489"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Waiver of Breach</w:t>
      </w:r>
      <w:r>
        <w:rPr>
          <w:rFonts w:ascii="Arial" w:cs="Arial" w:eastAsia="Arial" w:hAnsi="Arial"/>
          <w:sz w:val="18"/>
          <w:szCs w:val="18"/>
          <w:color w:val="auto"/>
        </w:rPr>
        <w:t>. The waiver by any party of any provisions of this Agreement shall not operate or be construed as a waiver of any prior or subsequent breach by the other party.</w:t>
      </w:r>
    </w:p>
    <w:p>
      <w:pPr>
        <w:spacing w:after="0" w:line="72" w:lineRule="exact"/>
        <w:rPr>
          <w:rFonts w:ascii="Arial" w:cs="Arial" w:eastAsia="Arial" w:hAnsi="Arial"/>
          <w:sz w:val="18"/>
          <w:szCs w:val="18"/>
          <w:color w:val="auto"/>
        </w:rPr>
      </w:pPr>
    </w:p>
    <w:p>
      <w:pPr>
        <w:ind w:right="40" w:firstLine="229"/>
        <w:spacing w:after="0" w:line="267" w:lineRule="auto"/>
        <w:tabs>
          <w:tab w:leader="none" w:pos="489"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or an affiliate may deduct from all compensation and benefits payable under this Agreement any taxes or withholdings the Company is required to deduct pursuant to state, federal or local laws.</w:t>
      </w:r>
    </w:p>
    <w:p>
      <w:pPr>
        <w:spacing w:after="0" w:line="72" w:lineRule="exact"/>
        <w:rPr>
          <w:rFonts w:ascii="Arial" w:cs="Arial" w:eastAsia="Arial" w:hAnsi="Arial"/>
          <w:sz w:val="18"/>
          <w:szCs w:val="18"/>
          <w:color w:val="auto"/>
        </w:rPr>
      </w:pPr>
    </w:p>
    <w:p>
      <w:pPr>
        <w:ind w:firstLine="229"/>
        <w:spacing w:after="0" w:line="283" w:lineRule="auto"/>
        <w:tabs>
          <w:tab w:leader="none" w:pos="489"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To the extent applicable, it is intended that this Agreement and any payment made hereunder shall comply with the requirements of Section 409A of the Code, and any related regulations or other guidance promulgated with respect to such Section by the U.S. Department of the Treasury or the Internal Revenue Service (“Code Section 409A”). Any provision that would cause the Agreement or any payment hereof to fail to satisfy Code</w:t>
      </w:r>
    </w:p>
    <w:p>
      <w:pPr>
        <w:jc w:val="both"/>
        <w:ind w:right="20"/>
        <w:spacing w:after="0" w:line="272" w:lineRule="auto"/>
        <w:rPr>
          <w:rFonts w:ascii="Arial" w:cs="Arial" w:eastAsia="Arial" w:hAnsi="Arial"/>
          <w:sz w:val="16"/>
          <w:szCs w:val="16"/>
          <w:color w:val="auto"/>
        </w:rPr>
      </w:pPr>
      <w:r>
        <w:rPr>
          <w:rFonts w:ascii="Arial" w:cs="Arial" w:eastAsia="Arial" w:hAnsi="Arial"/>
          <w:sz w:val="17"/>
          <w:szCs w:val="17"/>
          <w:color w:val="auto"/>
        </w:rPr>
        <w:t>Section 409A shall have no force or effect until amended to comply with Code Section 409A, which amendment may be retroactive to the extent permitted by Code Section 409A. In addition, the direct payment or reimbursement of expenses permitted under this Agreement or otherwise shall be made no later than the last day of the Employee’s taxable year following the taxable year in which such expense was incurred.</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WITNESS WHEREOF the parties have executed this Agreement to be effective as of the date first set forth above.</w:t>
      </w:r>
    </w:p>
    <w:p>
      <w:pPr>
        <w:spacing w:after="0" w:line="22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FIDELITY NATIONAL FINANCIAL, INC.</w:t>
      </w:r>
    </w:p>
    <w:p>
      <w:pPr>
        <w:spacing w:after="0" w:line="22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William P. Foley,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12065</wp:posOffset>
            </wp:positionV>
            <wp:extent cx="25654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Its:  Chairman of the Board</w:t>
      </w:r>
    </w:p>
    <w:p>
      <w:pPr>
        <w:spacing w:after="0" w:line="200" w:lineRule="exact"/>
        <w:rPr>
          <w:sz w:val="20"/>
          <w:szCs w:val="20"/>
          <w:color w:val="auto"/>
        </w:rPr>
      </w:pPr>
    </w:p>
    <w:p>
      <w:pPr>
        <w:spacing w:after="0" w:line="23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ALAN L. STINSON</w:t>
      </w:r>
    </w:p>
    <w:p>
      <w:pPr>
        <w:spacing w:after="0" w:line="22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Alan L. Stinson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12065</wp:posOffset>
            </wp:positionV>
            <wp:extent cx="27857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927"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10.16</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02" w:lineRule="exact"/>
        <w:rPr>
          <w:sz w:val="20"/>
          <w:szCs w:val="20"/>
          <w:color w:val="auto"/>
        </w:rPr>
      </w:pPr>
    </w:p>
    <w:p>
      <w:pPr>
        <w:ind w:right="60" w:firstLine="219"/>
        <w:spacing w:after="0" w:line="273" w:lineRule="auto"/>
        <w:rPr>
          <w:sz w:val="20"/>
          <w:szCs w:val="20"/>
          <w:color w:val="auto"/>
        </w:rPr>
      </w:pPr>
      <w:r>
        <w:rPr>
          <w:rFonts w:ascii="Arial" w:cs="Arial" w:eastAsia="Arial" w:hAnsi="Arial"/>
          <w:sz w:val="17"/>
          <w:szCs w:val="17"/>
          <w:color w:val="auto"/>
        </w:rPr>
        <w:t xml:space="preserve">THIS AMENDED AND RESTATED EMPLOYMENT AGREEMENT (the “Agreement”) is effective as of October 10, 2008 (the “Effective Date”), by and between </w:t>
      </w:r>
      <w:r>
        <w:rPr>
          <w:rFonts w:ascii="Arial" w:cs="Arial" w:eastAsia="Arial" w:hAnsi="Arial"/>
          <w:sz w:val="17"/>
          <w:szCs w:val="17"/>
          <w:b w:val="1"/>
          <w:bCs w:val="1"/>
          <w:color w:val="auto"/>
        </w:rPr>
        <w:t>FIDELITY NATIONAL FINANCIAL, INC.</w:t>
      </w:r>
      <w:r>
        <w:rPr>
          <w:rFonts w:ascii="Arial" w:cs="Arial" w:eastAsia="Arial" w:hAnsi="Arial"/>
          <w:sz w:val="17"/>
          <w:szCs w:val="17"/>
          <w:color w:val="auto"/>
        </w:rPr>
        <w:t xml:space="preserve">, a Delaware corporation (the “Company”), and </w:t>
      </w:r>
      <w:r>
        <w:rPr>
          <w:rFonts w:ascii="Arial" w:cs="Arial" w:eastAsia="Arial" w:hAnsi="Arial"/>
          <w:sz w:val="17"/>
          <w:szCs w:val="17"/>
          <w:b w:val="1"/>
          <w:bCs w:val="1"/>
          <w:color w:val="auto"/>
        </w:rPr>
        <w:t>RAYMOND R. QUIRK</w:t>
      </w:r>
      <w:r>
        <w:rPr>
          <w:rFonts w:ascii="Arial" w:cs="Arial" w:eastAsia="Arial" w:hAnsi="Arial"/>
          <w:sz w:val="17"/>
          <w:szCs w:val="17"/>
          <w:color w:val="auto"/>
        </w:rPr>
        <w:t xml:space="preserve"> (the “Employee”). This Agreement amends and restates, in its entirety, the obligations of the parties under the agreement between the Company and the Employee, dated as of October 24, 2006. In consideration of the mutual covenants and agreements set forth herein, the parties agree as follows:</w:t>
      </w:r>
    </w:p>
    <w:p>
      <w:pPr>
        <w:spacing w:after="0" w:line="71" w:lineRule="exact"/>
        <w:rPr>
          <w:sz w:val="20"/>
          <w:szCs w:val="20"/>
          <w:color w:val="auto"/>
        </w:rPr>
      </w:pPr>
    </w:p>
    <w:p>
      <w:pPr>
        <w:ind w:right="20" w:firstLine="229"/>
        <w:spacing w:after="0" w:line="254" w:lineRule="auto"/>
        <w:tabs>
          <w:tab w:leader="none" w:pos="400"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Employment and Duties</w:t>
      </w:r>
      <w:r>
        <w:rPr>
          <w:rFonts w:ascii="Arial" w:cs="Arial" w:eastAsia="Arial" w:hAnsi="Arial"/>
          <w:sz w:val="18"/>
          <w:szCs w:val="18"/>
          <w:color w:val="auto"/>
        </w:rPr>
        <w:t>. Subject to the terms and conditions of this Agreement, the Company employs the Employee to serve in an executive capacity as President. Employee accepts such employment and agrees to undertake and discharge the duties, functions and responsibilities commensurate with the aforesaid position and such other duties and responsibilities as may be prescribed from time to time by the Chief Executive Officer or the Board of Directors of the Company (the “Board”).</w:t>
      </w:r>
    </w:p>
    <w:p>
      <w:pPr>
        <w:spacing w:after="0" w:line="83" w:lineRule="exact"/>
        <w:rPr>
          <w:rFonts w:ascii="Arial" w:cs="Arial" w:eastAsia="Arial" w:hAnsi="Arial"/>
          <w:sz w:val="18"/>
          <w:szCs w:val="18"/>
          <w:color w:val="auto"/>
        </w:rPr>
      </w:pPr>
    </w:p>
    <w:p>
      <w:pPr>
        <w:ind w:right="140" w:firstLine="229"/>
        <w:spacing w:after="0" w:line="283" w:lineRule="auto"/>
        <w:tabs>
          <w:tab w:leader="none" w:pos="400"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shall commence on the Effective Date and shall continue for a period of three years ending on the third anniversary of the Effective Date or, if later, ending on the last day of any extension made pursuant to the next sentence, subject to prior termination as set forth in Section 7 (such term, including any extensions pursuant to the next sentence, the “Employment Term”). The Employment Term shall be extended automatically for one</w:t>
      </w:r>
    </w:p>
    <w:p>
      <w:pPr>
        <w:jc w:val="both"/>
        <w:ind w:right="60" w:firstLine="7"/>
        <w:spacing w:after="0" w:line="249" w:lineRule="auto"/>
        <w:tabs>
          <w:tab w:leader="none" w:pos="25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additional year on the first anniversary of the Effective Date and for an additional year each anniversary thereafter unless and until either party gives written notice to the other not to extend the Employment Term before such extension would be effectuated. Notwithstanding any termination of the Employment Term or the Employee’s employment, the Employee and the Company agree that Sections 7 through 9 shall remain in effect until all parties’ obligations and benefits are satisfied thereunder.</w:t>
      </w:r>
    </w:p>
    <w:p>
      <w:pPr>
        <w:spacing w:after="0" w:line="90" w:lineRule="exact"/>
        <w:rPr>
          <w:rFonts w:ascii="Arial" w:cs="Arial" w:eastAsia="Arial" w:hAnsi="Arial"/>
          <w:sz w:val="18"/>
          <w:szCs w:val="18"/>
          <w:color w:val="auto"/>
        </w:rPr>
      </w:pPr>
    </w:p>
    <w:p>
      <w:pPr>
        <w:ind w:left="400" w:hanging="171"/>
        <w:spacing w:after="0"/>
        <w:tabs>
          <w:tab w:leader="none" w:pos="400"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Salary</w:t>
      </w:r>
      <w:r>
        <w:rPr>
          <w:rFonts w:ascii="Arial" w:cs="Arial" w:eastAsia="Arial" w:hAnsi="Arial"/>
          <w:sz w:val="16"/>
          <w:szCs w:val="16"/>
          <w:color w:val="auto"/>
        </w:rPr>
        <w:t>. During the Employment Term, the Company shall pay the Employee an annual base salary, before deducting all applicable withholdings, of</w:t>
      </w:r>
    </w:p>
    <w:p>
      <w:pPr>
        <w:spacing w:after="0" w:line="4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$740,000 per year, payable at the time and in the manner dictated by the Company’s standard payroll policies. Such minimum annual base salary may be periodically reviewed and increased at the discretion of the Compensation Committee of the Board (the “Committee”) to reflect, among other matters, cost of living increases and performance results (such annual base salary, including any increases pursuant to this Section 3, the “Annual Base Salary”).</w:t>
      </w:r>
    </w:p>
    <w:p>
      <w:pPr>
        <w:spacing w:after="0" w:line="53" w:lineRule="exact"/>
        <w:rPr>
          <w:sz w:val="20"/>
          <w:szCs w:val="20"/>
          <w:color w:val="auto"/>
        </w:rPr>
      </w:pPr>
    </w:p>
    <w:p>
      <w:pPr>
        <w:ind w:right="300" w:firstLine="229"/>
        <w:spacing w:after="0" w:line="257" w:lineRule="auto"/>
        <w:tabs>
          <w:tab w:leader="none" w:pos="40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Other Compensation and Fringe Benefits</w:t>
      </w:r>
      <w:r>
        <w:rPr>
          <w:rFonts w:ascii="Arial" w:cs="Arial" w:eastAsia="Arial" w:hAnsi="Arial"/>
          <w:sz w:val="18"/>
          <w:szCs w:val="18"/>
          <w:color w:val="auto"/>
        </w:rPr>
        <w:t>. In addition to any executive bonus, pension, deferred compensation and long-term incentive plans which the Company or an affiliate of the Company may from time to time make available to the Employee, the Employee shall be entitled to the following during the Employment Term:</w:t>
      </w:r>
    </w:p>
    <w:p>
      <w:pPr>
        <w:spacing w:after="0" w:line="81" w:lineRule="exact"/>
        <w:rPr>
          <w:rFonts w:ascii="Arial" w:cs="Arial" w:eastAsia="Arial" w:hAnsi="Arial"/>
          <w:sz w:val="18"/>
          <w:szCs w:val="18"/>
          <w:color w:val="auto"/>
        </w:rPr>
      </w:pPr>
    </w:p>
    <w:p>
      <w:pPr>
        <w:ind w:left="680" w:hanging="447"/>
        <w:spacing w:after="0"/>
        <w:tabs>
          <w:tab w:leader="none" w:pos="6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standard Company benefits enjoyed by the Company’s other top executives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390525</wp:posOffset>
            </wp:positionV>
            <wp:extent cx="725233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3" w:name="page184"/>
    <w:bookmarkEnd w:id="183"/>
    <w:p>
      <w:pPr>
        <w:ind w:left="640" w:right="140" w:hanging="447"/>
        <w:spacing w:after="0" w:line="257" w:lineRule="auto"/>
        <w:tabs>
          <w:tab w:leader="none" w:pos="64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payment by the Company of the Employee’s initiation and membership dues in all social and/or recreational clubs as deemed necessary and appropriate by the Company to maintain various business relationships on behalf of the Company; provided, however, that the Company shall not be obligated to pay for any of the Employee’s personal purchases and expenses at such clubs;</w:t>
      </w:r>
    </w:p>
    <w:p>
      <w:pPr>
        <w:spacing w:after="0" w:line="95" w:lineRule="exact"/>
        <w:rPr>
          <w:rFonts w:ascii="Arial" w:cs="Arial" w:eastAsia="Arial" w:hAnsi="Arial"/>
          <w:sz w:val="18"/>
          <w:szCs w:val="18"/>
          <w:color w:val="auto"/>
        </w:rPr>
      </w:pPr>
    </w:p>
    <w:p>
      <w:pPr>
        <w:ind w:left="640" w:hanging="447"/>
        <w:spacing w:after="0"/>
        <w:tabs>
          <w:tab w:leader="none" w:pos="640" w:val="left"/>
        </w:tabs>
        <w:numPr>
          <w:ilvl w:val="1"/>
          <w:numId w:val="142"/>
        </w:numPr>
        <w:rPr>
          <w:rFonts w:ascii="Arial" w:cs="Arial" w:eastAsia="Arial" w:hAnsi="Arial"/>
          <w:sz w:val="14"/>
          <w:szCs w:val="14"/>
          <w:color w:val="auto"/>
        </w:rPr>
      </w:pPr>
      <w:r>
        <w:rPr>
          <w:rFonts w:ascii="Arial" w:cs="Arial" w:eastAsia="Arial" w:hAnsi="Arial"/>
          <w:sz w:val="14"/>
          <w:szCs w:val="14"/>
          <w:color w:val="auto"/>
        </w:rPr>
        <w:t>medical and other insurance coverage (for the Employee and any covered dependents) provided by the Company to its other top executives as a group;</w:t>
      </w:r>
    </w:p>
    <w:p>
      <w:pPr>
        <w:spacing w:after="0" w:line="172" w:lineRule="exact"/>
        <w:rPr>
          <w:rFonts w:ascii="Arial" w:cs="Arial" w:eastAsia="Arial" w:hAnsi="Arial"/>
          <w:sz w:val="14"/>
          <w:szCs w:val="14"/>
          <w:color w:val="auto"/>
        </w:rPr>
      </w:pPr>
    </w:p>
    <w:p>
      <w:pPr>
        <w:ind w:left="640" w:hanging="447"/>
        <w:spacing w:after="0"/>
        <w:tabs>
          <w:tab w:leader="none" w:pos="64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supplemental disability insurance sufficient to provide two-thirds of the Employee’s pre-disability Annual Base Salary;</w:t>
      </w:r>
    </w:p>
    <w:p>
      <w:pPr>
        <w:spacing w:after="0" w:line="126" w:lineRule="exact"/>
        <w:rPr>
          <w:rFonts w:ascii="Arial" w:cs="Arial" w:eastAsia="Arial" w:hAnsi="Arial"/>
          <w:sz w:val="18"/>
          <w:szCs w:val="18"/>
          <w:color w:val="auto"/>
        </w:rPr>
      </w:pPr>
    </w:p>
    <w:p>
      <w:pPr>
        <w:ind w:left="640" w:hanging="447"/>
        <w:spacing w:after="0" w:line="267" w:lineRule="auto"/>
        <w:tabs>
          <w:tab w:leader="none" w:pos="64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an annual incentive bonus opportunity under the Company’s annual incentive plan (“Annual Bonus Plan”) for each calendar year included in the Employment Term, with such opportunity to be earned based upon attainment of performance objectives established by the Committee (“Annual Bonus”). The Employee’s “bonus factor” under the Annual Bonus Plan shall be not less than 150% of the Employee’s Annual Base Salary. The Employee’s “bonus factor” may be periodically reviewed and increased (but not decreased without the Employee’s express written consent) at the discretion of the Committee. The Annual Bonus shall be paid no later than the March 15</w:t>
      </w:r>
      <w:r>
        <w:rPr>
          <w:rFonts w:ascii="Arial" w:cs="Arial" w:eastAsia="Arial" w:hAnsi="Arial"/>
          <w:sz w:val="14"/>
          <w:szCs w:val="14"/>
          <w:color w:val="auto"/>
        </w:rPr>
        <w:t>th</w:t>
      </w:r>
      <w:r>
        <w:rPr>
          <w:rFonts w:ascii="Arial" w:cs="Arial" w:eastAsia="Arial" w:hAnsi="Arial"/>
          <w:sz w:val="17"/>
          <w:szCs w:val="17"/>
          <w:color w:val="auto"/>
        </w:rPr>
        <w:t xml:space="preserve"> first following the calendar year to which the Annual Bonus relates. Unless provided otherwise herein or the Board determines otherwise, no Annual Bonus shall be paid to the Employee unless the Employee is employed by the Company, or an affiliate thereof, on the Annual Bonus payment date; and</w:t>
      </w:r>
    </w:p>
    <w:p>
      <w:pPr>
        <w:spacing w:after="0" w:line="91" w:lineRule="exact"/>
        <w:rPr>
          <w:rFonts w:ascii="Arial" w:cs="Arial" w:eastAsia="Arial" w:hAnsi="Arial"/>
          <w:sz w:val="17"/>
          <w:szCs w:val="17"/>
          <w:color w:val="auto"/>
        </w:rPr>
      </w:pPr>
    </w:p>
    <w:p>
      <w:pPr>
        <w:ind w:left="640" w:hanging="447"/>
        <w:spacing w:after="0"/>
        <w:tabs>
          <w:tab w:leader="none" w:pos="64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participation in the Company’s equity incentive plans.</w:t>
      </w:r>
    </w:p>
    <w:p>
      <w:pPr>
        <w:spacing w:after="0" w:line="113" w:lineRule="exact"/>
        <w:rPr>
          <w:rFonts w:ascii="Arial" w:cs="Arial" w:eastAsia="Arial" w:hAnsi="Arial"/>
          <w:sz w:val="18"/>
          <w:szCs w:val="18"/>
          <w:color w:val="auto"/>
        </w:rPr>
      </w:pPr>
    </w:p>
    <w:p>
      <w:pPr>
        <w:ind w:left="-40" w:right="80" w:firstLine="229"/>
        <w:spacing w:after="0" w:line="279" w:lineRule="auto"/>
        <w:tabs>
          <w:tab w:leader="none" w:pos="360"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For and during each calendar year within the Employment Term, the Employee shall be entitled to reasonable paid vacation periods consistent with his positions with the Company and in accordance with the Company’s standard policies, or as the Board may approve. In addition, the Employee shall be entitled to such holidays consistent with the Company’s standard policies or as the Board or the Committee may approve.</w:t>
      </w:r>
    </w:p>
    <w:p>
      <w:pPr>
        <w:spacing w:after="0" w:line="65" w:lineRule="exact"/>
        <w:rPr>
          <w:rFonts w:ascii="Arial" w:cs="Arial" w:eastAsia="Arial" w:hAnsi="Arial"/>
          <w:sz w:val="17"/>
          <w:szCs w:val="17"/>
          <w:color w:val="auto"/>
        </w:rPr>
      </w:pPr>
    </w:p>
    <w:p>
      <w:pPr>
        <w:ind w:left="-40" w:right="220" w:firstLine="229"/>
        <w:spacing w:after="0" w:line="279" w:lineRule="auto"/>
        <w:tabs>
          <w:tab w:leader="none" w:pos="360"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Expense Reimbursement</w:t>
      </w:r>
      <w:r>
        <w:rPr>
          <w:rFonts w:ascii="Arial" w:cs="Arial" w:eastAsia="Arial" w:hAnsi="Arial"/>
          <w:sz w:val="17"/>
          <w:szCs w:val="17"/>
          <w:color w:val="auto"/>
        </w:rPr>
        <w:t>. In addition to the compensation and benefits provided herein, the Company shall, upon receipt of appropriate documentation, reimburse the Employee each month for his reasonable travel, lodging, entertainment, promotion and other ordinary and necessary business expenses to the extent such reimbursement is permitted under the Company’s expense reimbursement policy.</w:t>
      </w:r>
    </w:p>
    <w:p>
      <w:pPr>
        <w:spacing w:after="0" w:line="65" w:lineRule="exact"/>
        <w:rPr>
          <w:rFonts w:ascii="Arial" w:cs="Arial" w:eastAsia="Arial" w:hAnsi="Arial"/>
          <w:sz w:val="17"/>
          <w:szCs w:val="17"/>
          <w:color w:val="auto"/>
        </w:rPr>
      </w:pPr>
    </w:p>
    <w:p>
      <w:pPr>
        <w:ind w:left="-40" w:right="40" w:firstLine="229"/>
        <w:spacing w:after="0" w:line="257" w:lineRule="auto"/>
        <w:tabs>
          <w:tab w:leader="none" w:pos="36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The Company or the Employee may terminate the Employee’s employment at any time and for any reason in accordance with subsection 7(a) below. The Employment Term shall be deemed to have ended on the last day of the Employee’s employment. The Employment Term shall terminate automatically upon the Employee’s death.</w:t>
      </w:r>
    </w:p>
    <w:p>
      <w:pPr>
        <w:spacing w:after="0" w:line="81" w:lineRule="exact"/>
        <w:rPr>
          <w:rFonts w:ascii="Arial" w:cs="Arial" w:eastAsia="Arial" w:hAnsi="Arial"/>
          <w:sz w:val="18"/>
          <w:szCs w:val="18"/>
          <w:color w:val="auto"/>
        </w:rPr>
      </w:pPr>
    </w:p>
    <w:p>
      <w:pPr>
        <w:ind w:left="640" w:right="200" w:hanging="447"/>
        <w:spacing w:after="0" w:line="267" w:lineRule="auto"/>
        <w:tabs>
          <w:tab w:leader="none" w:pos="640"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purported termination of the Employee’s employment (other than by reason of death) shall be communicated by written Notice of Termination (as defined herein) from one party hereto to the other party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145415</wp:posOffset>
            </wp:positionV>
            <wp:extent cx="725233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80" w:top="1034" w:right="259" w:bottom="1440" w:gutter="0" w:footer="0" w:header="0"/>
        </w:sectPr>
      </w:pPr>
    </w:p>
    <w:bookmarkStart w:id="184" w:name="page185"/>
    <w:bookmarkEnd w:id="184"/>
    <w:p>
      <w:pPr>
        <w:ind w:left="447"/>
        <w:spacing w:after="0" w:line="269" w:lineRule="auto"/>
        <w:rPr>
          <w:sz w:val="20"/>
          <w:szCs w:val="20"/>
          <w:color w:val="auto"/>
        </w:rPr>
      </w:pPr>
      <w:r>
        <w:rPr>
          <w:rFonts w:ascii="Arial" w:cs="Arial" w:eastAsia="Arial" w:hAnsi="Arial"/>
          <w:sz w:val="17"/>
          <w:szCs w:val="17"/>
          <w:color w:val="auto"/>
        </w:rPr>
        <w:t>hereto in accordance with the notice provisions contained in Section 25. For purposes of this Agreement, a “Notice of Termination” shall mean a notice that indicates the Date of Termination (as that term is defined in Section 7(b)) and, with respect to a termination due to Disability (as that term is defined in Section 7(e)), Cause (as that term is defined in Section 7(d)) or Good Reason (as that term is defined in Section 7(f)), sets forth in reasonable detail the facts and circumstances that are alleged to provide a basis for such termination. A Notice of Termination from the Company shall specify whether the termination is with or without Cause or due to the Employee’s Disability. A Notice of Termination from the Employee shall specify whether the termination is with or without Good Reason or due to Disability.</w:t>
      </w:r>
    </w:p>
    <w:p>
      <w:pPr>
        <w:spacing w:after="0" w:line="72" w:lineRule="exact"/>
        <w:rPr>
          <w:sz w:val="20"/>
          <w:szCs w:val="20"/>
          <w:color w:val="auto"/>
        </w:rPr>
      </w:pPr>
    </w:p>
    <w:p>
      <w:pPr>
        <w:ind w:left="447" w:right="380" w:hanging="447"/>
        <w:spacing w:after="0" w:line="257" w:lineRule="auto"/>
        <w:tabs>
          <w:tab w:leader="none" w:pos="447"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Date of Termination</w:t>
      </w:r>
      <w:r>
        <w:rPr>
          <w:rFonts w:ascii="Arial" w:cs="Arial" w:eastAsia="Arial" w:hAnsi="Arial"/>
          <w:sz w:val="18"/>
          <w:szCs w:val="18"/>
          <w:color w:val="auto"/>
        </w:rPr>
        <w:t>. For purposes of this Agreement, “Date of Termination” shall mean the date specified in the Notice of Termination (but in no event shall such date be earlier than the 30th day following the date the Notice of Termination is given, unless expressly agreed to by the parties hereto) or the date of the Employee’s death.</w:t>
      </w:r>
    </w:p>
    <w:p>
      <w:pPr>
        <w:spacing w:after="0" w:line="95" w:lineRule="exact"/>
        <w:rPr>
          <w:rFonts w:ascii="Arial" w:cs="Arial" w:eastAsia="Arial" w:hAnsi="Arial"/>
          <w:sz w:val="18"/>
          <w:szCs w:val="18"/>
          <w:color w:val="auto"/>
        </w:rPr>
      </w:pPr>
    </w:p>
    <w:p>
      <w:pPr>
        <w:ind w:left="447" w:right="100" w:hanging="447"/>
        <w:spacing w:after="0" w:line="257" w:lineRule="auto"/>
        <w:tabs>
          <w:tab w:leader="none" w:pos="447"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95" w:lineRule="exact"/>
        <w:rPr>
          <w:rFonts w:ascii="Arial" w:cs="Arial" w:eastAsia="Arial" w:hAnsi="Arial"/>
          <w:sz w:val="18"/>
          <w:szCs w:val="18"/>
          <w:color w:val="auto"/>
        </w:rPr>
      </w:pPr>
    </w:p>
    <w:p>
      <w:pPr>
        <w:ind w:left="447" w:hanging="447"/>
        <w:spacing w:after="0" w:line="265" w:lineRule="auto"/>
        <w:tabs>
          <w:tab w:leader="none" w:pos="447"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xml:space="preserve">. For purposes of this Agreement, a termination for “Cause” means a termination by the Company based upon the Employee’s (i) persistent failure to perform duties consistent with a commercially 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 (iii) conviction of, or pleading nolo contendere to, criminal or other illegal activities involving dishonesty; (iv) material breach of this Agreement; or (v) impeding, or failing to materially cooperate with, an investigation authorized by the Board. The Employee’s termination for Cause shall be effective when and if a resolution is duly adopted by an affirmative vote of at least </w:t>
      </w:r>
      <w:r>
        <w:rPr>
          <w:rFonts w:ascii="Arial" w:cs="Arial" w:eastAsia="Arial" w:hAnsi="Arial"/>
          <w:sz w:val="9"/>
          <w:szCs w:val="9"/>
          <w:color w:val="auto"/>
        </w:rPr>
        <w:t>3</w:t>
      </w:r>
      <w:r>
        <w:rPr>
          <w:rFonts w:ascii="Arial" w:cs="Arial" w:eastAsia="Arial" w:hAnsi="Arial"/>
          <w:sz w:val="17"/>
          <w:szCs w:val="17"/>
          <w:color w:val="auto"/>
        </w:rPr>
        <w:t>/</w:t>
      </w:r>
      <w:r>
        <w:rPr>
          <w:rFonts w:ascii="Arial" w:cs="Arial" w:eastAsia="Arial" w:hAnsi="Arial"/>
          <w:sz w:val="9"/>
          <w:szCs w:val="9"/>
          <w:color w:val="auto"/>
        </w:rPr>
        <w:t>4</w:t>
      </w:r>
      <w:r>
        <w:rPr>
          <w:rFonts w:ascii="Arial" w:cs="Arial" w:eastAsia="Arial" w:hAnsi="Arial"/>
          <w:sz w:val="17"/>
          <w:szCs w:val="17"/>
          <w:color w:val="auto"/>
        </w:rPr>
        <w:t xml:space="preserve"> of the Board (less the Employee), stating that, in the good faith opinion of the Board, the Employee is guilty of the conduct described in the Notice of Termination and such conduct constitutes Cause under this Agreement; provided, however, that the Employee shall have been given reasonable opportunity (i) to cure any act or omission that constitutes Cause if capable of cure and (ii), together with counsel, during the thirty (30) day period following the receipt by the Employee of the Notice of Termination and prior to the adoption of the Board’s resolution, to be heard by the Board.</w:t>
      </w:r>
    </w:p>
    <w:p>
      <w:pPr>
        <w:spacing w:after="0" w:line="92" w:lineRule="exact"/>
        <w:rPr>
          <w:rFonts w:ascii="Arial" w:cs="Arial" w:eastAsia="Arial" w:hAnsi="Arial"/>
          <w:sz w:val="17"/>
          <w:szCs w:val="17"/>
          <w:color w:val="auto"/>
        </w:rPr>
      </w:pPr>
    </w:p>
    <w:p>
      <w:pPr>
        <w:ind w:left="447" w:right="220" w:hanging="447"/>
        <w:spacing w:after="0" w:line="267" w:lineRule="auto"/>
        <w:tabs>
          <w:tab w:leader="none" w:pos="447"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For purposes of this Agreement, a termination based upon “Disability” means a termination by the Company based upon the Employee’s entitlement to</w:t>
      </w:r>
    </w:p>
    <w:p>
      <w:pPr>
        <w:spacing w:after="0" w:line="153" w:lineRule="exact"/>
        <w:rPr>
          <w:sz w:val="20"/>
          <w:szCs w:val="20"/>
          <w:color w:val="auto"/>
        </w:rPr>
      </w:pPr>
    </w:p>
    <w:p>
      <w:pPr>
        <w:jc w:val="center"/>
        <w:ind w:right="213"/>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7"/>
          </w:cols>
          <w:pgMar w:left="473" w:top="927" w:right="239" w:bottom="1440" w:gutter="0" w:footer="0" w:header="0"/>
        </w:sectPr>
      </w:pPr>
    </w:p>
    <w:bookmarkStart w:id="185" w:name="page186"/>
    <w:bookmarkEnd w:id="185"/>
    <w:p>
      <w:pPr>
        <w:ind w:left="447"/>
        <w:spacing w:after="0"/>
        <w:rPr>
          <w:sz w:val="20"/>
          <w:szCs w:val="20"/>
          <w:color w:val="auto"/>
        </w:rPr>
      </w:pPr>
      <w:r>
        <w:rPr>
          <w:rFonts w:ascii="Arial" w:cs="Arial" w:eastAsia="Arial" w:hAnsi="Arial"/>
          <w:sz w:val="16"/>
          <w:szCs w:val="16"/>
          <w:color w:val="auto"/>
        </w:rPr>
        <w:t>long-term disability benefits under the Company’s long-term disability plan or policy, as the case may be, as in effect on the Date of Termination.</w:t>
      </w:r>
    </w:p>
    <w:p>
      <w:pPr>
        <w:spacing w:after="0" w:line="136" w:lineRule="exact"/>
        <w:rPr>
          <w:sz w:val="20"/>
          <w:szCs w:val="20"/>
          <w:color w:val="auto"/>
        </w:rPr>
      </w:pPr>
    </w:p>
    <w:p>
      <w:pPr>
        <w:ind w:left="447" w:right="80" w:hanging="447"/>
        <w:spacing w:after="0" w:line="267" w:lineRule="auto"/>
        <w:tabs>
          <w:tab w:leader="none" w:pos="447"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For purposes of this Agreement, a termination for “Good Reason” means a termination by the Employee during the Employment Term based upon the occurrence (without the Employee’s express written consent) of any of the following:</w:t>
      </w:r>
    </w:p>
    <w:p>
      <w:pPr>
        <w:spacing w:after="0" w:line="72" w:lineRule="exact"/>
        <w:rPr>
          <w:rFonts w:ascii="Arial" w:cs="Arial" w:eastAsia="Arial" w:hAnsi="Arial"/>
          <w:sz w:val="18"/>
          <w:szCs w:val="18"/>
          <w:color w:val="auto"/>
        </w:rPr>
      </w:pPr>
    </w:p>
    <w:p>
      <w:pPr>
        <w:ind w:left="887" w:right="200" w:hanging="433"/>
        <w:spacing w:after="0" w:line="267" w:lineRule="auto"/>
        <w:tabs>
          <w:tab w:leader="none" w:pos="88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 material diminution in the Employee’s position or title, or the assignment of duties to the Employee that are materially inconsistent with the Employee’s position or title;</w:t>
      </w:r>
    </w:p>
    <w:p>
      <w:pPr>
        <w:spacing w:after="0" w:line="86" w:lineRule="exact"/>
        <w:rPr>
          <w:rFonts w:ascii="Arial" w:cs="Arial" w:eastAsia="Arial" w:hAnsi="Arial"/>
          <w:sz w:val="18"/>
          <w:szCs w:val="18"/>
          <w:color w:val="auto"/>
        </w:rPr>
      </w:pPr>
    </w:p>
    <w:p>
      <w:pPr>
        <w:ind w:left="887" w:hanging="433"/>
        <w:spacing w:after="0"/>
        <w:tabs>
          <w:tab w:leader="none" w:pos="88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 material diminution in the Employee’s Annual Base Salary or Annual Bonus Opportunity;</w:t>
      </w:r>
    </w:p>
    <w:p>
      <w:pPr>
        <w:spacing w:after="0" w:line="126" w:lineRule="exact"/>
        <w:rPr>
          <w:rFonts w:ascii="Arial" w:cs="Arial" w:eastAsia="Arial" w:hAnsi="Arial"/>
          <w:sz w:val="18"/>
          <w:szCs w:val="18"/>
          <w:color w:val="auto"/>
        </w:rPr>
      </w:pPr>
    </w:p>
    <w:p>
      <w:pPr>
        <w:ind w:left="887" w:hanging="433"/>
        <w:spacing w:after="0" w:line="266" w:lineRule="auto"/>
        <w:tabs>
          <w:tab w:leader="none" w:pos="887" w:val="left"/>
        </w:tabs>
        <w:numPr>
          <w:ilvl w:val="1"/>
          <w:numId w:val="145"/>
        </w:numPr>
        <w:rPr>
          <w:rFonts w:ascii="Arial" w:cs="Arial" w:eastAsia="Arial" w:hAnsi="Arial"/>
          <w:sz w:val="17"/>
          <w:szCs w:val="17"/>
          <w:color w:val="auto"/>
        </w:rPr>
      </w:pPr>
      <w:r>
        <w:rPr>
          <w:rFonts w:ascii="Arial" w:cs="Arial" w:eastAsia="Arial" w:hAnsi="Arial"/>
          <w:sz w:val="17"/>
          <w:szCs w:val="17"/>
          <w:color w:val="auto"/>
        </w:rPr>
        <w:t>within six (6) months immediately preceding or within two (2) years immediately following a Change in Control: (A) a material adverse change in the Employee’s status, authority or responsibility (</w:t>
      </w:r>
      <w:r>
        <w:rPr>
          <w:rFonts w:ascii="Arial" w:cs="Arial" w:eastAsia="Arial" w:hAnsi="Arial"/>
          <w:sz w:val="17"/>
          <w:szCs w:val="17"/>
          <w:i w:val="1"/>
          <w:iCs w:val="1"/>
          <w:color w:val="auto"/>
        </w:rPr>
        <w:t>e.g.</w:t>
      </w:r>
      <w:r>
        <w:rPr>
          <w:rFonts w:ascii="Arial" w:cs="Arial" w:eastAsia="Arial" w:hAnsi="Arial"/>
          <w:sz w:val="17"/>
          <w:szCs w:val="17"/>
          <w:color w:val="auto"/>
        </w:rPr>
        <w:t>, the Company has determined that a change in the departments or functional groups over which the Employee has managerial authority would constitute such a material adverse change); (B) a material adverse change in the position to whom the Employee reports (including any requirement that the Employee report to a corporate officer or employee instead of reporting directly to the CEO) or to the Employee’s service relationship (or the conditions under which the Employee performs his duties) as a result of such reporting structure change, or a material diminution in the authority, duties or responsibilities of the position to whom the Employee reports; (C) a material diminution in the budget over which the Employee has managing authority; or (D) a material change in the geographic location of the Employee’s principal place of employment (</w:t>
      </w:r>
      <w:r>
        <w:rPr>
          <w:rFonts w:ascii="Arial" w:cs="Arial" w:eastAsia="Arial" w:hAnsi="Arial"/>
          <w:sz w:val="17"/>
          <w:szCs w:val="17"/>
          <w:i w:val="1"/>
          <w:iCs w:val="1"/>
          <w:color w:val="auto"/>
        </w:rPr>
        <w:t>e.g.</w:t>
      </w:r>
      <w:r>
        <w:rPr>
          <w:rFonts w:ascii="Arial" w:cs="Arial" w:eastAsia="Arial" w:hAnsi="Arial"/>
          <w:sz w:val="17"/>
          <w:szCs w:val="17"/>
          <w:color w:val="auto"/>
        </w:rPr>
        <w:t>, the Company has determined that a relocation of more than thirty-five (35) miles would constitute such a material change); or</w:t>
      </w:r>
    </w:p>
    <w:p>
      <w:pPr>
        <w:spacing w:after="0" w:line="90" w:lineRule="exact"/>
        <w:rPr>
          <w:rFonts w:ascii="Arial" w:cs="Arial" w:eastAsia="Arial" w:hAnsi="Arial"/>
          <w:sz w:val="17"/>
          <w:szCs w:val="17"/>
          <w:color w:val="auto"/>
        </w:rPr>
      </w:pPr>
    </w:p>
    <w:p>
      <w:pPr>
        <w:ind w:left="887" w:hanging="433"/>
        <w:spacing w:after="0"/>
        <w:tabs>
          <w:tab w:leader="none" w:pos="88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material breach by the Company of any of its other obligations under this Agreement.</w:t>
      </w:r>
    </w:p>
    <w:p>
      <w:pPr>
        <w:spacing w:after="0" w:line="113" w:lineRule="exact"/>
        <w:rPr>
          <w:sz w:val="20"/>
          <w:szCs w:val="20"/>
          <w:color w:val="auto"/>
        </w:rPr>
      </w:pPr>
    </w:p>
    <w:p>
      <w:pPr>
        <w:ind w:left="7"/>
        <w:spacing w:after="0" w:line="269" w:lineRule="auto"/>
        <w:rPr>
          <w:sz w:val="20"/>
          <w:szCs w:val="20"/>
          <w:color w:val="auto"/>
        </w:rPr>
      </w:pPr>
      <w:r>
        <w:rPr>
          <w:rFonts w:ascii="Arial" w:cs="Arial" w:eastAsia="Arial" w:hAnsi="Arial"/>
          <w:sz w:val="17"/>
          <w:szCs w:val="17"/>
          <w:color w:val="auto"/>
        </w:rPr>
        <w:t>Notwithstanding the foregoing, the Board placing the Employee on a paid leave for up to 60 days pending the determination of whether there is a basis to terminate the Employee for Cause, shall not constitute Good Reason. The Employee’s continued employment shall not constitute consent to, or a waiver of rights with respect to, any act or failure to act constituting Good Reason hereunder; provided, however, that no such event described above shall constitute Good Reason unless: (1) the Employee has given a Notice of Termination to the Company specifying the condition or event relied upon for such termination either: (x) within ninety (90) days of the initial existence of such event; or (y) in the case of an event predating a Change in Control, within ninety (90) days of the Change in Control; and (2) the Company fails to cure the condition or event constituting</w:t>
      </w:r>
    </w:p>
    <w:p>
      <w:pPr>
        <w:spacing w:after="0" w:line="152" w:lineRule="exact"/>
        <w:rPr>
          <w:sz w:val="20"/>
          <w:szCs w:val="20"/>
          <w:color w:val="auto"/>
        </w:rPr>
      </w:pPr>
    </w:p>
    <w:p>
      <w:pPr>
        <w:jc w:val="center"/>
        <w:ind w:right="173"/>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47"/>
          </w:cols>
          <w:pgMar w:left="473" w:top="927" w:right="279" w:bottom="1440" w:gutter="0" w:footer="0" w:header="0"/>
        </w:sectPr>
      </w:pPr>
    </w:p>
    <w:bookmarkStart w:id="186" w:name="page187"/>
    <w:bookmarkEnd w:id="186"/>
    <w:p>
      <w:pPr>
        <w:ind w:left="20"/>
        <w:spacing w:after="0"/>
        <w:rPr>
          <w:sz w:val="20"/>
          <w:szCs w:val="20"/>
          <w:color w:val="auto"/>
        </w:rPr>
      </w:pPr>
      <w:r>
        <w:rPr>
          <w:rFonts w:ascii="Arial" w:cs="Arial" w:eastAsia="Arial" w:hAnsi="Arial"/>
          <w:sz w:val="18"/>
          <w:szCs w:val="18"/>
          <w:color w:val="auto"/>
        </w:rPr>
        <w:t>Good Reason within the thirty (30) day period following receipt of the Employee’s Notice of Termination.</w:t>
      </w:r>
    </w:p>
    <w:p>
      <w:pPr>
        <w:spacing w:after="0" w:line="113" w:lineRule="exact"/>
        <w:rPr>
          <w:sz w:val="20"/>
          <w:szCs w:val="20"/>
          <w:color w:val="auto"/>
        </w:rPr>
      </w:pPr>
    </w:p>
    <w:p>
      <w:pPr>
        <w:ind w:left="180" w:hanging="171"/>
        <w:spacing w:after="0"/>
        <w:tabs>
          <w:tab w:leader="none" w:pos="1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Obligations of the Company upon Termination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60" w:right="720" w:hanging="447"/>
        <w:spacing w:after="0" w:line="331" w:lineRule="auto"/>
        <w:tabs>
          <w:tab w:leader="none" w:pos="460" w:val="left"/>
        </w:tabs>
        <w:numPr>
          <w:ilvl w:val="1"/>
          <w:numId w:val="146"/>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for other than Cause, Death or Disability or Termination by the Employee for Good Reason</w:t>
      </w:r>
      <w:r>
        <w:rPr>
          <w:rFonts w:ascii="Arial" w:cs="Arial" w:eastAsia="Arial" w:hAnsi="Arial"/>
          <w:sz w:val="16"/>
          <w:szCs w:val="16"/>
          <w:color w:val="auto"/>
        </w:rPr>
        <w:t>. If the Employee’s employment is terminated by the Company for any reason, other than Cause, Death or Disability or by the Employee for Good Reason:</w:t>
      </w:r>
    </w:p>
    <w:p>
      <w:pPr>
        <w:spacing w:after="0" w:line="25" w:lineRule="exact"/>
        <w:rPr>
          <w:rFonts w:ascii="Arial" w:cs="Arial" w:eastAsia="Arial" w:hAnsi="Arial"/>
          <w:sz w:val="16"/>
          <w:szCs w:val="16"/>
          <w:color w:val="auto"/>
        </w:rPr>
      </w:pPr>
    </w:p>
    <w:p>
      <w:pPr>
        <w:ind w:left="900" w:right="260" w:hanging="433"/>
        <w:spacing w:after="0" w:line="304" w:lineRule="auto"/>
        <w:tabs>
          <w:tab w:leader="none" w:pos="900" w:val="left"/>
        </w:tabs>
        <w:numPr>
          <w:ilvl w:val="2"/>
          <w:numId w:val="146"/>
        </w:numPr>
        <w:rPr>
          <w:rFonts w:ascii="Arial" w:cs="Arial" w:eastAsia="Arial" w:hAnsi="Arial"/>
          <w:sz w:val="16"/>
          <w:szCs w:val="16"/>
          <w:color w:val="auto"/>
        </w:rPr>
      </w:pPr>
      <w:r>
        <w:rPr>
          <w:rFonts w:ascii="Arial" w:cs="Arial" w:eastAsia="Arial" w:hAnsi="Arial"/>
          <w:sz w:val="16"/>
          <w:szCs w:val="16"/>
          <w:color w:val="auto"/>
        </w:rPr>
        <w:t>the Company shall pay to the Employee, (A) within five (5) business days after the Date of Termination, any earned but unpaid Annual Base Salary and any expense reimbursement payments owed to the Employee, and (B) no later than March 15 of the year in which the Date of Termination occurs, any earned but unpaid Annual Bonus payments relating to the prior calendar year (the “Accrued Obligations”);</w:t>
      </w:r>
    </w:p>
    <w:p>
      <w:pPr>
        <w:spacing w:after="0" w:line="60" w:lineRule="exact"/>
        <w:rPr>
          <w:rFonts w:ascii="Arial" w:cs="Arial" w:eastAsia="Arial" w:hAnsi="Arial"/>
          <w:sz w:val="16"/>
          <w:szCs w:val="16"/>
          <w:color w:val="auto"/>
        </w:rPr>
      </w:pPr>
    </w:p>
    <w:p>
      <w:pPr>
        <w:ind w:left="900" w:hanging="433"/>
        <w:spacing w:after="0" w:line="269" w:lineRule="auto"/>
        <w:tabs>
          <w:tab w:leader="none" w:pos="900" w:val="left"/>
        </w:tabs>
        <w:numPr>
          <w:ilvl w:val="2"/>
          <w:numId w:val="146"/>
        </w:numPr>
        <w:rPr>
          <w:rFonts w:ascii="Arial" w:cs="Arial" w:eastAsia="Arial" w:hAnsi="Arial"/>
          <w:sz w:val="17"/>
          <w:szCs w:val="17"/>
          <w:color w:val="auto"/>
        </w:rPr>
      </w:pPr>
      <w:r>
        <w:rPr>
          <w:rFonts w:ascii="Arial" w:cs="Arial" w:eastAsia="Arial" w:hAnsi="Arial"/>
          <w:sz w:val="17"/>
          <w:szCs w:val="17"/>
          <w:color w:val="auto"/>
        </w:rPr>
        <w:t>the Company shall pay to the Employee no later than March 15 of the calendar year following the year in which the Date of Termination occurs, a prorated Annual Bonus based upon the actual Annual Bonus that would have been earned by the Employee for the year in which the Date of Termination occurs (based upon the target Annual Bonus opportunity in the year in which the Date of Termination occurred, or the prior year if no target Annual Bonus opportunity has yet been determined, and the actual satisfaction of the applicable performance measures, but ignoring any requirement under the Annual Bonus Plan that the Employee must be employed on the payment date) multiplied by the percentage of the calendar year completed before the Date of Termination;</w:t>
      </w:r>
    </w:p>
    <w:p>
      <w:pPr>
        <w:spacing w:after="0" w:line="84" w:lineRule="exact"/>
        <w:rPr>
          <w:rFonts w:ascii="Arial" w:cs="Arial" w:eastAsia="Arial" w:hAnsi="Arial"/>
          <w:sz w:val="17"/>
          <w:szCs w:val="17"/>
          <w:color w:val="auto"/>
        </w:rPr>
      </w:pPr>
    </w:p>
    <w:p>
      <w:pPr>
        <w:ind w:left="900" w:right="220" w:hanging="433"/>
        <w:spacing w:after="0" w:line="252" w:lineRule="auto"/>
        <w:tabs>
          <w:tab w:leader="none" w:pos="90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the Company shall pay to the Employee, no later than the sixty-fifth (65</w:t>
      </w:r>
      <w:r>
        <w:rPr>
          <w:rFonts w:ascii="Arial" w:cs="Arial" w:eastAsia="Arial" w:hAnsi="Arial"/>
          <w:sz w:val="15"/>
          <w:szCs w:val="15"/>
          <w:color w:val="auto"/>
        </w:rPr>
        <w:t>th</w:t>
      </w:r>
      <w:r>
        <w:rPr>
          <w:rFonts w:ascii="Arial" w:cs="Arial" w:eastAsia="Arial" w:hAnsi="Arial"/>
          <w:sz w:val="18"/>
          <w:szCs w:val="18"/>
          <w:color w:val="auto"/>
        </w:rPr>
        <w:t>) calendar day after the Date of Termination, a lump-sum payment equal to 200% of the sum of (x) the Employee’s Annual Base Salary in effect immediately prior to the Date of Termination (disregarding any reduction in Annual Base Salary to which the Employee did not expressly consent in writing) and (y) the highest Annual Bonus paid to the Employee by the Company within the three (3) years preceding his termination of employment or, if higher, the target Annual Bonus opportunity in the year in which the Date of Termination occurs;</w:t>
      </w:r>
    </w:p>
    <w:p>
      <w:pPr>
        <w:spacing w:after="0" w:line="101" w:lineRule="exact"/>
        <w:rPr>
          <w:rFonts w:ascii="Arial" w:cs="Arial" w:eastAsia="Arial" w:hAnsi="Arial"/>
          <w:sz w:val="18"/>
          <w:szCs w:val="18"/>
          <w:color w:val="auto"/>
        </w:rPr>
      </w:pPr>
    </w:p>
    <w:p>
      <w:pPr>
        <w:ind w:left="900" w:right="20" w:hanging="433"/>
        <w:spacing w:after="0" w:line="254" w:lineRule="auto"/>
        <w:tabs>
          <w:tab w:leader="none" w:pos="90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all stock option, restricted stock and other equity-based incentive awards granted by the Company that were outstanding but not vested as of the Date of Termination shall become immediately vested and/or payable, as the case may be, unless the equity incentive awards are based upon satisfaction of performance criteria (not based solely on the passage of time); in which case, they will only vest pursuant to their express terms; and</w:t>
      </w:r>
    </w:p>
    <w:p>
      <w:pPr>
        <w:spacing w:after="0" w:line="16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145415</wp:posOffset>
            </wp:positionV>
            <wp:extent cx="725233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60"/>
          </w:cols>
          <w:pgMar w:left="460" w:top="927" w:right="279" w:bottom="1440" w:gutter="0" w:footer="0" w:header="0"/>
        </w:sectPr>
      </w:pPr>
    </w:p>
    <w:bookmarkStart w:id="187" w:name="page188"/>
    <w:bookmarkEnd w:id="187"/>
    <w:p>
      <w:pPr>
        <w:ind w:left="887" w:hanging="433"/>
        <w:spacing w:after="0"/>
        <w:tabs>
          <w:tab w:leader="none" w:pos="88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Company shall provide the Employee with certain continued welfare benefits as follows:</w:t>
      </w:r>
    </w:p>
    <w:p>
      <w:pPr>
        <w:spacing w:after="0" w:line="113" w:lineRule="exact"/>
        <w:rPr>
          <w:rFonts w:ascii="Arial" w:cs="Arial" w:eastAsia="Arial" w:hAnsi="Arial"/>
          <w:sz w:val="18"/>
          <w:szCs w:val="18"/>
          <w:color w:val="auto"/>
        </w:rPr>
      </w:pPr>
    </w:p>
    <w:p>
      <w:pPr>
        <w:ind w:left="1347" w:right="20" w:hanging="440"/>
        <w:spacing w:after="0" w:line="287" w:lineRule="auto"/>
        <w:tabs>
          <w:tab w:leader="none" w:pos="1347" w:val="left"/>
        </w:tabs>
        <w:numPr>
          <w:ilvl w:val="2"/>
          <w:numId w:val="147"/>
        </w:numPr>
        <w:rPr>
          <w:rFonts w:ascii="Arial" w:cs="Arial" w:eastAsia="Arial" w:hAnsi="Arial"/>
          <w:sz w:val="16"/>
          <w:szCs w:val="16"/>
          <w:color w:val="auto"/>
        </w:rPr>
      </w:pPr>
      <w:r>
        <w:rPr>
          <w:rFonts w:ascii="Arial" w:cs="Arial" w:eastAsia="Arial" w:hAnsi="Arial"/>
          <w:sz w:val="16"/>
          <w:szCs w:val="16"/>
          <w:color w:val="auto"/>
        </w:rPr>
        <w:t>Any life insurance coverage provided by the Company shall terminate at the same time as life insurance coverage would normally terminate for any other employee that terminates employment with the Company, and the Employee shall have the right to convert that life insurance coverage to an individual policy under the regular rules of the Company’s group policy. In addition, if the Employee is covered under or receives life insurance coverage provided by the Company on the Date of Termination, then within thirty (30) business days after the Date of Termination, the Company shall pay the Employee a lump sum cash payment equal to thirty-six (36) monthly life insurance premiums based on the monthly premiums that would be due assuming that the Employee had converted his Company life insurance coverage that was in effect on the Notice of Termination into an individual policy.</w:t>
      </w:r>
    </w:p>
    <w:p>
      <w:pPr>
        <w:spacing w:after="0" w:line="73" w:lineRule="exact"/>
        <w:rPr>
          <w:rFonts w:ascii="Arial" w:cs="Arial" w:eastAsia="Arial" w:hAnsi="Arial"/>
          <w:sz w:val="16"/>
          <w:szCs w:val="16"/>
          <w:color w:val="auto"/>
        </w:rPr>
      </w:pPr>
    </w:p>
    <w:p>
      <w:pPr>
        <w:ind w:left="1347" w:hanging="440"/>
        <w:spacing w:after="0" w:line="267" w:lineRule="auto"/>
        <w:tabs>
          <w:tab w:leader="none" w:pos="1347" w:val="left"/>
        </w:tabs>
        <w:numPr>
          <w:ilvl w:val="2"/>
          <w:numId w:val="147"/>
        </w:numPr>
        <w:rPr>
          <w:rFonts w:ascii="Arial" w:cs="Arial" w:eastAsia="Arial" w:hAnsi="Arial"/>
          <w:sz w:val="17"/>
          <w:szCs w:val="17"/>
          <w:color w:val="auto"/>
        </w:rPr>
      </w:pPr>
      <w:r>
        <w:rPr>
          <w:rFonts w:ascii="Arial" w:cs="Arial" w:eastAsia="Arial" w:hAnsi="Arial"/>
          <w:sz w:val="17"/>
          <w:szCs w:val="17"/>
          <w:color w:val="auto"/>
        </w:rPr>
        <w:t>As long as the Employee pays the full monthly premiums for COBRA coverage, the Company shall provide the Employee and, as applicable, the Employee’s eligible dependents with continued medical and dental coverage, on the same basis as provided to the Company’s active executives and their dependents until the earlier of: (i) three (3) years after the Date of Termination; or (ii) the date the Employee is first eligible for medical and dental coverage (without pre-existing condition limitations) with a subsequent employer. In addition, within thirty (30) business days after the Date of Termination, the Company shall pay the Employee a lump sum cash payment equal to thirty-six (36) monthly medical and dental COBRA premiums based on the level of coverage in effect for the Employee (</w:t>
      </w:r>
      <w:r>
        <w:rPr>
          <w:rFonts w:ascii="Arial" w:cs="Arial" w:eastAsia="Arial" w:hAnsi="Arial"/>
          <w:sz w:val="17"/>
          <w:szCs w:val="17"/>
          <w:i w:val="1"/>
          <w:iCs w:val="1"/>
          <w:color w:val="auto"/>
        </w:rPr>
        <w:t>e.g.</w:t>
      </w:r>
      <w:r>
        <w:rPr>
          <w:rFonts w:ascii="Arial" w:cs="Arial" w:eastAsia="Arial" w:hAnsi="Arial"/>
          <w:sz w:val="17"/>
          <w:szCs w:val="17"/>
          <w:color w:val="auto"/>
        </w:rPr>
        <w:t>, employee only or family coverage) on the Date of Termination.</w:t>
      </w:r>
    </w:p>
    <w:p>
      <w:pPr>
        <w:spacing w:after="0" w:line="77" w:lineRule="exact"/>
        <w:rPr>
          <w:rFonts w:ascii="Arial" w:cs="Arial" w:eastAsia="Arial" w:hAnsi="Arial"/>
          <w:sz w:val="17"/>
          <w:szCs w:val="17"/>
          <w:color w:val="auto"/>
        </w:rPr>
      </w:pPr>
    </w:p>
    <w:p>
      <w:pPr>
        <w:ind w:left="447" w:right="100" w:hanging="447"/>
        <w:spacing w:after="0" w:line="257" w:lineRule="auto"/>
        <w:tabs>
          <w:tab w:leader="none" w:pos="447"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or by the Employee without Good Reason</w:t>
      </w:r>
      <w:r>
        <w:rPr>
          <w:rFonts w:ascii="Arial" w:cs="Arial" w:eastAsia="Arial" w:hAnsi="Arial"/>
          <w:sz w:val="18"/>
          <w:szCs w:val="18"/>
          <w:color w:val="auto"/>
        </w:rPr>
        <w:t>. If the Employee’s employment is terminated (i) by the Company for Cause or (ii) by the Employee without Good Reason, the Company’s only obligation under this Agreement shall be payment of any earned but unpaid Annual Base Salary and any expense reimbursement payments owed to the Employee.</w:t>
      </w:r>
    </w:p>
    <w:p>
      <w:pPr>
        <w:spacing w:after="0" w:line="95" w:lineRule="exact"/>
        <w:rPr>
          <w:rFonts w:ascii="Arial" w:cs="Arial" w:eastAsia="Arial" w:hAnsi="Arial"/>
          <w:sz w:val="18"/>
          <w:szCs w:val="18"/>
          <w:color w:val="auto"/>
        </w:rPr>
      </w:pPr>
    </w:p>
    <w:p>
      <w:pPr>
        <w:ind w:left="447" w:right="40" w:hanging="447"/>
        <w:spacing w:after="0" w:line="254" w:lineRule="auto"/>
        <w:tabs>
          <w:tab w:leader="none" w:pos="447"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or Disability</w:t>
      </w:r>
      <w:r>
        <w:rPr>
          <w:rFonts w:ascii="Arial" w:cs="Arial" w:eastAsia="Arial" w:hAnsi="Arial"/>
          <w:sz w:val="18"/>
          <w:szCs w:val="18"/>
          <w:color w:val="auto"/>
        </w:rPr>
        <w:t>. If the Employee’s employment is terminated due to death or Disability, the Company shall pay to the Employee (or to the Employee’s estate or personal representative in the case of the Employee’s death), within thirty (30) business days after the Date of Termination, (i) any Accrued Obligations and (ii) a prorated Annual Bonus based on (A) the target Annual Bonus opportunity in the year in which the Date of Termination occurs or</w:t>
      </w:r>
    </w:p>
    <w:p>
      <w:pPr>
        <w:spacing w:after="0" w:line="164" w:lineRule="exact"/>
        <w:rPr>
          <w:sz w:val="20"/>
          <w:szCs w:val="20"/>
          <w:color w:val="auto"/>
        </w:rPr>
      </w:pPr>
    </w:p>
    <w:p>
      <w:pPr>
        <w:jc w:val="center"/>
        <w:ind w:right="93"/>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067"/>
          </w:cols>
          <w:pgMar w:left="473" w:top="1034" w:right="359" w:bottom="1440" w:gutter="0" w:footer="0" w:header="0"/>
        </w:sectPr>
      </w:pPr>
    </w:p>
    <w:bookmarkStart w:id="188" w:name="page189"/>
    <w:bookmarkEnd w:id="188"/>
    <w:p>
      <w:pPr>
        <w:ind w:left="447"/>
        <w:spacing w:after="0"/>
        <w:rPr>
          <w:sz w:val="20"/>
          <w:szCs w:val="20"/>
          <w:color w:val="auto"/>
        </w:rPr>
      </w:pPr>
      <w:r>
        <w:rPr>
          <w:rFonts w:ascii="Arial" w:cs="Arial" w:eastAsia="Arial" w:hAnsi="Arial"/>
          <w:sz w:val="17"/>
          <w:szCs w:val="17"/>
          <w:color w:val="auto"/>
        </w:rPr>
        <w:t>the prior year if no target Annual Bonus opportunity has yet been determined and (B) the fraction of the year the Employee was employed.</w:t>
      </w:r>
    </w:p>
    <w:p>
      <w:pPr>
        <w:spacing w:after="0" w:line="125" w:lineRule="exact"/>
        <w:rPr>
          <w:sz w:val="20"/>
          <w:szCs w:val="20"/>
          <w:color w:val="auto"/>
        </w:rPr>
      </w:pPr>
    </w:p>
    <w:p>
      <w:pPr>
        <w:ind w:left="447" w:right="160" w:hanging="447"/>
        <w:spacing w:after="0" w:line="267" w:lineRule="auto"/>
        <w:tabs>
          <w:tab w:leader="none" w:pos="447"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Definition of Change in Control</w:t>
      </w:r>
      <w:r>
        <w:rPr>
          <w:rFonts w:ascii="Arial" w:cs="Arial" w:eastAsia="Arial" w:hAnsi="Arial"/>
          <w:sz w:val="18"/>
          <w:szCs w:val="18"/>
          <w:color w:val="auto"/>
        </w:rPr>
        <w:t>. For purposes of this Agreement, the term “Change in Control” shall mean that the conditions set forth in any one of the following subsections shall have been satisfied:</w:t>
      </w:r>
    </w:p>
    <w:p>
      <w:pPr>
        <w:spacing w:after="0" w:line="72" w:lineRule="exact"/>
        <w:rPr>
          <w:rFonts w:ascii="Arial" w:cs="Arial" w:eastAsia="Arial" w:hAnsi="Arial"/>
          <w:sz w:val="18"/>
          <w:szCs w:val="18"/>
          <w:color w:val="auto"/>
        </w:rPr>
      </w:pPr>
    </w:p>
    <w:p>
      <w:pPr>
        <w:ind w:left="887" w:right="60" w:hanging="433"/>
        <w:spacing w:after="0" w:line="254" w:lineRule="auto"/>
        <w:tabs>
          <w:tab w:leader="none" w:pos="88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acquisition, directly or indirectly, by any “person” (within the meaning of Section 3(a)(9) of the Securities and Exchange Act of 1934, as amended (the “Exchange Act”) and used in Sections 13(d) and 14(d) thereof) of “beneficial ownership” (within the meaning of Rule 13d-3 of the Exchange Act) of securities of the Company possessing more than fifty percent (50%) of the total combined voting power of all outstanding securities of the Company;</w:t>
      </w:r>
    </w:p>
    <w:p>
      <w:pPr>
        <w:spacing w:after="0" w:line="97" w:lineRule="exact"/>
        <w:rPr>
          <w:rFonts w:ascii="Arial" w:cs="Arial" w:eastAsia="Arial" w:hAnsi="Arial"/>
          <w:sz w:val="18"/>
          <w:szCs w:val="18"/>
          <w:color w:val="auto"/>
        </w:rPr>
      </w:pPr>
    </w:p>
    <w:p>
      <w:pPr>
        <w:ind w:left="887" w:right="60" w:hanging="433"/>
        <w:spacing w:after="0" w:line="254" w:lineRule="auto"/>
        <w:tabs>
          <w:tab w:leader="none" w:pos="88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except for a transaction in which the holders of the outstanding voting securities of the Company immediately prior to such merger or consolidation hold, in the aggregate, securities possessing more than fifty percent (50%) of the total combined voting power of all outstanding voting securities of the surviving entity immediately after such merger or consolidation;</w:t>
      </w:r>
    </w:p>
    <w:p>
      <w:pPr>
        <w:spacing w:after="0" w:line="97" w:lineRule="exact"/>
        <w:rPr>
          <w:rFonts w:ascii="Arial" w:cs="Arial" w:eastAsia="Arial" w:hAnsi="Arial"/>
          <w:sz w:val="18"/>
          <w:szCs w:val="18"/>
          <w:color w:val="auto"/>
        </w:rPr>
      </w:pPr>
    </w:p>
    <w:p>
      <w:pPr>
        <w:ind w:left="887" w:right="120" w:hanging="433"/>
        <w:spacing w:after="0" w:line="257" w:lineRule="auto"/>
        <w:tabs>
          <w:tab w:leader="none" w:pos="88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 reverse merger in which the Company is the surviving entity but in which securities possessing more than fifty percent (50%) of the total combined voting power of all outstanding voting securities of the Company are transferred to or acquired by a person or persons different from the persons holding those securities immediately prior to such merger;</w:t>
      </w:r>
    </w:p>
    <w:p>
      <w:pPr>
        <w:spacing w:after="0" w:line="95" w:lineRule="exact"/>
        <w:rPr>
          <w:rFonts w:ascii="Arial" w:cs="Arial" w:eastAsia="Arial" w:hAnsi="Arial"/>
          <w:sz w:val="18"/>
          <w:szCs w:val="18"/>
          <w:color w:val="auto"/>
        </w:rPr>
      </w:pPr>
    </w:p>
    <w:p>
      <w:pPr>
        <w:ind w:left="887" w:hanging="433"/>
        <w:spacing w:after="0" w:line="254" w:lineRule="auto"/>
        <w:tabs>
          <w:tab w:leader="none" w:pos="88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during any period of two (2) consecutive years during the Employment Term or any extensions thereof, individuals, who, at the beginning of such period, constitute the Board, cease for any reason to constitute at least a majority thereof, unless the election of each director who was not a director at the beginning of such period has been approved in advance by directors representing at least two-thirds of the directors then in office who were directors at the beginning of the period;</w:t>
      </w:r>
    </w:p>
    <w:p>
      <w:pPr>
        <w:spacing w:after="0" w:line="97" w:lineRule="exact"/>
        <w:rPr>
          <w:rFonts w:ascii="Arial" w:cs="Arial" w:eastAsia="Arial" w:hAnsi="Arial"/>
          <w:sz w:val="18"/>
          <w:szCs w:val="18"/>
          <w:color w:val="auto"/>
        </w:rPr>
      </w:pPr>
    </w:p>
    <w:p>
      <w:pPr>
        <w:ind w:left="887" w:right="40" w:hanging="433"/>
        <w:spacing w:after="0" w:line="270" w:lineRule="auto"/>
        <w:tabs>
          <w:tab w:leader="none" w:pos="887"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sale, transfer or other disposition (in one transaction or a series of related transactions) of assets of the Company that have a total fair market value equal to or more than one-third of the total fair market value of all of the assets of the Company immediately prior to such sale, transfer or other disposition, other than a sale, transfer or other disposition to an entity (x) which immediately following such sale, transfer or other disposition owns, directly or indirectly, at least 50% of the Company’s outstanding voting securities or (y) 50% or more of whose outstanding voting securities is immediately following such sale, transfer or other disposition owned,</w:t>
      </w:r>
    </w:p>
    <w:p>
      <w:pPr>
        <w:spacing w:after="0" w:line="154" w:lineRule="exact"/>
        <w:rPr>
          <w:sz w:val="20"/>
          <w:szCs w:val="20"/>
          <w:color w:val="auto"/>
        </w:rPr>
      </w:pPr>
    </w:p>
    <w:p>
      <w:pPr>
        <w:jc w:val="center"/>
        <w:ind w:right="213"/>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7"/>
          </w:cols>
          <w:pgMar w:left="473" w:top="927" w:right="239" w:bottom="1440" w:gutter="0" w:footer="0" w:header="0"/>
        </w:sectPr>
      </w:pPr>
    </w:p>
    <w:bookmarkStart w:id="189" w:name="page190"/>
    <w:bookmarkEnd w:id="189"/>
    <w:p>
      <w:pPr>
        <w:ind w:left="900" w:right="200"/>
        <w:spacing w:after="0" w:line="267" w:lineRule="auto"/>
        <w:rPr>
          <w:sz w:val="20"/>
          <w:szCs w:val="20"/>
          <w:color w:val="auto"/>
        </w:rPr>
      </w:pPr>
      <w:r>
        <w:rPr>
          <w:rFonts w:ascii="Arial" w:cs="Arial" w:eastAsia="Arial" w:hAnsi="Arial"/>
          <w:sz w:val="18"/>
          <w:szCs w:val="18"/>
          <w:color w:val="auto"/>
        </w:rPr>
        <w:t>directly or indirectly, by the Company. For purposes of the foregoing clause, the sale of stock of a subsidiary of the Company (or the assets of such subsidiary) shall be treated as a sale of assets of the Company; or</w:t>
      </w:r>
    </w:p>
    <w:p>
      <w:pPr>
        <w:spacing w:after="0" w:line="73" w:lineRule="exact"/>
        <w:rPr>
          <w:sz w:val="20"/>
          <w:szCs w:val="20"/>
          <w:color w:val="auto"/>
        </w:rPr>
      </w:pPr>
    </w:p>
    <w:p>
      <w:pPr>
        <w:ind w:left="900" w:hanging="433"/>
        <w:spacing w:after="0"/>
        <w:tabs>
          <w:tab w:leader="none" w:pos="900" w:val="left"/>
        </w:tabs>
        <w:numPr>
          <w:ilvl w:val="2"/>
          <w:numId w:val="150"/>
        </w:numPr>
        <w:rPr>
          <w:rFonts w:ascii="Arial" w:cs="Arial" w:eastAsia="Arial" w:hAnsi="Arial"/>
          <w:sz w:val="18"/>
          <w:szCs w:val="18"/>
          <w:color w:val="auto"/>
        </w:rPr>
      </w:pPr>
      <w:r>
        <w:rPr>
          <w:rFonts w:ascii="Arial" w:cs="Arial" w:eastAsia="Arial" w:hAnsi="Arial"/>
          <w:sz w:val="18"/>
          <w:szCs w:val="18"/>
          <w:color w:val="auto"/>
        </w:rPr>
        <w:t>the approval by the stockholders of a plan or proposal for the liquidation or dissolution of the Company.</w:t>
      </w:r>
    </w:p>
    <w:p>
      <w:pPr>
        <w:spacing w:after="0" w:line="113" w:lineRule="exact"/>
        <w:rPr>
          <w:rFonts w:ascii="Arial" w:cs="Arial" w:eastAsia="Arial" w:hAnsi="Arial"/>
          <w:sz w:val="18"/>
          <w:szCs w:val="18"/>
          <w:color w:val="auto"/>
        </w:rPr>
      </w:pPr>
    </w:p>
    <w:p>
      <w:pPr>
        <w:ind w:left="460" w:right="80" w:hanging="447"/>
        <w:spacing w:after="0" w:line="267" w:lineRule="auto"/>
        <w:tabs>
          <w:tab w:leader="none" w:pos="460" w:val="left"/>
        </w:tabs>
        <w:numPr>
          <w:ilvl w:val="1"/>
          <w:numId w:val="151"/>
        </w:numPr>
        <w:rPr>
          <w:rFonts w:ascii="Arial" w:cs="Arial" w:eastAsia="Arial" w:hAnsi="Arial"/>
          <w:sz w:val="17"/>
          <w:szCs w:val="17"/>
          <w:color w:val="auto"/>
        </w:rPr>
      </w:pPr>
      <w:r>
        <w:rPr>
          <w:rFonts w:ascii="Arial" w:cs="Arial" w:eastAsia="Arial" w:hAnsi="Arial"/>
          <w:sz w:val="17"/>
          <w:szCs w:val="17"/>
          <w:u w:val="single" w:color="auto"/>
          <w:color w:val="auto"/>
        </w:rPr>
        <w:t>Six-Month Delay</w:t>
      </w:r>
      <w:r>
        <w:rPr>
          <w:rFonts w:ascii="Arial" w:cs="Arial" w:eastAsia="Arial" w:hAnsi="Arial"/>
          <w:sz w:val="17"/>
          <w:szCs w:val="17"/>
          <w:color w:val="auto"/>
        </w:rPr>
        <w:t>. To the extent the Employee is a “specified employee,” as defined in Section 409A(a)(2)(B)(i) of the Code and the regulations and other guidance promulgated thereunder and any elections made by the Company in accordance therewith, notwithstanding the timing of payment provided in any other Section of this Agreement, no payment, distribution or benefit under this Agreement that constitutes a distribution of deferred compensation (within the meaning of Treasury Regulation Section 1.409A-1(b)) upon separation from service (within the meaning of Treasury Regulation Section 1.409A-1(h)), after taking into account all available exemptions, that would otherwise be payable during the six (6) month period after separation from service, will be made during such six (6) month period, and any such payment, distribution or benefit will instead be paid on the first business day after such six (6) month period</w:t>
      </w:r>
    </w:p>
    <w:p>
      <w:pPr>
        <w:spacing w:after="0" w:line="77" w:lineRule="exact"/>
        <w:rPr>
          <w:rFonts w:ascii="Arial" w:cs="Arial" w:eastAsia="Arial" w:hAnsi="Arial"/>
          <w:sz w:val="17"/>
          <w:szCs w:val="17"/>
          <w:color w:val="auto"/>
        </w:rPr>
      </w:pPr>
    </w:p>
    <w:p>
      <w:pPr>
        <w:ind w:left="180" w:hanging="171"/>
        <w:spacing w:after="0"/>
        <w:tabs>
          <w:tab w:leader="none" w:pos="18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Excise Tax Gross-up Payments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60" w:hanging="447"/>
        <w:spacing w:after="0" w:line="265" w:lineRule="auto"/>
        <w:tabs>
          <w:tab w:leader="none" w:pos="46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If any payments or benefits paid or provided or to be paid or provided to the Employee or for his benefit pursuant to the terms of this Agreement or otherwise in connection with, or arising out of, his employment with the Company or its subsidiaries or the termination thereof (a “Payment” and, collectively, the “Payments”) would be subject to the excise tax (the “Excise Tax”) imposed by Section 4999 of the Code, then, except as otherwise provided in this Section 9(a), the Employee will be entitled to receive an additional payment (a “Gross-Up Payment”) in an amount such that, after payment by the Employee of all income taxes, all employment taxes and any Excise Tax imposed upon the Gross-Up Payment (including any related interest and penalties), the Employee retains an amount of the Gross-Up Payment equal to the Excise Tax (including any related interest and penalties) imposed upon the Payments. Notwithstanding the foregoing, if the amount of the Payments does not exceed by more than 3% the amount that would be payable to the Employee if the Payments were reduced to one dollar less than what would constitute a “parachute payment” under Section 280G of the Code (the “</w:t>
      </w:r>
      <w:r>
        <w:rPr>
          <w:rFonts w:ascii="Arial" w:cs="Arial" w:eastAsia="Arial" w:hAnsi="Arial"/>
          <w:sz w:val="17"/>
          <w:szCs w:val="17"/>
          <w:u w:val="single" w:color="auto"/>
          <w:color w:val="auto"/>
        </w:rPr>
        <w:t>Scaled Back Amount</w:t>
      </w:r>
      <w:r>
        <w:rPr>
          <w:rFonts w:ascii="Arial" w:cs="Arial" w:eastAsia="Arial" w:hAnsi="Arial"/>
          <w:sz w:val="17"/>
          <w:szCs w:val="17"/>
          <w:color w:val="auto"/>
        </w:rPr>
        <w:t>”), then the Payments shall be reduced, in a manner determined by the Employee, to the Scaled Back Amount, and the Employee shall not be entitled to any Gross-Up Payment.</w:t>
      </w:r>
    </w:p>
    <w:p>
      <w:pPr>
        <w:spacing w:after="0" w:line="95" w:lineRule="exact"/>
        <w:rPr>
          <w:rFonts w:ascii="Arial" w:cs="Arial" w:eastAsia="Arial" w:hAnsi="Arial"/>
          <w:sz w:val="17"/>
          <w:szCs w:val="17"/>
          <w:color w:val="auto"/>
        </w:rPr>
      </w:pPr>
    </w:p>
    <w:p>
      <w:pPr>
        <w:ind w:left="460" w:right="200" w:hanging="447"/>
        <w:spacing w:after="0" w:line="254" w:lineRule="auto"/>
        <w:tabs>
          <w:tab w:leader="none" w:pos="4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 initial determination of (i) whether a Gross-Up Payment is required pursuant to this Agreement, and, if applicable, the amount of such Gross-Up Payment or (ii) whether the Payments must be reduced to the Scaled Back Amount and, if so, the amount of such reduction, will be made at the Company’s expense by an accounting firm selected by the Company. The accounting firm will provide its determination, together with detailed supporting calculations and documentation,</w:t>
      </w:r>
    </w:p>
    <w:p>
      <w:pPr>
        <w:spacing w:after="0" w:line="16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145415</wp:posOffset>
            </wp:positionV>
            <wp:extent cx="725233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80"/>
          </w:cols>
          <w:pgMar w:left="460" w:top="927" w:right="259" w:bottom="1440" w:gutter="0" w:footer="0" w:header="0"/>
        </w:sectPr>
      </w:pPr>
    </w:p>
    <w:bookmarkStart w:id="190" w:name="page191"/>
    <w:bookmarkEnd w:id="190"/>
    <w:p>
      <w:pPr>
        <w:ind w:left="447"/>
        <w:spacing w:after="0" w:line="281" w:lineRule="auto"/>
        <w:rPr>
          <w:sz w:val="20"/>
          <w:szCs w:val="20"/>
          <w:color w:val="auto"/>
        </w:rPr>
      </w:pPr>
      <w:r>
        <w:rPr>
          <w:rFonts w:ascii="Arial" w:cs="Arial" w:eastAsia="Arial" w:hAnsi="Arial"/>
          <w:sz w:val="16"/>
          <w:szCs w:val="16"/>
          <w:color w:val="auto"/>
        </w:rPr>
        <w:t>to the Company and the Employee within ten (10) business days after the date of termination of Employee’s employment, or such other time as may be reasonably requested by the Company or the Employee. If the accounting firm determines that no Excise Tax is payable by the Employee with respect to a Payment or Payments, it will furnish the Employee with an opinion to that effect. If a Gross-Up Payment becomes payable, such Gross-Up Payment will be paid by the Company to the Employee within thirty (30) business days of the receipt of the accounting firm’s determination. If a reduction in Payments is required, such reduction shall be effectuated within thirty (30) business days of the receipt of the accounting firm’s determination. Within ten (10) business days after the accounting firm delivers its determination to the Employee, the Employee will have the right to dispute the determination. The existence of a dispute will not in any way affect the Employee’s right to receive a Gross-Up Payment in accordance with the determination. If there is no dispute, the determination will be binding, final, and conclusive upon the Company and the Employee. If there is a dispute, the Company and the Employee will together select a second accounting firm, which will review the determination and the Employee’s basis for the dispute and then will render its own determination, which will be binding, final, and conclusive on the Company and on the Employee for purposes of determining whether a Gross-Up Payment is required pursuant to this Section 9(b) or whether a reduction to the Scaled Back Amount is required, as the case may be. If as a result of any dispute pursuant to this Section 9(b) a Gross-Up Payment is made or additional Gross-Up Payments are made, such Gross-Up Payment(s) will be paid by the Company to the Employee within thirty (30) business days of the receipt of the second accounting firm’s determination. The Company will bear all costs associated with the second accounting firm’s determination, unless such determination does not result in additional Gross-Up Payments to the Employee or unless such determination does not mitigate the reduction in Payments required to arrive at the Scaled Back Amount, in which case all such costs will be borne by the Employee.</w:t>
      </w:r>
    </w:p>
    <w:p>
      <w:pPr>
        <w:spacing w:after="0" w:line="74" w:lineRule="exact"/>
        <w:rPr>
          <w:sz w:val="20"/>
          <w:szCs w:val="20"/>
          <w:color w:val="auto"/>
        </w:rPr>
      </w:pPr>
    </w:p>
    <w:p>
      <w:pPr>
        <w:ind w:left="447" w:right="20" w:hanging="447"/>
        <w:spacing w:after="0" w:line="270" w:lineRule="auto"/>
        <w:tabs>
          <w:tab w:leader="none" w:pos="447" w:val="left"/>
        </w:tabs>
        <w:numPr>
          <w:ilvl w:val="0"/>
          <w:numId w:val="153"/>
        </w:numPr>
        <w:rPr>
          <w:rFonts w:ascii="Arial" w:cs="Arial" w:eastAsia="Arial" w:hAnsi="Arial"/>
          <w:sz w:val="17"/>
          <w:szCs w:val="17"/>
          <w:color w:val="auto"/>
        </w:rPr>
      </w:pPr>
      <w:r>
        <w:rPr>
          <w:rFonts w:ascii="Arial" w:cs="Arial" w:eastAsia="Arial" w:hAnsi="Arial"/>
          <w:sz w:val="17"/>
          <w:szCs w:val="17"/>
          <w:color w:val="auto"/>
        </w:rPr>
        <w:t>For purposes of determining the amount of the Gross-Up Payment and, if applicable, the Scaled Back Amount, the Employee will be deemed to pay federal income taxes at the highest marginal rate of federal income taxation in the calendar year in which the Gross-Up Payment is to be made or the Scaled Back Amount is determined, as the case may be, and applicable state and local income taxes at the highest marginal rate of taxation in the state and locality of the Employee’s residence on the date of termination of Employee’s employment, net of the maximum reduction in federal income taxes that would be obtained from deduction of those state and local taxes.</w:t>
      </w:r>
    </w:p>
    <w:p>
      <w:pPr>
        <w:spacing w:after="0" w:line="87" w:lineRule="exact"/>
        <w:rPr>
          <w:rFonts w:ascii="Arial" w:cs="Arial" w:eastAsia="Arial" w:hAnsi="Arial"/>
          <w:sz w:val="17"/>
          <w:szCs w:val="17"/>
          <w:color w:val="auto"/>
        </w:rPr>
      </w:pPr>
    </w:p>
    <w:p>
      <w:pPr>
        <w:ind w:left="447" w:right="100" w:hanging="447"/>
        <w:spacing w:after="0" w:line="254" w:lineRule="auto"/>
        <w:tabs>
          <w:tab w:leader="none" w:pos="4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 a result of the uncertainty in the application of Section 4999 of the Code, it is possible that Gross-Up Payments which will not have been made by the Company should have been made, the Employee’s Payments will be reduced to the Scaled Back Amount when they should not have been or the Employee’s Payments are reduced to a greater extent than they should have been (an “Underpayment”) or Gross-Up Payments are made by the Company which should not have been made,</w:t>
      </w:r>
    </w:p>
    <w:p>
      <w:pPr>
        <w:spacing w:after="0" w:line="164" w:lineRule="exact"/>
        <w:rPr>
          <w:sz w:val="20"/>
          <w:szCs w:val="20"/>
          <w:color w:val="auto"/>
        </w:rPr>
      </w:pPr>
    </w:p>
    <w:p>
      <w:pPr>
        <w:jc w:val="center"/>
        <w:ind w:right="193"/>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67"/>
          </w:cols>
          <w:pgMar w:left="473" w:top="927" w:right="259" w:bottom="1440" w:gutter="0" w:footer="0" w:header="0"/>
        </w:sectPr>
      </w:pPr>
    </w:p>
    <w:bookmarkStart w:id="191" w:name="page192"/>
    <w:bookmarkEnd w:id="191"/>
    <w:p>
      <w:pPr>
        <w:ind w:left="447" w:right="20"/>
        <w:spacing w:after="0" w:line="281" w:lineRule="auto"/>
        <w:rPr>
          <w:sz w:val="20"/>
          <w:szCs w:val="20"/>
          <w:color w:val="auto"/>
        </w:rPr>
      </w:pPr>
      <w:r>
        <w:rPr>
          <w:rFonts w:ascii="Arial" w:cs="Arial" w:eastAsia="Arial" w:hAnsi="Arial"/>
          <w:sz w:val="16"/>
          <w:szCs w:val="16"/>
          <w:color w:val="auto"/>
        </w:rPr>
        <w:t>the Employee’s Payments are not reduced to the Scaled Back Amount when they should have been or they are not reduced to the extent they should have been (an “Overpayment”). If it is determined that an Underpayment has occurred, the accounting firm shall determine the amount of the Underpayment that has occurred and any such Underpayment (together with interest at the rate provided in Section 1274(b)(2)(B) of the Code) shall be promptly paid by the Company to or for the benefit of Employee. If it is determined that an Overpayment has occurred, the accounting firm shall determine the amount of the Overpayment that has occurred and any such Overpayment (together with interest at the rate provided in Section 1274(b)</w:t>
      </w:r>
    </w:p>
    <w:p>
      <w:pPr>
        <w:spacing w:after="0" w:line="1" w:lineRule="exact"/>
        <w:rPr>
          <w:sz w:val="20"/>
          <w:szCs w:val="20"/>
          <w:color w:val="auto"/>
        </w:rPr>
      </w:pPr>
    </w:p>
    <w:p>
      <w:pPr>
        <w:ind w:left="447" w:right="20"/>
        <w:spacing w:after="0" w:line="267" w:lineRule="auto"/>
        <w:rPr>
          <w:sz w:val="20"/>
          <w:szCs w:val="20"/>
          <w:color w:val="auto"/>
        </w:rPr>
      </w:pPr>
      <w:r>
        <w:rPr>
          <w:rFonts w:ascii="Arial" w:cs="Arial" w:eastAsia="Arial" w:hAnsi="Arial"/>
          <w:sz w:val="17"/>
          <w:szCs w:val="17"/>
          <w:color w:val="auto"/>
        </w:rPr>
        <w:t>(2) of the Code) shall be promptly paid by the Employee (to the extent he has received a refund if the applicable Excise Tax has been paid to the Internal Revenue Service) to or for the benefit of the Company; provided, however, that if the Company determines that such repayment obligation would be or result in an unlawful extension of credit under Section 13(k) of the Exchange Act, repayment shall not be required. The Employee shall cooperate, to the extent his expenses are reimbursed by the Company, with any reasonable requests by the Company in connection with any contest or disputes with the Internal Revenue Service in connection with the Excise Tax.</w:t>
      </w:r>
    </w:p>
    <w:p>
      <w:pPr>
        <w:spacing w:after="0" w:line="75" w:lineRule="exact"/>
        <w:rPr>
          <w:sz w:val="20"/>
          <w:szCs w:val="20"/>
          <w:color w:val="auto"/>
        </w:rPr>
      </w:pPr>
    </w:p>
    <w:p>
      <w:pPr>
        <w:ind w:left="447" w:hanging="447"/>
        <w:spacing w:after="0" w:line="269" w:lineRule="auto"/>
        <w:tabs>
          <w:tab w:leader="none" w:pos="447"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Employee shall notify the Company in writing of any claim by the Internal Revenue Service that, if successful, would require a payment resulting in an Underpayment. Such notification shall be given as soon as practicable but no later than ten (10) business days after the Employee is informed in writing of such claim and shall apprise the Company of the nature of such claim and the date on which such claim is requested to be paid. The Employee shall not pay such claim prior to the expiration of the thirty (30) day period following the date on which he gives such notice to the Company (or such shorter period ending on the date that any payment of taxes with respect to such claim is due). If the Company notifies the Employee in writing prior to the expiration of such period that it desires to contest such claim, the Employee shall:</w:t>
      </w:r>
    </w:p>
    <w:p>
      <w:pPr>
        <w:spacing w:after="0" w:line="72" w:lineRule="exact"/>
        <w:rPr>
          <w:sz w:val="20"/>
          <w:szCs w:val="20"/>
          <w:color w:val="auto"/>
        </w:rPr>
      </w:pPr>
    </w:p>
    <w:p>
      <w:pPr>
        <w:ind w:left="887" w:hanging="433"/>
        <w:spacing w:after="0"/>
        <w:tabs>
          <w:tab w:leader="none" w:pos="88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w:t>
      </w:r>
    </w:p>
    <w:p>
      <w:pPr>
        <w:spacing w:after="0" w:line="126" w:lineRule="exact"/>
        <w:rPr>
          <w:rFonts w:ascii="Arial" w:cs="Arial" w:eastAsia="Arial" w:hAnsi="Arial"/>
          <w:sz w:val="18"/>
          <w:szCs w:val="18"/>
          <w:color w:val="auto"/>
        </w:rPr>
      </w:pPr>
    </w:p>
    <w:p>
      <w:pPr>
        <w:ind w:left="887" w:right="360" w:hanging="433"/>
        <w:spacing w:after="0" w:line="331" w:lineRule="auto"/>
        <w:tabs>
          <w:tab w:leader="none" w:pos="88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39" w:lineRule="exact"/>
        <w:rPr>
          <w:rFonts w:ascii="Arial" w:cs="Arial" w:eastAsia="Arial" w:hAnsi="Arial"/>
          <w:sz w:val="16"/>
          <w:szCs w:val="16"/>
          <w:color w:val="auto"/>
        </w:rPr>
      </w:pPr>
    </w:p>
    <w:p>
      <w:pPr>
        <w:ind w:left="887" w:hanging="433"/>
        <w:spacing w:after="0"/>
        <w:tabs>
          <w:tab w:leader="none" w:pos="88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effectively to contest such claim, and</w:t>
      </w:r>
    </w:p>
    <w:p>
      <w:pPr>
        <w:spacing w:after="0" w:line="126" w:lineRule="exact"/>
        <w:rPr>
          <w:rFonts w:ascii="Arial" w:cs="Arial" w:eastAsia="Arial" w:hAnsi="Arial"/>
          <w:sz w:val="18"/>
          <w:szCs w:val="18"/>
          <w:color w:val="auto"/>
        </w:rPr>
      </w:pPr>
    </w:p>
    <w:p>
      <w:pPr>
        <w:ind w:left="887" w:hanging="433"/>
        <w:spacing w:after="0"/>
        <w:tabs>
          <w:tab w:leader="none" w:pos="88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 relating to such claim;</w:t>
      </w:r>
    </w:p>
    <w:p>
      <w:pPr>
        <w:spacing w:after="0" w:line="113" w:lineRule="exact"/>
        <w:rPr>
          <w:sz w:val="20"/>
          <w:szCs w:val="20"/>
          <w:color w:val="auto"/>
        </w:rPr>
      </w:pPr>
    </w:p>
    <w:p>
      <w:pPr>
        <w:ind w:left="447" w:right="520"/>
        <w:spacing w:after="0" w:line="267" w:lineRule="auto"/>
        <w:rPr>
          <w:sz w:val="20"/>
          <w:szCs w:val="20"/>
          <w:color w:val="auto"/>
        </w:rPr>
      </w:pPr>
      <w:r>
        <w:rPr>
          <w:rFonts w:ascii="Arial" w:cs="Arial" w:eastAsia="Arial" w:hAnsi="Arial"/>
          <w:sz w:val="18"/>
          <w:szCs w:val="18"/>
          <w:color w:val="auto"/>
        </w:rPr>
        <w:t>provided, however, that the Company shall bear and pay directly all costs and expenses (including additional interest and penalties) incurred in connection with</w:t>
      </w:r>
    </w:p>
    <w:p>
      <w:pPr>
        <w:spacing w:after="0" w:line="153" w:lineRule="exact"/>
        <w:rPr>
          <w:sz w:val="20"/>
          <w:szCs w:val="20"/>
          <w:color w:val="auto"/>
        </w:rPr>
      </w:pPr>
    </w:p>
    <w:p>
      <w:pPr>
        <w:jc w:val="center"/>
        <w:ind w:right="153"/>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145415</wp:posOffset>
            </wp:positionV>
            <wp:extent cx="725233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27"/>
          </w:cols>
          <w:pgMar w:left="473" w:top="927" w:right="299" w:bottom="1440" w:gutter="0" w:footer="0" w:header="0"/>
        </w:sectPr>
      </w:pPr>
    </w:p>
    <w:bookmarkStart w:id="192" w:name="page193"/>
    <w:bookmarkEnd w:id="192"/>
    <w:p>
      <w:pPr>
        <w:ind w:left="640"/>
        <w:spacing w:after="0" w:line="283" w:lineRule="auto"/>
        <w:rPr>
          <w:sz w:val="20"/>
          <w:szCs w:val="20"/>
          <w:color w:val="auto"/>
        </w:rPr>
      </w:pPr>
      <w:r>
        <w:rPr>
          <w:rFonts w:ascii="Arial" w:cs="Arial" w:eastAsia="Arial" w:hAnsi="Arial"/>
          <w:sz w:val="16"/>
          <w:szCs w:val="16"/>
          <w:color w:val="auto"/>
        </w:rPr>
        <w:t>such contest and shall indemnify and hold the Employee harmless, on an after-tax basis, for any Excise Tax or income tax (including related interest and penalties) imposed as a result of such representation and payment of costs and expenses. Without limitation on the foregoing provisions of this Section 9(e),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Employee to pay the tax claimed and sue for a refund or contest the claim in any permissible manner, and the Employee agrees to prosecute such contest to a determination before any administrative tribunal, in a court of initial jurisdiction and in one or more appellate courts, as the Company shall determine; provided, however, that if the Company directs the Employee to pay such claim and sue for a refund, the Company shall advance the amount of such payment to the Employee, on an interest-free basis and shall indemnify and hold the Employee harmless, on an after-tax basis, from any Excise Tax or income tax (including related interest or penalties) imposed with respect to such advance or with respect to any imputed income with respect to such advance. The Company’s control of the contest shall be limited to issues that may impact Gross-Up Payments or reduction in Payments under this Section 9, and the Employee shall be entitled to settle or contest, as the case may be, any other issue raised by the Internal Revenue Service or any other taxing authority.</w:t>
      </w:r>
    </w:p>
    <w:p>
      <w:pPr>
        <w:spacing w:after="0" w:line="64" w:lineRule="exact"/>
        <w:rPr>
          <w:sz w:val="20"/>
          <w:szCs w:val="20"/>
          <w:color w:val="auto"/>
        </w:rPr>
      </w:pPr>
    </w:p>
    <w:p>
      <w:pPr>
        <w:ind w:left="640" w:hanging="447"/>
        <w:spacing w:after="0" w:line="288" w:lineRule="auto"/>
        <w:tabs>
          <w:tab w:leader="none" w:pos="64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If, after the receipt by the Employee of an amount advanced by the Company pursuant to Section 9(e), the Employee becomes entitled to receive any refund with respect to such claim, the Employee shall (subject to the Company’s complying with the requirements of Section 9(e)) promptly pay to the Company the amount of such refund (together with any interest paid or credited thereon after taxes applicable thereto). If, after the receipt by the Employee of an amount advanced by the Company pursuant to Section 9(e), a determination is made that the Employee shall not be entitled to any refund with respect to such claim and the Company does not notify the Employee in writing of its intent to contest such denial of refund prior to the expiration of thirty (30) days after such determination, then such advance shall be forgiven and shall not be required to be repaid.</w:t>
      </w:r>
    </w:p>
    <w:p>
      <w:pPr>
        <w:spacing w:after="0" w:line="75" w:lineRule="exact"/>
        <w:rPr>
          <w:rFonts w:ascii="Arial" w:cs="Arial" w:eastAsia="Arial" w:hAnsi="Arial"/>
          <w:sz w:val="16"/>
          <w:szCs w:val="16"/>
          <w:color w:val="auto"/>
        </w:rPr>
      </w:pPr>
    </w:p>
    <w:p>
      <w:pPr>
        <w:ind w:left="640" w:right="120" w:hanging="447"/>
        <w:spacing w:after="0" w:line="267" w:lineRule="auto"/>
        <w:tabs>
          <w:tab w:leader="none" w:pos="6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payment under this Section 9 must be made by the Company no later than the end of the Employee’s tax year following the Employee’s tax year in which the Employee remits the related tax payments.</w:t>
      </w:r>
    </w:p>
    <w:p>
      <w:pPr>
        <w:spacing w:after="0" w:line="72" w:lineRule="exact"/>
        <w:rPr>
          <w:rFonts w:ascii="Arial" w:cs="Arial" w:eastAsia="Arial" w:hAnsi="Arial"/>
          <w:sz w:val="18"/>
          <w:szCs w:val="18"/>
          <w:color w:val="auto"/>
        </w:rPr>
      </w:pPr>
    </w:p>
    <w:p>
      <w:pPr>
        <w:ind w:left="-40" w:right="140" w:firstLine="229"/>
        <w:spacing w:after="0" w:line="331" w:lineRule="auto"/>
        <w:tabs>
          <w:tab w:leader="none" w:pos="449"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Non-Delegation of Employee’s Rights</w:t>
      </w:r>
      <w:r>
        <w:rPr>
          <w:rFonts w:ascii="Arial" w:cs="Arial" w:eastAsia="Arial" w:hAnsi="Arial"/>
          <w:sz w:val="16"/>
          <w:szCs w:val="16"/>
          <w:color w:val="auto"/>
        </w:rPr>
        <w:t>. The obligations, rights and benefits of the Employee hereunder are personal and may not be delegated, assigned or transferred in any manner whatsoever, nor are such obligations, rights or benefits subject to involuntary alienation, assignment or transfer.</w:t>
      </w:r>
    </w:p>
    <w:p>
      <w:pPr>
        <w:spacing w:after="0" w:line="25" w:lineRule="exact"/>
        <w:rPr>
          <w:rFonts w:ascii="Arial" w:cs="Arial" w:eastAsia="Arial" w:hAnsi="Arial"/>
          <w:sz w:val="16"/>
          <w:szCs w:val="16"/>
          <w:color w:val="auto"/>
        </w:rPr>
      </w:pPr>
    </w:p>
    <w:p>
      <w:pPr>
        <w:ind w:left="-40" w:right="560" w:firstLine="229"/>
        <w:spacing w:after="0" w:line="297" w:lineRule="auto"/>
        <w:tabs>
          <w:tab w:leader="none" w:pos="442"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The Employee acknowledges that in his capacity as an employee of the Company he will occupy a position of trust and confidence and he further acknowledges that he will have access to and learn substantial information about the Company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145415</wp:posOffset>
            </wp:positionV>
            <wp:extent cx="725233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80" w:top="927" w:right="259" w:bottom="1440" w:gutter="0" w:footer="0" w:header="0"/>
        </w:sectPr>
      </w:pPr>
    </w:p>
    <w:bookmarkStart w:id="193" w:name="page194"/>
    <w:bookmarkEnd w:id="193"/>
    <w:p>
      <w:pPr>
        <w:spacing w:after="0" w:line="284" w:lineRule="auto"/>
        <w:rPr>
          <w:sz w:val="20"/>
          <w:szCs w:val="20"/>
          <w:color w:val="auto"/>
        </w:rPr>
      </w:pPr>
      <w:r>
        <w:rPr>
          <w:rFonts w:ascii="Arial" w:cs="Arial" w:eastAsia="Arial" w:hAnsi="Arial"/>
          <w:sz w:val="16"/>
          <w:szCs w:val="16"/>
          <w:color w:val="auto"/>
        </w:rPr>
        <w:t>and its affiliates and their operations that is confidential or not generally known in the industry including, without limitation, information that relates to purchasing, sales, customers, marketing, and the Company’s and its affiliates’ financial positions and financing arrangements. The Employee agrees that all such information is proprietary or confidential, or constitutes trade secrets and is the sole property of the Company and/or its affiliates, as the case may be. The Employee will keep confidential, and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the Employee advise, discuss with or in any way assist any other person, firm or entity in obtaining or learning about any of the items described in this Section 11. Accordingly, the Employee agrees that during the Employment Term and at all times thereafter he will not disclose, or permit or encourage anyone else to disclose, any such information, nor will he utilize any such information, either alone or with others, outside the scope of his duties and responsibilities with the Company and its affiliates.</w:t>
      </w:r>
    </w:p>
    <w:p>
      <w:pPr>
        <w:spacing w:after="0" w:line="67" w:lineRule="exact"/>
        <w:rPr>
          <w:sz w:val="20"/>
          <w:szCs w:val="20"/>
          <w:color w:val="auto"/>
        </w:rPr>
      </w:pPr>
    </w:p>
    <w:p>
      <w:pPr>
        <w:ind w:firstLine="229"/>
        <w:spacing w:after="0" w:line="288" w:lineRule="auto"/>
        <w:tabs>
          <w:tab w:leader="none" w:pos="489"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Non-Competition During Employment Term</w:t>
      </w:r>
      <w:r>
        <w:rPr>
          <w:rFonts w:ascii="Arial" w:cs="Arial" w:eastAsia="Arial" w:hAnsi="Arial"/>
          <w:sz w:val="16"/>
          <w:szCs w:val="16"/>
          <w:color w:val="auto"/>
        </w:rPr>
        <w:t>. The Employee agrees that, during the Employment Term, he will devote substantially all his business time and effort, and give undivided loyalty, to the Company and its affiliates, and he will not engage in any way whatsoever, directly or indirectly, in any business that is competitive with the Company or its affiliates, nor solicit customers, suppliers or employees of the Company or affiliates on behalf of, or in any other manner work for or assist any business which is competitive with the Company or its affiliates. In addition, during the Employment Term, the Employee will undertake no planning for or organization of any business activity competitive with the work he performs as an employee of the Company, and the Employee will not combine or conspire with any other employee of the Company or any other person for the purpose of organizing any such competitive business activity.</w:t>
      </w:r>
    </w:p>
    <w:p>
      <w:pPr>
        <w:spacing w:after="0" w:line="62" w:lineRule="exact"/>
        <w:rPr>
          <w:rFonts w:ascii="Arial" w:cs="Arial" w:eastAsia="Arial" w:hAnsi="Arial"/>
          <w:sz w:val="16"/>
          <w:szCs w:val="16"/>
          <w:color w:val="auto"/>
        </w:rPr>
      </w:pPr>
    </w:p>
    <w:p>
      <w:pPr>
        <w:ind w:firstLine="229"/>
        <w:spacing w:after="0" w:line="284" w:lineRule="auto"/>
        <w:tabs>
          <w:tab w:leader="none" w:pos="489"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Non-Competition After Employment Term</w:t>
      </w:r>
      <w:r>
        <w:rPr>
          <w:rFonts w:ascii="Arial" w:cs="Arial" w:eastAsia="Arial" w:hAnsi="Arial"/>
          <w:sz w:val="16"/>
          <w:szCs w:val="16"/>
          <w:color w:val="auto"/>
        </w:rPr>
        <w:t>. The parties acknowledge that as an executive officer of the Company the Employee will acquire substantial knowledge and information concerning the business of the Company and its affiliates as a result of his employment. The parties further acknowledge that the scope of business in which the Company and its affiliates are engaged as of the Effective Date is national and very competitive and one in which few companies can successfully compete. Competition by an executive officer such as the Employee in that business after the Employment Term is terminated would severely injure the Company and its affiliates. Accordingly, for a period of one (1) year after the Employee’s employment terminates for any reason whatsoever, except as otherwise stated herein below, the Employee agrees (a) not to become an employee, consultant, advisor, principal, partner or substantial shareholder of any firm or business that in any way competes with the Company or its affiliates in any of their presently-existing or then-existing products and markets; and (b), on behalf of any such competitive firm or business, not to solicit any person or business that was at the time of such termination and remains a customer or prospective customer, a supplier or prospective supplier, or an employee of the Company or an affiliate. Notwithstanding any of the foregoing provisions to the contrary, the Employee shall not be subject to the restrictions set forth in this Section 13 under the following circumstances:</w:t>
      </w:r>
    </w:p>
    <w:p>
      <w:pPr>
        <w:spacing w:after="0" w:line="63" w:lineRule="exact"/>
        <w:rPr>
          <w:sz w:val="20"/>
          <w:szCs w:val="20"/>
          <w:color w:val="auto"/>
        </w:rPr>
      </w:pPr>
    </w:p>
    <w:p>
      <w:pPr>
        <w:ind w:left="5620" w:right="5240" w:hanging="5387"/>
        <w:spacing w:after="0" w:line="574" w:lineRule="auto"/>
        <w:tabs>
          <w:tab w:leader="none" w:pos="66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if the Employee’s employment is terminated by the Company without Cause;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725233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94" w:name="page195"/>
    <w:bookmarkEnd w:id="194"/>
    <w:p>
      <w:pPr>
        <w:ind w:left="680" w:hanging="447"/>
        <w:spacing w:after="0"/>
        <w:tabs>
          <w:tab w:leader="none" w:pos="6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the Employee’s employment is terminated as a result of the Company’s unwillingness to extend the Employment Term;</w:t>
      </w:r>
    </w:p>
    <w:p>
      <w:pPr>
        <w:spacing w:after="0" w:line="126" w:lineRule="exact"/>
        <w:rPr>
          <w:rFonts w:ascii="Arial" w:cs="Arial" w:eastAsia="Arial" w:hAnsi="Arial"/>
          <w:sz w:val="18"/>
          <w:szCs w:val="18"/>
          <w:color w:val="auto"/>
        </w:rPr>
      </w:pPr>
    </w:p>
    <w:p>
      <w:pPr>
        <w:ind w:left="680" w:hanging="447"/>
        <w:spacing w:after="0"/>
        <w:tabs>
          <w:tab w:leader="none" w:pos="6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the Employee terminates employment for Good Reason; or</w:t>
      </w:r>
    </w:p>
    <w:p>
      <w:pPr>
        <w:spacing w:after="0" w:line="126" w:lineRule="exact"/>
        <w:rPr>
          <w:rFonts w:ascii="Arial" w:cs="Arial" w:eastAsia="Arial" w:hAnsi="Arial"/>
          <w:sz w:val="18"/>
          <w:szCs w:val="18"/>
          <w:color w:val="auto"/>
        </w:rPr>
      </w:pPr>
    </w:p>
    <w:p>
      <w:pPr>
        <w:ind w:left="680" w:hanging="447"/>
        <w:spacing w:after="0"/>
        <w:tabs>
          <w:tab w:leader="none" w:pos="6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if the Employee terminates employment without Good Reason, any time during the one (1) year period immediately following a Change in Control.</w:t>
      </w:r>
    </w:p>
    <w:p>
      <w:pPr>
        <w:spacing w:after="0" w:line="136" w:lineRule="exact"/>
        <w:rPr>
          <w:sz w:val="20"/>
          <w:szCs w:val="20"/>
          <w:color w:val="auto"/>
        </w:rPr>
      </w:pPr>
    </w:p>
    <w:p>
      <w:pPr>
        <w:ind w:left="500" w:hanging="271"/>
        <w:spacing w:after="0"/>
        <w:tabs>
          <w:tab w:leader="none" w:pos="500"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Return of Company Documents</w:t>
      </w:r>
      <w:r>
        <w:rPr>
          <w:rFonts w:ascii="Arial" w:cs="Arial" w:eastAsia="Arial" w:hAnsi="Arial"/>
          <w:sz w:val="17"/>
          <w:szCs w:val="17"/>
          <w:color w:val="auto"/>
        </w:rPr>
        <w:t>. Upon termination of the Employment Term, Employee shall return immediately to the Company all records and</w:t>
      </w:r>
    </w:p>
    <w:p>
      <w:pPr>
        <w:spacing w:after="0" w:line="28" w:lineRule="exact"/>
        <w:rPr>
          <w:rFonts w:ascii="Arial" w:cs="Arial" w:eastAsia="Arial" w:hAnsi="Arial"/>
          <w:sz w:val="17"/>
          <w:szCs w:val="17"/>
          <w:color w:val="auto"/>
        </w:rPr>
      </w:pPr>
    </w:p>
    <w:p>
      <w:pPr>
        <w:ind w:right="80"/>
        <w:spacing w:after="0" w:line="254" w:lineRule="auto"/>
        <w:rPr>
          <w:rFonts w:ascii="Arial" w:cs="Arial" w:eastAsia="Arial" w:hAnsi="Arial"/>
          <w:sz w:val="17"/>
          <w:szCs w:val="17"/>
          <w:color w:val="auto"/>
        </w:rPr>
      </w:pPr>
      <w:r>
        <w:rPr>
          <w:rFonts w:ascii="Arial" w:cs="Arial" w:eastAsia="Arial" w:hAnsi="Arial"/>
          <w:sz w:val="18"/>
          <w:szCs w:val="18"/>
          <w:color w:val="auto"/>
        </w:rPr>
        <w:t>documents of or pertaining to the Company or its affiliates and shall not make or retain any copy or extract of any such record or document, and other property of the Company or its affiliates.</w:t>
      </w:r>
    </w:p>
    <w:p>
      <w:pPr>
        <w:spacing w:after="0" w:line="84" w:lineRule="exact"/>
        <w:rPr>
          <w:rFonts w:ascii="Arial" w:cs="Arial" w:eastAsia="Arial" w:hAnsi="Arial"/>
          <w:sz w:val="17"/>
          <w:szCs w:val="17"/>
          <w:color w:val="auto"/>
        </w:rPr>
      </w:pPr>
    </w:p>
    <w:p>
      <w:pPr>
        <w:ind w:right="100" w:firstLine="229"/>
        <w:spacing w:after="0" w:line="270" w:lineRule="auto"/>
        <w:tabs>
          <w:tab w:leader="none" w:pos="489"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Improvements and Inventions</w:t>
      </w:r>
      <w:r>
        <w:rPr>
          <w:rFonts w:ascii="Arial" w:cs="Arial" w:eastAsia="Arial" w:hAnsi="Arial"/>
          <w:sz w:val="17"/>
          <w:szCs w:val="17"/>
          <w:color w:val="auto"/>
        </w:rPr>
        <w:t>. Any and all improvements or inventions, which the Employee may make or participate in during the Employment Term, unless wholly unrelated to the business of the Company and its affiliates and produced not in the scope of Employee’s employment hereunder, shall be the sole and exclusive property of the Company. The Employee will, whenever requested by the Company, execute and deliver any and all documents which the Company shall deem appropriate in order to apply for and obtain patents for improvements or inventions or in order to assign and convey to the Company the sole and exclusive right, title and interest in and to such improvements, inventions, patents or applications.</w:t>
      </w:r>
    </w:p>
    <w:p>
      <w:pPr>
        <w:spacing w:after="0" w:line="73" w:lineRule="exact"/>
        <w:rPr>
          <w:rFonts w:ascii="Arial" w:cs="Arial" w:eastAsia="Arial" w:hAnsi="Arial"/>
          <w:sz w:val="17"/>
          <w:szCs w:val="17"/>
          <w:color w:val="auto"/>
        </w:rPr>
      </w:pPr>
    </w:p>
    <w:p>
      <w:pPr>
        <w:ind w:firstLine="229"/>
        <w:spacing w:after="0" w:line="267" w:lineRule="auto"/>
        <w:tabs>
          <w:tab w:leader="none" w:pos="489"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Actions</w:t>
      </w:r>
      <w:r>
        <w:rPr>
          <w:rFonts w:ascii="Arial" w:cs="Arial" w:eastAsia="Arial" w:hAnsi="Arial"/>
          <w:sz w:val="17"/>
          <w:szCs w:val="17"/>
          <w:color w:val="auto"/>
        </w:rPr>
        <w:t>. The parties agree and acknowledge that the rights conveyed by this Agreement are of a unique and special nature and that the Company will not have an adequate remedy at law in the event of a failure by the Employee to abide by its terms and conditions nor will money damages adequately compensate for such injury. It is, therefore, agreed between and hereby acknowledged by the parties that, in the event of a breach by the Employee of any of his obligations contained in this Agreement, the Company shall have the right, among other rights, to damages sustained thereby and to obtain an injunction or decree of specific performance from any court of competent jurisdiction to restrain or compel the Employee to perform as agreed herein. The Employee hereby acknowledges that obligations under Sections 11, 13, 14, 15, 16, 17 and 18 shall survive the termination of his employment and he shall be bound by their terms at all times subsequent to the termination of his employment for the periods specified therein. Nothing herein contained shall in any way limit or exclude any other right granted by law or equity to the Company.</w:t>
      </w:r>
    </w:p>
    <w:p>
      <w:pPr>
        <w:spacing w:after="0" w:line="73" w:lineRule="exact"/>
        <w:rPr>
          <w:rFonts w:ascii="Arial" w:cs="Arial" w:eastAsia="Arial" w:hAnsi="Arial"/>
          <w:sz w:val="17"/>
          <w:szCs w:val="17"/>
          <w:color w:val="auto"/>
        </w:rPr>
      </w:pPr>
    </w:p>
    <w:p>
      <w:pPr>
        <w:ind w:right="80" w:firstLine="229"/>
        <w:spacing w:after="0" w:line="287" w:lineRule="auto"/>
        <w:tabs>
          <w:tab w:leader="none" w:pos="489"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Notwithstanding any provision herein to the contrary, the Company may require that, prior to payment of any amount or provision of any benefit under Section 8 or payment of any Gross-Up Payment pursuant to Section 9 of this Agreement (other than due to the Employee’s death), the Employee shall have executed a complete release of the Company and its affiliates and related parties in such form as is reasonably required by the Company, and any waiting periods contained in such release shall have expired; provided, however, that such release relates only to the Employee’s employment relationship with the Company. With respect to any release required to receive payments owed pursuant to Section 8, the Company must provide the Employee with the form of release no later than seven (7) days after the Date of Termination and the release must be signed by the Employee and returned to the Company, unchanged, effective and irrevocable, no later than sixty (60) days after the Date of Termination.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034" w:right="259" w:bottom="1440" w:gutter="0" w:footer="0" w:header="0"/>
        </w:sectPr>
      </w:pPr>
    </w:p>
    <w:bookmarkStart w:id="195" w:name="page196"/>
    <w:bookmarkEnd w:id="195"/>
    <w:p>
      <w:pPr>
        <w:ind w:right="20" w:firstLine="229"/>
        <w:spacing w:after="0" w:line="254" w:lineRule="auto"/>
        <w:tabs>
          <w:tab w:leader="none" w:pos="489"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No Mitigation</w:t>
      </w:r>
      <w:r>
        <w:rPr>
          <w:rFonts w:ascii="Arial" w:cs="Arial" w:eastAsia="Arial" w:hAnsi="Arial"/>
          <w:sz w:val="18"/>
          <w:szCs w:val="18"/>
          <w:color w:val="auto"/>
        </w:rPr>
        <w:t>. The Company agrees that, if the Employee’s employment hereunder is terminated during the Employment Term, the Employee is not required to seek other employment or to attempt in any way to reduce any amounts payable to the Employee by the Company hereunder. Further, the amount of any payment or benefit provided for hereunder (other than pursuant to Section 8(a)(v) hereof) shall not be reduced by any compensation earned by the Employee as the result of employment by another employer, by retirement benefits or otherwise.</w:t>
      </w:r>
    </w:p>
    <w:p>
      <w:pPr>
        <w:spacing w:after="0" w:line="83" w:lineRule="exact"/>
        <w:rPr>
          <w:rFonts w:ascii="Arial" w:cs="Arial" w:eastAsia="Arial" w:hAnsi="Arial"/>
          <w:sz w:val="18"/>
          <w:szCs w:val="18"/>
          <w:color w:val="auto"/>
        </w:rPr>
      </w:pPr>
    </w:p>
    <w:p>
      <w:pPr>
        <w:ind w:right="380" w:firstLine="229"/>
        <w:spacing w:after="0" w:line="279" w:lineRule="auto"/>
        <w:tabs>
          <w:tab w:leader="none" w:pos="489"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Entire Agreement and Amendment</w:t>
      </w:r>
      <w:r>
        <w:rPr>
          <w:rFonts w:ascii="Arial" w:cs="Arial" w:eastAsia="Arial" w:hAnsi="Arial"/>
          <w:sz w:val="17"/>
          <w:szCs w:val="17"/>
          <w:color w:val="auto"/>
        </w:rPr>
        <w: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65" w:lineRule="exact"/>
        <w:rPr>
          <w:rFonts w:ascii="Arial" w:cs="Arial" w:eastAsia="Arial" w:hAnsi="Arial"/>
          <w:sz w:val="17"/>
          <w:szCs w:val="17"/>
          <w:color w:val="auto"/>
        </w:rPr>
      </w:pPr>
    </w:p>
    <w:p>
      <w:pPr>
        <w:jc w:val="both"/>
        <w:ind w:right="280" w:firstLine="229"/>
        <w:spacing w:after="0" w:line="257" w:lineRule="auto"/>
        <w:tabs>
          <w:tab w:leader="none" w:pos="489"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Florida, excluding any conflicts or choice of law rule or principle that might otherwise refer construction or interpretation of this Agreement to the substantive law of another jurisdiction. Any litigation pertaining to this Agreement shall be adjudicated in courts located in Duval County, Florida.</w:t>
      </w:r>
    </w:p>
    <w:p>
      <w:pPr>
        <w:spacing w:after="0" w:line="81" w:lineRule="exact"/>
        <w:rPr>
          <w:rFonts w:ascii="Arial" w:cs="Arial" w:eastAsia="Arial" w:hAnsi="Arial"/>
          <w:sz w:val="18"/>
          <w:szCs w:val="18"/>
          <w:color w:val="auto"/>
        </w:rPr>
      </w:pPr>
    </w:p>
    <w:p>
      <w:pPr>
        <w:ind w:firstLine="229"/>
        <w:spacing w:after="0" w:line="267" w:lineRule="auto"/>
        <w:tabs>
          <w:tab w:leader="none" w:pos="489"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In addition to any obligations imposed by law upon any successor to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Failure of the Company to obtain such assumption by a successor shall be a material breach of this Agreement. The Employee agrees and consents to any such assumption by a successor of the Company, as well as any assignment of this Agreement by the Company for that purpose. As used in this Agreement, “Company” shall mean the Company as herein before defined and any such successor that expressly assumes this Agreement or otherwise becomes bound by all the terms and provisions of this Agreement by operation of law.</w:t>
      </w:r>
    </w:p>
    <w:p>
      <w:pPr>
        <w:spacing w:after="0" w:line="77" w:lineRule="exact"/>
        <w:rPr>
          <w:rFonts w:ascii="Arial" w:cs="Arial" w:eastAsia="Arial" w:hAnsi="Arial"/>
          <w:sz w:val="17"/>
          <w:szCs w:val="17"/>
          <w:color w:val="auto"/>
        </w:rPr>
      </w:pPr>
    </w:p>
    <w:p>
      <w:pPr>
        <w:ind w:right="40" w:firstLine="229"/>
        <w:spacing w:after="0" w:line="267" w:lineRule="auto"/>
        <w:tabs>
          <w:tab w:leader="none" w:pos="489"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constitute one and the same instrument.</w:t>
      </w:r>
    </w:p>
    <w:p>
      <w:pPr>
        <w:spacing w:after="0" w:line="72" w:lineRule="exact"/>
        <w:rPr>
          <w:rFonts w:ascii="Arial" w:cs="Arial" w:eastAsia="Arial" w:hAnsi="Arial"/>
          <w:sz w:val="18"/>
          <w:szCs w:val="18"/>
          <w:color w:val="auto"/>
        </w:rPr>
      </w:pPr>
    </w:p>
    <w:p>
      <w:pPr>
        <w:ind w:left="500" w:hanging="271"/>
        <w:spacing w:after="0"/>
        <w:tabs>
          <w:tab w:leader="none" w:pos="500"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Attorneys’ Fees</w:t>
      </w:r>
      <w:r>
        <w:rPr>
          <w:rFonts w:ascii="Arial" w:cs="Arial" w:eastAsia="Arial" w:hAnsi="Arial"/>
          <w:sz w:val="17"/>
          <w:szCs w:val="17"/>
          <w:color w:val="auto"/>
        </w:rPr>
        <w:t>. If any party finds it necessary to employ legal counsel or to bring an action at law or other proceedings against the other party to</w:t>
      </w:r>
    </w:p>
    <w:p>
      <w:pPr>
        <w:spacing w:after="0" w:line="28" w:lineRule="exact"/>
        <w:rPr>
          <w:rFonts w:ascii="Arial" w:cs="Arial" w:eastAsia="Arial" w:hAnsi="Arial"/>
          <w:sz w:val="17"/>
          <w:szCs w:val="17"/>
          <w:color w:val="auto"/>
        </w:rPr>
      </w:pPr>
    </w:p>
    <w:p>
      <w:pPr>
        <w:ind w:right="20"/>
        <w:spacing w:after="0" w:line="266" w:lineRule="auto"/>
        <w:rPr>
          <w:rFonts w:ascii="Arial" w:cs="Arial" w:eastAsia="Arial" w:hAnsi="Arial"/>
          <w:sz w:val="17"/>
          <w:szCs w:val="17"/>
          <w:color w:val="auto"/>
        </w:rPr>
      </w:pPr>
      <w:r>
        <w:rPr>
          <w:rFonts w:ascii="Arial" w:cs="Arial" w:eastAsia="Arial" w:hAnsi="Arial"/>
          <w:sz w:val="17"/>
          <w:szCs w:val="17"/>
          <w:color w:val="auto"/>
        </w:rPr>
        <w:t>interpret or enforce any of the terms hereof, the party prevailing in any such action or other proceeding shall be paid by the other party its reasonable legal fees, court costs, litigation expenses, all as determined by the court and not a jury, and such payment shall be made by the non-prevailing party no later than the end of the Employee’s tax year following the Employee’s tax year in which the payment amount becomes known and payable; provided, however, that on or after a Change in Control, if any party finds it necessary to employ legal counsel or to bring an action at law or other proceedings against the other party to interpret or enforce any of the terms hereof, the Company shall pay (on an ongoing basis) to the Employee to the fullest extent permitted by law, all legal fees, court costs and litigation expenses reasonably incurred by the Employee or others on his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196" w:name="page197"/>
    <w:bookmarkEnd w:id="196"/>
    <w:p>
      <w:pPr>
        <w:ind w:right="600"/>
        <w:spacing w:after="0" w:line="297" w:lineRule="auto"/>
        <w:rPr>
          <w:sz w:val="20"/>
          <w:szCs w:val="20"/>
          <w:color w:val="auto"/>
        </w:rPr>
      </w:pPr>
      <w:r>
        <w:rPr>
          <w:rFonts w:ascii="Arial" w:cs="Arial" w:eastAsia="Arial" w:hAnsi="Arial"/>
          <w:sz w:val="17"/>
          <w:szCs w:val="17"/>
          <w:color w:val="auto"/>
        </w:rPr>
        <w:t>behalf (such amounts collectively referred to as the “Reimbursed Amounts”); provided, further, that the Employee shall reimburse the Company for the Reimbursed Amounts if it is determined that a majority of the Employee’s claims or defenses were frivolous or without merit.</w:t>
      </w:r>
    </w:p>
    <w:p>
      <w:pPr>
        <w:spacing w:after="0" w:line="50" w:lineRule="exact"/>
        <w:rPr>
          <w:sz w:val="20"/>
          <w:szCs w:val="20"/>
          <w:color w:val="auto"/>
        </w:rPr>
      </w:pPr>
    </w:p>
    <w:p>
      <w:pPr>
        <w:ind w:firstLine="229"/>
        <w:spacing w:after="0" w:line="287" w:lineRule="auto"/>
        <w:tabs>
          <w:tab w:leader="none" w:pos="489"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the Employee in this Agreement shall each be construed as an agreement independent of any other provision in this Agreement, and the existence of any claim or cause of action of the Employee against the Company, whether predicated on this Agreement or otherwise, shall not constitute a defense to the enforcement by the Company of the covenants in this Agreement.</w:t>
      </w:r>
    </w:p>
    <w:p>
      <w:pPr>
        <w:spacing w:after="0" w:line="60" w:lineRule="exact"/>
        <w:rPr>
          <w:rFonts w:ascii="Arial" w:cs="Arial" w:eastAsia="Arial" w:hAnsi="Arial"/>
          <w:sz w:val="16"/>
          <w:szCs w:val="16"/>
          <w:color w:val="auto"/>
        </w:rPr>
      </w:pPr>
    </w:p>
    <w:p>
      <w:pPr>
        <w:ind w:left="500" w:hanging="271"/>
        <w:spacing w:after="0"/>
        <w:tabs>
          <w:tab w:leader="none" w:pos="500"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or instruction to be given hereunder shall be in writing and shall be deemed given when personally delivered or three</w:t>
      </w:r>
    </w:p>
    <w:p>
      <w:pPr>
        <w:spacing w:after="0" w:line="40" w:lineRule="exact"/>
        <w:rPr>
          <w:rFonts w:ascii="Arial" w:cs="Arial" w:eastAsia="Arial" w:hAnsi="Arial"/>
          <w:sz w:val="16"/>
          <w:szCs w:val="16"/>
          <w:color w:val="auto"/>
        </w:rPr>
      </w:pPr>
    </w:p>
    <w:p>
      <w:pPr>
        <w:ind w:right="200" w:firstLine="7"/>
        <w:spacing w:after="0" w:line="254" w:lineRule="auto"/>
        <w:tabs>
          <w:tab w:leader="none" w:pos="25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days after being sent by United States Certified Mail, postage prepaid, with Return Receipt Requested, to the parties at their respective addresses set forth below:</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the Company:</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Fidelity National Financial, Inc.</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601 Riverside Avenue</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Jacksonville, FL 32204</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General Counsel</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the Employee: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Raymond R. Quirk</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 Fidelity National Financial, Inc.</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601 Riverside Avenue</w:t>
      </w:r>
    </w:p>
    <w:p>
      <w:pPr>
        <w:spacing w:after="0" w:line="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Jacksonville, FL 32204</w:t>
      </w:r>
    </w:p>
    <w:p>
      <w:pPr>
        <w:spacing w:after="0" w:line="102" w:lineRule="exact"/>
        <w:rPr>
          <w:sz w:val="20"/>
          <w:szCs w:val="20"/>
          <w:color w:val="auto"/>
        </w:rPr>
      </w:pPr>
    </w:p>
    <w:p>
      <w:pPr>
        <w:ind w:right="100" w:firstLine="229"/>
        <w:spacing w:after="0" w:line="267" w:lineRule="auto"/>
        <w:tabs>
          <w:tab w:leader="none" w:pos="489"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Waiver of Breach</w:t>
      </w:r>
      <w:r>
        <w:rPr>
          <w:rFonts w:ascii="Arial" w:cs="Arial" w:eastAsia="Arial" w:hAnsi="Arial"/>
          <w:sz w:val="18"/>
          <w:szCs w:val="18"/>
          <w:color w:val="auto"/>
        </w:rPr>
        <w:t>. The waiver by any party of any provisions of this Agreement shall not operate or be construed as a waiver of any prior or subsequent breach by the other party.</w:t>
      </w:r>
    </w:p>
    <w:p>
      <w:pPr>
        <w:spacing w:after="0" w:line="72" w:lineRule="exact"/>
        <w:rPr>
          <w:rFonts w:ascii="Arial" w:cs="Arial" w:eastAsia="Arial" w:hAnsi="Arial"/>
          <w:sz w:val="18"/>
          <w:szCs w:val="18"/>
          <w:color w:val="auto"/>
        </w:rPr>
      </w:pPr>
    </w:p>
    <w:p>
      <w:pPr>
        <w:ind w:right="100" w:firstLine="229"/>
        <w:spacing w:after="0" w:line="267" w:lineRule="auto"/>
        <w:tabs>
          <w:tab w:leader="none" w:pos="489"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or an affiliate may deduct from all compensation and benefits payable under this Agreement any taxes or withholdings the Company is required to deduct pursuant to state, federal or local laws.</w:t>
      </w:r>
    </w:p>
    <w:p>
      <w:pPr>
        <w:spacing w:after="0" w:line="72" w:lineRule="exact"/>
        <w:rPr>
          <w:rFonts w:ascii="Arial" w:cs="Arial" w:eastAsia="Arial" w:hAnsi="Arial"/>
          <w:sz w:val="18"/>
          <w:szCs w:val="18"/>
          <w:color w:val="auto"/>
        </w:rPr>
      </w:pPr>
    </w:p>
    <w:p>
      <w:pPr>
        <w:ind w:right="60" w:firstLine="229"/>
        <w:spacing w:after="0" w:line="267" w:lineRule="auto"/>
        <w:tabs>
          <w:tab w:leader="none" w:pos="489"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To the extent applicable, it is intended that this Agreement and any payment made hereunder shall comply with the requirements of Section 409A of the Code, and any related regulations or other guidance promulgated with respect to such Section by</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927" w:right="279" w:bottom="1440" w:gutter="0" w:footer="0" w:header="0"/>
        </w:sectPr>
      </w:pPr>
    </w:p>
    <w:bookmarkStart w:id="197" w:name="page198"/>
    <w:bookmarkEnd w:id="197"/>
    <w:p>
      <w:pPr>
        <w:spacing w:after="0" w:line="295" w:lineRule="auto"/>
        <w:rPr>
          <w:sz w:val="20"/>
          <w:szCs w:val="20"/>
          <w:color w:val="auto"/>
        </w:rPr>
      </w:pPr>
      <w:r>
        <w:rPr>
          <w:rFonts w:ascii="Arial" w:cs="Arial" w:eastAsia="Arial" w:hAnsi="Arial"/>
          <w:sz w:val="16"/>
          <w:szCs w:val="16"/>
          <w:color w:val="auto"/>
        </w:rPr>
        <w:t>the U.S. Department of the Treasury or the Internal Revenue Service (“Code Section 409A”). Any provision that would cause the Agreement or any payment hereof to fail to satisfy Code Section 409A shall have no force or effect until amended to comply with Code Section 409A, which amendment may be retroactive to the extent permitted by Code Section 409A. In addition, the direct payment or reimbursement of expenses permitted under this Agreement or otherwise shall be made no later than the last day of the Employee’s taxable year following the taxable year in which such expense was incurred.</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WITNESS WHEREOF the parties have executed this Agreement to be effective as of the date first set forth above.</w:t>
      </w: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FIDELITY NATIONAL FINANCIAL, INC.</w:t>
      </w:r>
    </w:p>
    <w:p>
      <w:pPr>
        <w:spacing w:after="0" w:line="22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 /s/ Alan L. Stinson</w:t>
      </w:r>
    </w:p>
    <w:p>
      <w:pPr>
        <w:spacing w:after="0" w:line="1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Its: Chief Executive Officer</w:t>
      </w:r>
    </w:p>
    <w:p>
      <w:pPr>
        <w:spacing w:after="0" w:line="20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RAYMOND R. QUIRK</w:t>
      </w:r>
    </w:p>
    <w:p>
      <w:pPr>
        <w:spacing w:after="0" w:line="22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3484245</wp:posOffset>
            </wp:positionH>
            <wp:positionV relativeFrom="paragraph">
              <wp:posOffset>12065</wp:posOffset>
            </wp:positionV>
            <wp:extent cx="268414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8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927" w:right="479" w:bottom="1440" w:gutter="0" w:footer="0" w:header="0"/>
        </w:sectPr>
      </w:pPr>
    </w:p>
    <w:bookmarkStart w:id="198" w:name="page199"/>
    <w:bookmarkEnd w:id="198"/>
    <w:p>
      <w:pPr>
        <w:jc w:val="center"/>
        <w:ind w:right="-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313295" cy="1187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13295" cy="1187450"/>
                    </a:xfrm>
                    <a:prstGeom prst="rect">
                      <a:avLst/>
                    </a:prstGeom>
                    <a:noFill/>
                  </pic:spPr>
                </pic:pic>
              </a:graphicData>
            </a:graphic>
          </wp:anchor>
        </w:drawing>
        <w:t>F</w:t>
      </w:r>
      <w:r>
        <w:rPr>
          <w:rFonts w:ascii="Arial" w:cs="Arial" w:eastAsia="Arial" w:hAnsi="Arial"/>
          <w:sz w:val="12"/>
          <w:szCs w:val="12"/>
          <w:b w:val="1"/>
          <w:bCs w:val="1"/>
          <w:color w:val="auto"/>
        </w:rPr>
        <w:t>IDELITY</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ATIONAL</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INANCIAL</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3"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EFERRED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102"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A</w:t>
      </w:r>
      <w:r>
        <w:rPr>
          <w:rFonts w:ascii="Arial" w:cs="Arial" w:eastAsia="Arial" w:hAnsi="Arial"/>
          <w:sz w:val="11"/>
          <w:szCs w:val="11"/>
          <w:color w:val="auto"/>
        </w:rPr>
        <w:t>MENDED</w:t>
      </w:r>
      <w:r>
        <w:rPr>
          <w:rFonts w:ascii="Arial" w:cs="Arial" w:eastAsia="Arial" w:hAnsi="Arial"/>
          <w:sz w:val="17"/>
          <w:szCs w:val="17"/>
          <w:color w:val="auto"/>
        </w:rPr>
        <w:t xml:space="preserve"> A</w:t>
      </w:r>
      <w:r>
        <w:rPr>
          <w:rFonts w:ascii="Arial" w:cs="Arial" w:eastAsia="Arial" w:hAnsi="Arial"/>
          <w:sz w:val="11"/>
          <w:szCs w:val="11"/>
          <w:color w:val="auto"/>
        </w:rPr>
        <w:t>ND</w:t>
      </w:r>
      <w:r>
        <w:rPr>
          <w:rFonts w:ascii="Arial" w:cs="Arial" w:eastAsia="Arial" w:hAnsi="Arial"/>
          <w:sz w:val="17"/>
          <w:szCs w:val="17"/>
          <w:color w:val="auto"/>
        </w:rPr>
        <w:t xml:space="preserve"> R</w:t>
      </w:r>
      <w:r>
        <w:rPr>
          <w:rFonts w:ascii="Arial" w:cs="Arial" w:eastAsia="Arial" w:hAnsi="Arial"/>
          <w:sz w:val="11"/>
          <w:szCs w:val="11"/>
          <w:color w:val="auto"/>
        </w:rPr>
        <w:t>ESTATED</w:t>
      </w:r>
      <w:r>
        <w:rPr>
          <w:rFonts w:ascii="Arial" w:cs="Arial" w:eastAsia="Arial" w:hAnsi="Arial"/>
          <w:sz w:val="17"/>
          <w:szCs w:val="17"/>
          <w:color w:val="auto"/>
        </w:rPr>
        <w:t>, E</w:t>
      </w:r>
      <w:r>
        <w:rPr>
          <w:rFonts w:ascii="Arial" w:cs="Arial" w:eastAsia="Arial" w:hAnsi="Arial"/>
          <w:sz w:val="11"/>
          <w:szCs w:val="11"/>
          <w:color w:val="auto"/>
        </w:rPr>
        <w:t>FFECTIVE</w:t>
      </w:r>
      <w:r>
        <w:rPr>
          <w:rFonts w:ascii="Arial" w:cs="Arial" w:eastAsia="Arial" w:hAnsi="Arial"/>
          <w:sz w:val="17"/>
          <w:szCs w:val="17"/>
          <w:color w:val="auto"/>
        </w:rPr>
        <w:t xml:space="preserve"> J</w:t>
      </w:r>
      <w:r>
        <w:rPr>
          <w:rFonts w:ascii="Arial" w:cs="Arial" w:eastAsia="Arial" w:hAnsi="Arial"/>
          <w:sz w:val="11"/>
          <w:szCs w:val="11"/>
          <w:color w:val="auto"/>
        </w:rPr>
        <w:t>ANUARY</w:t>
      </w:r>
      <w:r>
        <w:rPr>
          <w:rFonts w:ascii="Arial" w:cs="Arial" w:eastAsia="Arial" w:hAnsi="Arial"/>
          <w:sz w:val="17"/>
          <w:szCs w:val="17"/>
          <w:color w:val="auto"/>
        </w:rPr>
        <w:t xml:space="preserve">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635000</wp:posOffset>
            </wp:positionV>
            <wp:extent cx="725233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9019"/>
          </w:cols>
          <w:pgMar w:left="1440" w:top="481" w:right="1440"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0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w:t>
            </w:r>
          </w:p>
        </w:tc>
        <w:tc>
          <w:tcPr>
            <w:tcW w:w="4220" w:type="dxa"/>
            <w:vAlign w:val="bottom"/>
          </w:tcPr>
          <w:p>
            <w:pPr>
              <w:spacing w:after="0"/>
              <w:rPr>
                <w:sz w:val="19"/>
                <w:szCs w:val="19"/>
                <w:color w:val="auto"/>
              </w:rPr>
            </w:pPr>
          </w:p>
        </w:tc>
      </w:tr>
      <w:tr>
        <w:trPr>
          <w:trHeight w:val="224"/>
        </w:trPr>
        <w:tc>
          <w:tcPr>
            <w:tcW w:w="7200" w:type="dxa"/>
            <w:vAlign w:val="bottom"/>
          </w:tcPr>
          <w:p>
            <w:pPr>
              <w:ind w:left="200"/>
              <w:spacing w:after="0"/>
              <w:rPr>
                <w:sz w:val="20"/>
                <w:szCs w:val="20"/>
                <w:color w:val="auto"/>
              </w:rPr>
            </w:pPr>
            <w:r>
              <w:rPr>
                <w:rFonts w:ascii="Arial" w:cs="Arial" w:eastAsia="Arial" w:hAnsi="Arial"/>
                <w:sz w:val="18"/>
                <w:szCs w:val="18"/>
                <w:color w:val="auto"/>
              </w:rPr>
              <w:t>Establishment and Purpose</w:t>
            </w:r>
          </w:p>
        </w:tc>
        <w:tc>
          <w:tcPr>
            <w:tcW w:w="4220" w:type="dxa"/>
            <w:vAlign w:val="bottom"/>
          </w:tcPr>
          <w:p>
            <w:pPr>
              <w:jc w:val="right"/>
              <w:ind w:right="131"/>
              <w:spacing w:after="0"/>
              <w:rPr>
                <w:sz w:val="20"/>
                <w:szCs w:val="20"/>
                <w:color w:val="auto"/>
              </w:rPr>
            </w:pPr>
            <w:r>
              <w:rPr>
                <w:rFonts w:ascii="Arial" w:cs="Arial" w:eastAsia="Arial" w:hAnsi="Arial"/>
                <w:sz w:val="18"/>
                <w:szCs w:val="18"/>
                <w:color w:val="auto"/>
              </w:rPr>
              <w:t>1</w:t>
            </w:r>
          </w:p>
        </w:tc>
      </w:tr>
      <w:tr>
        <w:trPr>
          <w:trHeight w:val="416"/>
        </w:trPr>
        <w:tc>
          <w:tcPr>
            <w:tcW w:w="720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II</w:t>
            </w:r>
          </w:p>
        </w:tc>
        <w:tc>
          <w:tcPr>
            <w:tcW w:w="4220" w:type="dxa"/>
            <w:vAlign w:val="bottom"/>
          </w:tcPr>
          <w:p>
            <w:pPr>
              <w:spacing w:after="0"/>
              <w:rPr>
                <w:sz w:val="24"/>
                <w:szCs w:val="24"/>
                <w:color w:val="auto"/>
              </w:rPr>
            </w:pPr>
          </w:p>
        </w:tc>
      </w:tr>
      <w:tr>
        <w:trPr>
          <w:trHeight w:val="224"/>
        </w:trPr>
        <w:tc>
          <w:tcPr>
            <w:tcW w:w="720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4220" w:type="dxa"/>
            <w:vAlign w:val="bottom"/>
          </w:tcPr>
          <w:p>
            <w:pPr>
              <w:jc w:val="right"/>
              <w:ind w:right="131"/>
              <w:spacing w:after="0"/>
              <w:rPr>
                <w:sz w:val="20"/>
                <w:szCs w:val="20"/>
                <w:color w:val="auto"/>
              </w:rPr>
            </w:pPr>
            <w:r>
              <w:rPr>
                <w:rFonts w:ascii="Arial" w:cs="Arial" w:eastAsia="Arial" w:hAnsi="Arial"/>
                <w:sz w:val="18"/>
                <w:szCs w:val="18"/>
                <w:color w:val="auto"/>
              </w:rPr>
              <w:t>1</w:t>
            </w:r>
          </w:p>
        </w:tc>
      </w:tr>
      <w:tr>
        <w:trPr>
          <w:trHeight w:val="416"/>
        </w:trPr>
        <w:tc>
          <w:tcPr>
            <w:tcW w:w="720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III</w:t>
            </w:r>
          </w:p>
        </w:tc>
        <w:tc>
          <w:tcPr>
            <w:tcW w:w="4220" w:type="dxa"/>
            <w:vAlign w:val="bottom"/>
          </w:tcPr>
          <w:p>
            <w:pPr>
              <w:spacing w:after="0"/>
              <w:rPr>
                <w:sz w:val="24"/>
                <w:szCs w:val="24"/>
                <w:color w:val="auto"/>
              </w:rPr>
            </w:pPr>
          </w:p>
        </w:tc>
      </w:tr>
      <w:tr>
        <w:trPr>
          <w:trHeight w:val="224"/>
        </w:trPr>
        <w:tc>
          <w:tcPr>
            <w:tcW w:w="7200" w:type="dxa"/>
            <w:vAlign w:val="bottom"/>
          </w:tcPr>
          <w:p>
            <w:pPr>
              <w:ind w:left="200"/>
              <w:spacing w:after="0"/>
              <w:rPr>
                <w:sz w:val="20"/>
                <w:szCs w:val="20"/>
                <w:color w:val="auto"/>
              </w:rPr>
            </w:pPr>
            <w:r>
              <w:rPr>
                <w:rFonts w:ascii="Arial" w:cs="Arial" w:eastAsia="Arial" w:hAnsi="Arial"/>
                <w:sz w:val="18"/>
                <w:szCs w:val="18"/>
                <w:color w:val="auto"/>
              </w:rPr>
              <w:t>Eligibility and Participation</w:t>
            </w:r>
          </w:p>
        </w:tc>
        <w:tc>
          <w:tcPr>
            <w:tcW w:w="4220" w:type="dxa"/>
            <w:vAlign w:val="bottom"/>
          </w:tcPr>
          <w:p>
            <w:pPr>
              <w:jc w:val="right"/>
              <w:ind w:right="131"/>
              <w:spacing w:after="0"/>
              <w:rPr>
                <w:sz w:val="20"/>
                <w:szCs w:val="20"/>
                <w:color w:val="auto"/>
              </w:rPr>
            </w:pPr>
            <w:r>
              <w:rPr>
                <w:rFonts w:ascii="Arial" w:cs="Arial" w:eastAsia="Arial" w:hAnsi="Arial"/>
                <w:sz w:val="18"/>
                <w:szCs w:val="18"/>
                <w:color w:val="auto"/>
              </w:rPr>
              <w:t>7</w:t>
            </w:r>
          </w:p>
        </w:tc>
      </w:tr>
      <w:tr>
        <w:trPr>
          <w:trHeight w:val="416"/>
        </w:trPr>
        <w:tc>
          <w:tcPr>
            <w:tcW w:w="720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IV</w:t>
            </w:r>
          </w:p>
        </w:tc>
        <w:tc>
          <w:tcPr>
            <w:tcW w:w="4220" w:type="dxa"/>
            <w:vAlign w:val="bottom"/>
          </w:tcPr>
          <w:p>
            <w:pPr>
              <w:spacing w:after="0"/>
              <w:rPr>
                <w:sz w:val="24"/>
                <w:szCs w:val="24"/>
                <w:color w:val="auto"/>
              </w:rPr>
            </w:pPr>
          </w:p>
        </w:tc>
      </w:tr>
      <w:tr>
        <w:trPr>
          <w:trHeight w:val="224"/>
        </w:trPr>
        <w:tc>
          <w:tcPr>
            <w:tcW w:w="7200" w:type="dxa"/>
            <w:vAlign w:val="bottom"/>
          </w:tcPr>
          <w:p>
            <w:pPr>
              <w:ind w:left="200"/>
              <w:spacing w:after="0"/>
              <w:rPr>
                <w:sz w:val="20"/>
                <w:szCs w:val="20"/>
                <w:color w:val="auto"/>
              </w:rPr>
            </w:pPr>
            <w:r>
              <w:rPr>
                <w:rFonts w:ascii="Arial" w:cs="Arial" w:eastAsia="Arial" w:hAnsi="Arial"/>
                <w:sz w:val="18"/>
                <w:szCs w:val="18"/>
                <w:color w:val="auto"/>
              </w:rPr>
              <w:t>Deferrals</w:t>
            </w:r>
          </w:p>
        </w:tc>
        <w:tc>
          <w:tcPr>
            <w:tcW w:w="4220" w:type="dxa"/>
            <w:vAlign w:val="bottom"/>
          </w:tcPr>
          <w:p>
            <w:pPr>
              <w:jc w:val="right"/>
              <w:ind w:right="131"/>
              <w:spacing w:after="0"/>
              <w:rPr>
                <w:sz w:val="20"/>
                <w:szCs w:val="20"/>
                <w:color w:val="auto"/>
              </w:rPr>
            </w:pPr>
            <w:r>
              <w:rPr>
                <w:rFonts w:ascii="Arial" w:cs="Arial" w:eastAsia="Arial" w:hAnsi="Arial"/>
                <w:sz w:val="18"/>
                <w:szCs w:val="18"/>
                <w:color w:val="auto"/>
              </w:rPr>
              <w:t>8</w:t>
            </w:r>
          </w:p>
        </w:tc>
      </w:tr>
      <w:tr>
        <w:trPr>
          <w:trHeight w:val="416"/>
        </w:trPr>
        <w:tc>
          <w:tcPr>
            <w:tcW w:w="720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w:t>
            </w:r>
          </w:p>
        </w:tc>
        <w:tc>
          <w:tcPr>
            <w:tcW w:w="4220" w:type="dxa"/>
            <w:vAlign w:val="bottom"/>
          </w:tcPr>
          <w:p>
            <w:pPr>
              <w:spacing w:after="0"/>
              <w:rPr>
                <w:sz w:val="24"/>
                <w:szCs w:val="24"/>
                <w:color w:val="auto"/>
              </w:rPr>
            </w:pPr>
          </w:p>
        </w:tc>
      </w:tr>
      <w:tr>
        <w:trPr>
          <w:trHeight w:val="224"/>
        </w:trPr>
        <w:tc>
          <w:tcPr>
            <w:tcW w:w="7200" w:type="dxa"/>
            <w:vAlign w:val="bottom"/>
          </w:tcPr>
          <w:p>
            <w:pPr>
              <w:ind w:left="200"/>
              <w:spacing w:after="0"/>
              <w:rPr>
                <w:sz w:val="20"/>
                <w:szCs w:val="20"/>
                <w:color w:val="auto"/>
              </w:rPr>
            </w:pPr>
            <w:r>
              <w:rPr>
                <w:rFonts w:ascii="Arial" w:cs="Arial" w:eastAsia="Arial" w:hAnsi="Arial"/>
                <w:sz w:val="18"/>
                <w:szCs w:val="18"/>
                <w:color w:val="auto"/>
              </w:rPr>
              <w:t>Company Contributions</w:t>
            </w:r>
          </w:p>
        </w:tc>
        <w:tc>
          <w:tcPr>
            <w:tcW w:w="4220" w:type="dxa"/>
            <w:vAlign w:val="bottom"/>
          </w:tcPr>
          <w:p>
            <w:pPr>
              <w:jc w:val="right"/>
              <w:ind w:right="131"/>
              <w:spacing w:after="0"/>
              <w:rPr>
                <w:sz w:val="20"/>
                <w:szCs w:val="20"/>
                <w:color w:val="auto"/>
              </w:rPr>
            </w:pPr>
            <w:r>
              <w:rPr>
                <w:rFonts w:ascii="Arial" w:cs="Arial" w:eastAsia="Arial" w:hAnsi="Arial"/>
                <w:sz w:val="18"/>
                <w:szCs w:val="18"/>
                <w:color w:val="auto"/>
              </w:rPr>
              <w:t>10</w:t>
            </w:r>
          </w:p>
        </w:tc>
      </w:tr>
      <w:tr>
        <w:trPr>
          <w:trHeight w:val="416"/>
        </w:trPr>
        <w:tc>
          <w:tcPr>
            <w:tcW w:w="720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w:t>
            </w:r>
          </w:p>
        </w:tc>
        <w:tc>
          <w:tcPr>
            <w:tcW w:w="4220" w:type="dxa"/>
            <w:vAlign w:val="bottom"/>
          </w:tcPr>
          <w:p>
            <w:pPr>
              <w:spacing w:after="0"/>
              <w:rPr>
                <w:sz w:val="24"/>
                <w:szCs w:val="24"/>
                <w:color w:val="auto"/>
              </w:rPr>
            </w:pPr>
          </w:p>
        </w:tc>
      </w:tr>
      <w:tr>
        <w:trPr>
          <w:trHeight w:val="224"/>
        </w:trPr>
        <w:tc>
          <w:tcPr>
            <w:tcW w:w="7200" w:type="dxa"/>
            <w:vAlign w:val="bottom"/>
          </w:tcPr>
          <w:p>
            <w:pPr>
              <w:ind w:left="200"/>
              <w:spacing w:after="0"/>
              <w:rPr>
                <w:sz w:val="20"/>
                <w:szCs w:val="20"/>
                <w:color w:val="auto"/>
              </w:rPr>
            </w:pPr>
            <w:r>
              <w:rPr>
                <w:rFonts w:ascii="Arial" w:cs="Arial" w:eastAsia="Arial" w:hAnsi="Arial"/>
                <w:sz w:val="18"/>
                <w:szCs w:val="18"/>
                <w:color w:val="auto"/>
              </w:rPr>
              <w:t>Benefits</w:t>
            </w:r>
          </w:p>
        </w:tc>
        <w:tc>
          <w:tcPr>
            <w:tcW w:w="4220" w:type="dxa"/>
            <w:vAlign w:val="bottom"/>
          </w:tcPr>
          <w:p>
            <w:pPr>
              <w:jc w:val="right"/>
              <w:ind w:right="131"/>
              <w:spacing w:after="0"/>
              <w:rPr>
                <w:sz w:val="20"/>
                <w:szCs w:val="20"/>
                <w:color w:val="auto"/>
              </w:rPr>
            </w:pPr>
            <w:r>
              <w:rPr>
                <w:rFonts w:ascii="Arial" w:cs="Arial" w:eastAsia="Arial" w:hAnsi="Arial"/>
                <w:sz w:val="18"/>
                <w:szCs w:val="18"/>
                <w:color w:val="auto"/>
              </w:rPr>
              <w:t>11</w:t>
            </w:r>
          </w:p>
        </w:tc>
      </w:tr>
      <w:tr>
        <w:trPr>
          <w:trHeight w:val="416"/>
        </w:trPr>
        <w:tc>
          <w:tcPr>
            <w:tcW w:w="720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VII</w:t>
            </w:r>
          </w:p>
        </w:tc>
        <w:tc>
          <w:tcPr>
            <w:tcW w:w="4220" w:type="dxa"/>
            <w:vAlign w:val="bottom"/>
          </w:tcPr>
          <w:p>
            <w:pPr>
              <w:spacing w:after="0"/>
              <w:rPr>
                <w:sz w:val="24"/>
                <w:szCs w:val="24"/>
                <w:color w:val="auto"/>
              </w:rPr>
            </w:pPr>
          </w:p>
        </w:tc>
      </w:tr>
      <w:tr>
        <w:trPr>
          <w:trHeight w:val="224"/>
        </w:trPr>
        <w:tc>
          <w:tcPr>
            <w:tcW w:w="7200" w:type="dxa"/>
            <w:vAlign w:val="bottom"/>
          </w:tcPr>
          <w:p>
            <w:pPr>
              <w:ind w:left="200"/>
              <w:spacing w:after="0"/>
              <w:rPr>
                <w:sz w:val="20"/>
                <w:szCs w:val="20"/>
                <w:color w:val="auto"/>
              </w:rPr>
            </w:pPr>
            <w:r>
              <w:rPr>
                <w:rFonts w:ascii="Arial" w:cs="Arial" w:eastAsia="Arial" w:hAnsi="Arial"/>
                <w:sz w:val="18"/>
                <w:szCs w:val="18"/>
                <w:color w:val="auto"/>
              </w:rPr>
              <w:t>Modifications to Payment Schedules</w:t>
            </w:r>
          </w:p>
        </w:tc>
        <w:tc>
          <w:tcPr>
            <w:tcW w:w="4220" w:type="dxa"/>
            <w:vAlign w:val="bottom"/>
          </w:tcPr>
          <w:p>
            <w:pPr>
              <w:jc w:val="right"/>
              <w:ind w:right="131"/>
              <w:spacing w:after="0"/>
              <w:rPr>
                <w:sz w:val="20"/>
                <w:szCs w:val="20"/>
                <w:color w:val="auto"/>
              </w:rPr>
            </w:pPr>
            <w:r>
              <w:rPr>
                <w:rFonts w:ascii="Arial" w:cs="Arial" w:eastAsia="Arial" w:hAnsi="Arial"/>
                <w:sz w:val="18"/>
                <w:szCs w:val="18"/>
                <w:color w:val="auto"/>
              </w:rPr>
              <w:t>15</w:t>
            </w:r>
          </w:p>
        </w:tc>
      </w:tr>
      <w:tr>
        <w:trPr>
          <w:trHeight w:val="416"/>
        </w:trPr>
        <w:tc>
          <w:tcPr>
            <w:tcW w:w="720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VIII</w:t>
            </w:r>
          </w:p>
        </w:tc>
        <w:tc>
          <w:tcPr>
            <w:tcW w:w="4220" w:type="dxa"/>
            <w:vAlign w:val="bottom"/>
          </w:tcPr>
          <w:p>
            <w:pPr>
              <w:spacing w:after="0"/>
              <w:rPr>
                <w:sz w:val="24"/>
                <w:szCs w:val="24"/>
                <w:color w:val="auto"/>
              </w:rPr>
            </w:pPr>
          </w:p>
        </w:tc>
      </w:tr>
      <w:tr>
        <w:trPr>
          <w:trHeight w:val="224"/>
        </w:trPr>
        <w:tc>
          <w:tcPr>
            <w:tcW w:w="7200" w:type="dxa"/>
            <w:vAlign w:val="bottom"/>
          </w:tcPr>
          <w:p>
            <w:pPr>
              <w:ind w:left="200"/>
              <w:spacing w:after="0"/>
              <w:rPr>
                <w:sz w:val="20"/>
                <w:szCs w:val="20"/>
                <w:color w:val="auto"/>
              </w:rPr>
            </w:pPr>
            <w:r>
              <w:rPr>
                <w:rFonts w:ascii="Arial" w:cs="Arial" w:eastAsia="Arial" w:hAnsi="Arial"/>
                <w:sz w:val="18"/>
                <w:szCs w:val="18"/>
                <w:color w:val="auto"/>
              </w:rPr>
              <w:t>Valuation of Account Balances; Investments</w:t>
            </w:r>
          </w:p>
        </w:tc>
        <w:tc>
          <w:tcPr>
            <w:tcW w:w="4220" w:type="dxa"/>
            <w:vAlign w:val="bottom"/>
          </w:tcPr>
          <w:p>
            <w:pPr>
              <w:jc w:val="right"/>
              <w:ind w:right="131"/>
              <w:spacing w:after="0"/>
              <w:rPr>
                <w:sz w:val="20"/>
                <w:szCs w:val="20"/>
                <w:color w:val="auto"/>
              </w:rPr>
            </w:pPr>
            <w:r>
              <w:rPr>
                <w:rFonts w:ascii="Arial" w:cs="Arial" w:eastAsia="Arial" w:hAnsi="Arial"/>
                <w:sz w:val="18"/>
                <w:szCs w:val="18"/>
                <w:color w:val="auto"/>
              </w:rPr>
              <w:t>16</w:t>
            </w:r>
          </w:p>
        </w:tc>
      </w:tr>
      <w:tr>
        <w:trPr>
          <w:trHeight w:val="416"/>
        </w:trPr>
        <w:tc>
          <w:tcPr>
            <w:tcW w:w="720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IX</w:t>
            </w:r>
          </w:p>
        </w:tc>
        <w:tc>
          <w:tcPr>
            <w:tcW w:w="4220" w:type="dxa"/>
            <w:vAlign w:val="bottom"/>
          </w:tcPr>
          <w:p>
            <w:pPr>
              <w:spacing w:after="0"/>
              <w:rPr>
                <w:sz w:val="24"/>
                <w:szCs w:val="24"/>
                <w:color w:val="auto"/>
              </w:rPr>
            </w:pPr>
          </w:p>
        </w:tc>
      </w:tr>
      <w:tr>
        <w:trPr>
          <w:trHeight w:val="224"/>
        </w:trPr>
        <w:tc>
          <w:tcPr>
            <w:tcW w:w="7200" w:type="dxa"/>
            <w:vAlign w:val="bottom"/>
          </w:tcPr>
          <w:p>
            <w:pPr>
              <w:ind w:left="200"/>
              <w:spacing w:after="0"/>
              <w:rPr>
                <w:sz w:val="20"/>
                <w:szCs w:val="20"/>
                <w:color w:val="auto"/>
              </w:rPr>
            </w:pPr>
            <w:r>
              <w:rPr>
                <w:rFonts w:ascii="Arial" w:cs="Arial" w:eastAsia="Arial" w:hAnsi="Arial"/>
                <w:sz w:val="18"/>
                <w:szCs w:val="18"/>
                <w:color w:val="auto"/>
              </w:rPr>
              <w:t>Administration</w:t>
            </w:r>
          </w:p>
        </w:tc>
        <w:tc>
          <w:tcPr>
            <w:tcW w:w="4220" w:type="dxa"/>
            <w:vAlign w:val="bottom"/>
          </w:tcPr>
          <w:p>
            <w:pPr>
              <w:jc w:val="right"/>
              <w:ind w:right="131"/>
              <w:spacing w:after="0"/>
              <w:rPr>
                <w:sz w:val="20"/>
                <w:szCs w:val="20"/>
                <w:color w:val="auto"/>
              </w:rPr>
            </w:pPr>
            <w:r>
              <w:rPr>
                <w:rFonts w:ascii="Arial" w:cs="Arial" w:eastAsia="Arial" w:hAnsi="Arial"/>
                <w:sz w:val="18"/>
                <w:szCs w:val="18"/>
                <w:color w:val="auto"/>
              </w:rPr>
              <w:t>17</w:t>
            </w:r>
          </w:p>
        </w:tc>
      </w:tr>
      <w:tr>
        <w:trPr>
          <w:trHeight w:val="416"/>
        </w:trPr>
        <w:tc>
          <w:tcPr>
            <w:tcW w:w="720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w:t>
            </w:r>
          </w:p>
        </w:tc>
        <w:tc>
          <w:tcPr>
            <w:tcW w:w="4220" w:type="dxa"/>
            <w:vAlign w:val="bottom"/>
          </w:tcPr>
          <w:p>
            <w:pPr>
              <w:spacing w:after="0"/>
              <w:rPr>
                <w:sz w:val="24"/>
                <w:szCs w:val="24"/>
                <w:color w:val="auto"/>
              </w:rPr>
            </w:pPr>
          </w:p>
        </w:tc>
      </w:tr>
      <w:tr>
        <w:trPr>
          <w:trHeight w:val="224"/>
        </w:trPr>
        <w:tc>
          <w:tcPr>
            <w:tcW w:w="7200" w:type="dxa"/>
            <w:vAlign w:val="bottom"/>
          </w:tcPr>
          <w:p>
            <w:pPr>
              <w:ind w:left="200"/>
              <w:spacing w:after="0"/>
              <w:rPr>
                <w:sz w:val="20"/>
                <w:szCs w:val="20"/>
                <w:color w:val="auto"/>
              </w:rPr>
            </w:pPr>
            <w:r>
              <w:rPr>
                <w:rFonts w:ascii="Arial" w:cs="Arial" w:eastAsia="Arial" w:hAnsi="Arial"/>
                <w:sz w:val="18"/>
                <w:szCs w:val="18"/>
                <w:color w:val="auto"/>
              </w:rPr>
              <w:t>Amendment and Termination</w:t>
            </w:r>
          </w:p>
        </w:tc>
        <w:tc>
          <w:tcPr>
            <w:tcW w:w="4220" w:type="dxa"/>
            <w:vAlign w:val="bottom"/>
          </w:tcPr>
          <w:p>
            <w:pPr>
              <w:jc w:val="right"/>
              <w:ind w:right="131"/>
              <w:spacing w:after="0"/>
              <w:rPr>
                <w:sz w:val="20"/>
                <w:szCs w:val="20"/>
                <w:color w:val="auto"/>
              </w:rPr>
            </w:pPr>
            <w:r>
              <w:rPr>
                <w:rFonts w:ascii="Arial" w:cs="Arial" w:eastAsia="Arial" w:hAnsi="Arial"/>
                <w:sz w:val="18"/>
                <w:szCs w:val="18"/>
                <w:color w:val="auto"/>
              </w:rPr>
              <w:t>18</w:t>
            </w:r>
          </w:p>
        </w:tc>
      </w:tr>
      <w:tr>
        <w:trPr>
          <w:trHeight w:val="416"/>
        </w:trPr>
        <w:tc>
          <w:tcPr>
            <w:tcW w:w="720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w:t>
            </w:r>
          </w:p>
        </w:tc>
        <w:tc>
          <w:tcPr>
            <w:tcW w:w="4220" w:type="dxa"/>
            <w:vAlign w:val="bottom"/>
          </w:tcPr>
          <w:p>
            <w:pPr>
              <w:spacing w:after="0"/>
              <w:rPr>
                <w:sz w:val="24"/>
                <w:szCs w:val="24"/>
                <w:color w:val="auto"/>
              </w:rPr>
            </w:pPr>
          </w:p>
        </w:tc>
      </w:tr>
      <w:tr>
        <w:trPr>
          <w:trHeight w:val="224"/>
        </w:trPr>
        <w:tc>
          <w:tcPr>
            <w:tcW w:w="7200" w:type="dxa"/>
            <w:vAlign w:val="bottom"/>
          </w:tcPr>
          <w:p>
            <w:pPr>
              <w:ind w:left="200"/>
              <w:spacing w:after="0"/>
              <w:rPr>
                <w:sz w:val="20"/>
                <w:szCs w:val="20"/>
                <w:color w:val="auto"/>
              </w:rPr>
            </w:pPr>
            <w:r>
              <w:rPr>
                <w:rFonts w:ascii="Arial" w:cs="Arial" w:eastAsia="Arial" w:hAnsi="Arial"/>
                <w:sz w:val="18"/>
                <w:szCs w:val="18"/>
                <w:color w:val="auto"/>
              </w:rPr>
              <w:t>Informal Funding</w:t>
            </w:r>
          </w:p>
        </w:tc>
        <w:tc>
          <w:tcPr>
            <w:tcW w:w="4220" w:type="dxa"/>
            <w:vAlign w:val="bottom"/>
          </w:tcPr>
          <w:p>
            <w:pPr>
              <w:jc w:val="right"/>
              <w:ind w:right="131"/>
              <w:spacing w:after="0"/>
              <w:rPr>
                <w:sz w:val="20"/>
                <w:szCs w:val="20"/>
                <w:color w:val="auto"/>
              </w:rPr>
            </w:pPr>
            <w:r>
              <w:rPr>
                <w:rFonts w:ascii="Arial" w:cs="Arial" w:eastAsia="Arial" w:hAnsi="Arial"/>
                <w:sz w:val="18"/>
                <w:szCs w:val="18"/>
                <w:color w:val="auto"/>
              </w:rPr>
              <w:t>19</w:t>
            </w:r>
          </w:p>
        </w:tc>
      </w:tr>
      <w:tr>
        <w:trPr>
          <w:trHeight w:val="416"/>
        </w:trPr>
        <w:tc>
          <w:tcPr>
            <w:tcW w:w="720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XII</w:t>
            </w:r>
          </w:p>
        </w:tc>
        <w:tc>
          <w:tcPr>
            <w:tcW w:w="4220" w:type="dxa"/>
            <w:vAlign w:val="bottom"/>
          </w:tcPr>
          <w:p>
            <w:pPr>
              <w:spacing w:after="0"/>
              <w:rPr>
                <w:sz w:val="24"/>
                <w:szCs w:val="24"/>
                <w:color w:val="auto"/>
              </w:rPr>
            </w:pPr>
          </w:p>
        </w:tc>
      </w:tr>
      <w:tr>
        <w:trPr>
          <w:trHeight w:val="224"/>
        </w:trPr>
        <w:tc>
          <w:tcPr>
            <w:tcW w:w="7200" w:type="dxa"/>
            <w:vAlign w:val="bottom"/>
          </w:tcPr>
          <w:p>
            <w:pPr>
              <w:ind w:left="200"/>
              <w:spacing w:after="0"/>
              <w:rPr>
                <w:sz w:val="20"/>
                <w:szCs w:val="20"/>
                <w:color w:val="auto"/>
              </w:rPr>
            </w:pPr>
            <w:r>
              <w:rPr>
                <w:rFonts w:ascii="Arial" w:cs="Arial" w:eastAsia="Arial" w:hAnsi="Arial"/>
                <w:sz w:val="18"/>
                <w:szCs w:val="18"/>
                <w:color w:val="auto"/>
              </w:rPr>
              <w:t>Claims</w:t>
            </w:r>
          </w:p>
        </w:tc>
        <w:tc>
          <w:tcPr>
            <w:tcW w:w="4220" w:type="dxa"/>
            <w:vAlign w:val="bottom"/>
          </w:tcPr>
          <w:p>
            <w:pPr>
              <w:jc w:val="right"/>
              <w:ind w:right="131"/>
              <w:spacing w:after="0"/>
              <w:rPr>
                <w:sz w:val="20"/>
                <w:szCs w:val="20"/>
                <w:color w:val="auto"/>
              </w:rPr>
            </w:pPr>
            <w:r>
              <w:rPr>
                <w:rFonts w:ascii="Arial" w:cs="Arial" w:eastAsia="Arial" w:hAnsi="Arial"/>
                <w:sz w:val="18"/>
                <w:szCs w:val="18"/>
                <w:color w:val="auto"/>
              </w:rPr>
              <w:t>19</w:t>
            </w:r>
          </w:p>
        </w:tc>
      </w:tr>
      <w:tr>
        <w:trPr>
          <w:trHeight w:val="416"/>
        </w:trPr>
        <w:tc>
          <w:tcPr>
            <w:tcW w:w="720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XIII</w:t>
            </w:r>
          </w:p>
        </w:tc>
        <w:tc>
          <w:tcPr>
            <w:tcW w:w="4220" w:type="dxa"/>
            <w:vAlign w:val="bottom"/>
          </w:tcPr>
          <w:p>
            <w:pPr>
              <w:spacing w:after="0"/>
              <w:rPr>
                <w:sz w:val="24"/>
                <w:szCs w:val="24"/>
                <w:color w:val="auto"/>
              </w:rPr>
            </w:pPr>
          </w:p>
        </w:tc>
      </w:tr>
      <w:tr>
        <w:trPr>
          <w:trHeight w:val="224"/>
        </w:trPr>
        <w:tc>
          <w:tcPr>
            <w:tcW w:w="7200" w:type="dxa"/>
            <w:vAlign w:val="bottom"/>
          </w:tcPr>
          <w:p>
            <w:pPr>
              <w:ind w:left="200"/>
              <w:spacing w:after="0"/>
              <w:rPr>
                <w:sz w:val="20"/>
                <w:szCs w:val="20"/>
                <w:color w:val="auto"/>
              </w:rPr>
            </w:pPr>
            <w:r>
              <w:rPr>
                <w:rFonts w:ascii="Arial" w:cs="Arial" w:eastAsia="Arial" w:hAnsi="Arial"/>
                <w:sz w:val="18"/>
                <w:szCs w:val="18"/>
                <w:color w:val="auto"/>
              </w:rPr>
              <w:t>General Provisions</w:t>
            </w:r>
          </w:p>
        </w:tc>
        <w:tc>
          <w:tcPr>
            <w:tcW w:w="4220" w:type="dxa"/>
            <w:vAlign w:val="bottom"/>
          </w:tcPr>
          <w:p>
            <w:pPr>
              <w:jc w:val="right"/>
              <w:ind w:right="131"/>
              <w:spacing w:after="0"/>
              <w:rPr>
                <w:sz w:val="20"/>
                <w:szCs w:val="20"/>
                <w:color w:val="auto"/>
              </w:rPr>
            </w:pPr>
            <w:r>
              <w:rPr>
                <w:rFonts w:ascii="Arial" w:cs="Arial" w:eastAsia="Arial" w:hAnsi="Arial"/>
                <w:sz w:val="18"/>
                <w:szCs w:val="18"/>
                <w:color w:val="auto"/>
              </w:rPr>
              <w:t>24</w:t>
            </w:r>
          </w:p>
        </w:tc>
      </w:tr>
      <w:tr>
        <w:trPr>
          <w:trHeight w:val="625"/>
        </w:trPr>
        <w:tc>
          <w:tcPr>
            <w:tcW w:w="720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Establishment and Purpose</w:t>
      </w:r>
    </w:p>
    <w:p>
      <w:pPr>
        <w:spacing w:after="0" w:line="113"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Fidelity National Financial, Inc. (the “Company”) hereby amends and restates the Fidelity National Financial, Inc. Deferred Compensation Plan (the “Plan”), effective January 1, 2009. This amendment and restatement applies only to amounts deferred under the Plan on or after January 1, 2005, and to amounts deferred prior to January 1, 2005 that were not vested as of December 31, 2004. Amounts deferred under the Plan prior to January 1, 2005 that were vested as of December 31, 2004 (the “Grandfathered Accounts”) shall be subject to the provisions of the Plan as in effect on October 3, 2004, as the same may be amended from time to time by the Company without material modification, it being expressly intended that such Grandfathered Accounts are to remain exempt from the requirements of Code Section 409A. The provisions of the Plan applicable to Grandfathered Accounts are reflected in this document for ease of reference.</w:t>
      </w:r>
    </w:p>
    <w:p>
      <w:pPr>
        <w:spacing w:after="0" w:line="91" w:lineRule="exact"/>
        <w:rPr>
          <w:sz w:val="20"/>
          <w:szCs w:val="20"/>
          <w:color w:val="auto"/>
        </w:rPr>
      </w:pPr>
    </w:p>
    <w:p>
      <w:pPr>
        <w:jc w:val="both"/>
        <w:ind w:right="220"/>
        <w:spacing w:after="0" w:line="304" w:lineRule="auto"/>
        <w:rPr>
          <w:sz w:val="20"/>
          <w:szCs w:val="20"/>
          <w:color w:val="auto"/>
        </w:rPr>
      </w:pPr>
      <w:r>
        <w:rPr>
          <w:rFonts w:ascii="Arial" w:cs="Arial" w:eastAsia="Arial" w:hAnsi="Arial"/>
          <w:sz w:val="16"/>
          <w:szCs w:val="16"/>
          <w:color w:val="auto"/>
        </w:rPr>
        <w:t>The purpose of the Plan is to attract and retain key employees and Directors by providing each Participant with an opportunity to defer receipt of a portion of their salary, bonus, Directors’ Fees and other specified compensation. The Plan is not intended to meet the qualification requirements of Code Section 401(a), but is intended to meet the requirements of Code Section 409A, and shall be operated and interpreted consistent with that intent.</w:t>
      </w:r>
    </w:p>
    <w:p>
      <w:pPr>
        <w:spacing w:after="0" w:line="48"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Plan constitutes an unsecured promise by a Participating Employer to pay benefits in the future. Participants in the Plan shall have the status of general unsecured creditors of the Company or the Adopting Employer, as applicable. Each Participating Employer shall be solely responsible for payment of the benefits of its employees and their beneficiaries. The Plan is unfunded for Federal tax purposes and is intended to be an unfunded arrangement for eligible employees who are part of a select group of management or highly compensated employees of the Employer within the meaning of Sections 201(2), 301(a)(3) and 401(a)(l) of ERISA. Any amounts set aside to defray the liabilities assumed by the Company or an Adopting Employer will remain the general assets of the Company or the Adopting Employer and shall remain subject to the claims of the Company’s or the Adopting Employer’s creditors until such amounts are distributed to the Participants.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II</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Definitions</w:t>
      </w:r>
    </w:p>
    <w:p>
      <w:pPr>
        <w:spacing w:after="0" w:line="113" w:lineRule="exact"/>
        <w:rPr>
          <w:sz w:val="20"/>
          <w:szCs w:val="20"/>
          <w:color w:val="auto"/>
        </w:rPr>
      </w:pPr>
    </w:p>
    <w:p>
      <w:pPr>
        <w:ind w:left="440" w:right="40" w:hanging="439"/>
        <w:spacing w:after="0" w:line="252" w:lineRule="auto"/>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 xml:space="preserve">Account. </w:t>
      </w:r>
      <w:r>
        <w:rPr>
          <w:rFonts w:ascii="Arial" w:cs="Arial" w:eastAsia="Arial" w:hAnsi="Arial"/>
          <w:sz w:val="18"/>
          <w:szCs w:val="18"/>
          <w:color w:val="auto"/>
        </w:rPr>
        <w:t>Account means a bookkeeping account maintained by the Committee to record the payment obligation of a Participating Employer to a</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Participant as determined under the terms of the Plan. The Committee may maintain an Account to record the total obligation to a Participant and component Accounts to reflect amounts payable at different times and in different forms. Reference to an Account means any such Account established by the Committee, as the context requires. Accounts are intended to constitute unfunded obligations within the meaning of Sections 201(2), 301(a)(3) and 401(a)(l) of ERISA.</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725233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ind w:left="440" w:right="180" w:hanging="439"/>
        <w:spacing w:after="0" w:line="267" w:lineRule="auto"/>
        <w:tabs>
          <w:tab w:leader="none" w:pos="4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 xml:space="preserve">Account Balance. </w:t>
      </w:r>
      <w:r>
        <w:rPr>
          <w:rFonts w:ascii="Arial" w:cs="Arial" w:eastAsia="Arial" w:hAnsi="Arial"/>
          <w:sz w:val="18"/>
          <w:szCs w:val="18"/>
          <w:color w:val="auto"/>
        </w:rPr>
        <w:t>Account Balance means, with respect to any Account, the total payment obligation owed to a Participant from such Account as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most recent Valuation Date.</w:t>
      </w:r>
    </w:p>
    <w:p>
      <w:pPr>
        <w:spacing w:after="0" w:line="86" w:lineRule="exact"/>
        <w:rPr>
          <w:sz w:val="20"/>
          <w:szCs w:val="20"/>
          <w:color w:val="auto"/>
        </w:rPr>
      </w:pPr>
    </w:p>
    <w:p>
      <w:pPr>
        <w:ind w:left="440" w:right="80" w:hanging="439"/>
        <w:spacing w:after="0" w:line="267" w:lineRule="auto"/>
        <w:tabs>
          <w:tab w:leader="none" w:pos="4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u w:val="single" w:color="auto"/>
          <w:color w:val="auto"/>
        </w:rPr>
        <w:t xml:space="preserve">Adopting Employer. </w:t>
      </w:r>
      <w:r>
        <w:rPr>
          <w:rFonts w:ascii="Arial" w:cs="Arial" w:eastAsia="Arial" w:hAnsi="Arial"/>
          <w:sz w:val="18"/>
          <w:szCs w:val="18"/>
          <w:color w:val="auto"/>
        </w:rPr>
        <w:t>Adopting Employer means an organization that, with the consent of the Company, has adopted the Plan for the benefit of its eligible</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employees.</w:t>
      </w:r>
    </w:p>
    <w:p>
      <w:pPr>
        <w:spacing w:after="0" w:line="8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 xml:space="preserve">Affiliate. </w:t>
      </w:r>
      <w:r>
        <w:rPr>
          <w:rFonts w:ascii="Arial" w:cs="Arial" w:eastAsia="Arial" w:hAnsi="Arial"/>
          <w:sz w:val="16"/>
          <w:szCs w:val="16"/>
          <w:color w:val="auto"/>
        </w:rPr>
        <w:t>Affiliate means a corporation, trade or business that, together with the Company, is treated as a single employer under Code Section 414(b) or</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w:t>
      </w:r>
    </w:p>
    <w:p>
      <w:pPr>
        <w:spacing w:after="0" w:line="115" w:lineRule="exact"/>
        <w:rPr>
          <w:sz w:val="20"/>
          <w:szCs w:val="20"/>
          <w:color w:val="auto"/>
        </w:rPr>
      </w:pPr>
    </w:p>
    <w:p>
      <w:pPr>
        <w:ind w:left="440" w:right="20" w:hanging="439"/>
        <w:spacing w:after="0" w:line="252" w:lineRule="auto"/>
        <w:tabs>
          <w:tab w:leader="none" w:pos="4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u w:val="single" w:color="auto"/>
          <w:color w:val="auto"/>
        </w:rPr>
        <w:t xml:space="preserve">Beneficiary. </w:t>
      </w:r>
      <w:r>
        <w:rPr>
          <w:rFonts w:ascii="Arial" w:cs="Arial" w:eastAsia="Arial" w:hAnsi="Arial"/>
          <w:sz w:val="18"/>
          <w:szCs w:val="18"/>
          <w:color w:val="auto"/>
        </w:rPr>
        <w:t>Beneficiary means a natural person, estate, or trust designated by a Participant to receive payments to which a Beneficiary is entitled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accordance with provisions of the Plan. The Participant’s spouse, if living, otherwise the Participant’s estate, shall be the Beneficiary if: (i) the Participant has failed to properly designate a Beneficiary, or (ii) all designated Beneficiaries have predeceased the Participant. If the Participant names someone other than his or her spouse as a Beneficiary, a spousal consent, in the form designated by the Committee, must be signed by that Participant’s spouse and returned to the Committee.</w:t>
      </w:r>
    </w:p>
    <w:p>
      <w:pPr>
        <w:spacing w:after="0" w:line="100" w:lineRule="exact"/>
        <w:rPr>
          <w:sz w:val="20"/>
          <w:szCs w:val="20"/>
          <w:color w:val="auto"/>
        </w:rPr>
      </w:pPr>
    </w:p>
    <w:p>
      <w:pPr>
        <w:ind w:left="440" w:right="280"/>
        <w:spacing w:after="0" w:line="331" w:lineRule="auto"/>
        <w:rPr>
          <w:sz w:val="20"/>
          <w:szCs w:val="20"/>
          <w:color w:val="auto"/>
        </w:rPr>
      </w:pPr>
      <w:r>
        <w:rPr>
          <w:rFonts w:ascii="Arial" w:cs="Arial" w:eastAsia="Arial" w:hAnsi="Arial"/>
          <w:sz w:val="16"/>
          <w:szCs w:val="16"/>
          <w:color w:val="auto"/>
        </w:rPr>
        <w:t>A former spouse shall have no interest under the Plan, as Beneficiary or otherwise, unless the Participant designates such person as a Beneficiary after dissolution of the marriage, except to the extent provided under the terms of a domestic relations order as described in Code Section 414(p)(l)(B).</w:t>
      </w:r>
    </w:p>
    <w:p>
      <w:pPr>
        <w:spacing w:after="0" w:line="3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 xml:space="preserve">Business Day. </w:t>
      </w:r>
      <w:r>
        <w:rPr>
          <w:rFonts w:ascii="Arial" w:cs="Arial" w:eastAsia="Arial" w:hAnsi="Arial"/>
          <w:sz w:val="16"/>
          <w:szCs w:val="16"/>
          <w:color w:val="auto"/>
        </w:rPr>
        <w:t>A Business Day is each day on which the New York Stock Exchange is open for business.</w:t>
      </w:r>
    </w:p>
    <w:p>
      <w:pPr>
        <w:spacing w:after="0" w:line="126" w:lineRule="exact"/>
        <w:rPr>
          <w:sz w:val="20"/>
          <w:szCs w:val="20"/>
          <w:color w:val="auto"/>
        </w:rPr>
      </w:pPr>
    </w:p>
    <w:p>
      <w:pPr>
        <w:ind w:left="440" w:right="80" w:hanging="439"/>
        <w:spacing w:after="0" w:line="257" w:lineRule="auto"/>
        <w:tabs>
          <w:tab w:leader="none" w:pos="4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u w:val="single" w:color="auto"/>
          <w:color w:val="auto"/>
        </w:rPr>
        <w:t>Change in Control</w:t>
      </w:r>
      <w:r>
        <w:rPr>
          <w:rFonts w:ascii="Arial" w:cs="Arial" w:eastAsia="Arial" w:hAnsi="Arial"/>
          <w:sz w:val="18"/>
          <w:szCs w:val="18"/>
          <w:color w:val="auto"/>
        </w:rPr>
        <w:t>. Change in Control, with respect to a Participating Employer that is organized as a corporation, occurs on the date on which any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following events occur (i) a change in the ownership of the Participating Employer; (ii) a change in the effective control of the Participating Employer; (iii) a change in the ownership of a substantial portion of the assets of the Participating Employer.</w:t>
      </w:r>
    </w:p>
    <w:p>
      <w:pPr>
        <w:spacing w:after="0" w:line="95" w:lineRule="exact"/>
        <w:rPr>
          <w:sz w:val="20"/>
          <w:szCs w:val="20"/>
          <w:color w:val="auto"/>
        </w:rPr>
      </w:pPr>
    </w:p>
    <w:p>
      <w:pPr>
        <w:ind w:left="440" w:right="160"/>
        <w:spacing w:after="0" w:line="285" w:lineRule="auto"/>
        <w:rPr>
          <w:sz w:val="20"/>
          <w:szCs w:val="20"/>
          <w:color w:val="auto"/>
        </w:rPr>
      </w:pPr>
      <w:r>
        <w:rPr>
          <w:rFonts w:ascii="Arial" w:cs="Arial" w:eastAsia="Arial" w:hAnsi="Arial"/>
          <w:sz w:val="16"/>
          <w:szCs w:val="16"/>
          <w:color w:val="auto"/>
        </w:rPr>
        <w:t>For purposes of this Section, a change in the ownership of the Participating Employer occurs on the date on which any one person, or more than one person acting as a group, acquires ownership of stock of the Participating Employer that, together with stock held by such person or group constitutes more than 50% of the total fair market value or total voting power of the stock of the Participating Employer. A change in the effective control of the Participating Employer occurs on the date on which either (i) a person, or more than one person acting as a group, acquires ownership of stock of the Participating Employer possessing 30% or more of the total voting power of the stock of the Participating Employer, taking into account all such stock acquired during the 12-month period ending on the date of the most recent acquisition, or (ii) a majority of the members of the Participating Employer’s Board of Directors is replaced during any 12-month period by directors whose appointment or election is not endorsed by a majority of the members of such Board of Directors prior to the date of the appointment or election, but</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725233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ind w:left="440" w:right="20"/>
        <w:spacing w:after="0" w:line="270" w:lineRule="auto"/>
        <w:rPr>
          <w:sz w:val="20"/>
          <w:szCs w:val="20"/>
          <w:color w:val="auto"/>
        </w:rPr>
      </w:pPr>
      <w:r>
        <w:rPr>
          <w:rFonts w:ascii="Arial" w:cs="Arial" w:eastAsia="Arial" w:hAnsi="Arial"/>
          <w:sz w:val="17"/>
          <w:szCs w:val="17"/>
          <w:color w:val="auto"/>
        </w:rPr>
        <w:t>only if no other corporation is a majority shareholder of the Participating Employer . A change in the ownership of a substantial portion of assets occurs on the date on which any one person, or more than one person acting as a group, other than a person or group of persons that is related to the Participating Employer, acquires assets from the Participating Employer that have a total gross fair market value equal to or more than 40% of the total gross fair market value of all of the assets of the Participating Employer immediately prior to such acquisition or acquisitions, taking into account all such assets acquired during the 12-month period ending on the date of the most recent acquisition.</w:t>
      </w:r>
    </w:p>
    <w:p>
      <w:pPr>
        <w:spacing w:after="0" w:line="87" w:lineRule="exact"/>
        <w:rPr>
          <w:sz w:val="20"/>
          <w:szCs w:val="20"/>
          <w:color w:val="auto"/>
        </w:rPr>
      </w:pPr>
    </w:p>
    <w:p>
      <w:pPr>
        <w:ind w:left="440" w:right="320"/>
        <w:spacing w:after="0" w:line="257" w:lineRule="auto"/>
        <w:rPr>
          <w:sz w:val="20"/>
          <w:szCs w:val="20"/>
          <w:color w:val="auto"/>
        </w:rPr>
      </w:pPr>
      <w:r>
        <w:rPr>
          <w:rFonts w:ascii="Arial" w:cs="Arial" w:eastAsia="Arial" w:hAnsi="Arial"/>
          <w:sz w:val="18"/>
          <w:szCs w:val="18"/>
          <w:color w:val="auto"/>
        </w:rPr>
        <w:t>An event constitutes a Change in Control with respect to a Participant only if the Participant performs services for the Participating Employer that has experienced the Change in Control, or the Participant’s relationship to the affected Participating Employer otherwise satisfies the requirements of Treasury Regulation Section 1.409A-3(i)(5)(ii).</w:t>
      </w:r>
    </w:p>
    <w:p>
      <w:pPr>
        <w:spacing w:after="0" w:line="95" w:lineRule="exact"/>
        <w:rPr>
          <w:sz w:val="20"/>
          <w:szCs w:val="20"/>
          <w:color w:val="auto"/>
        </w:rPr>
      </w:pPr>
    </w:p>
    <w:p>
      <w:pPr>
        <w:ind w:left="440" w:right="660"/>
        <w:spacing w:after="0" w:line="267" w:lineRule="auto"/>
        <w:rPr>
          <w:sz w:val="20"/>
          <w:szCs w:val="20"/>
          <w:color w:val="auto"/>
        </w:rPr>
      </w:pPr>
      <w:r>
        <w:rPr>
          <w:rFonts w:ascii="Arial" w:cs="Arial" w:eastAsia="Arial" w:hAnsi="Arial"/>
          <w:sz w:val="18"/>
          <w:szCs w:val="18"/>
          <w:color w:val="auto"/>
        </w:rPr>
        <w:t>The determination as to the occurrence of a Change in Control shall be based on objective facts and in accordance with the requirements of Code Section 409A.</w:t>
      </w:r>
    </w:p>
    <w:p>
      <w:pPr>
        <w:spacing w:after="0" w:line="8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 xml:space="preserve">Claimant. </w:t>
      </w:r>
      <w:r>
        <w:rPr>
          <w:rFonts w:ascii="Arial" w:cs="Arial" w:eastAsia="Arial" w:hAnsi="Arial"/>
          <w:sz w:val="16"/>
          <w:szCs w:val="16"/>
          <w:color w:val="auto"/>
        </w:rPr>
        <w:t>Claimant means a Participant or Beneficiary filing a claim under Article XII of this Plan.</w:t>
      </w:r>
    </w:p>
    <w:p>
      <w:pPr>
        <w:spacing w:after="0" w:line="1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4"/>
          <w:szCs w:val="14"/>
          <w:u w:val="single" w:color="auto"/>
          <w:color w:val="auto"/>
        </w:rPr>
        <w:t xml:space="preserve">Code. </w:t>
      </w:r>
      <w:r>
        <w:rPr>
          <w:rFonts w:ascii="Arial" w:cs="Arial" w:eastAsia="Arial" w:hAnsi="Arial"/>
          <w:sz w:val="14"/>
          <w:szCs w:val="14"/>
          <w:color w:val="auto"/>
        </w:rPr>
        <w:t>Code means the Internal Revenue Code of 1986, as amended from time to time.</w:t>
      </w:r>
    </w:p>
    <w:p>
      <w:pPr>
        <w:spacing w:after="0" w:line="126" w:lineRule="exact"/>
        <w:rPr>
          <w:sz w:val="20"/>
          <w:szCs w:val="20"/>
          <w:color w:val="auto"/>
        </w:rPr>
      </w:pPr>
    </w:p>
    <w:p>
      <w:pPr>
        <w:ind w:left="440" w:right="340" w:hanging="439"/>
        <w:spacing w:after="0" w:line="26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Code Section 409A.</w:t>
      </w:r>
      <w:r>
        <w:rPr>
          <w:rFonts w:ascii="Arial" w:cs="Arial" w:eastAsia="Arial" w:hAnsi="Arial"/>
          <w:sz w:val="18"/>
          <w:szCs w:val="18"/>
          <w:color w:val="auto"/>
        </w:rPr>
        <w:t xml:space="preserve"> Code Section 409A means section 409A of the Code, and regulations and other guidance issued by the Treasury Department and Internal Revenue Service thereunder.</w:t>
      </w:r>
    </w:p>
    <w:p>
      <w:pPr>
        <w:spacing w:after="0" w:line="86" w:lineRule="exact"/>
        <w:rPr>
          <w:sz w:val="20"/>
          <w:szCs w:val="20"/>
          <w:color w:val="auto"/>
        </w:rPr>
      </w:pPr>
    </w:p>
    <w:p>
      <w:pPr>
        <w:ind w:left="440" w:right="420" w:hanging="439"/>
        <w:spacing w:after="0" w:line="257" w:lineRule="auto"/>
        <w:tabs>
          <w:tab w:leader="none" w:pos="4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u w:val="single" w:color="auto"/>
          <w:color w:val="auto"/>
        </w:rPr>
        <w:t xml:space="preserve">Committee. </w:t>
      </w:r>
      <w:r>
        <w:rPr>
          <w:rFonts w:ascii="Arial" w:cs="Arial" w:eastAsia="Arial" w:hAnsi="Arial"/>
          <w:sz w:val="18"/>
          <w:szCs w:val="18"/>
          <w:color w:val="auto"/>
        </w:rPr>
        <w:t>Committee means the committee appointed by the Board of Directors of the Company (or the appropriate committee of such board)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administer the Plan. If no designation is made, the Chief Executive Officer of the Company or his delegate shall have and exercise the powers of the Committee.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Company means Fidelity National Financial, Inc.</w:t>
      </w:r>
    </w:p>
    <w:p>
      <w:pPr>
        <w:spacing w:after="0" w:line="126" w:lineRule="exact"/>
        <w:rPr>
          <w:sz w:val="20"/>
          <w:szCs w:val="20"/>
          <w:color w:val="auto"/>
        </w:rPr>
      </w:pPr>
    </w:p>
    <w:p>
      <w:pPr>
        <w:ind w:left="440" w:right="140" w:hanging="439"/>
        <w:spacing w:after="0" w:line="295"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Company Contribution.</w:t>
      </w:r>
      <w:r>
        <w:rPr>
          <w:rFonts w:ascii="Arial" w:cs="Arial" w:eastAsia="Arial" w:hAnsi="Arial"/>
          <w:sz w:val="16"/>
          <w:szCs w:val="16"/>
          <w:color w:val="auto"/>
        </w:rPr>
        <w:t xml:space="preserve"> Company Contribution means a credit by a Participating Employer to a Participant’s Account(s) in accordance with the provisions of Article V of the Plan. Company Contributions are credited at the sole discretion of the Participating Employer and the fact that a Company Contribution is credited in one year shall not obligate the Participating Employer to continue to make such Company Contribution in subsequent years. Unless the context clearly indicates otherwise, a reference to Company Contribution shall include Earnings attributable to such contribution.</w:t>
      </w:r>
    </w:p>
    <w:p>
      <w:pPr>
        <w:spacing w:after="0" w:line="69" w:lineRule="exact"/>
        <w:rPr>
          <w:sz w:val="20"/>
          <w:szCs w:val="20"/>
          <w:color w:val="auto"/>
        </w:rPr>
      </w:pPr>
    </w:p>
    <w:p>
      <w:pPr>
        <w:jc w:val="both"/>
        <w:ind w:left="440" w:right="200" w:hanging="439"/>
        <w:spacing w:after="0" w:line="279"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Compensation.</w:t>
      </w:r>
      <w:r>
        <w:rPr>
          <w:rFonts w:ascii="Arial" w:cs="Arial" w:eastAsia="Arial" w:hAnsi="Arial"/>
          <w:sz w:val="17"/>
          <w:szCs w:val="17"/>
          <w:color w:val="auto"/>
        </w:rPr>
        <w:t xml:space="preserve"> Compensation means a Participant’s base salary, bonus, commission, Directors’ Fees and such other cash or equity-based compensation (if any) approved by the Committee as Compensation that may be deferred under this Plan. Compensation shall not include any compensation that has been previously deferred under this Plan or any other arrangement subject to Code Section 409A.</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3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725233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ind w:left="440" w:right="60" w:hanging="439"/>
        <w:spacing w:after="0" w:line="267"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Compensation Deferral Agreement.</w:t>
      </w:r>
      <w:r>
        <w:rPr>
          <w:rFonts w:ascii="Arial" w:cs="Arial" w:eastAsia="Arial" w:hAnsi="Arial"/>
          <w:sz w:val="17"/>
          <w:szCs w:val="17"/>
          <w:color w:val="auto"/>
        </w:rPr>
        <w:t xml:space="preserve"> Compensation Deferral Agreement means an agreement between a Participant and a Participating Employer that specifies (i) the amount of each component of Compensation that the Participant has elected to defer to the Plan in accordance with the provisions of Article IV, and (ii) the Payment Schedule applicable to one or more Accounts. The Committee may permit different deferral amounts for each component of Compensation and may establish a minimum or maximum deferral amount for each such component. Unless otherwise specified by the Committee in the Compensation Deferral Agreement, Participants may defer up to 75% of their Annual Base Salary, up to 100% of their Annual Bonus, up to 100% of their quarterly bonuses, up to 75% of their Commissions, and up to 100% of Directors’ Fees for a Plan Year. A Compensation Deferral Agreement may also specify the investment allocation described in Section 8.4.</w:t>
      </w:r>
    </w:p>
    <w:p>
      <w:pPr>
        <w:spacing w:after="0" w:line="91" w:lineRule="exact"/>
        <w:rPr>
          <w:sz w:val="20"/>
          <w:szCs w:val="20"/>
          <w:color w:val="auto"/>
        </w:rPr>
      </w:pPr>
    </w:p>
    <w:p>
      <w:pPr>
        <w:ind w:left="440" w:right="440" w:hanging="439"/>
        <w:spacing w:after="0" w:line="267"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Death Benefit.</w:t>
      </w:r>
      <w:r>
        <w:rPr>
          <w:rFonts w:ascii="Arial" w:cs="Arial" w:eastAsia="Arial" w:hAnsi="Arial"/>
          <w:sz w:val="18"/>
          <w:szCs w:val="18"/>
          <w:color w:val="auto"/>
        </w:rPr>
        <w:t xml:space="preserve"> Death Benefit means the benefit payable under the Plan to a Participant’s Beneficiary(ies) upon the Participant’s death as provided in Section 6.1 of the Plan.</w:t>
      </w:r>
    </w:p>
    <w:p>
      <w:pPr>
        <w:spacing w:after="0" w:line="86" w:lineRule="exact"/>
        <w:rPr>
          <w:sz w:val="20"/>
          <w:szCs w:val="20"/>
          <w:color w:val="auto"/>
        </w:rPr>
      </w:pPr>
    </w:p>
    <w:p>
      <w:pPr>
        <w:ind w:left="440" w:right="140" w:hanging="439"/>
        <w:spacing w:after="0" w:line="257"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Deferral.</w:t>
      </w:r>
      <w:r>
        <w:rPr>
          <w:rFonts w:ascii="Arial" w:cs="Arial" w:eastAsia="Arial" w:hAnsi="Arial"/>
          <w:sz w:val="18"/>
          <w:szCs w:val="18"/>
          <w:color w:val="auto"/>
        </w:rPr>
        <w:t xml:space="preserve"> Deferral means a credit to a Participant’s Account(s) that records that portion of the Participant’s Compensation that the Participant has elected to defer to the Plan in accordance with the provisions of Article IV. Unless the context of the Plan clearly indicates otherwise, a reference to Deferrals includes Earnings attributable to such Deferrals.</w:t>
      </w:r>
    </w:p>
    <w:p>
      <w:pPr>
        <w:spacing w:after="0" w:line="95" w:lineRule="exact"/>
        <w:rPr>
          <w:sz w:val="20"/>
          <w:szCs w:val="20"/>
          <w:color w:val="auto"/>
        </w:rPr>
      </w:pPr>
    </w:p>
    <w:p>
      <w:pPr>
        <w:ind w:left="440" w:right="20"/>
        <w:spacing w:after="0" w:line="295" w:lineRule="auto"/>
        <w:rPr>
          <w:sz w:val="20"/>
          <w:szCs w:val="20"/>
          <w:color w:val="auto"/>
        </w:rPr>
      </w:pPr>
      <w:r>
        <w:rPr>
          <w:rFonts w:ascii="Arial" w:cs="Arial" w:eastAsia="Arial" w:hAnsi="Arial"/>
          <w:sz w:val="16"/>
          <w:szCs w:val="16"/>
          <w:color w:val="auto"/>
        </w:rPr>
        <w:t>Deferrals shall be calculated with respect to the gross cash Compensation payable to the Participant prior to any deductions or withholdings, but shall be reduced by the Committee as necessary so that it does not exceed 100% of the cash Compensation of the Participant remaining after deduction of all required income and employment taxes, 401(k) and other employee benefit deductions, and other deductions required by law. Changes to payroll withholdings that affect the amount of Compensation being deferred to the Plan shall be allowed only to the extent permissible under Code Section 409A.</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Director.</w:t>
      </w:r>
      <w:r>
        <w:rPr>
          <w:rFonts w:ascii="Arial" w:cs="Arial" w:eastAsia="Arial" w:hAnsi="Arial"/>
          <w:sz w:val="18"/>
          <w:szCs w:val="18"/>
          <w:color w:val="auto"/>
        </w:rPr>
        <w:t xml:space="preserve"> Director means a non-Employee member of the Board of Directors of the Company or an Adopting Employer.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Earnings.</w:t>
      </w:r>
      <w:r>
        <w:rPr>
          <w:rFonts w:ascii="Arial" w:cs="Arial" w:eastAsia="Arial" w:hAnsi="Arial"/>
          <w:sz w:val="18"/>
          <w:szCs w:val="18"/>
          <w:color w:val="auto"/>
        </w:rPr>
        <w:t xml:space="preserve"> Earnings means an adjustment to the value of an Account in accordance with Article VIII.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Effective Date means January 1, 2009.</w:t>
      </w:r>
    </w:p>
    <w:p>
      <w:pPr>
        <w:spacing w:after="0" w:line="126" w:lineRule="exact"/>
        <w:rPr>
          <w:sz w:val="20"/>
          <w:szCs w:val="20"/>
          <w:color w:val="auto"/>
        </w:rPr>
      </w:pPr>
    </w:p>
    <w:p>
      <w:pPr>
        <w:ind w:left="440" w:right="600" w:hanging="439"/>
        <w:spacing w:after="0" w:line="257"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Eligible Employee.</w:t>
      </w:r>
      <w:r>
        <w:rPr>
          <w:rFonts w:ascii="Arial" w:cs="Arial" w:eastAsia="Arial" w:hAnsi="Arial"/>
          <w:sz w:val="18"/>
          <w:szCs w:val="18"/>
          <w:color w:val="auto"/>
        </w:rPr>
        <w:t xml:space="preserve"> Eligible Employee means a member of a “select group of management or highly compensated employees” of a Participating Employer within the meaning of Sections 201(2), 301(a)(3) and 401(a)(l) of ERISA, as determined by the Committee from time to time in its sole discretion.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Employee means a common-law employee of an Employer.</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4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725233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u w:val="single" w:color="auto"/>
          <w:color w:val="auto"/>
        </w:rPr>
        <w:t>Employer</w:t>
      </w:r>
      <w:r>
        <w:rPr>
          <w:rFonts w:ascii="Arial" w:cs="Arial" w:eastAsia="Arial" w:hAnsi="Arial"/>
          <w:sz w:val="17"/>
          <w:szCs w:val="17"/>
          <w:color w:val="auto"/>
        </w:rPr>
        <w:t>. Employer means, with respect to Employees it employs, each Participating Employer and any Affiliate of such Participating Employer.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ERISA</w:t>
      </w:r>
      <w:r>
        <w:rPr>
          <w:rFonts w:ascii="Arial" w:cs="Arial" w:eastAsia="Arial" w:hAnsi="Arial"/>
          <w:sz w:val="18"/>
          <w:szCs w:val="18"/>
          <w:color w:val="auto"/>
        </w:rPr>
        <w:t>. ERISA means the Employee Retirement Income Security Act of 1974, as amended from time to time.</w:t>
      </w:r>
    </w:p>
    <w:p>
      <w:pPr>
        <w:spacing w:after="0" w:line="126" w:lineRule="exact"/>
        <w:rPr>
          <w:sz w:val="20"/>
          <w:szCs w:val="20"/>
          <w:color w:val="auto"/>
        </w:rPr>
      </w:pPr>
    </w:p>
    <w:p>
      <w:pPr>
        <w:ind w:left="440" w:right="640" w:hanging="439"/>
        <w:spacing w:after="0" w:line="267"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Fiscal Year Compensation</w:t>
      </w:r>
      <w:r>
        <w:rPr>
          <w:rFonts w:ascii="Arial" w:cs="Arial" w:eastAsia="Arial" w:hAnsi="Arial"/>
          <w:sz w:val="18"/>
          <w:szCs w:val="18"/>
          <w:color w:val="auto"/>
        </w:rPr>
        <w:t>. Fiscal Year Compensation means Compensation earned during one or more consecutive fiscal years of a Participating Employer, all of which is paid after the last day of such fiscal year or years.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2.26  </w:t>
      </w:r>
      <w:r>
        <w:rPr>
          <w:rFonts w:ascii="Arial" w:cs="Arial" w:eastAsia="Arial" w:hAnsi="Arial"/>
          <w:sz w:val="16"/>
          <w:szCs w:val="16"/>
          <w:u w:val="single" w:color="auto"/>
          <w:color w:val="auto"/>
        </w:rPr>
        <w:t>Grandfathered Account</w:t>
      </w:r>
      <w:r>
        <w:rPr>
          <w:rFonts w:ascii="Arial" w:cs="Arial" w:eastAsia="Arial" w:hAnsi="Arial"/>
          <w:sz w:val="16"/>
          <w:szCs w:val="16"/>
          <w:color w:val="auto"/>
        </w:rPr>
        <w:t xml:space="preserve"> . Grandfathered Account means amounts deferred under the Plan prior to January 1, 2005 that were vested as of December 31,</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2004.</w:t>
      </w:r>
    </w:p>
    <w:p>
      <w:pPr>
        <w:spacing w:after="0" w:line="115" w:lineRule="exact"/>
        <w:rPr>
          <w:sz w:val="20"/>
          <w:szCs w:val="20"/>
          <w:color w:val="auto"/>
        </w:rPr>
      </w:pPr>
    </w:p>
    <w:p>
      <w:pPr>
        <w:jc w:val="both"/>
        <w:ind w:left="440" w:right="60" w:hanging="439"/>
        <w:spacing w:after="0" w:line="304" w:lineRule="auto"/>
        <w:rPr>
          <w:sz w:val="20"/>
          <w:szCs w:val="20"/>
          <w:color w:val="auto"/>
        </w:rPr>
      </w:pPr>
      <w:r>
        <w:rPr>
          <w:rFonts w:ascii="Arial" w:cs="Arial" w:eastAsia="Arial" w:hAnsi="Arial"/>
          <w:sz w:val="16"/>
          <w:szCs w:val="16"/>
          <w:color w:val="auto"/>
        </w:rPr>
        <w:t xml:space="preserve">2.27 </w:t>
      </w:r>
      <w:r>
        <w:rPr>
          <w:rFonts w:ascii="Arial" w:cs="Arial" w:eastAsia="Arial" w:hAnsi="Arial"/>
          <w:sz w:val="16"/>
          <w:szCs w:val="16"/>
          <w:u w:val="single" w:color="auto"/>
          <w:color w:val="auto"/>
        </w:rPr>
        <w:t>Participant</w:t>
      </w:r>
      <w:r>
        <w:rPr>
          <w:rFonts w:ascii="Arial" w:cs="Arial" w:eastAsia="Arial" w:hAnsi="Arial"/>
          <w:sz w:val="16"/>
          <w:szCs w:val="16"/>
          <w:color w:val="auto"/>
        </w:rPr>
        <w:t>. Participant means an Eligible Employee or a Director who has received notification of his or her eligibility to defer Compensation under the Plan under Section 3.1 and any other person with an Account Balance greater than zero, regardless of whether such individual continues to be an Eligible Employee or a Director. A Participant’s continued participation in the Plan shall be governed by Section 3.2 of the Plan.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u w:val="single" w:color="auto"/>
          <w:color w:val="auto"/>
        </w:rPr>
        <w:t>Participating Employer</w:t>
      </w:r>
      <w:r>
        <w:rPr>
          <w:rFonts w:ascii="Arial" w:cs="Arial" w:eastAsia="Arial" w:hAnsi="Arial"/>
          <w:sz w:val="18"/>
          <w:szCs w:val="18"/>
          <w:color w:val="auto"/>
        </w:rPr>
        <w:t xml:space="preserve"> . Participating Employer means the Company and each Adopting Employer.</w:t>
      </w:r>
    </w:p>
    <w:p>
      <w:pPr>
        <w:spacing w:after="0" w:line="126" w:lineRule="exact"/>
        <w:rPr>
          <w:sz w:val="20"/>
          <w:szCs w:val="20"/>
          <w:color w:val="auto"/>
        </w:rPr>
      </w:pPr>
    </w:p>
    <w:p>
      <w:pPr>
        <w:jc w:val="both"/>
        <w:ind w:left="440" w:right="60" w:hanging="439"/>
        <w:spacing w:after="0" w:line="267"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u w:val="single" w:color="auto"/>
          <w:color w:val="auto"/>
        </w:rPr>
        <w:t>Payment Schedule</w:t>
      </w:r>
      <w:r>
        <w:rPr>
          <w:rFonts w:ascii="Arial" w:cs="Arial" w:eastAsia="Arial" w:hAnsi="Arial"/>
          <w:sz w:val="18"/>
          <w:szCs w:val="18"/>
          <w:color w:val="auto"/>
        </w:rPr>
        <w:t xml:space="preserve"> . Payment Schedule means the date as of which payment of an Account under the Plan will commence and the form in which payment of such Account will be made.</w:t>
      </w:r>
    </w:p>
    <w:p>
      <w:pPr>
        <w:spacing w:after="0" w:line="86" w:lineRule="exact"/>
        <w:rPr>
          <w:sz w:val="20"/>
          <w:szCs w:val="20"/>
          <w:color w:val="auto"/>
        </w:rPr>
      </w:pPr>
    </w:p>
    <w:p>
      <w:pPr>
        <w:ind w:left="440" w:right="20" w:hanging="439"/>
        <w:spacing w:after="0" w:line="283" w:lineRule="auto"/>
        <w:rPr>
          <w:sz w:val="20"/>
          <w:szCs w:val="20"/>
          <w:color w:val="auto"/>
        </w:rPr>
      </w:pPr>
      <w:r>
        <w:rPr>
          <w:rFonts w:ascii="Arial" w:cs="Arial" w:eastAsia="Arial" w:hAnsi="Arial"/>
          <w:sz w:val="16"/>
          <w:szCs w:val="16"/>
          <w:color w:val="auto"/>
        </w:rPr>
        <w:t xml:space="preserve">2.30 </w:t>
      </w:r>
      <w:r>
        <w:rPr>
          <w:rFonts w:ascii="Arial" w:cs="Arial" w:eastAsia="Arial" w:hAnsi="Arial"/>
          <w:sz w:val="16"/>
          <w:szCs w:val="16"/>
          <w:u w:val="single" w:color="auto"/>
          <w:color w:val="auto"/>
        </w:rPr>
        <w:t>Performance-Based Compensation</w:t>
      </w:r>
      <w:r>
        <w:rPr>
          <w:rFonts w:ascii="Arial" w:cs="Arial" w:eastAsia="Arial" w:hAnsi="Arial"/>
          <w:sz w:val="16"/>
          <w:szCs w:val="16"/>
          <w:color w:val="auto"/>
        </w:rPr>
        <w:t xml:space="preserve"> . Performance-Based Compensation means Compensation where the amount of, or entitlement to, the Compensation is contingent on the satisfaction of pre-established organizational or individual performance criteria relating to a performance period of at least twelve consecutive months. Organizational or individual performance criteria are considered pre-established if established in writing by not later than ninety</w:t>
      </w:r>
    </w:p>
    <w:p>
      <w:pPr>
        <w:ind w:left="440" w:right="80" w:firstLine="7"/>
        <w:spacing w:after="0" w:line="251" w:lineRule="auto"/>
        <w:tabs>
          <w:tab w:leader="none" w:pos="7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days after the commencement of the period of service to which the criteria relate, provided that the outcome is substantially uncertain at the time the criteria are established. The determination of whether Compensation qualifies as “Performance-Based Compensation” will be made in accordance with Treas. Reg. Section 1.409A-l(e) and subsequent guidance.</w:t>
      </w:r>
    </w:p>
    <w:p>
      <w:pPr>
        <w:spacing w:after="0" w:line="100" w:lineRule="exact"/>
        <w:rPr>
          <w:sz w:val="20"/>
          <w:szCs w:val="20"/>
          <w:color w:val="auto"/>
        </w:rPr>
      </w:pPr>
    </w:p>
    <w:p>
      <w:pPr>
        <w:ind w:left="440" w:right="100" w:hanging="439"/>
        <w:spacing w:after="0" w:line="252"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Plan</w:t>
      </w:r>
      <w:r>
        <w:rPr>
          <w:rFonts w:ascii="Arial" w:cs="Arial" w:eastAsia="Arial" w:hAnsi="Arial"/>
          <w:sz w:val="18"/>
          <w:szCs w:val="18"/>
          <w:color w:val="auto"/>
        </w:rPr>
        <w:t>. Generally, the term Plan means the “Fidelity National Financial, Inc. Deferred Compensation Plan” as documented herein and as may be amended from time to time hereafter. However, to the extent permitted or required under Code Section 409 A, the term Plan may in the appropriate context also mean a portion of the Plan that is treated as a single plan under Treas. Reg. Section 1.409A-l(c), or the Plan or portion of the Plan and any other nonqualified deferred compensation plan or portion thereof that is treated as a single plan under such section. “Plan”, in the appropriate context, refers to the</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5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725233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portion of this Plan represented by each Adopting Employer’s liabilities with respect to its Employees and Directors.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Plan Year</w:t>
      </w:r>
      <w:r>
        <w:rPr>
          <w:rFonts w:ascii="Arial" w:cs="Arial" w:eastAsia="Arial" w:hAnsi="Arial"/>
          <w:sz w:val="18"/>
          <w:szCs w:val="18"/>
          <w:color w:val="auto"/>
        </w:rPr>
        <w:t>. Plan Year means January 1 through December 31.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Retirement.</w:t>
      </w:r>
      <w:r>
        <w:rPr>
          <w:rFonts w:ascii="Arial" w:cs="Arial" w:eastAsia="Arial" w:hAnsi="Arial"/>
          <w:sz w:val="18"/>
          <w:szCs w:val="18"/>
          <w:color w:val="auto"/>
        </w:rPr>
        <w:t xml:space="preserve"> Retirement means a Participant’s Separation from Service after attainment of age 60.</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2.34  </w:t>
      </w:r>
      <w:r>
        <w:rPr>
          <w:rFonts w:ascii="Arial" w:cs="Arial" w:eastAsia="Arial" w:hAnsi="Arial"/>
          <w:sz w:val="17"/>
          <w:szCs w:val="17"/>
          <w:u w:val="single" w:color="auto"/>
          <w:color w:val="auto"/>
        </w:rPr>
        <w:t>Retirement Benefit.</w:t>
      </w:r>
      <w:r>
        <w:rPr>
          <w:rFonts w:ascii="Arial" w:cs="Arial" w:eastAsia="Arial" w:hAnsi="Arial"/>
          <w:sz w:val="17"/>
          <w:szCs w:val="17"/>
          <w:color w:val="auto"/>
        </w:rPr>
        <w:t xml:space="preserve"> Retirement Benefit means the benefit payable to a Participant under the Plan following the Retirement of the Participant.</w:t>
      </w:r>
    </w:p>
    <w:p>
      <w:pPr>
        <w:spacing w:after="0" w:line="138" w:lineRule="exact"/>
        <w:rPr>
          <w:sz w:val="20"/>
          <w:szCs w:val="20"/>
          <w:color w:val="auto"/>
        </w:rPr>
      </w:pPr>
    </w:p>
    <w:p>
      <w:pPr>
        <w:ind w:left="440" w:right="180" w:hanging="439"/>
        <w:spacing w:after="0" w:line="267" w:lineRule="auto"/>
        <w:rPr>
          <w:sz w:val="20"/>
          <w:szCs w:val="20"/>
          <w:color w:val="auto"/>
        </w:rPr>
      </w:pPr>
      <w:r>
        <w:rPr>
          <w:rFonts w:ascii="Arial" w:cs="Arial" w:eastAsia="Arial" w:hAnsi="Arial"/>
          <w:sz w:val="18"/>
          <w:szCs w:val="18"/>
          <w:color w:val="auto"/>
        </w:rPr>
        <w:t xml:space="preserve">2.35 </w:t>
      </w:r>
      <w:r>
        <w:rPr>
          <w:rFonts w:ascii="Arial" w:cs="Arial" w:eastAsia="Arial" w:hAnsi="Arial"/>
          <w:sz w:val="18"/>
          <w:szCs w:val="18"/>
          <w:u w:val="single" w:color="auto"/>
          <w:color w:val="auto"/>
        </w:rPr>
        <w:t>Retirement/Termination Account</w:t>
      </w:r>
      <w:r>
        <w:rPr>
          <w:rFonts w:ascii="Arial" w:cs="Arial" w:eastAsia="Arial" w:hAnsi="Arial"/>
          <w:sz w:val="18"/>
          <w:szCs w:val="18"/>
          <w:color w:val="auto"/>
        </w:rPr>
        <w:t>. Retirement/Termination Account means an Account established by the Committee to record the amounts payable to a Participant upon Separation from Service.</w:t>
      </w:r>
    </w:p>
    <w:p>
      <w:pPr>
        <w:spacing w:after="0" w:line="86" w:lineRule="exact"/>
        <w:rPr>
          <w:sz w:val="20"/>
          <w:szCs w:val="20"/>
          <w:color w:val="auto"/>
        </w:rPr>
      </w:pPr>
    </w:p>
    <w:p>
      <w:pPr>
        <w:ind w:left="440" w:right="340" w:hanging="439"/>
        <w:spacing w:after="0" w:line="257" w:lineRule="auto"/>
        <w:rPr>
          <w:sz w:val="20"/>
          <w:szCs w:val="20"/>
          <w:color w:val="auto"/>
        </w:rPr>
      </w:pPr>
      <w:r>
        <w:rPr>
          <w:rFonts w:ascii="Arial" w:cs="Arial" w:eastAsia="Arial" w:hAnsi="Arial"/>
          <w:sz w:val="18"/>
          <w:szCs w:val="18"/>
          <w:color w:val="auto"/>
        </w:rPr>
        <w:t xml:space="preserve">2.36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An Employee incurs a Separation from Service upon termination of employment with the Employer. A Director incurs a Separation from Service when he or she no longer serves on the Board of Directors of the Company. Whether a Separation from Service has occurred shall be determined by the Committee in accordance with Code Section 409 A.</w:t>
      </w:r>
    </w:p>
    <w:p>
      <w:pPr>
        <w:spacing w:after="0" w:line="95" w:lineRule="exact"/>
        <w:rPr>
          <w:sz w:val="20"/>
          <w:szCs w:val="20"/>
          <w:color w:val="auto"/>
        </w:rPr>
      </w:pPr>
    </w:p>
    <w:p>
      <w:pPr>
        <w:jc w:val="both"/>
        <w:ind w:left="440"/>
        <w:spacing w:after="0" w:line="273" w:lineRule="auto"/>
        <w:rPr>
          <w:sz w:val="20"/>
          <w:szCs w:val="20"/>
          <w:color w:val="auto"/>
        </w:rPr>
      </w:pPr>
      <w:r>
        <w:rPr>
          <w:rFonts w:ascii="Arial" w:cs="Arial" w:eastAsia="Arial" w:hAnsi="Arial"/>
          <w:sz w:val="17"/>
          <w:szCs w:val="17"/>
          <w:color w:val="auto"/>
        </w:rPr>
        <w:t>Except in the case of an Employee on a bona fide leave of absence as provided below, an Employee is deemed to have incurred a Separation from Service if the Employer and the Employee reasonably anticipated that the level of services to be performed by the Employee after a date certain would be reduced to 20% or less of the average services rendered by the Employee during the immediately preceding 36-month period (or the total period of employment, if less than 36 months), disregarding periods during which the Employee was on a bona fide leave of absence.</w:t>
      </w:r>
    </w:p>
    <w:p>
      <w:pPr>
        <w:spacing w:after="0" w:line="84" w:lineRule="exact"/>
        <w:rPr>
          <w:sz w:val="20"/>
          <w:szCs w:val="20"/>
          <w:color w:val="auto"/>
        </w:rPr>
      </w:pPr>
    </w:p>
    <w:p>
      <w:pPr>
        <w:ind w:left="440" w:right="20"/>
        <w:spacing w:after="0" w:line="257" w:lineRule="auto"/>
        <w:rPr>
          <w:sz w:val="20"/>
          <w:szCs w:val="20"/>
          <w:color w:val="auto"/>
        </w:rPr>
      </w:pPr>
      <w:r>
        <w:rPr>
          <w:rFonts w:ascii="Arial" w:cs="Arial" w:eastAsia="Arial" w:hAnsi="Arial"/>
          <w:sz w:val="18"/>
          <w:szCs w:val="18"/>
          <w:color w:val="auto"/>
        </w:rPr>
        <w:t>An Employee who is absent from work due to military leave, sick leave, or other bona fide leave of absence shall incur a Separation from Service on the first date immediately following the later of (i) the six-month anniversary of the commencement of the leave or (ii) the expiration of the Employee’s right, if any, to reemployment under statute or contract.</w:t>
      </w:r>
    </w:p>
    <w:p>
      <w:pPr>
        <w:spacing w:after="0" w:line="95" w:lineRule="exact"/>
        <w:rPr>
          <w:sz w:val="20"/>
          <w:szCs w:val="20"/>
          <w:color w:val="auto"/>
        </w:rPr>
      </w:pPr>
    </w:p>
    <w:p>
      <w:pPr>
        <w:ind w:left="440" w:right="200"/>
        <w:spacing w:after="0" w:line="257" w:lineRule="auto"/>
        <w:rPr>
          <w:sz w:val="20"/>
          <w:szCs w:val="20"/>
          <w:color w:val="auto"/>
        </w:rPr>
      </w:pPr>
      <w:r>
        <w:rPr>
          <w:rFonts w:ascii="Arial" w:cs="Arial" w:eastAsia="Arial" w:hAnsi="Arial"/>
          <w:sz w:val="18"/>
          <w:szCs w:val="18"/>
          <w:color w:val="auto"/>
        </w:rPr>
        <w:t>For purposes of determining whether a Separation from Service has occurred, the Employer means the Employer as defined in Section 2.23 of the Plan, except that for purposes of determining whether another organization is an Affiliate of the Company, common ownership of at least 50% shall be determinative.</w:t>
      </w:r>
    </w:p>
    <w:p>
      <w:pPr>
        <w:spacing w:after="0" w:line="95" w:lineRule="exact"/>
        <w:rPr>
          <w:sz w:val="20"/>
          <w:szCs w:val="20"/>
          <w:color w:val="auto"/>
        </w:rPr>
      </w:pPr>
    </w:p>
    <w:p>
      <w:pPr>
        <w:ind w:left="440" w:right="300"/>
        <w:spacing w:after="0" w:line="304" w:lineRule="auto"/>
        <w:rPr>
          <w:sz w:val="20"/>
          <w:szCs w:val="20"/>
          <w:color w:val="auto"/>
        </w:rPr>
      </w:pPr>
      <w:r>
        <w:rPr>
          <w:rFonts w:ascii="Arial" w:cs="Arial" w:eastAsia="Arial" w:hAnsi="Arial"/>
          <w:sz w:val="16"/>
          <w:szCs w:val="16"/>
          <w:color w:val="auto"/>
        </w:rPr>
        <w:t>The Committee specifically reserves the right to determine whether a sale or other disposition of substantial assets to an unrelated party constitutes a Separation from Service with respect to a Participant providing services to the seller immediately prior to the transaction and providing services to the buyer after the transaction. Such determination shall be made in accordance with the requirements of Code Section 409A.</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6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725233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ind w:left="440" w:right="200" w:hanging="439"/>
        <w:spacing w:after="0" w:line="254" w:lineRule="auto"/>
        <w:rPr>
          <w:sz w:val="20"/>
          <w:szCs w:val="20"/>
          <w:color w:val="auto"/>
        </w:rPr>
      </w:pPr>
      <w:r>
        <w:rPr>
          <w:rFonts w:ascii="Arial" w:cs="Arial" w:eastAsia="Arial" w:hAnsi="Arial"/>
          <w:sz w:val="18"/>
          <w:szCs w:val="18"/>
          <w:color w:val="auto"/>
        </w:rPr>
        <w:t xml:space="preserve">2.37 </w:t>
      </w:r>
      <w:r>
        <w:rPr>
          <w:rFonts w:ascii="Arial" w:cs="Arial" w:eastAsia="Arial" w:hAnsi="Arial"/>
          <w:sz w:val="18"/>
          <w:szCs w:val="18"/>
          <w:u w:val="single" w:color="auto"/>
          <w:color w:val="auto"/>
        </w:rPr>
        <w:t>Specified Date Account.</w:t>
      </w:r>
      <w:r>
        <w:rPr>
          <w:rFonts w:ascii="Arial" w:cs="Arial" w:eastAsia="Arial" w:hAnsi="Arial"/>
          <w:sz w:val="18"/>
          <w:szCs w:val="18"/>
          <w:color w:val="auto"/>
        </w:rPr>
        <w:t xml:space="preserve"> A Specified Date Account means an Account established by the Committee to record the amounts payable at a future date as specified in the Participant’s Compensation Deferral Agreement. Unless otherwise determined by the Committee, a Participant may maintain no more than five Specified Date Accounts. A Specified Date Account may be identified in enrollment materials as an “In-Service Account” or such other name without affecting the meaning of this Section.</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2.38  </w:t>
      </w:r>
      <w:r>
        <w:rPr>
          <w:rFonts w:ascii="Arial" w:cs="Arial" w:eastAsia="Arial" w:hAnsi="Arial"/>
          <w:sz w:val="17"/>
          <w:szCs w:val="17"/>
          <w:u w:val="single" w:color="auto"/>
          <w:color w:val="auto"/>
        </w:rPr>
        <w:t>Specified Date Benefit.</w:t>
      </w:r>
      <w:r>
        <w:rPr>
          <w:rFonts w:ascii="Arial" w:cs="Arial" w:eastAsia="Arial" w:hAnsi="Arial"/>
          <w:sz w:val="17"/>
          <w:szCs w:val="17"/>
          <w:color w:val="auto"/>
        </w:rPr>
        <w:t xml:space="preserve"> Specified Date Benefit means the benefit payable to a Participant under the Plan in accordance with Section 6.1(c).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2.39  </w:t>
      </w:r>
      <w:r>
        <w:rPr>
          <w:rFonts w:ascii="Arial" w:cs="Arial" w:eastAsia="Arial" w:hAnsi="Arial"/>
          <w:sz w:val="18"/>
          <w:szCs w:val="18"/>
          <w:u w:val="single" w:color="auto"/>
          <w:color w:val="auto"/>
        </w:rPr>
        <w:t>Substantial Risk of Forfeiture.</w:t>
      </w:r>
      <w:r>
        <w:rPr>
          <w:rFonts w:ascii="Arial" w:cs="Arial" w:eastAsia="Arial" w:hAnsi="Arial"/>
          <w:sz w:val="18"/>
          <w:szCs w:val="18"/>
          <w:color w:val="auto"/>
        </w:rPr>
        <w:t xml:space="preserve"> Substantial Risk of Forfeiture shall have the meaning specified in Treas. Reg. Section 1.409A-l(d).</w:t>
      </w:r>
    </w:p>
    <w:p>
      <w:pPr>
        <w:spacing w:after="0" w:line="126" w:lineRule="exact"/>
        <w:rPr>
          <w:sz w:val="20"/>
          <w:szCs w:val="20"/>
          <w:color w:val="auto"/>
        </w:rPr>
      </w:pPr>
    </w:p>
    <w:p>
      <w:pPr>
        <w:ind w:left="440" w:right="220" w:hanging="439"/>
        <w:spacing w:after="0" w:line="267" w:lineRule="auto"/>
        <w:rPr>
          <w:sz w:val="20"/>
          <w:szCs w:val="20"/>
          <w:color w:val="auto"/>
        </w:rPr>
      </w:pPr>
      <w:r>
        <w:rPr>
          <w:rFonts w:ascii="Arial" w:cs="Arial" w:eastAsia="Arial" w:hAnsi="Arial"/>
          <w:sz w:val="18"/>
          <w:szCs w:val="18"/>
          <w:color w:val="auto"/>
        </w:rPr>
        <w:t xml:space="preserve">2.40 </w:t>
      </w:r>
      <w:r>
        <w:rPr>
          <w:rFonts w:ascii="Arial" w:cs="Arial" w:eastAsia="Arial" w:hAnsi="Arial"/>
          <w:sz w:val="18"/>
          <w:szCs w:val="18"/>
          <w:u w:val="single" w:color="auto"/>
          <w:color w:val="auto"/>
        </w:rPr>
        <w:t>Termination Benefit.</w:t>
      </w:r>
      <w:r>
        <w:rPr>
          <w:rFonts w:ascii="Arial" w:cs="Arial" w:eastAsia="Arial" w:hAnsi="Arial"/>
          <w:sz w:val="18"/>
          <w:szCs w:val="18"/>
          <w:color w:val="auto"/>
        </w:rPr>
        <w:t xml:space="preserve"> Termination Benefit means the benefit payable to a Participant under the Plan following the Participant’s Separation from Service prior to Retirement.</w:t>
      </w:r>
    </w:p>
    <w:p>
      <w:pPr>
        <w:spacing w:after="0" w:line="86" w:lineRule="exact"/>
        <w:rPr>
          <w:sz w:val="20"/>
          <w:szCs w:val="20"/>
          <w:color w:val="auto"/>
        </w:rPr>
      </w:pPr>
    </w:p>
    <w:p>
      <w:pPr>
        <w:ind w:left="440" w:right="20" w:hanging="439"/>
        <w:spacing w:after="0" w:line="291" w:lineRule="auto"/>
        <w:rPr>
          <w:sz w:val="20"/>
          <w:szCs w:val="20"/>
          <w:color w:val="auto"/>
        </w:rPr>
      </w:pPr>
      <w:r>
        <w:rPr>
          <w:rFonts w:ascii="Arial" w:cs="Arial" w:eastAsia="Arial" w:hAnsi="Arial"/>
          <w:sz w:val="16"/>
          <w:szCs w:val="16"/>
          <w:color w:val="auto"/>
        </w:rPr>
        <w:t xml:space="preserve">2.41 </w:t>
      </w:r>
      <w:r>
        <w:rPr>
          <w:rFonts w:ascii="Arial" w:cs="Arial" w:eastAsia="Arial" w:hAnsi="Arial"/>
          <w:sz w:val="16"/>
          <w:szCs w:val="16"/>
          <w:u w:val="single" w:color="auto"/>
          <w:color w:val="auto"/>
        </w:rPr>
        <w:t>Unforeseeable Emergency.</w:t>
      </w:r>
      <w:r>
        <w:rPr>
          <w:rFonts w:ascii="Arial" w:cs="Arial" w:eastAsia="Arial" w:hAnsi="Arial"/>
          <w:sz w:val="16"/>
          <w:szCs w:val="16"/>
          <w:color w:val="auto"/>
        </w:rPr>
        <w:t xml:space="preserve"> An Unforeseeable Emergency means a severe financial hardship to the Participant resulting from an illness or accident of the Participant, the Participant’s spouse, the Participant’s dependent (as defined in Code section 152, without regard to section 152(b)(l), (b)(2), and (d)(l)(B)) or a Beneficiary;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The types of events which may qualify as an Unforeseeable Emergency may be limited by the Committee.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u w:val="single" w:color="auto"/>
          <w:color w:val="auto"/>
        </w:rPr>
        <w:t>Valuation Date.</w:t>
      </w:r>
      <w:r>
        <w:rPr>
          <w:rFonts w:ascii="Arial" w:cs="Arial" w:eastAsia="Arial" w:hAnsi="Arial"/>
          <w:sz w:val="18"/>
          <w:szCs w:val="18"/>
          <w:color w:val="auto"/>
        </w:rPr>
        <w:t xml:space="preserve"> Valuation Date shall mean each Business Day.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w:t>
      </w:r>
      <w:r>
        <w:rPr>
          <w:rFonts w:ascii="Arial" w:cs="Arial" w:eastAsia="Arial" w:hAnsi="Arial"/>
          <w:sz w:val="18"/>
          <w:szCs w:val="18"/>
          <w:color w:val="auto"/>
        </w:rPr>
        <w:t>III</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 and Participation</w:t>
      </w:r>
    </w:p>
    <w:p>
      <w:pPr>
        <w:spacing w:after="0" w:line="113" w:lineRule="exact"/>
        <w:rPr>
          <w:sz w:val="20"/>
          <w:szCs w:val="20"/>
          <w:color w:val="auto"/>
        </w:rPr>
      </w:pPr>
    </w:p>
    <w:p>
      <w:pPr>
        <w:ind w:left="460" w:right="40" w:hanging="452"/>
        <w:spacing w:after="0" w:line="267" w:lineRule="auto"/>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 xml:space="preserve">Eligibility and Participation. </w:t>
      </w:r>
      <w:r>
        <w:rPr>
          <w:rFonts w:ascii="Arial" w:cs="Arial" w:eastAsia="Arial" w:hAnsi="Arial"/>
          <w:sz w:val="18"/>
          <w:szCs w:val="18"/>
          <w:color w:val="auto"/>
        </w:rPr>
        <w:t>An Eligible Employee or a Director becomes a Participant upon the earlier to occur of (i) a credit of Company Contributions</w:t>
      </w:r>
      <w:r>
        <w:rPr>
          <w:rFonts w:ascii="Arial" w:cs="Arial" w:eastAsia="Arial" w:hAnsi="Arial"/>
          <w:sz w:val="18"/>
          <w:szCs w:val="18"/>
          <w:u w:val="single" w:color="auto"/>
          <w:color w:val="auto"/>
        </w:rPr>
        <w:t xml:space="preserve"> </w:t>
      </w:r>
      <w:r>
        <w:rPr>
          <w:rFonts w:ascii="Arial" w:cs="Arial" w:eastAsia="Arial" w:hAnsi="Arial"/>
          <w:sz w:val="18"/>
          <w:szCs w:val="18"/>
          <w:color w:val="auto"/>
        </w:rPr>
        <w:t>under Article V or (ii) receipt of notification of eligibility to participate.</w:t>
      </w:r>
    </w:p>
    <w:p>
      <w:pPr>
        <w:spacing w:after="0" w:line="86" w:lineRule="exact"/>
        <w:rPr>
          <w:sz w:val="20"/>
          <w:szCs w:val="20"/>
          <w:color w:val="auto"/>
        </w:rPr>
      </w:pPr>
    </w:p>
    <w:p>
      <w:pPr>
        <w:jc w:val="center"/>
        <w:ind w:right="60"/>
        <w:spacing w:after="0"/>
        <w:tabs>
          <w:tab w:leader="none" w:pos="2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 xml:space="preserve">Duration. </w:t>
      </w:r>
      <w:r>
        <w:rPr>
          <w:rFonts w:ascii="Arial" w:cs="Arial" w:eastAsia="Arial" w:hAnsi="Arial"/>
          <w:sz w:val="16"/>
          <w:szCs w:val="16"/>
          <w:color w:val="auto"/>
        </w:rPr>
        <w:t>A Participant shall be eligible to defer Compensation and receive allocations of Company Contributions, subject to the terms of the Plan, for as</w:t>
      </w:r>
    </w:p>
    <w:p>
      <w:pPr>
        <w:spacing w:after="0" w:line="17" w:lineRule="exact"/>
        <w:rPr>
          <w:sz w:val="20"/>
          <w:szCs w:val="20"/>
          <w:color w:val="auto"/>
        </w:rPr>
      </w:pPr>
    </w:p>
    <w:p>
      <w:pPr>
        <w:ind w:left="460" w:right="120"/>
        <w:spacing w:after="0" w:line="287" w:lineRule="auto"/>
        <w:rPr>
          <w:sz w:val="20"/>
          <w:szCs w:val="20"/>
          <w:color w:val="auto"/>
        </w:rPr>
      </w:pPr>
      <w:r>
        <w:rPr>
          <w:rFonts w:ascii="Arial" w:cs="Arial" w:eastAsia="Arial" w:hAnsi="Arial"/>
          <w:sz w:val="16"/>
          <w:szCs w:val="16"/>
          <w:color w:val="auto"/>
        </w:rPr>
        <w:t>long as such Participant remains an Eligible Employee or a Director. A Participant who is no longer an Eligible Employee or a Director but has not Separated from Service may not file a Compensation Deferral Agreement under Article IV, but may otherwise exercise all of the rights of a Participant under the Plan with respect to his or her Account(s). On and after a Separation from Service, a Participant shall remain a Participant as long as his or her Account Balance is greater than zero and during such time may continue to make allocation elections as provided in Section 8.4. An individual shall cease being a Participant in the Plan when all benefits under the Plan to which he or she is entitled have been paid.</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7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725233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w:t>
      </w:r>
      <w:r>
        <w:rPr>
          <w:rFonts w:ascii="Arial" w:cs="Arial" w:eastAsia="Arial" w:hAnsi="Arial"/>
          <w:sz w:val="18"/>
          <w:szCs w:val="18"/>
          <w:color w:val="auto"/>
        </w:rPr>
        <w:t>IV</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Deferrals</w:t>
      </w:r>
    </w:p>
    <w:p>
      <w:pPr>
        <w:spacing w:after="0" w:line="11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Deferral Elections, Generally.</w:t>
      </w:r>
    </w:p>
    <w:p>
      <w:pPr>
        <w:spacing w:after="0" w:line="113" w:lineRule="exact"/>
        <w:rPr>
          <w:sz w:val="20"/>
          <w:szCs w:val="20"/>
          <w:color w:val="auto"/>
        </w:rPr>
      </w:pPr>
    </w:p>
    <w:p>
      <w:pPr>
        <w:ind w:left="900" w:right="20" w:hanging="440"/>
        <w:spacing w:after="0" w:line="252"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Participant may elect to defer Compensation by submitting a Compensation Deferral Agreement during the enrollment periods established by the Committee and in the manner specified by the Committee, but in any event, in accordance with Section 4.2. A Compensation Deferral Agreement that is not timely filed with respect to a service period or component of Compensation shall be considered void and shall have no effect with respect to such service period or Compensation. The Committee may modify or cancel any Compensation Deferral Agreement prior to the date the election becomes irrevocable under the rules of Section 4.2.</w:t>
      </w:r>
    </w:p>
    <w:p>
      <w:pPr>
        <w:spacing w:after="0" w:line="100" w:lineRule="exact"/>
        <w:rPr>
          <w:rFonts w:ascii="Arial" w:cs="Arial" w:eastAsia="Arial" w:hAnsi="Arial"/>
          <w:sz w:val="18"/>
          <w:szCs w:val="18"/>
          <w:color w:val="auto"/>
        </w:rPr>
      </w:pPr>
    </w:p>
    <w:p>
      <w:pPr>
        <w:ind w:left="900" w:right="80" w:hanging="440"/>
        <w:spacing w:after="0" w:line="252"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Participant shall specify on his or her Compensation Deferral Agreement the amount of Deferrals and whether to allocate Deferrals to a Retirement/Termination Account or to a Specified Date Account. If no designation is made, Deferrals shall be allocated to the Retirement/Termination Account. A Participant may also specify in his or her Compensation Deferral Agreement the Payment Schedule applicable to his or her Plan Accounts. If the Payment Schedule is not specified in a Compensation Deferral Agreement, the Payment Schedule shall be the Payment Schedule specified in Section 6.2.</w:t>
      </w:r>
    </w:p>
    <w:p>
      <w:pPr>
        <w:spacing w:after="0" w:line="8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Timing Requirements for Compensation Deferral Agreements.</w:t>
      </w:r>
    </w:p>
    <w:p>
      <w:pPr>
        <w:spacing w:after="0" w:line="113" w:lineRule="exact"/>
        <w:rPr>
          <w:sz w:val="20"/>
          <w:szCs w:val="20"/>
          <w:color w:val="auto"/>
        </w:rPr>
      </w:pPr>
    </w:p>
    <w:p>
      <w:pPr>
        <w:ind w:left="900" w:right="60" w:hanging="440"/>
        <w:spacing w:after="0" w:line="291" w:lineRule="auto"/>
        <w:tabs>
          <w:tab w:leader="none" w:pos="900"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 xml:space="preserve">First Year of Eligibility. </w:t>
      </w:r>
      <w:r>
        <w:rPr>
          <w:rFonts w:ascii="Arial" w:cs="Arial" w:eastAsia="Arial" w:hAnsi="Arial"/>
          <w:sz w:val="16"/>
          <w:szCs w:val="16"/>
          <w:color w:val="auto"/>
        </w:rPr>
        <w:t>In the case of the first year in which an Eligible Employee or a Director becomes eligible to participate in the Plan, he has</w:t>
      </w:r>
      <w:r>
        <w:rPr>
          <w:rFonts w:ascii="Arial" w:cs="Arial" w:eastAsia="Arial" w:hAnsi="Arial"/>
          <w:sz w:val="16"/>
          <w:szCs w:val="16"/>
          <w:i w:val="1"/>
          <w:iCs w:val="1"/>
          <w:color w:val="auto"/>
        </w:rPr>
        <w:t xml:space="preserve"> </w:t>
      </w:r>
      <w:r>
        <w:rPr>
          <w:rFonts w:ascii="Arial" w:cs="Arial" w:eastAsia="Arial" w:hAnsi="Arial"/>
          <w:sz w:val="16"/>
          <w:szCs w:val="16"/>
          <w:color w:val="auto"/>
        </w:rPr>
        <w:t>up to 30 days following his initial eligibility to submit a Compensation Deferral Agreement with respect to Compensation to be earned during such year. The Compensation Deferral Agreement described in this paragraph becomes irrevocable upon the end of such 30-day period. The determination of whether an Eligible Employee or a Director may file a Compensation Deferral Agreement under this paragraph shall be determined in accordance with the rules of Code Section 409A, including the provisions of Treas. Reg. Section 1.409A-2(a)(7).</w:t>
      </w:r>
    </w:p>
    <w:p>
      <w:pPr>
        <w:spacing w:after="0" w:line="71" w:lineRule="exact"/>
        <w:rPr>
          <w:rFonts w:ascii="Arial" w:cs="Arial" w:eastAsia="Arial" w:hAnsi="Arial"/>
          <w:sz w:val="16"/>
          <w:szCs w:val="16"/>
          <w:color w:val="auto"/>
        </w:rPr>
      </w:pPr>
    </w:p>
    <w:p>
      <w:pPr>
        <w:ind w:left="900" w:right="200"/>
        <w:spacing w:after="0" w:line="267" w:lineRule="auto"/>
        <w:rPr>
          <w:rFonts w:ascii="Arial" w:cs="Arial" w:eastAsia="Arial" w:hAnsi="Arial"/>
          <w:sz w:val="16"/>
          <w:szCs w:val="16"/>
          <w:color w:val="auto"/>
        </w:rPr>
      </w:pPr>
      <w:r>
        <w:rPr>
          <w:rFonts w:ascii="Arial" w:cs="Arial" w:eastAsia="Arial" w:hAnsi="Arial"/>
          <w:sz w:val="18"/>
          <w:szCs w:val="18"/>
          <w:color w:val="auto"/>
        </w:rPr>
        <w:t>A Compensation Deferral Agreement filed under this paragraph applies to Compensation earned on and after the date the Compensation Deferral Agreement becomes irrevocable.</w:t>
      </w:r>
    </w:p>
    <w:p>
      <w:pPr>
        <w:spacing w:after="0" w:line="86" w:lineRule="exact"/>
        <w:rPr>
          <w:rFonts w:ascii="Arial" w:cs="Arial" w:eastAsia="Arial" w:hAnsi="Arial"/>
          <w:sz w:val="16"/>
          <w:szCs w:val="16"/>
          <w:color w:val="auto"/>
        </w:rPr>
      </w:pPr>
    </w:p>
    <w:p>
      <w:pPr>
        <w:ind w:left="900" w:right="180" w:hanging="440"/>
        <w:spacing w:after="0" w:line="254" w:lineRule="auto"/>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 xml:space="preserve">Prior Year Election. </w:t>
      </w:r>
      <w:r>
        <w:rPr>
          <w:rFonts w:ascii="Arial" w:cs="Arial" w:eastAsia="Arial" w:hAnsi="Arial"/>
          <w:sz w:val="18"/>
          <w:szCs w:val="18"/>
          <w:color w:val="auto"/>
        </w:rPr>
        <w:t>Except as otherwise provided in this Section 4.2, Participants may defer Compensation by filing a Compensation Deferral</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no later than December 31 of the year prior to the year in which the Compensation to be deferred is earned. A Compensation Deferral Agreement described in this paragraph shall become irrevocable with respect to such Compensation as of January 1 of the year in which such Compensation is earned.</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8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725233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ind w:left="900" w:right="200" w:hanging="440"/>
        <w:spacing w:after="0" w:line="267"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 xml:space="preserve">Performance-Based Compensation. </w:t>
      </w:r>
      <w:r>
        <w:rPr>
          <w:rFonts w:ascii="Arial" w:cs="Arial" w:eastAsia="Arial" w:hAnsi="Arial"/>
          <w:sz w:val="18"/>
          <w:szCs w:val="18"/>
          <w:color w:val="auto"/>
        </w:rPr>
        <w:t>Participants may file a Compensation Deferral Agreement with respect to Performance-Based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no later than the date that is six months before the end of the performance period, provided that:</w:t>
      </w:r>
    </w:p>
    <w:p>
      <w:pPr>
        <w:spacing w:after="0" w:line="72" w:lineRule="exact"/>
        <w:rPr>
          <w:rFonts w:ascii="Arial" w:cs="Arial" w:eastAsia="Arial" w:hAnsi="Arial"/>
          <w:sz w:val="18"/>
          <w:szCs w:val="18"/>
          <w:color w:val="auto"/>
        </w:rPr>
      </w:pPr>
    </w:p>
    <w:p>
      <w:pPr>
        <w:ind w:left="1360" w:right="780" w:hanging="447"/>
        <w:spacing w:after="0" w:line="267" w:lineRule="auto"/>
        <w:tabs>
          <w:tab w:leader="none" w:pos="13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Participant performs services continuously from the later of the beginning of the performance period or the date the criteria are established through the date the Compensation Deferral Agreement is submitted; and</w:t>
      </w:r>
    </w:p>
    <w:p>
      <w:pPr>
        <w:spacing w:after="0" w:line="86" w:lineRule="exact"/>
        <w:rPr>
          <w:rFonts w:ascii="Arial" w:cs="Arial" w:eastAsia="Arial" w:hAnsi="Arial"/>
          <w:sz w:val="18"/>
          <w:szCs w:val="18"/>
          <w:color w:val="auto"/>
        </w:rPr>
      </w:pPr>
    </w:p>
    <w:p>
      <w:pPr>
        <w:ind w:left="1360" w:hanging="447"/>
        <w:spacing w:after="0"/>
        <w:tabs>
          <w:tab w:leader="none" w:pos="136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Compensation is not readily ascertainable as of the date the Compensation Deferral Agreement is filed.</w:t>
      </w:r>
    </w:p>
    <w:p>
      <w:pPr>
        <w:spacing w:after="0" w:line="113" w:lineRule="exact"/>
        <w:rPr>
          <w:sz w:val="20"/>
          <w:szCs w:val="20"/>
          <w:color w:val="auto"/>
        </w:rPr>
      </w:pPr>
    </w:p>
    <w:p>
      <w:pPr>
        <w:jc w:val="both"/>
        <w:ind w:left="900" w:right="120"/>
        <w:spacing w:after="0" w:line="295" w:lineRule="auto"/>
        <w:rPr>
          <w:sz w:val="20"/>
          <w:szCs w:val="20"/>
          <w:color w:val="auto"/>
        </w:rPr>
      </w:pPr>
      <w:r>
        <w:rPr>
          <w:rFonts w:ascii="Arial" w:cs="Arial" w:eastAsia="Arial" w:hAnsi="Arial"/>
          <w:sz w:val="16"/>
          <w:szCs w:val="16"/>
          <w:color w:val="auto"/>
        </w:rPr>
        <w:t>A Compensation Deferral Agreement becomes irrevocable with respect to Performance-Based Compensation as of the day immediately following the latest date for filing such election. Any election to defer Performance-Based Compensation that is made in accordance with this paragraph and that becomes payable as a result of the Participant’s death or disability (as defined in Treas. Reg. Section 1.409A-l(e)) or upon a change in control (as defined in Treas. Reg. Section 1.409A-3(i)(5)) prior to the satisfaction of the performance criteria, will be void.</w:t>
      </w:r>
    </w:p>
    <w:p>
      <w:pPr>
        <w:spacing w:after="0" w:line="69" w:lineRule="exact"/>
        <w:rPr>
          <w:sz w:val="20"/>
          <w:szCs w:val="20"/>
          <w:color w:val="auto"/>
        </w:rPr>
      </w:pPr>
    </w:p>
    <w:p>
      <w:pPr>
        <w:ind w:left="900" w:right="40" w:hanging="440"/>
        <w:spacing w:after="0" w:line="257"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Sales Commissions. </w:t>
      </w:r>
      <w:r>
        <w:rPr>
          <w:rFonts w:ascii="Arial" w:cs="Arial" w:eastAsia="Arial" w:hAnsi="Arial"/>
          <w:sz w:val="18"/>
          <w:szCs w:val="18"/>
          <w:color w:val="auto"/>
        </w:rPr>
        <w:t>Sales commissions (as defined in Treas. Reg. Section 1.409A-2(a)(12)(i)) are considered to be earned in the taxable year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in which the sale occurs. The Compensation Deferral Agreement must be filed before the last day of the year preceding the year in which the sales commissions are earned and becomes irrevocable after that date.</w:t>
      </w:r>
    </w:p>
    <w:p>
      <w:pPr>
        <w:spacing w:after="0" w:line="95" w:lineRule="exact"/>
        <w:rPr>
          <w:rFonts w:ascii="Arial" w:cs="Arial" w:eastAsia="Arial" w:hAnsi="Arial"/>
          <w:sz w:val="18"/>
          <w:szCs w:val="18"/>
          <w:color w:val="auto"/>
        </w:rPr>
      </w:pPr>
    </w:p>
    <w:p>
      <w:pPr>
        <w:ind w:left="900" w:right="260" w:hanging="440"/>
        <w:spacing w:after="0" w:line="254"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Short-Term Deferrals. </w:t>
      </w:r>
      <w:r>
        <w:rPr>
          <w:rFonts w:ascii="Arial" w:cs="Arial" w:eastAsia="Arial" w:hAnsi="Arial"/>
          <w:sz w:val="18"/>
          <w:szCs w:val="18"/>
          <w:color w:val="auto"/>
        </w:rPr>
        <w:t>Compensation that meets the definition of a “short-term deferral” described in Treas. Reg. Section 1.409A-l(b)(4)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in accordance with the rules of Article VII, applied as if the date the Substantial Risk of Forfeiture lapses is the date payments were originally scheduled to commence, provided, however, that the provisions of Section 7.3 shall not apply to payments attributable to a change in control (as defined in Treas. Reg. Section 1.409A- 3(i)(5)).</w:t>
      </w:r>
    </w:p>
    <w:p>
      <w:pPr>
        <w:spacing w:after="0" w:line="97" w:lineRule="exact"/>
        <w:rPr>
          <w:rFonts w:ascii="Arial" w:cs="Arial" w:eastAsia="Arial" w:hAnsi="Arial"/>
          <w:sz w:val="18"/>
          <w:szCs w:val="18"/>
          <w:color w:val="auto"/>
        </w:rPr>
      </w:pPr>
    </w:p>
    <w:p>
      <w:pPr>
        <w:ind w:left="900" w:right="60" w:hanging="440"/>
        <w:spacing w:after="0" w:line="250"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i w:val="1"/>
          <w:iCs w:val="1"/>
          <w:color w:val="auto"/>
        </w:rPr>
        <w:t xml:space="preserve">Certain Forfeitable Rights. </w:t>
      </w:r>
      <w:r>
        <w:rPr>
          <w:rFonts w:ascii="Arial" w:cs="Arial" w:eastAsia="Arial" w:hAnsi="Arial"/>
          <w:sz w:val="18"/>
          <w:szCs w:val="18"/>
          <w:color w:val="auto"/>
        </w:rPr>
        <w:t>With respect to a legally binding right to a payment in a subsequent year that is subject to a forfeiture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requiring the Participant’s continued services for a period of at least twelve months from the date the Participant obtains the legally binding right, an election to defer such Compensation may be made on or before the 30th day after the Participant obtains the legally binding right to the Compensation, provided that the election is made at least twelve months in advance of the earliest date at which the forfeiture condition could lapse. The Compensation Deferral Agreement described in this paragraph becomes irrevocable after such 30th day. If the forfeiture condition applicable to the payment lapses before the end of the required service period as a result of the Participant’s death or disability (as defined in Treas. Reg. Section</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9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ind w:left="900" w:right="80"/>
        <w:spacing w:after="0" w:line="267" w:lineRule="auto"/>
        <w:rPr>
          <w:sz w:val="20"/>
          <w:szCs w:val="20"/>
          <w:color w:val="auto"/>
        </w:rPr>
      </w:pPr>
      <w:r>
        <w:rPr>
          <w:rFonts w:ascii="Arial" w:cs="Arial" w:eastAsia="Arial" w:hAnsi="Arial"/>
          <w:sz w:val="18"/>
          <w:szCs w:val="18"/>
          <w:color w:val="auto"/>
        </w:rPr>
        <w:t>1.409A-3(i)(4)) or upon a change in control (as defined in Treas. Reg. Section 1.409A-3(i)(5)), the Compensation Deferral Agreement will be void unless it would be considered timely under another rule described in this Section.</w:t>
      </w:r>
    </w:p>
    <w:p>
      <w:pPr>
        <w:spacing w:after="0" w:line="86" w:lineRule="exact"/>
        <w:rPr>
          <w:sz w:val="20"/>
          <w:szCs w:val="20"/>
          <w:color w:val="auto"/>
        </w:rPr>
      </w:pPr>
    </w:p>
    <w:p>
      <w:pPr>
        <w:ind w:left="900" w:right="40" w:hanging="440"/>
        <w:spacing w:after="0" w:line="257"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 xml:space="preserve">Company Awards. </w:t>
      </w:r>
      <w:r>
        <w:rPr>
          <w:rFonts w:ascii="Arial" w:cs="Arial" w:eastAsia="Arial" w:hAnsi="Arial"/>
          <w:sz w:val="18"/>
          <w:szCs w:val="18"/>
          <w:color w:val="auto"/>
        </w:rPr>
        <w:t>Participating Employers may unilaterally provide for deferrals of Company awards prior to the date of such awards. Deferrals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awards (such as sign-on, retention, or severance pay) may be negotiated with a Participant prior to the date the Participant has a legally binding right to such Compensation.</w:t>
      </w:r>
    </w:p>
    <w:p>
      <w:pPr>
        <w:spacing w:after="0" w:line="82" w:lineRule="exact"/>
        <w:rPr>
          <w:sz w:val="20"/>
          <w:szCs w:val="20"/>
          <w:color w:val="auto"/>
        </w:rPr>
      </w:pPr>
    </w:p>
    <w:p>
      <w:pPr>
        <w:ind w:left="440" w:right="180" w:hanging="439"/>
        <w:spacing w:after="0" w:line="279" w:lineRule="auto"/>
        <w:tabs>
          <w:tab w:leader="none" w:pos="4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u w:val="single" w:color="auto"/>
          <w:color w:val="auto"/>
        </w:rPr>
        <w:t xml:space="preserve">Allocation of Deferrals. </w:t>
      </w:r>
      <w:r>
        <w:rPr>
          <w:rFonts w:ascii="Arial" w:cs="Arial" w:eastAsia="Arial" w:hAnsi="Arial"/>
          <w:sz w:val="17"/>
          <w:szCs w:val="17"/>
          <w:color w:val="auto"/>
        </w:rPr>
        <w:t>A Compensation Deferral Agreement may allocate Deferrals to one or more Specified Date Accounts and/or to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Retirement/Termination Account. The Committee may, in its discretion, establish a minimum deferral period for Specified Date Accounts (for example, the fourth Plan Year following the year Compensation subject to the Compensation Deferral Agreement is earned).</w:t>
      </w:r>
    </w:p>
    <w:p>
      <w:pPr>
        <w:spacing w:after="0" w:line="78" w:lineRule="exact"/>
        <w:rPr>
          <w:sz w:val="20"/>
          <w:szCs w:val="20"/>
          <w:color w:val="auto"/>
        </w:rPr>
      </w:pPr>
    </w:p>
    <w:p>
      <w:pPr>
        <w:ind w:left="440" w:right="440" w:hanging="439"/>
        <w:spacing w:after="0" w:line="267" w:lineRule="auto"/>
        <w:tabs>
          <w:tab w:leader="none" w:pos="4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u w:val="single" w:color="auto"/>
          <w:color w:val="auto"/>
        </w:rPr>
        <w:t xml:space="preserve">Deductions from Pay. </w:t>
      </w:r>
      <w:r>
        <w:rPr>
          <w:rFonts w:ascii="Arial" w:cs="Arial" w:eastAsia="Arial" w:hAnsi="Arial"/>
          <w:sz w:val="18"/>
          <w:szCs w:val="18"/>
          <w:color w:val="auto"/>
        </w:rPr>
        <w:t>The Committee has the authority to determine the payroll practices under which any component of Compensation subject to a</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Compensation Deferral Agreement will be deducted from a Participant’s Compensation.</w:t>
      </w:r>
    </w:p>
    <w:p>
      <w:pPr>
        <w:spacing w:after="0" w:line="8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 xml:space="preserve">Vesting. </w:t>
      </w:r>
      <w:r>
        <w:rPr>
          <w:rFonts w:ascii="Arial" w:cs="Arial" w:eastAsia="Arial" w:hAnsi="Arial"/>
          <w:sz w:val="16"/>
          <w:szCs w:val="16"/>
          <w:color w:val="auto"/>
        </w:rPr>
        <w:t>Participant Deferrals shall be 100% vested at all times.</w:t>
      </w:r>
    </w:p>
    <w:p>
      <w:pPr>
        <w:spacing w:after="0" w:line="126" w:lineRule="exact"/>
        <w:rPr>
          <w:sz w:val="20"/>
          <w:szCs w:val="20"/>
          <w:color w:val="auto"/>
        </w:rPr>
      </w:pPr>
    </w:p>
    <w:p>
      <w:pPr>
        <w:ind w:left="440" w:right="20" w:hanging="439"/>
        <w:spacing w:after="0" w:line="269" w:lineRule="auto"/>
        <w:tabs>
          <w:tab w:leader="none" w:pos="4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u w:val="single" w:color="auto"/>
          <w:color w:val="auto"/>
        </w:rPr>
        <w:t xml:space="preserve">Cancellation of Deferrals. </w:t>
      </w:r>
      <w:r>
        <w:rPr>
          <w:rFonts w:ascii="Arial" w:cs="Arial" w:eastAsia="Arial" w:hAnsi="Arial"/>
          <w:sz w:val="17"/>
          <w:szCs w:val="17"/>
          <w:color w:val="auto"/>
        </w:rPr>
        <w:t>The Committee may cancel a Participant’s Deferrals (i) for the balance of the Plan Year in which an Unforeseeable Emergency</w:t>
      </w:r>
      <w:r>
        <w:rPr>
          <w:rFonts w:ascii="Arial" w:cs="Arial" w:eastAsia="Arial" w:hAnsi="Arial"/>
          <w:sz w:val="17"/>
          <w:szCs w:val="17"/>
          <w:u w:val="single" w:color="auto"/>
          <w:color w:val="auto"/>
        </w:rPr>
        <w:t xml:space="preserve"> </w:t>
      </w:r>
      <w:r>
        <w:rPr>
          <w:rFonts w:ascii="Arial" w:cs="Arial" w:eastAsia="Arial" w:hAnsi="Arial"/>
          <w:sz w:val="17"/>
          <w:szCs w:val="17"/>
          <w:color w:val="auto"/>
        </w:rPr>
        <w:t>occurs, (ii) if the Participant receives a hardship distribution under the Employer’s qualified 401(k) plan, through the end of the Plan Year in which the six-month anniversary of the hardship distribution falls, and (iii) during periods in which the Participant is unable to perform the duties of his or her position or any substantially similar position due to a mental or physical impairment that can be expected to result in death or last for a continuous period of at least six months (a “Disability”), provided cancellation occurs by the later of the end of the taxable year of the Participant or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date the Participant incurs the Disability.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Contributions</w:t>
      </w:r>
    </w:p>
    <w:p>
      <w:pPr>
        <w:spacing w:after="0" w:line="113" w:lineRule="exact"/>
        <w:rPr>
          <w:sz w:val="20"/>
          <w:szCs w:val="20"/>
          <w:color w:val="auto"/>
        </w:rPr>
      </w:pPr>
    </w:p>
    <w:p>
      <w:pPr>
        <w:jc w:val="both"/>
        <w:ind w:left="440" w:right="800" w:hanging="439"/>
        <w:spacing w:after="0" w:line="257" w:lineRule="auto"/>
        <w:tabs>
          <w:tab w:leader="none" w:pos="4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u w:val="single" w:color="auto"/>
          <w:color w:val="auto"/>
        </w:rPr>
        <w:t xml:space="preserve">Discretionary Company Contributions. </w:t>
      </w:r>
      <w:r>
        <w:rPr>
          <w:rFonts w:ascii="Arial" w:cs="Arial" w:eastAsia="Arial" w:hAnsi="Arial"/>
          <w:sz w:val="18"/>
          <w:szCs w:val="18"/>
          <w:color w:val="auto"/>
        </w:rPr>
        <w:t>The Participating Employer may, from time to time in its sole and absolute discretion, credit Company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Contributions to any Participant in any amount determined by the Participating Employer. Such contributions will be credited to a Participant’s Retirement/Termination Account.</w:t>
      </w:r>
    </w:p>
    <w:p>
      <w:pPr>
        <w:spacing w:after="0" w:line="95" w:lineRule="exact"/>
        <w:rPr>
          <w:sz w:val="20"/>
          <w:szCs w:val="20"/>
          <w:color w:val="auto"/>
        </w:rPr>
      </w:pPr>
    </w:p>
    <w:p>
      <w:pPr>
        <w:ind w:left="440" w:right="540" w:hanging="439"/>
        <w:spacing w:after="0" w:line="304" w:lineRule="auto"/>
        <w:tabs>
          <w:tab w:leader="none" w:pos="4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 xml:space="preserve">Vesting. </w:t>
      </w:r>
      <w:r>
        <w:rPr>
          <w:rFonts w:ascii="Arial" w:cs="Arial" w:eastAsia="Arial" w:hAnsi="Arial"/>
          <w:sz w:val="16"/>
          <w:szCs w:val="16"/>
          <w:color w:val="auto"/>
        </w:rPr>
        <w:t>Company Contributions described in Section 5.1, above, and the Earnings thereon, shall vest in accordance with the vesting schedule(s)</w:t>
      </w:r>
      <w:r>
        <w:rPr>
          <w:rFonts w:ascii="Arial" w:cs="Arial" w:eastAsia="Arial" w:hAnsi="Arial"/>
          <w:sz w:val="16"/>
          <w:szCs w:val="16"/>
          <w:u w:val="single" w:color="auto"/>
          <w:color w:val="auto"/>
        </w:rPr>
        <w:t xml:space="preserve"> </w:t>
      </w:r>
      <w:r>
        <w:rPr>
          <w:rFonts w:ascii="Arial" w:cs="Arial" w:eastAsia="Arial" w:hAnsi="Arial"/>
          <w:sz w:val="16"/>
          <w:szCs w:val="16"/>
          <w:color w:val="auto"/>
        </w:rPr>
        <w:t>established by the Committee at the time that the Company Contribution is made. All Company Contributions shall become 100% vested upon the occurrence of the earliest of: (i) the death of the Participant while actively employed; (ii) the disability of the Participant, (iii)</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10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ind w:left="440" w:right="220"/>
        <w:spacing w:after="0" w:line="304" w:lineRule="auto"/>
        <w:rPr>
          <w:sz w:val="20"/>
          <w:szCs w:val="20"/>
          <w:color w:val="auto"/>
        </w:rPr>
      </w:pPr>
      <w:r>
        <w:rPr>
          <w:rFonts w:ascii="Arial" w:cs="Arial" w:eastAsia="Arial" w:hAnsi="Arial"/>
          <w:sz w:val="16"/>
          <w:szCs w:val="16"/>
          <w:color w:val="auto"/>
        </w:rPr>
        <w:t>Retirement of the Participant, or (iv) a Change in Control (except to the extent vesting would result in tax under Code Section 280G). The Participating Employer may, at any time, in its sole discretion, increase a Participant’s vested interest in a Company Contribution. The portion of a Participant’s Accounts that remains unvested upon his or her Separation from Service after the application of the terms of this Section 5.2 shall be forfeited.</w:t>
      </w:r>
    </w:p>
    <w:p>
      <w:pPr>
        <w:spacing w:after="0" w:line="61" w:lineRule="exact"/>
        <w:rPr>
          <w:sz w:val="20"/>
          <w:szCs w:val="20"/>
          <w:color w:val="auto"/>
        </w:rPr>
      </w:pPr>
    </w:p>
    <w:p>
      <w:pPr>
        <w:ind w:left="440" w:right="20" w:hanging="439"/>
        <w:spacing w:after="0" w:line="331" w:lineRule="auto"/>
        <w:tabs>
          <w:tab w:leader="none" w:pos="4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Company Make-Up Contributions</w:t>
      </w:r>
      <w:r>
        <w:rPr>
          <w:rFonts w:ascii="Arial" w:cs="Arial" w:eastAsia="Arial" w:hAnsi="Arial"/>
          <w:sz w:val="16"/>
          <w:szCs w:val="16"/>
          <w:color w:val="auto"/>
        </w:rPr>
        <w:t>. For each year a Participant is entitled to a matching contribution under the Company’s 401(k) Plan, the Company shall</w:t>
      </w:r>
      <w:r>
        <w:rPr>
          <w:rFonts w:ascii="Arial" w:cs="Arial" w:eastAsia="Arial" w:hAnsi="Arial"/>
          <w:sz w:val="16"/>
          <w:szCs w:val="16"/>
          <w:u w:val="single" w:color="auto"/>
          <w:color w:val="auto"/>
        </w:rPr>
        <w:t xml:space="preserve"> </w:t>
      </w:r>
      <w:r>
        <w:rPr>
          <w:rFonts w:ascii="Arial" w:cs="Arial" w:eastAsia="Arial" w:hAnsi="Arial"/>
          <w:sz w:val="16"/>
          <w:szCs w:val="16"/>
          <w:color w:val="auto"/>
        </w:rPr>
        <w:t>credit at the end of the Plan Year to such Participant’s Retirement/Termination Account under this Plan an amount equal to (a) minus (b) plus (c):</w:t>
      </w:r>
    </w:p>
    <w:p>
      <w:pPr>
        <w:spacing w:after="0" w:line="26" w:lineRule="exact"/>
        <w:rPr>
          <w:sz w:val="20"/>
          <w:szCs w:val="20"/>
          <w:color w:val="auto"/>
        </w:rPr>
      </w:pPr>
    </w:p>
    <w:p>
      <w:pPr>
        <w:jc w:val="both"/>
        <w:ind w:left="900" w:right="240" w:hanging="440"/>
        <w:spacing w:after="0" w:line="257"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amount of matching contribution that would have been made by the Company to a Participant’s account in the Company 401(k) plan for the 401(k) Plan Year if the Participant had made no deferrals into this Plan (assuming Deferrals reduce compensation for purposes of computing the maximum company match in the 401(k) plan).</w:t>
      </w:r>
    </w:p>
    <w:p>
      <w:pPr>
        <w:spacing w:after="0" w:line="95" w:lineRule="exact"/>
        <w:rPr>
          <w:rFonts w:ascii="Arial" w:cs="Arial" w:eastAsia="Arial" w:hAnsi="Arial"/>
          <w:sz w:val="18"/>
          <w:szCs w:val="18"/>
          <w:color w:val="auto"/>
        </w:rPr>
      </w:pPr>
    </w:p>
    <w:p>
      <w:pPr>
        <w:ind w:left="900" w:hanging="440"/>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actual amount of Company matching contributions to such Participant’s 401(k) plan for the Plan Year.</w:t>
      </w:r>
    </w:p>
    <w:p>
      <w:pPr>
        <w:spacing w:after="0" w:line="126" w:lineRule="exact"/>
        <w:rPr>
          <w:rFonts w:ascii="Arial" w:cs="Arial" w:eastAsia="Arial" w:hAnsi="Arial"/>
          <w:sz w:val="18"/>
          <w:szCs w:val="18"/>
          <w:color w:val="auto"/>
        </w:rPr>
      </w:pPr>
    </w:p>
    <w:p>
      <w:pPr>
        <w:ind w:left="900" w:right="580" w:hanging="440"/>
        <w:spacing w:after="0" w:line="267"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amount or any lost matching contribution to the Participant’s account in the Company 401(k) plan due to ACP testing pursuant to Code Section 401(m).</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Company Make-Up Contributions shall vest in accordance to the Company’s 401(k) plan vesting schedule.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w:t>
      </w:r>
    </w:p>
    <w:p>
      <w:pPr>
        <w:spacing w:after="0" w:line="11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Benefits, Generally</w:t>
      </w:r>
      <w:r>
        <w:rPr>
          <w:rFonts w:ascii="Arial" w:cs="Arial" w:eastAsia="Arial" w:hAnsi="Arial"/>
          <w:sz w:val="16"/>
          <w:szCs w:val="16"/>
          <w:color w:val="auto"/>
        </w:rPr>
        <w:t>. A Participant shall be entitled to the following benefits under the Plan:</w:t>
      </w:r>
    </w:p>
    <w:p>
      <w:pPr>
        <w:spacing w:after="0" w:line="113" w:lineRule="exact"/>
        <w:rPr>
          <w:sz w:val="20"/>
          <w:szCs w:val="20"/>
          <w:color w:val="auto"/>
        </w:rPr>
      </w:pPr>
    </w:p>
    <w:p>
      <w:pPr>
        <w:ind w:left="900" w:right="20" w:hanging="440"/>
        <w:spacing w:after="0" w:line="288" w:lineRule="auto"/>
        <w:tabs>
          <w:tab w:leader="none" w:pos="900"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 xml:space="preserve">Retirement Benefit. </w:t>
      </w:r>
      <w:r>
        <w:rPr>
          <w:rFonts w:ascii="Arial" w:cs="Arial" w:eastAsia="Arial" w:hAnsi="Arial"/>
          <w:sz w:val="16"/>
          <w:szCs w:val="16"/>
          <w:color w:val="auto"/>
        </w:rPr>
        <w:t>Upon the Participant’s Separation from Service due to Retirement, he or she shall be entitled to a Retirement Benefit. The</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Benefit shall be equal to the vested portion of the Retirement/Termination Account and any Specified Date Accounts that have not commenced payments. The Retirement Benefit shall be based on the value of such Accounts as of the January 31 or July 31 immediately preceding the payment commencement date, or such other date determined by the Committee. If the Participant Separates from Service during the first half of the year (January-June), then payment will commence February 1</w:t>
      </w:r>
      <w:r>
        <w:rPr>
          <w:rFonts w:ascii="Arial" w:cs="Arial" w:eastAsia="Arial" w:hAnsi="Arial"/>
          <w:sz w:val="13"/>
          <w:szCs w:val="13"/>
          <w:color w:val="auto"/>
        </w:rPr>
        <w:t>st</w:t>
      </w:r>
      <w:r>
        <w:rPr>
          <w:rFonts w:ascii="Arial" w:cs="Arial" w:eastAsia="Arial" w:hAnsi="Arial"/>
          <w:sz w:val="16"/>
          <w:szCs w:val="16"/>
          <w:color w:val="auto"/>
        </w:rPr>
        <w:t xml:space="preserve"> of the following year. If the Participant Separates from Service during the second half of the year (July-December), then payment will commence August 1</w:t>
      </w:r>
      <w:r>
        <w:rPr>
          <w:rFonts w:ascii="Arial" w:cs="Arial" w:eastAsia="Arial" w:hAnsi="Arial"/>
          <w:sz w:val="13"/>
          <w:szCs w:val="13"/>
          <w:color w:val="auto"/>
        </w:rPr>
        <w:t>st</w:t>
      </w:r>
      <w:r>
        <w:rPr>
          <w:rFonts w:ascii="Arial" w:cs="Arial" w:eastAsia="Arial" w:hAnsi="Arial"/>
          <w:sz w:val="16"/>
          <w:szCs w:val="16"/>
          <w:color w:val="auto"/>
        </w:rPr>
        <w:t xml:space="preserve"> of the following year. If payments are to be made in annual</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11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installments, each installment will be paid on each anniversary of the payment commencement date described above.</w:t>
      </w:r>
    </w:p>
    <w:p>
      <w:pPr>
        <w:spacing w:after="0" w:line="126" w:lineRule="exact"/>
        <w:rPr>
          <w:sz w:val="20"/>
          <w:szCs w:val="20"/>
          <w:color w:val="auto"/>
        </w:rPr>
      </w:pPr>
    </w:p>
    <w:p>
      <w:pPr>
        <w:ind w:left="900" w:right="60" w:hanging="440"/>
        <w:spacing w:after="0" w:line="267" w:lineRule="auto"/>
        <w:tabs>
          <w:tab w:leader="none" w:pos="900" w:val="left"/>
        </w:tabs>
        <w:numPr>
          <w:ilvl w:val="0"/>
          <w:numId w:val="174"/>
        </w:numPr>
        <w:rPr>
          <w:rFonts w:ascii="Arial" w:cs="Arial" w:eastAsia="Arial" w:hAnsi="Arial"/>
          <w:sz w:val="17"/>
          <w:szCs w:val="17"/>
          <w:color w:val="auto"/>
        </w:rPr>
      </w:pPr>
      <w:r>
        <w:rPr>
          <w:rFonts w:ascii="Arial" w:cs="Arial" w:eastAsia="Arial" w:hAnsi="Arial"/>
          <w:sz w:val="17"/>
          <w:szCs w:val="17"/>
          <w:i w:val="1"/>
          <w:iCs w:val="1"/>
          <w:color w:val="auto"/>
        </w:rPr>
        <w:t xml:space="preserve">Termination Benefit. </w:t>
      </w:r>
      <w:r>
        <w:rPr>
          <w:rFonts w:ascii="Arial" w:cs="Arial" w:eastAsia="Arial" w:hAnsi="Arial"/>
          <w:sz w:val="17"/>
          <w:szCs w:val="17"/>
          <w:color w:val="auto"/>
        </w:rPr>
        <w:t>Upon the Participant’s Separation from Service for reasons other than death or Retirement, he or she shall be entitled to a</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Termination Benefit. The Termination Benefit shall be equal to the vested portion of the Retirement/Termination Account and the vested portion of any unpaid Specified Date Accounts that have not commenced payments. The Termination Benefit shall be based on the value of such Accounts as of the January 31 or July 31 immediately preceding the payment commencement date, or such other date determined by the Committee. If the Participant Separates from Service during the first half of the year (January-June), then payment will commence February 1</w:t>
      </w:r>
      <w:r>
        <w:rPr>
          <w:rFonts w:ascii="Arial" w:cs="Arial" w:eastAsia="Arial" w:hAnsi="Arial"/>
          <w:sz w:val="14"/>
          <w:szCs w:val="14"/>
          <w:color w:val="auto"/>
        </w:rPr>
        <w:t>st</w:t>
      </w:r>
      <w:r>
        <w:rPr>
          <w:rFonts w:ascii="Arial" w:cs="Arial" w:eastAsia="Arial" w:hAnsi="Arial"/>
          <w:sz w:val="17"/>
          <w:szCs w:val="17"/>
          <w:color w:val="auto"/>
        </w:rPr>
        <w:t xml:space="preserve"> of the following year. If the Participant Separates from Service during the second half of the year (July-December), then payment will commence August 1</w:t>
      </w:r>
      <w:r>
        <w:rPr>
          <w:rFonts w:ascii="Arial" w:cs="Arial" w:eastAsia="Arial" w:hAnsi="Arial"/>
          <w:sz w:val="14"/>
          <w:szCs w:val="14"/>
          <w:color w:val="auto"/>
        </w:rPr>
        <w:t>st</w:t>
      </w:r>
      <w:r>
        <w:rPr>
          <w:rFonts w:ascii="Arial" w:cs="Arial" w:eastAsia="Arial" w:hAnsi="Arial"/>
          <w:sz w:val="17"/>
          <w:szCs w:val="17"/>
          <w:color w:val="auto"/>
        </w:rPr>
        <w:t xml:space="preserve"> of the following year. If payments are to be made in annual installments, each installment will be paid on each anniversary of the payment commencement date described above.</w:t>
      </w:r>
    </w:p>
    <w:p>
      <w:pPr>
        <w:spacing w:after="0" w:line="87" w:lineRule="exact"/>
        <w:rPr>
          <w:rFonts w:ascii="Arial" w:cs="Arial" w:eastAsia="Arial" w:hAnsi="Arial"/>
          <w:sz w:val="17"/>
          <w:szCs w:val="17"/>
          <w:color w:val="auto"/>
        </w:rPr>
      </w:pPr>
    </w:p>
    <w:p>
      <w:pPr>
        <w:ind w:left="900" w:right="180" w:hanging="440"/>
        <w:spacing w:after="0" w:line="291" w:lineRule="auto"/>
        <w:tabs>
          <w:tab w:leader="none" w:pos="900"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 xml:space="preserve">Specified Date Benefit. </w:t>
      </w:r>
      <w:r>
        <w:rPr>
          <w:rFonts w:ascii="Arial" w:cs="Arial" w:eastAsia="Arial" w:hAnsi="Arial"/>
          <w:sz w:val="16"/>
          <w:szCs w:val="16"/>
          <w:color w:val="auto"/>
        </w:rPr>
        <w:t>If the Participant has established one or more Specified Date Accounts, he or she shall be entitled to a Specified Date</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with respect to each such Specified Date Account. The Specified Date Benefit shall be equal to the vested portion of the Specified Date Account, based on the value of that Account as of the January 31 following the Plan Year designated by the Participant. Payment of the Specified Date Benefit will be made within 2-1/2 months following the end of such Plan Year. For purposes of Article VII and Treas. Reg. Section 1.409A-3(d), the payment date of a Specified Date Account is December 31 of the Plan Year designated by the Participant.</w:t>
      </w:r>
    </w:p>
    <w:p>
      <w:pPr>
        <w:spacing w:after="0" w:line="71" w:lineRule="exact"/>
        <w:rPr>
          <w:rFonts w:ascii="Arial" w:cs="Arial" w:eastAsia="Arial" w:hAnsi="Arial"/>
          <w:sz w:val="16"/>
          <w:szCs w:val="16"/>
          <w:color w:val="auto"/>
        </w:rPr>
      </w:pPr>
    </w:p>
    <w:p>
      <w:pPr>
        <w:ind w:left="900" w:right="40" w:hanging="440"/>
        <w:spacing w:after="0" w:line="254"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 xml:space="preserve">Death Benefit. </w:t>
      </w:r>
      <w:r>
        <w:rPr>
          <w:rFonts w:ascii="Arial" w:cs="Arial" w:eastAsia="Arial" w:hAnsi="Arial"/>
          <w:sz w:val="18"/>
          <w:szCs w:val="18"/>
          <w:color w:val="auto"/>
        </w:rPr>
        <w:t>In the event of the Participant’s death, his or her designated Beneficiary(ies) shall be entitled to a Death Benefit. The Death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equal to the vested portion of the Retirement/Termination Account and the vested portion of any unpaid Specified Date Accounts that have not commenced payments. The Death Benefit shall be based on the value of the Accounts as of the end of the month in which death occurred, with payment made the first day of the following month.</w:t>
      </w:r>
    </w:p>
    <w:p>
      <w:pPr>
        <w:spacing w:after="0" w:line="97" w:lineRule="exact"/>
        <w:rPr>
          <w:rFonts w:ascii="Arial" w:cs="Arial" w:eastAsia="Arial" w:hAnsi="Arial"/>
          <w:sz w:val="18"/>
          <w:szCs w:val="18"/>
          <w:color w:val="auto"/>
        </w:rPr>
      </w:pPr>
    </w:p>
    <w:p>
      <w:pPr>
        <w:ind w:left="900" w:hanging="440"/>
        <w:spacing w:after="0" w:line="251"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 xml:space="preserve">Unforeseeable Emergency Payments. A </w:t>
      </w:r>
      <w:r>
        <w:rPr>
          <w:rFonts w:ascii="Arial" w:cs="Arial" w:eastAsia="Arial" w:hAnsi="Arial"/>
          <w:sz w:val="18"/>
          <w:szCs w:val="18"/>
          <w:color w:val="auto"/>
        </w:rPr>
        <w:t>Participant who experiences an Unforeseeable Emergency may submit a written request to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to receive payment of all or any portion of his or her vested Accounts. Whether a Participant or Beneficiary is faced with an Unforeseeable Emergency permitting an emergency payment shall be determined by the Committee based on the relevant facts and circumstances of each case, but, in any case, a distribution on account of Unforeseeable Emergency may not be made to the extent that such emergency is or may be reimbursed through insurance or otherwise, by liquidation of the Participant’s assets, to the extent the liquidation of such assets would not cause severe financial hardship, or by cessation of Deferrals under this</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12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ind w:left="900" w:right="200"/>
        <w:spacing w:after="0" w:line="250" w:lineRule="auto"/>
        <w:rPr>
          <w:sz w:val="20"/>
          <w:szCs w:val="20"/>
          <w:color w:val="auto"/>
        </w:rPr>
      </w:pPr>
      <w:r>
        <w:rPr>
          <w:rFonts w:ascii="Arial" w:cs="Arial" w:eastAsia="Arial" w:hAnsi="Arial"/>
          <w:sz w:val="18"/>
          <w:szCs w:val="18"/>
          <w:color w:val="auto"/>
        </w:rPr>
        <w:t>Plan. If an emergency payment is approved by the Committee, the amount of the payment shall not exceed the amount reasonably necessary to satisfy the need, taking into account the additional compensation that is available to the Participant as the result of cancellation of deferrals to the Plan, including amounts necessary to pay any taxes or penalties that the Participant reasonably anticipates will result from the payment. The amount of the emergency payment shall be subtracted first from the vested portion of the Participant’s Retirement/Termination Account until depleted and then from the vested Specified Date Accounts, beginning with the Specified Date Account with the latest payment commencement date. Emergency payments shall be paid in a single lump sum within the 90-day period following the date the payment is approved by the Committee.</w:t>
      </w:r>
    </w:p>
    <w:p>
      <w:pPr>
        <w:spacing w:after="0" w:line="104" w:lineRule="exact"/>
        <w:rPr>
          <w:sz w:val="20"/>
          <w:szCs w:val="20"/>
          <w:color w:val="auto"/>
        </w:rPr>
      </w:pPr>
    </w:p>
    <w:p>
      <w:pPr>
        <w:ind w:left="900" w:right="140" w:hanging="440"/>
        <w:spacing w:after="0" w:line="254"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 xml:space="preserve">Voluntary Withdrawals of Grandfathered Accounts. </w:t>
      </w:r>
      <w:r>
        <w:rPr>
          <w:rFonts w:ascii="Arial" w:cs="Arial" w:eastAsia="Arial" w:hAnsi="Arial"/>
          <w:sz w:val="18"/>
          <w:szCs w:val="18"/>
          <w:color w:val="auto"/>
        </w:rPr>
        <w:t>A Participant may elect at any time to voluntarily withdraw only the entire amount credited to</w:t>
      </w:r>
      <w:r>
        <w:rPr>
          <w:rFonts w:ascii="Arial" w:cs="Arial" w:eastAsia="Arial" w:hAnsi="Arial"/>
          <w:sz w:val="18"/>
          <w:szCs w:val="18"/>
          <w:i w:val="1"/>
          <w:iCs w:val="1"/>
          <w:color w:val="auto"/>
        </w:rPr>
        <w:t xml:space="preserve"> </w:t>
      </w:r>
      <w:r>
        <w:rPr>
          <w:rFonts w:ascii="Arial" w:cs="Arial" w:eastAsia="Arial" w:hAnsi="Arial"/>
          <w:sz w:val="18"/>
          <w:szCs w:val="18"/>
          <w:color w:val="auto"/>
        </w:rPr>
        <w:t>his or her Grandfathered Account. If such a withdrawal is requested, the Participant shall forfeit an amount equal to 10% of the balance of the Grandfathered Account, and he or she shall not be permitted to make Deferrals to the Plan in the Plan Year following the Plan Year in which the withdrawal is made.</w:t>
      </w:r>
    </w:p>
    <w:p>
      <w:pPr>
        <w:spacing w:after="0" w:line="8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Form of Payment.</w:t>
      </w:r>
    </w:p>
    <w:p>
      <w:pPr>
        <w:spacing w:after="0" w:line="113" w:lineRule="exact"/>
        <w:rPr>
          <w:sz w:val="20"/>
          <w:szCs w:val="20"/>
          <w:color w:val="auto"/>
        </w:rPr>
      </w:pPr>
    </w:p>
    <w:p>
      <w:pPr>
        <w:ind w:left="900" w:right="60" w:hanging="440"/>
        <w:spacing w:after="0" w:line="270" w:lineRule="auto"/>
        <w:tabs>
          <w:tab w:leader="none" w:pos="900"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 xml:space="preserve">Retirement Benefit. </w:t>
      </w:r>
      <w:r>
        <w:rPr>
          <w:rFonts w:ascii="Arial" w:cs="Arial" w:eastAsia="Arial" w:hAnsi="Arial"/>
          <w:sz w:val="17"/>
          <w:szCs w:val="17"/>
          <w:color w:val="auto"/>
        </w:rPr>
        <w:t>A Participant who is entitled to receive a Retirement Benefit shall receive payment of such benefit in a single lump sum, unless</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Participant elects on his or her initial Compensation Deferral Agreement to have such benefit paid in one of the following alternative forms of payment (i) substantially equal annual installments over a period of five (5), ten (10), or fifteen (15) years, as elected by the Participant; or (ii) a lump sum payment of a percentage of the balance in the Retirement/Termination Account, with the balance paid in substantially equal annual installments over a period of five (5), ten (10), or fifteen (15) years, as elected by the Participant.</w:t>
      </w:r>
    </w:p>
    <w:p>
      <w:pPr>
        <w:spacing w:after="0" w:line="87" w:lineRule="exact"/>
        <w:rPr>
          <w:rFonts w:ascii="Arial" w:cs="Arial" w:eastAsia="Arial" w:hAnsi="Arial"/>
          <w:sz w:val="17"/>
          <w:szCs w:val="17"/>
          <w:color w:val="auto"/>
        </w:rPr>
      </w:pPr>
    </w:p>
    <w:p>
      <w:pPr>
        <w:ind w:left="900" w:right="400" w:hanging="440"/>
        <w:spacing w:after="0" w:line="267" w:lineRule="auto"/>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Benefit. </w:t>
      </w:r>
      <w:r>
        <w:rPr>
          <w:rFonts w:ascii="Arial" w:cs="Arial" w:eastAsia="Arial" w:hAnsi="Arial"/>
          <w:sz w:val="18"/>
          <w:szCs w:val="18"/>
          <w:color w:val="auto"/>
        </w:rPr>
        <w:t>A Participant who is entitled to receive a Termination Benefit shall receive payment of such benefit in substantially equal</w:t>
      </w:r>
      <w:r>
        <w:rPr>
          <w:rFonts w:ascii="Arial" w:cs="Arial" w:eastAsia="Arial" w:hAnsi="Arial"/>
          <w:sz w:val="18"/>
          <w:szCs w:val="18"/>
          <w:i w:val="1"/>
          <w:iCs w:val="1"/>
          <w:color w:val="auto"/>
        </w:rPr>
        <w:t xml:space="preserve"> </w:t>
      </w:r>
      <w:r>
        <w:rPr>
          <w:rFonts w:ascii="Arial" w:cs="Arial" w:eastAsia="Arial" w:hAnsi="Arial"/>
          <w:sz w:val="18"/>
          <w:szCs w:val="18"/>
          <w:color w:val="auto"/>
        </w:rPr>
        <w:t>annual installments over a period of five years.</w:t>
      </w:r>
    </w:p>
    <w:p>
      <w:pPr>
        <w:spacing w:after="0" w:line="86" w:lineRule="exact"/>
        <w:rPr>
          <w:rFonts w:ascii="Arial" w:cs="Arial" w:eastAsia="Arial" w:hAnsi="Arial"/>
          <w:sz w:val="18"/>
          <w:szCs w:val="18"/>
          <w:color w:val="auto"/>
        </w:rPr>
      </w:pPr>
    </w:p>
    <w:p>
      <w:pPr>
        <w:ind w:left="900" w:right="120" w:hanging="440"/>
        <w:spacing w:after="0" w:line="288" w:lineRule="auto"/>
        <w:tabs>
          <w:tab w:leader="none" w:pos="900"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 xml:space="preserve">Specified Date Benefit. </w:t>
      </w:r>
      <w:r>
        <w:rPr>
          <w:rFonts w:ascii="Arial" w:cs="Arial" w:eastAsia="Arial" w:hAnsi="Arial"/>
          <w:sz w:val="16"/>
          <w:szCs w:val="16"/>
          <w:color w:val="auto"/>
        </w:rPr>
        <w:t>The Specified Date Benefit shall be paid in a single lump sum, unless the Participant elects on the Compensation Deferral</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which such Specified Date Account was established to have such Account paid in substantially equal annual installments over a period of two to five years, as elected by the Participant. Notwithstanding any election of a form of payment by the Participant, Specified Date Benefits that have not commenced as of the Participant’s Separation from Service will be paid according to the payment schedule for the Retirement Benefit, Termination Benefit or Death Benefit, whichever applies to the Participant upon his or her Separation from Service. However, if the Retirement, Termination or Death Benefit is payable in a lump sum, the unpaid balance of all Specified Date Accounts (regardless of such</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13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Accounts’ payment status) will be payable in a lump sum.</w:t>
      </w:r>
    </w:p>
    <w:p>
      <w:pPr>
        <w:spacing w:after="0" w:line="126" w:lineRule="exact"/>
        <w:rPr>
          <w:sz w:val="20"/>
          <w:szCs w:val="20"/>
          <w:color w:val="auto"/>
        </w:rPr>
      </w:pPr>
    </w:p>
    <w:p>
      <w:pPr>
        <w:jc w:val="both"/>
        <w:ind w:left="900" w:right="160" w:hanging="440"/>
        <w:spacing w:after="0" w:line="283" w:lineRule="auto"/>
        <w:tabs>
          <w:tab w:leader="none" w:pos="900" w:val="left"/>
        </w:tabs>
        <w:numPr>
          <w:ilvl w:val="0"/>
          <w:numId w:val="177"/>
        </w:numPr>
        <w:rPr>
          <w:rFonts w:ascii="Arial" w:cs="Arial" w:eastAsia="Arial" w:hAnsi="Arial"/>
          <w:sz w:val="16"/>
          <w:szCs w:val="16"/>
          <w:color w:val="auto"/>
        </w:rPr>
      </w:pPr>
      <w:r>
        <w:rPr>
          <w:rFonts w:ascii="Arial" w:cs="Arial" w:eastAsia="Arial" w:hAnsi="Arial"/>
          <w:sz w:val="16"/>
          <w:szCs w:val="16"/>
          <w:i w:val="1"/>
          <w:iCs w:val="1"/>
          <w:color w:val="auto"/>
        </w:rPr>
        <w:t xml:space="preserve">Death Benefit. </w:t>
      </w:r>
      <w:r>
        <w:rPr>
          <w:rFonts w:ascii="Arial" w:cs="Arial" w:eastAsia="Arial" w:hAnsi="Arial"/>
          <w:sz w:val="16"/>
          <w:szCs w:val="16"/>
          <w:color w:val="auto"/>
        </w:rPr>
        <w:t>If the Participant dies prior to the payment commencement date of his or her Retirement Benefit, his or her designated Beneficiary</w:t>
      </w:r>
      <w:r>
        <w:rPr>
          <w:rFonts w:ascii="Arial" w:cs="Arial" w:eastAsia="Arial" w:hAnsi="Arial"/>
          <w:sz w:val="16"/>
          <w:szCs w:val="16"/>
          <w:i w:val="1"/>
          <w:iCs w:val="1"/>
          <w:color w:val="auto"/>
        </w:rPr>
        <w:t xml:space="preserve"> </w:t>
      </w:r>
      <w:r>
        <w:rPr>
          <w:rFonts w:ascii="Arial" w:cs="Arial" w:eastAsia="Arial" w:hAnsi="Arial"/>
          <w:sz w:val="16"/>
          <w:szCs w:val="16"/>
          <w:color w:val="auto"/>
        </w:rPr>
        <w:t>shall receive payment of such benefit in a single lump sum, unless the Participant elects on his or her initial Compensation Deferral Agreement to have the Death Benefit paid in one of the following alternative forms of payment (i) substantially equal annual installments over a period of five</w:t>
      </w:r>
    </w:p>
    <w:p>
      <w:pPr>
        <w:ind w:left="900" w:right="180"/>
        <w:spacing w:after="0" w:line="316" w:lineRule="auto"/>
        <w:rPr>
          <w:rFonts w:ascii="Arial" w:cs="Arial" w:eastAsia="Arial" w:hAnsi="Arial"/>
          <w:sz w:val="16"/>
          <w:szCs w:val="16"/>
          <w:color w:val="auto"/>
        </w:rPr>
      </w:pPr>
      <w:r>
        <w:rPr>
          <w:rFonts w:ascii="Arial" w:cs="Arial" w:eastAsia="Arial" w:hAnsi="Arial"/>
          <w:sz w:val="16"/>
          <w:szCs w:val="16"/>
          <w:color w:val="auto"/>
        </w:rPr>
        <w:t>(5), ten (10), or fifteen (15) years, as elected by the Participant; or (ii) a lump sum payment of a percentage of the Death Benefit, with the balance paid in substantially equal annual installments over a period of five (5), ten (10), or fifteen (15) years, as elected by the Participant.</w:t>
      </w:r>
    </w:p>
    <w:p>
      <w:pPr>
        <w:spacing w:after="0" w:line="51" w:lineRule="exact"/>
        <w:rPr>
          <w:rFonts w:ascii="Arial" w:cs="Arial" w:eastAsia="Arial" w:hAnsi="Arial"/>
          <w:sz w:val="16"/>
          <w:szCs w:val="16"/>
          <w:color w:val="auto"/>
        </w:rPr>
      </w:pPr>
    </w:p>
    <w:p>
      <w:pPr>
        <w:ind w:left="900" w:right="760"/>
        <w:spacing w:after="0" w:line="267" w:lineRule="auto"/>
        <w:rPr>
          <w:rFonts w:ascii="Arial" w:cs="Arial" w:eastAsia="Arial" w:hAnsi="Arial"/>
          <w:sz w:val="16"/>
          <w:szCs w:val="16"/>
          <w:color w:val="auto"/>
        </w:rPr>
      </w:pPr>
      <w:r>
        <w:rPr>
          <w:rFonts w:ascii="Arial" w:cs="Arial" w:eastAsia="Arial" w:hAnsi="Arial"/>
          <w:sz w:val="18"/>
          <w:szCs w:val="18"/>
          <w:color w:val="auto"/>
        </w:rPr>
        <w:t>If the Participant dies on or after his Retirement Benefit payment commencement date, his or her designated Beneficiary shall receive the remaining payments under the payment schedule in effect for the Retirement Benefit.</w:t>
      </w:r>
    </w:p>
    <w:p>
      <w:pPr>
        <w:spacing w:after="0" w:line="86" w:lineRule="exact"/>
        <w:rPr>
          <w:rFonts w:ascii="Arial" w:cs="Arial" w:eastAsia="Arial" w:hAnsi="Arial"/>
          <w:sz w:val="16"/>
          <w:szCs w:val="16"/>
          <w:color w:val="auto"/>
        </w:rPr>
      </w:pPr>
    </w:p>
    <w:p>
      <w:pPr>
        <w:ind w:left="900" w:right="60" w:hanging="440"/>
        <w:spacing w:after="0" w:line="270" w:lineRule="auto"/>
        <w:tabs>
          <w:tab w:leader="none" w:pos="900" w:val="left"/>
        </w:tabs>
        <w:numPr>
          <w:ilvl w:val="0"/>
          <w:numId w:val="17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A Participant will receive a single lump sum payment equal to the unpaid balance of all of his or her Accounts in the event of a</w:t>
      </w:r>
      <w:r>
        <w:rPr>
          <w:rFonts w:ascii="Arial" w:cs="Arial" w:eastAsia="Arial" w:hAnsi="Arial"/>
          <w:sz w:val="17"/>
          <w:szCs w:val="17"/>
          <w:i w:val="1"/>
          <w:iCs w:val="1"/>
          <w:color w:val="auto"/>
        </w:rPr>
        <w:t xml:space="preserve"> </w:t>
      </w:r>
      <w:r>
        <w:rPr>
          <w:rFonts w:ascii="Arial" w:cs="Arial" w:eastAsia="Arial" w:hAnsi="Arial"/>
          <w:sz w:val="17"/>
          <w:szCs w:val="17"/>
          <w:color w:val="auto"/>
        </w:rPr>
        <w:t>Separation from Service within 24 months following a Change in Control. Accounts will be valued and paid under the payment timing rules described in Section 6.1(b). In addition to the foregoing, a Participant who has incurred a Separation from Service prior to a Change in Control and any Beneficiary of such Participant who is receiving or is scheduled to receive payments at the time of a Change in Control, will receive the balance of all unpaid Accounts in a single lump sum on the next scheduled payment date described in Section 6.1.</w:t>
      </w:r>
    </w:p>
    <w:p>
      <w:pPr>
        <w:spacing w:after="0" w:line="87" w:lineRule="exact"/>
        <w:rPr>
          <w:rFonts w:ascii="Arial" w:cs="Arial" w:eastAsia="Arial" w:hAnsi="Arial"/>
          <w:sz w:val="17"/>
          <w:szCs w:val="17"/>
          <w:i w:val="1"/>
          <w:iCs w:val="1"/>
          <w:color w:val="auto"/>
        </w:rPr>
      </w:pPr>
    </w:p>
    <w:p>
      <w:pPr>
        <w:ind w:left="900" w:right="40" w:hanging="440"/>
        <w:spacing w:after="0" w:line="254" w:lineRule="auto"/>
        <w:tabs>
          <w:tab w:leader="none" w:pos="900" w:val="left"/>
        </w:tabs>
        <w:numPr>
          <w:ilvl w:val="0"/>
          <w:numId w:val="17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Small Account Balances. </w:t>
      </w:r>
      <w:r>
        <w:rPr>
          <w:rFonts w:ascii="Arial" w:cs="Arial" w:eastAsia="Arial" w:hAnsi="Arial"/>
          <w:sz w:val="18"/>
          <w:szCs w:val="18"/>
          <w:color w:val="auto"/>
        </w:rPr>
        <w:t>The Committee may, in its sole discretion which shall be evidenced in writing no later than the date of payment, elect to</w:t>
      </w:r>
      <w:r>
        <w:rPr>
          <w:rFonts w:ascii="Arial" w:cs="Arial" w:eastAsia="Arial" w:hAnsi="Arial"/>
          <w:sz w:val="18"/>
          <w:szCs w:val="18"/>
          <w:i w:val="1"/>
          <w:iCs w:val="1"/>
          <w:color w:val="auto"/>
        </w:rPr>
        <w:t xml:space="preserve"> </w:t>
      </w:r>
      <w:r>
        <w:rPr>
          <w:rFonts w:ascii="Arial" w:cs="Arial" w:eastAsia="Arial" w:hAnsi="Arial"/>
          <w:sz w:val="18"/>
          <w:szCs w:val="18"/>
          <w:color w:val="auto"/>
        </w:rPr>
        <w:t>pay the value of the Participant’s Accounts upon a Separation from Service in a single lump sum if the balance of such Accounts is not greater than the applicable dollar amount under Code Section 402(g)(l)(B), provided the payment represents the complete liquidation of the Participant’s interest in the Plan.</w:t>
      </w:r>
    </w:p>
    <w:p>
      <w:pPr>
        <w:spacing w:after="0" w:line="97" w:lineRule="exact"/>
        <w:rPr>
          <w:rFonts w:ascii="Arial" w:cs="Arial" w:eastAsia="Arial" w:hAnsi="Arial"/>
          <w:sz w:val="18"/>
          <w:szCs w:val="18"/>
          <w:i w:val="1"/>
          <w:iCs w:val="1"/>
          <w:color w:val="auto"/>
        </w:rPr>
      </w:pPr>
    </w:p>
    <w:p>
      <w:pPr>
        <w:jc w:val="both"/>
        <w:ind w:left="900" w:right="240" w:hanging="440"/>
        <w:spacing w:after="0" w:line="283" w:lineRule="auto"/>
        <w:tabs>
          <w:tab w:leader="none" w:pos="900" w:val="left"/>
        </w:tabs>
        <w:numPr>
          <w:ilvl w:val="0"/>
          <w:numId w:val="17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Rules Applicable to Installment Payments. </w:t>
      </w:r>
      <w:r>
        <w:rPr>
          <w:rFonts w:ascii="Arial" w:cs="Arial" w:eastAsia="Arial" w:hAnsi="Arial"/>
          <w:sz w:val="16"/>
          <w:szCs w:val="16"/>
          <w:color w:val="auto"/>
        </w:rPr>
        <w:t>If a Payment Schedule specifies installment payments, annual payments will be made beginning as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payment commencement date for such installments and shall continue on each anniversary thereof until the number of installment payments specified in the Payment Schedule has been paid. The amount of each installment payment shall be determined by dividing (a) by (b), where</w:t>
      </w:r>
    </w:p>
    <w:p>
      <w:pPr>
        <w:ind w:left="900"/>
        <w:spacing w:after="0"/>
        <w:rPr>
          <w:rFonts w:ascii="Arial" w:cs="Arial" w:eastAsia="Arial" w:hAnsi="Arial"/>
          <w:sz w:val="16"/>
          <w:szCs w:val="16"/>
          <w:i w:val="1"/>
          <w:iCs w:val="1"/>
          <w:color w:val="auto"/>
        </w:rPr>
      </w:pPr>
      <w:r>
        <w:rPr>
          <w:rFonts w:ascii="Arial" w:cs="Arial" w:eastAsia="Arial" w:hAnsi="Arial"/>
          <w:sz w:val="18"/>
          <w:szCs w:val="18"/>
          <w:color w:val="auto"/>
        </w:rPr>
        <w:t>(a) equals the Account Balance as of the Valuation Date and (b) equals the remaining number of installment payments,</w:t>
      </w:r>
    </w:p>
    <w:p>
      <w:pPr>
        <w:spacing w:after="0" w:line="115" w:lineRule="exact"/>
        <w:rPr>
          <w:sz w:val="20"/>
          <w:szCs w:val="20"/>
          <w:color w:val="auto"/>
        </w:rPr>
      </w:pPr>
    </w:p>
    <w:p>
      <w:pPr>
        <w:ind w:left="900" w:right="140"/>
        <w:spacing w:after="0" w:line="257" w:lineRule="auto"/>
        <w:rPr>
          <w:sz w:val="20"/>
          <w:szCs w:val="20"/>
          <w:color w:val="auto"/>
        </w:rPr>
      </w:pPr>
      <w:r>
        <w:rPr>
          <w:rFonts w:ascii="Arial" w:cs="Arial" w:eastAsia="Arial" w:hAnsi="Arial"/>
          <w:sz w:val="18"/>
          <w:szCs w:val="18"/>
          <w:color w:val="auto"/>
        </w:rPr>
        <w:t>For purposes of Article VII, installment payments will be treated as a single form of payment. If a lump sum equal to less than 100% of the Retirement/Termination Account is paid, the payment commencement date for the installment form of payment will be the first anniversary of the payment of the lump sum.</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14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jc w:val="both"/>
        <w:ind w:left="440" w:right="20" w:hanging="439"/>
        <w:spacing w:after="0" w:line="283" w:lineRule="auto"/>
        <w:tabs>
          <w:tab w:leader="none" w:pos="4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Acceleration of or Delay in Payments</w:t>
      </w:r>
      <w:r>
        <w:rPr>
          <w:rFonts w:ascii="Arial" w:cs="Arial" w:eastAsia="Arial" w:hAnsi="Arial"/>
          <w:sz w:val="16"/>
          <w:szCs w:val="16"/>
          <w:color w:val="auto"/>
        </w:rPr>
        <w:t>. The Committee, in its sole and absolute discretion, may elect to accelerate the time or form of payment of a benefit</w:t>
      </w:r>
      <w:r>
        <w:rPr>
          <w:rFonts w:ascii="Arial" w:cs="Arial" w:eastAsia="Arial" w:hAnsi="Arial"/>
          <w:sz w:val="16"/>
          <w:szCs w:val="16"/>
          <w:u w:val="single" w:color="auto"/>
          <w:color w:val="auto"/>
        </w:rPr>
        <w:t xml:space="preserve"> </w:t>
      </w:r>
      <w:r>
        <w:rPr>
          <w:rFonts w:ascii="Arial" w:cs="Arial" w:eastAsia="Arial" w:hAnsi="Arial"/>
          <w:sz w:val="16"/>
          <w:szCs w:val="16"/>
          <w:color w:val="auto"/>
        </w:rPr>
        <w:t>owed to the Participant hereunder, provided such acceleration is permitted under Treas. Reg. Section 1.409A-3(j)(4). The Committee may also, in its sole and absolute discretion, delay the time for payment of a benefit owed to the Participant hereunder, to the extent permitted under Treas. Reg.</w:t>
      </w:r>
    </w:p>
    <w:p>
      <w:pPr>
        <w:ind w:left="440"/>
        <w:spacing w:after="0"/>
        <w:rPr>
          <w:sz w:val="20"/>
          <w:szCs w:val="20"/>
          <w:color w:val="auto"/>
        </w:rPr>
      </w:pPr>
      <w:r>
        <w:rPr>
          <w:rFonts w:ascii="Arial" w:cs="Arial" w:eastAsia="Arial" w:hAnsi="Arial"/>
          <w:sz w:val="18"/>
          <w:szCs w:val="18"/>
          <w:color w:val="auto"/>
        </w:rPr>
        <w:t>Section 1.409A-2(b)(7).</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VII</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 to Payment Schedules</w:t>
      </w:r>
    </w:p>
    <w:p>
      <w:pPr>
        <w:spacing w:after="0" w:line="113" w:lineRule="exact"/>
        <w:rPr>
          <w:sz w:val="20"/>
          <w:szCs w:val="20"/>
          <w:color w:val="auto"/>
        </w:rPr>
      </w:pPr>
    </w:p>
    <w:p>
      <w:pPr>
        <w:ind w:left="440" w:right="200" w:hanging="439"/>
        <w:spacing w:after="0" w:line="297" w:lineRule="auto"/>
        <w:tabs>
          <w:tab w:leader="none" w:pos="4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u w:val="single" w:color="auto"/>
          <w:color w:val="auto"/>
        </w:rPr>
        <w:t xml:space="preserve">Participant’s Right to Modify. </w:t>
      </w:r>
      <w:r>
        <w:rPr>
          <w:rFonts w:ascii="Arial" w:cs="Arial" w:eastAsia="Arial" w:hAnsi="Arial"/>
          <w:sz w:val="17"/>
          <w:szCs w:val="17"/>
          <w:color w:val="auto"/>
        </w:rPr>
        <w:t>A Participant may modify any or all of the alternative Payment Schedules with respect to an Account, consistent with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permissible Payment Schedules available under the Plan, provided such modification complies with the requirements of this Article VII.</w:t>
      </w:r>
    </w:p>
    <w:p>
      <w:pPr>
        <w:spacing w:after="0" w:line="63" w:lineRule="exact"/>
        <w:rPr>
          <w:sz w:val="20"/>
          <w:szCs w:val="20"/>
          <w:color w:val="auto"/>
        </w:rPr>
      </w:pPr>
    </w:p>
    <w:p>
      <w:pPr>
        <w:ind w:left="440" w:right="400" w:hanging="439"/>
        <w:spacing w:after="0" w:line="267" w:lineRule="auto"/>
        <w:tabs>
          <w:tab w:leader="none" w:pos="4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u w:val="single" w:color="auto"/>
          <w:color w:val="auto"/>
        </w:rPr>
        <w:t xml:space="preserve">Time of Election. </w:t>
      </w:r>
      <w:r>
        <w:rPr>
          <w:rFonts w:ascii="Arial" w:cs="Arial" w:eastAsia="Arial" w:hAnsi="Arial"/>
          <w:sz w:val="18"/>
          <w:szCs w:val="18"/>
          <w:color w:val="auto"/>
        </w:rPr>
        <w:t>The date on which a modification election is submitted to the Committee must be at least twelve months prior to the date on which</w:t>
      </w:r>
      <w:r>
        <w:rPr>
          <w:rFonts w:ascii="Arial" w:cs="Arial" w:eastAsia="Arial" w:hAnsi="Arial"/>
          <w:sz w:val="18"/>
          <w:szCs w:val="18"/>
          <w:u w:val="single" w:color="auto"/>
          <w:color w:val="auto"/>
        </w:rPr>
        <w:t xml:space="preserve"> </w:t>
      </w:r>
      <w:r>
        <w:rPr>
          <w:rFonts w:ascii="Arial" w:cs="Arial" w:eastAsia="Arial" w:hAnsi="Arial"/>
          <w:sz w:val="18"/>
          <w:szCs w:val="18"/>
          <w:color w:val="auto"/>
        </w:rPr>
        <w:t>payment is scheduled to commence under the Payment Schedule in effect prior to the modification.</w:t>
      </w:r>
    </w:p>
    <w:p>
      <w:pPr>
        <w:spacing w:after="0" w:line="86" w:lineRule="exact"/>
        <w:rPr>
          <w:sz w:val="20"/>
          <w:szCs w:val="20"/>
          <w:color w:val="auto"/>
        </w:rPr>
      </w:pPr>
    </w:p>
    <w:p>
      <w:pPr>
        <w:ind w:left="440" w:right="20" w:hanging="439"/>
        <w:spacing w:after="0" w:line="283" w:lineRule="auto"/>
        <w:tabs>
          <w:tab w:leader="none" w:pos="4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 xml:space="preserve">Date of Payment under Modified Payment Schedule. </w:t>
      </w:r>
      <w:r>
        <w:rPr>
          <w:rFonts w:ascii="Arial" w:cs="Arial" w:eastAsia="Arial" w:hAnsi="Arial"/>
          <w:sz w:val="16"/>
          <w:szCs w:val="16"/>
          <w:color w:val="auto"/>
        </w:rPr>
        <w:t>Except with respect to modifications that relate to the payment of a Death Benefit, the date</w:t>
      </w:r>
      <w:r>
        <w:rPr>
          <w:rFonts w:ascii="Arial" w:cs="Arial" w:eastAsia="Arial" w:hAnsi="Arial"/>
          <w:sz w:val="16"/>
          <w:szCs w:val="16"/>
          <w:u w:val="single" w:color="auto"/>
          <w:color w:val="auto"/>
        </w:rPr>
        <w:t xml:space="preserve"> </w:t>
      </w:r>
      <w:r>
        <w:rPr>
          <w:rFonts w:ascii="Arial" w:cs="Arial" w:eastAsia="Arial" w:hAnsi="Arial"/>
          <w:sz w:val="16"/>
          <w:szCs w:val="16"/>
          <w:color w:val="auto"/>
        </w:rPr>
        <w:t>payments are to commence under the modified Payment Schedule must be no earlier than five years after the date payment would have commenced under the original Payment Schedule. Under no circumstances may a modification election result in an acceleration of payments in violation of Code</w:t>
      </w:r>
    </w:p>
    <w:p>
      <w:pPr>
        <w:ind w:left="440"/>
        <w:spacing w:after="0"/>
        <w:rPr>
          <w:sz w:val="20"/>
          <w:szCs w:val="20"/>
          <w:color w:val="auto"/>
        </w:rPr>
      </w:pPr>
      <w:r>
        <w:rPr>
          <w:rFonts w:ascii="Arial" w:cs="Arial" w:eastAsia="Arial" w:hAnsi="Arial"/>
          <w:sz w:val="18"/>
          <w:szCs w:val="18"/>
          <w:color w:val="auto"/>
        </w:rPr>
        <w:t>Section 409A.</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 xml:space="preserve">Effective Date. </w:t>
      </w:r>
      <w:r>
        <w:rPr>
          <w:rFonts w:ascii="Arial" w:cs="Arial" w:eastAsia="Arial" w:hAnsi="Arial"/>
          <w:sz w:val="16"/>
          <w:szCs w:val="16"/>
          <w:color w:val="auto"/>
        </w:rPr>
        <w:t>A modification election submitted in accordance with this Article VII is irrevocable upon receipt by the Committee and becomes effective</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 months after such date.</w:t>
      </w:r>
    </w:p>
    <w:p>
      <w:pPr>
        <w:spacing w:after="0" w:line="115" w:lineRule="exact"/>
        <w:rPr>
          <w:sz w:val="20"/>
          <w:szCs w:val="20"/>
          <w:color w:val="auto"/>
        </w:rPr>
      </w:pPr>
    </w:p>
    <w:p>
      <w:pPr>
        <w:ind w:left="440" w:right="40" w:hanging="439"/>
        <w:spacing w:after="0" w:line="267" w:lineRule="auto"/>
        <w:tabs>
          <w:tab w:leader="none" w:pos="4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u w:val="single" w:color="auto"/>
          <w:color w:val="auto"/>
        </w:rPr>
        <w:t xml:space="preserve">Effect on Accounts. </w:t>
      </w:r>
      <w:r>
        <w:rPr>
          <w:rFonts w:ascii="Arial" w:cs="Arial" w:eastAsia="Arial" w:hAnsi="Arial"/>
          <w:sz w:val="18"/>
          <w:szCs w:val="18"/>
          <w:color w:val="auto"/>
        </w:rPr>
        <w:t>An election to modify a Payment Schedule is specific to the Account or payment event to which it applies, and shall not be construed</w:t>
      </w:r>
      <w:r>
        <w:rPr>
          <w:rFonts w:ascii="Arial" w:cs="Arial" w:eastAsia="Arial" w:hAnsi="Arial"/>
          <w:sz w:val="18"/>
          <w:szCs w:val="18"/>
          <w:u w:val="single" w:color="auto"/>
          <w:color w:val="auto"/>
        </w:rPr>
        <w:t xml:space="preserve"> </w:t>
      </w:r>
      <w:r>
        <w:rPr>
          <w:rFonts w:ascii="Arial" w:cs="Arial" w:eastAsia="Arial" w:hAnsi="Arial"/>
          <w:sz w:val="18"/>
          <w:szCs w:val="18"/>
          <w:color w:val="auto"/>
        </w:rPr>
        <w:t>to affect the Payment Schedules of any other Accounts.</w:t>
      </w:r>
    </w:p>
    <w:p>
      <w:pPr>
        <w:spacing w:after="0" w:line="86" w:lineRule="exact"/>
        <w:rPr>
          <w:sz w:val="20"/>
          <w:szCs w:val="20"/>
          <w:color w:val="auto"/>
        </w:rPr>
      </w:pPr>
    </w:p>
    <w:p>
      <w:pPr>
        <w:ind w:left="440" w:right="200" w:hanging="439"/>
        <w:spacing w:after="0" w:line="257" w:lineRule="auto"/>
        <w:tabs>
          <w:tab w:leader="none" w:pos="4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u w:val="single" w:color="auto"/>
          <w:color w:val="auto"/>
        </w:rPr>
        <w:t xml:space="preserve">Modifications to Grandfathered Accounts. </w:t>
      </w:r>
      <w:r>
        <w:rPr>
          <w:rFonts w:ascii="Arial" w:cs="Arial" w:eastAsia="Arial" w:hAnsi="Arial"/>
          <w:sz w:val="18"/>
          <w:szCs w:val="18"/>
          <w:color w:val="auto"/>
        </w:rPr>
        <w:t>Notwithstanding the preceding provisions of this Article VII, a Participant may modify the time or form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payment applicable to a Grandfathered Account at any time, provided the modification is submitted in writing at least 13 months in advance of the date the Grandfathered Account is scheduled to be paid.</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15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134" w:right="2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VIII</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Account Balances; Investments</w:t>
      </w:r>
    </w:p>
    <w:p>
      <w:pPr>
        <w:spacing w:after="0" w:line="113" w:lineRule="exact"/>
        <w:rPr>
          <w:sz w:val="20"/>
          <w:szCs w:val="20"/>
          <w:color w:val="auto"/>
        </w:rPr>
      </w:pPr>
    </w:p>
    <w:p>
      <w:pPr>
        <w:ind w:left="440" w:right="460" w:hanging="439"/>
        <w:spacing w:after="0" w:line="279" w:lineRule="auto"/>
        <w:tabs>
          <w:tab w:leader="none" w:pos="4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 xml:space="preserve">Valuation. </w:t>
      </w:r>
      <w:r>
        <w:rPr>
          <w:rFonts w:ascii="Arial" w:cs="Arial" w:eastAsia="Arial" w:hAnsi="Arial"/>
          <w:sz w:val="17"/>
          <w:szCs w:val="17"/>
          <w:color w:val="auto"/>
        </w:rPr>
        <w:t>Deferrals shall be credited to appropriate Accounts on the date such Compensation would have been paid to the Participant absent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Compensation Deferral Agreement. Company Contributions shall be credited to the Retirement/Termination Account at the times determined by the Committee. Valuation of Accounts shall be performed under procedures approved by the Committee.</w:t>
      </w:r>
    </w:p>
    <w:p>
      <w:pPr>
        <w:spacing w:after="0" w:line="78" w:lineRule="exact"/>
        <w:rPr>
          <w:sz w:val="20"/>
          <w:szCs w:val="20"/>
          <w:color w:val="auto"/>
        </w:rPr>
      </w:pPr>
    </w:p>
    <w:p>
      <w:pPr>
        <w:ind w:left="440" w:right="40" w:hanging="439"/>
        <w:spacing w:after="0" w:line="297" w:lineRule="auto"/>
        <w:tabs>
          <w:tab w:leader="none" w:pos="4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u w:val="single" w:color="auto"/>
          <w:color w:val="auto"/>
        </w:rPr>
        <w:t xml:space="preserve">Earnings Credit. </w:t>
      </w:r>
      <w:r>
        <w:rPr>
          <w:rFonts w:ascii="Arial" w:cs="Arial" w:eastAsia="Arial" w:hAnsi="Arial"/>
          <w:sz w:val="17"/>
          <w:szCs w:val="17"/>
          <w:color w:val="auto"/>
        </w:rPr>
        <w:t>Each Account will be credited with Earnings on each Business Day, based upon the Participant’s investment allocation among a menu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investment options selected in advance by the Committee, in accordance with the provisions of this Article VIII (“investment allocation”).</w:t>
      </w:r>
    </w:p>
    <w:p>
      <w:pPr>
        <w:spacing w:after="0" w:line="63" w:lineRule="exact"/>
        <w:rPr>
          <w:sz w:val="20"/>
          <w:szCs w:val="20"/>
          <w:color w:val="auto"/>
        </w:rPr>
      </w:pPr>
    </w:p>
    <w:p>
      <w:pPr>
        <w:jc w:val="both"/>
        <w:ind w:left="440" w:right="100" w:hanging="439"/>
        <w:spacing w:after="0" w:line="257" w:lineRule="auto"/>
        <w:tabs>
          <w:tab w:leader="none" w:pos="4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 xml:space="preserve">Investment Options. </w:t>
      </w:r>
      <w:r>
        <w:rPr>
          <w:rFonts w:ascii="Arial" w:cs="Arial" w:eastAsia="Arial" w:hAnsi="Arial"/>
          <w:sz w:val="18"/>
          <w:szCs w:val="18"/>
          <w:color w:val="auto"/>
        </w:rPr>
        <w:t>Investment options will be determined by the Committee. The Committee, in its sole discretion, shall be permitted to add or remove</w:t>
      </w:r>
      <w:r>
        <w:rPr>
          <w:rFonts w:ascii="Arial" w:cs="Arial" w:eastAsia="Arial" w:hAnsi="Arial"/>
          <w:sz w:val="18"/>
          <w:szCs w:val="18"/>
          <w:u w:val="single" w:color="auto"/>
          <w:color w:val="auto"/>
        </w:rPr>
        <w:t xml:space="preserve"> </w:t>
      </w:r>
      <w:r>
        <w:rPr>
          <w:rFonts w:ascii="Arial" w:cs="Arial" w:eastAsia="Arial" w:hAnsi="Arial"/>
          <w:sz w:val="18"/>
          <w:szCs w:val="18"/>
          <w:color w:val="auto"/>
        </w:rPr>
        <w:t>investment options from the Plan menu from time to time, provided that any such additions or removals of investment options shall not be effective with respect to any period prior to the effective date of such change.</w:t>
      </w:r>
    </w:p>
    <w:p>
      <w:pPr>
        <w:spacing w:after="0" w:line="95" w:lineRule="exact"/>
        <w:rPr>
          <w:sz w:val="20"/>
          <w:szCs w:val="20"/>
          <w:color w:val="auto"/>
        </w:rPr>
      </w:pPr>
    </w:p>
    <w:p>
      <w:pPr>
        <w:ind w:left="440" w:right="140" w:hanging="439"/>
        <w:spacing w:after="0" w:line="295" w:lineRule="auto"/>
        <w:tabs>
          <w:tab w:leader="none" w:pos="4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 xml:space="preserve">Investment Allocations. </w:t>
      </w:r>
      <w:r>
        <w:rPr>
          <w:rFonts w:ascii="Arial" w:cs="Arial" w:eastAsia="Arial" w:hAnsi="Arial"/>
          <w:sz w:val="16"/>
          <w:szCs w:val="16"/>
          <w:color w:val="auto"/>
        </w:rPr>
        <w:t>A Participant’s investment allocation constitutes a deemed, not actual, investment among the investment options comprising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investment menu. At no time shall a Participant have any real or beneficial ownership in any investment option included in the investment menu, nor shall the Participating Employer or any trustee acting on its behalf have any obligation to purchase actual securities as a result of a Participant’s investment allocation. A Participant’s investment allocation shall be used solely for purposes of adjusting the value of a Participant’s Account Balances.</w:t>
      </w:r>
    </w:p>
    <w:p>
      <w:pPr>
        <w:spacing w:after="0" w:line="69" w:lineRule="exact"/>
        <w:rPr>
          <w:sz w:val="20"/>
          <w:szCs w:val="20"/>
          <w:color w:val="auto"/>
        </w:rPr>
      </w:pPr>
    </w:p>
    <w:p>
      <w:pPr>
        <w:ind w:left="440" w:right="320"/>
        <w:spacing w:after="0" w:line="304" w:lineRule="auto"/>
        <w:rPr>
          <w:sz w:val="20"/>
          <w:szCs w:val="20"/>
          <w:color w:val="auto"/>
        </w:rPr>
      </w:pPr>
      <w:r>
        <w:rPr>
          <w:rFonts w:ascii="Arial" w:cs="Arial" w:eastAsia="Arial" w:hAnsi="Arial"/>
          <w:sz w:val="16"/>
          <w:szCs w:val="16"/>
          <w:color w:val="auto"/>
        </w:rPr>
        <w:t>A Participant shall specify an investment allocation for each of his Accounts in accordance with procedures established by the Committee. Allocation among the investment options must be designated in increments of 1%. The Participant’s investment allocation will become effective on the same Business Day or, in the case of investment allocations received after a time specified by the Committee, the next Business Day.</w:t>
      </w:r>
    </w:p>
    <w:p>
      <w:pPr>
        <w:spacing w:after="0" w:line="61" w:lineRule="exact"/>
        <w:rPr>
          <w:sz w:val="20"/>
          <w:szCs w:val="20"/>
          <w:color w:val="auto"/>
        </w:rPr>
      </w:pPr>
    </w:p>
    <w:p>
      <w:pPr>
        <w:ind w:left="440" w:right="40"/>
        <w:spacing w:after="0" w:line="304" w:lineRule="auto"/>
        <w:rPr>
          <w:sz w:val="20"/>
          <w:szCs w:val="20"/>
          <w:color w:val="auto"/>
        </w:rPr>
      </w:pPr>
      <w:r>
        <w:rPr>
          <w:rFonts w:ascii="Arial" w:cs="Arial" w:eastAsia="Arial" w:hAnsi="Arial"/>
          <w:sz w:val="16"/>
          <w:szCs w:val="16"/>
          <w:color w:val="auto"/>
        </w:rPr>
        <w:t>A Participant may change an investment allocation on any Business Day, both with respect to future credits to the Plan and with respect to existing Account Balances, in accordance with procedures adopted by the Committee. Changes shall become effective on the same Business Day or, in the case of investment allocations received after a time specified by the Committee, the next Business Day, and shall be applied prospectively.</w:t>
      </w:r>
    </w:p>
    <w:p>
      <w:pPr>
        <w:spacing w:after="0" w:line="61" w:lineRule="exact"/>
        <w:rPr>
          <w:sz w:val="20"/>
          <w:szCs w:val="20"/>
          <w:color w:val="auto"/>
        </w:rPr>
      </w:pPr>
    </w:p>
    <w:p>
      <w:pPr>
        <w:ind w:left="440" w:right="120" w:hanging="439"/>
        <w:spacing w:after="0" w:line="267" w:lineRule="auto"/>
        <w:tabs>
          <w:tab w:leader="none" w:pos="4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u w:val="single" w:color="auto"/>
          <w:color w:val="auto"/>
        </w:rPr>
        <w:t xml:space="preserve">Unallocated Deferrals and Accounts. </w:t>
      </w:r>
      <w:r>
        <w:rPr>
          <w:rFonts w:ascii="Arial" w:cs="Arial" w:eastAsia="Arial" w:hAnsi="Arial"/>
          <w:sz w:val="18"/>
          <w:szCs w:val="18"/>
          <w:color w:val="auto"/>
        </w:rPr>
        <w:t>If the Participant fails to make an investment allocation with respect to an Account, such Account shall be invested</w:t>
      </w:r>
      <w:r>
        <w:rPr>
          <w:rFonts w:ascii="Arial" w:cs="Arial" w:eastAsia="Arial" w:hAnsi="Arial"/>
          <w:sz w:val="18"/>
          <w:szCs w:val="18"/>
          <w:u w:val="single" w:color="auto"/>
          <w:color w:val="auto"/>
        </w:rPr>
        <w:t xml:space="preserve"> </w:t>
      </w:r>
      <w:r>
        <w:rPr>
          <w:rFonts w:ascii="Arial" w:cs="Arial" w:eastAsia="Arial" w:hAnsi="Arial"/>
          <w:sz w:val="18"/>
          <w:szCs w:val="18"/>
          <w:color w:val="auto"/>
        </w:rPr>
        <w:t>in an investment option, the primary objective of which is the preservation of capital, as determined by the Committee.</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16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IX</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113" w:lineRule="exact"/>
        <w:rPr>
          <w:sz w:val="20"/>
          <w:szCs w:val="20"/>
          <w:color w:val="auto"/>
        </w:rPr>
      </w:pPr>
    </w:p>
    <w:p>
      <w:pPr>
        <w:ind w:left="440" w:right="40" w:hanging="439"/>
        <w:spacing w:after="0" w:line="273" w:lineRule="auto"/>
        <w:tabs>
          <w:tab w:leader="none" w:pos="4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u w:val="single" w:color="auto"/>
          <w:color w:val="auto"/>
        </w:rPr>
        <w:t xml:space="preserve">Plan Administration. </w:t>
      </w:r>
      <w:r>
        <w:rPr>
          <w:rFonts w:ascii="Arial" w:cs="Arial" w:eastAsia="Arial" w:hAnsi="Arial"/>
          <w:sz w:val="17"/>
          <w:szCs w:val="17"/>
          <w:color w:val="auto"/>
        </w:rPr>
        <w:t>This Plan shall be administered by the Committee which shall have discretionary authority to make, amend, interpret and enforce 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appropriate rules and regulations for the administration of this Plan and to utilize its discretion to decide or resolve any and all questions, including but not limited to eligibility for benefits and interpretations of this Plan and its terms, as may arise in connection with the Plan. Claims for benefits shall be filed with the Committee and resolved in accordance with the claims procedures in Article XII.</w:t>
      </w:r>
    </w:p>
    <w:p>
      <w:pPr>
        <w:spacing w:after="0" w:line="84" w:lineRule="exact"/>
        <w:rPr>
          <w:sz w:val="20"/>
          <w:szCs w:val="20"/>
          <w:color w:val="auto"/>
        </w:rPr>
      </w:pPr>
    </w:p>
    <w:p>
      <w:pPr>
        <w:ind w:left="440" w:right="160" w:hanging="439"/>
        <w:spacing w:after="0" w:line="254" w:lineRule="auto"/>
        <w:tabs>
          <w:tab w:leader="none" w:pos="4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u w:val="single" w:color="auto"/>
          <w:color w:val="auto"/>
        </w:rPr>
        <w:t xml:space="preserve">Administration Upon Change in Control. </w:t>
      </w:r>
      <w:r>
        <w:rPr>
          <w:rFonts w:ascii="Arial" w:cs="Arial" w:eastAsia="Arial" w:hAnsi="Arial"/>
          <w:sz w:val="18"/>
          <w:szCs w:val="18"/>
          <w:color w:val="auto"/>
        </w:rPr>
        <w:t>Upon a Change in Control affecting the Company, the Committee, as constituted immediately prior to such</w:t>
      </w:r>
      <w:r>
        <w:rPr>
          <w:rFonts w:ascii="Arial" w:cs="Arial" w:eastAsia="Arial" w:hAnsi="Arial"/>
          <w:sz w:val="18"/>
          <w:szCs w:val="18"/>
          <w:u w:val="single" w:color="auto"/>
          <w:color w:val="auto"/>
        </w:rPr>
        <w:t xml:space="preserve"> </w:t>
      </w:r>
      <w:r>
        <w:rPr>
          <w:rFonts w:ascii="Arial" w:cs="Arial" w:eastAsia="Arial" w:hAnsi="Arial"/>
          <w:sz w:val="18"/>
          <w:szCs w:val="18"/>
          <w:color w:val="auto"/>
        </w:rPr>
        <w:t>Change in Control, shall continue to act as the Committee. The individual who was the Chief Executive Officer of the Company (or if such person is unable or unwilling to act, the next highest ranking officer) prior to the Change in Control shall have the authority (but shall not be obligated) to appoint an independent third party to act as the Committee.</w:t>
      </w:r>
    </w:p>
    <w:p>
      <w:pPr>
        <w:spacing w:after="0" w:line="97" w:lineRule="exact"/>
        <w:rPr>
          <w:sz w:val="20"/>
          <w:szCs w:val="20"/>
          <w:color w:val="auto"/>
        </w:rPr>
      </w:pPr>
    </w:p>
    <w:p>
      <w:pPr>
        <w:ind w:left="440" w:right="20"/>
        <w:spacing w:after="0" w:line="254" w:lineRule="auto"/>
        <w:rPr>
          <w:sz w:val="20"/>
          <w:szCs w:val="20"/>
          <w:color w:val="auto"/>
        </w:rPr>
      </w:pPr>
      <w:r>
        <w:rPr>
          <w:rFonts w:ascii="Arial" w:cs="Arial" w:eastAsia="Arial" w:hAnsi="Arial"/>
          <w:sz w:val="18"/>
          <w:szCs w:val="18"/>
          <w:color w:val="auto"/>
        </w:rPr>
        <w:t>Upon such Change in Control, the Company may not remove the Committee, unless 2/3rds of the members of the Board of Directors of the Company and a majority of Participants and Beneficiaries with Account Balances consent to the removal and replacement Committee. Notwithstanding the foregoing, neither the Committee nor the officer described above shall have authority to direct investment of trust assets under any rabbi trust described in Section 11.2.</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Participating Employer shall, with respect to the Committee identified under this Section, (I) pay all reasonable expenses and fees of the Committee,</w:t>
      </w:r>
    </w:p>
    <w:p>
      <w:pPr>
        <w:spacing w:after="0" w:line="40" w:lineRule="exact"/>
        <w:rPr>
          <w:sz w:val="20"/>
          <w:szCs w:val="20"/>
          <w:color w:val="auto"/>
        </w:rPr>
      </w:pPr>
    </w:p>
    <w:p>
      <w:pPr>
        <w:ind w:left="440" w:right="180" w:firstLine="7"/>
        <w:spacing w:after="0" w:line="269" w:lineRule="auto"/>
        <w:tabs>
          <w:tab w:leader="none" w:pos="701"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indemnify the Committee (including individuals serving as Committee) against any costs, expenses and liabilities including, without limitation, attorneys’ fees and expenses arising in connection with the performance of the Committee hereunder, except with respect to matters resulting from the Committee’s gross negligence or willful misconduct and (iii) supply full and timely information to the Committee on all matters related to the Plan, any rabbi trust, Participants, Beneficiaries and Accounts as the Committee may reasonably require.</w:t>
      </w:r>
    </w:p>
    <w:p>
      <w:pPr>
        <w:spacing w:after="0" w:line="86" w:lineRule="exact"/>
        <w:rPr>
          <w:sz w:val="20"/>
          <w:szCs w:val="20"/>
          <w:color w:val="auto"/>
        </w:rPr>
      </w:pPr>
    </w:p>
    <w:p>
      <w:pPr>
        <w:ind w:left="440" w:right="140" w:hanging="439"/>
        <w:spacing w:after="0" w:line="257" w:lineRule="auto"/>
        <w:tabs>
          <w:tab w:leader="none" w:pos="4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u w:val="single" w:color="auto"/>
          <w:color w:val="auto"/>
        </w:rPr>
        <w:t xml:space="preserve">Withholding. </w:t>
      </w:r>
      <w:r>
        <w:rPr>
          <w:rFonts w:ascii="Arial" w:cs="Arial" w:eastAsia="Arial" w:hAnsi="Arial"/>
          <w:sz w:val="18"/>
          <w:szCs w:val="18"/>
          <w:color w:val="auto"/>
        </w:rPr>
        <w:t>The Participating Employer shall have the right to withhold from any payment due under the Plan (or with respect to any amounts credited</w:t>
      </w:r>
      <w:r>
        <w:rPr>
          <w:rFonts w:ascii="Arial" w:cs="Arial" w:eastAsia="Arial" w:hAnsi="Arial"/>
          <w:sz w:val="18"/>
          <w:szCs w:val="18"/>
          <w:u w:val="single" w:color="auto"/>
          <w:color w:val="auto"/>
        </w:rPr>
        <w:t xml:space="preserve"> </w:t>
      </w:r>
      <w:r>
        <w:rPr>
          <w:rFonts w:ascii="Arial" w:cs="Arial" w:eastAsia="Arial" w:hAnsi="Arial"/>
          <w:sz w:val="18"/>
          <w:szCs w:val="18"/>
          <w:color w:val="auto"/>
        </w:rPr>
        <w:t>to the Plan) any taxes required by law to be withheld in respect of such payment (or credit). Withholdings with respect to amounts credited to the Plan shall be deducted from Compensation that has not been deferred to the Plan.</w:t>
      </w:r>
    </w:p>
    <w:p>
      <w:pPr>
        <w:spacing w:after="0" w:line="95" w:lineRule="exact"/>
        <w:rPr>
          <w:sz w:val="20"/>
          <w:szCs w:val="20"/>
          <w:color w:val="auto"/>
        </w:rPr>
      </w:pPr>
    </w:p>
    <w:p>
      <w:pPr>
        <w:ind w:left="440" w:right="160" w:hanging="439"/>
        <w:spacing w:after="0" w:line="254" w:lineRule="auto"/>
        <w:tabs>
          <w:tab w:leader="none" w:pos="42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u w:val="single" w:color="auto"/>
          <w:color w:val="auto"/>
        </w:rPr>
        <w:t xml:space="preserve">Indemnification. </w:t>
      </w:r>
      <w:r>
        <w:rPr>
          <w:rFonts w:ascii="Arial" w:cs="Arial" w:eastAsia="Arial" w:hAnsi="Arial"/>
          <w:sz w:val="18"/>
          <w:szCs w:val="18"/>
          <w:color w:val="auto"/>
        </w:rPr>
        <w:t>The Participating Employers shall indemnify and hold harmless each employee, officer, director, agent or organization, to whom or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which are delegated duties, responsibilities, and authority under the Plan or otherwise with respect to administration of the Plan, including, without limitation, the Committee and its agents, against all claims, liabilities, fines and penalties, and all expenses reasonably incurred by or imposed upon him or it (including but not limited to reasonable attorney fees) which</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17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ind w:left="440" w:right="160"/>
        <w:spacing w:after="0" w:line="252" w:lineRule="auto"/>
        <w:rPr>
          <w:sz w:val="20"/>
          <w:szCs w:val="20"/>
          <w:color w:val="auto"/>
        </w:rPr>
      </w:pPr>
      <w:r>
        <w:rPr>
          <w:rFonts w:ascii="Arial" w:cs="Arial" w:eastAsia="Arial" w:hAnsi="Arial"/>
          <w:sz w:val="18"/>
          <w:szCs w:val="18"/>
          <w:color w:val="auto"/>
        </w:rPr>
        <w:t>Arise as a result of his or its actions or failure to act in connection with the operation and administration of the Plan to the extent lawfully allowable and to the extent that such claim, liability, fine, penalty, or expense is not paid for by liability insurance purchased or paid for by the Participating Employer. Notwithstanding the foregoing, the Participating Employer shall not indemnify any person or organization if his or its actions or failure to act are due to gross negligence or willful misconduct or for any such amount incurred through any settlement or compromise of any action unless the Participating Employer consents in writing to such settlement or compromise.</w:t>
      </w:r>
    </w:p>
    <w:p>
      <w:pPr>
        <w:spacing w:after="0" w:line="100" w:lineRule="exact"/>
        <w:rPr>
          <w:sz w:val="20"/>
          <w:szCs w:val="20"/>
          <w:color w:val="auto"/>
        </w:rPr>
      </w:pPr>
    </w:p>
    <w:p>
      <w:pPr>
        <w:ind w:left="440" w:right="1020" w:hanging="439"/>
        <w:spacing w:after="0" w:line="331" w:lineRule="auto"/>
        <w:tabs>
          <w:tab w:leader="none" w:pos="42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u w:val="single" w:color="auto"/>
          <w:color w:val="auto"/>
        </w:rPr>
        <w:t xml:space="preserve">Delegation of Authority. </w:t>
      </w:r>
      <w:r>
        <w:rPr>
          <w:rFonts w:ascii="Arial" w:cs="Arial" w:eastAsia="Arial" w:hAnsi="Arial"/>
          <w:sz w:val="16"/>
          <w:szCs w:val="16"/>
          <w:color w:val="auto"/>
        </w:rPr>
        <w:t>In the administration of this Plan, the Committee may, from time to time, employ agents and delegate to them such</w:t>
      </w:r>
      <w:r>
        <w:rPr>
          <w:rFonts w:ascii="Arial" w:cs="Arial" w:eastAsia="Arial" w:hAnsi="Arial"/>
          <w:sz w:val="16"/>
          <w:szCs w:val="16"/>
          <w:u w:val="single" w:color="auto"/>
          <w:color w:val="auto"/>
        </w:rPr>
        <w:t xml:space="preserve"> </w:t>
      </w:r>
      <w:r>
        <w:rPr>
          <w:rFonts w:ascii="Arial" w:cs="Arial" w:eastAsia="Arial" w:hAnsi="Arial"/>
          <w:sz w:val="16"/>
          <w:szCs w:val="16"/>
          <w:color w:val="auto"/>
        </w:rPr>
        <w:t>administrative duties as it sees fit, and may from time to time consult with legal counsel who shall be legal counsel to the Company.</w:t>
      </w:r>
    </w:p>
    <w:p>
      <w:pPr>
        <w:spacing w:after="0" w:line="39" w:lineRule="exact"/>
        <w:rPr>
          <w:sz w:val="20"/>
          <w:szCs w:val="20"/>
          <w:color w:val="auto"/>
        </w:rPr>
      </w:pPr>
    </w:p>
    <w:p>
      <w:pPr>
        <w:ind w:left="440" w:right="100" w:hanging="439"/>
        <w:spacing w:after="0" w:line="257" w:lineRule="auto"/>
        <w:tabs>
          <w:tab w:leader="none" w:pos="42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u w:val="single" w:color="auto"/>
          <w:color w:val="auto"/>
        </w:rPr>
        <w:t xml:space="preserve">Binding Decisions or Actions. </w:t>
      </w:r>
      <w:r>
        <w:rPr>
          <w:rFonts w:ascii="Arial" w:cs="Arial" w:eastAsia="Arial" w:hAnsi="Arial"/>
          <w:sz w:val="18"/>
          <w:szCs w:val="18"/>
          <w:color w:val="auto"/>
        </w:rPr>
        <w:t>The decision or action of the Committee in respect of any question arising out of or in connection with the administration,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interpretation and application of the Plan and the rules and regulations hereunder shall be final and conclusive and binding upon all persons having any interest in the Plan.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13" w:lineRule="exact"/>
        <w:rPr>
          <w:sz w:val="20"/>
          <w:szCs w:val="20"/>
          <w:color w:val="auto"/>
        </w:rPr>
      </w:pPr>
    </w:p>
    <w:p>
      <w:pPr>
        <w:ind w:left="440" w:right="640" w:hanging="439"/>
        <w:spacing w:after="0" w:line="26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xml:space="preserve"> The Company may at any time and from time to time amend the Plan or may terminate the Plan as provided in this Article X. Each Participating Employer may also terminate its participation in the Plan.</w:t>
      </w:r>
    </w:p>
    <w:p>
      <w:pPr>
        <w:spacing w:after="0" w:line="86" w:lineRule="exact"/>
        <w:rPr>
          <w:sz w:val="20"/>
          <w:szCs w:val="20"/>
          <w:color w:val="auto"/>
        </w:rPr>
      </w:pPr>
    </w:p>
    <w:p>
      <w:pPr>
        <w:ind w:left="440" w:right="20" w:hanging="439"/>
        <w:spacing w:after="0" w:line="267"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The Company, by action taken by its Board of Directors, may amend the Plan at any time and for any reason, provided that any such amendment shall not reduce the vested Account Balances of any Participant accrued as of the date of any such amendment or restatement (as if the Participant had incurred a voluntary Separation from Service on such date) or reduce any rights of a Participant under the Plan or other Plan features with respect to Deferrals made prior to the date of any such amendment or restatement without the consent of the Participant. The Board of Directors of the Company may delegate to the Committee the authority to amend the Plan without the consent of the Board of Directors for the purpose of (I) conforming the Plan to the requirements of law, (ii) facilitating the administration of the Plan, (iii) clarifying provisions based on the Committee’s interpretation of the document and (iv) making such other amendments as the Board of Directors may authorize.</w:t>
      </w:r>
    </w:p>
    <w:p>
      <w:pPr>
        <w:spacing w:after="0" w:line="91" w:lineRule="exact"/>
        <w:rPr>
          <w:sz w:val="20"/>
          <w:szCs w:val="20"/>
          <w:color w:val="auto"/>
        </w:rPr>
      </w:pPr>
    </w:p>
    <w:p>
      <w:pPr>
        <w:jc w:val="both"/>
        <w:ind w:left="440" w:right="500" w:hanging="439"/>
        <w:spacing w:after="0" w:line="304"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The Company, by action taken by its Board of Directors, may terminate the Plan and pay Participants and Beneficiaries their Account Balances in a single lump sum at any time, to the extent and in accordance with Treas. Reg. Section 1.409A-3(j)(4)(ix). If a Participating Employer terminates its participation in the Plan, the benefits of affected Employees shall be paid at the time provided in Article VI.</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18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Informal Funding</w:t>
      </w:r>
    </w:p>
    <w:p>
      <w:pPr>
        <w:spacing w:after="0" w:line="113" w:lineRule="exact"/>
        <w:rPr>
          <w:sz w:val="20"/>
          <w:szCs w:val="20"/>
          <w:color w:val="auto"/>
        </w:rPr>
      </w:pPr>
    </w:p>
    <w:p>
      <w:pPr>
        <w:ind w:left="420" w:right="140" w:hanging="412"/>
        <w:spacing w:after="0" w:line="29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General Assets.</w:t>
      </w:r>
      <w:r>
        <w:rPr>
          <w:rFonts w:ascii="Arial" w:cs="Arial" w:eastAsia="Arial" w:hAnsi="Arial"/>
          <w:sz w:val="16"/>
          <w:szCs w:val="16"/>
          <w:color w:val="auto"/>
        </w:rPr>
        <w:t xml:space="preserve"> Obligations established under the terms of the Plan may be satisfied from the general funds of the Participating Employers, or a trust described in this Article XI. No Participant, spouse or Beneficiary shall have any right, title or interest whatever in assets of the Participating Employers. Nothing contained in this Plan, and no action taken pursuant to its provisions, shall create or be construed to create a trust of any kind, or a fiduciary relationship, between the Participating Employers and any Employee, spouse, or Beneficiary. To the extent that any person acquires a right to receive payments hereunder, such rights are no greater than the right of an unsecured general creditor of the Participating Employer.</w:t>
      </w:r>
    </w:p>
    <w:p>
      <w:pPr>
        <w:spacing w:after="0" w:line="58" w:lineRule="exact"/>
        <w:rPr>
          <w:sz w:val="20"/>
          <w:szCs w:val="20"/>
          <w:color w:val="auto"/>
        </w:rPr>
      </w:pPr>
    </w:p>
    <w:p>
      <w:pPr>
        <w:jc w:val="both"/>
        <w:ind w:left="420" w:hanging="412"/>
        <w:spacing w:after="0" w:line="304"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Rabbi Trust.</w:t>
      </w:r>
      <w:r>
        <w:rPr>
          <w:rFonts w:ascii="Arial" w:cs="Arial" w:eastAsia="Arial" w:hAnsi="Arial"/>
          <w:sz w:val="16"/>
          <w:szCs w:val="16"/>
          <w:color w:val="auto"/>
        </w:rPr>
        <w:t xml:space="preserve"> A Participating Employer may, in its sole discretion, establish a grantor trust, commonly known as a rabbi trust, as a vehicle for accumulating assets to pay benefits under the Plan. Payments under the Plan may be paid from the general assets of the Participating Employer or from the assets of any such rabbi trust. Payment from any such source shall reduce the obligation owed to the Participant or Beneficiary under the Plan.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XII</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13" w:lineRule="exact"/>
        <w:rPr>
          <w:sz w:val="20"/>
          <w:szCs w:val="20"/>
          <w:color w:val="auto"/>
        </w:rPr>
      </w:pPr>
    </w:p>
    <w:p>
      <w:pPr>
        <w:ind w:left="440" w:hanging="426"/>
        <w:spacing w:after="0" w:line="25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Filing a Claim.</w:t>
      </w:r>
      <w:r>
        <w:rPr>
          <w:rFonts w:ascii="Arial" w:cs="Arial" w:eastAsia="Arial" w:hAnsi="Arial"/>
          <w:sz w:val="18"/>
          <w:szCs w:val="18"/>
          <w:color w:val="auto"/>
        </w:rPr>
        <w:t xml:space="preserve"> Any controversy or claim arising out of or relating to the Plan shall be filed in writing with the Committee which shall make all determinations concerning such claim. Any claim filed with the Committee and any decision by the Committee denying such claim shall be in writing and shall be delivered to the Participant or Beneficiary filing the claim (the “Claimant”).</w:t>
      </w:r>
    </w:p>
    <w:p>
      <w:pPr>
        <w:spacing w:after="0" w:line="82" w:lineRule="exact"/>
        <w:rPr>
          <w:sz w:val="20"/>
          <w:szCs w:val="20"/>
          <w:color w:val="auto"/>
        </w:rPr>
      </w:pPr>
    </w:p>
    <w:p>
      <w:pPr>
        <w:ind w:left="900" w:right="20" w:hanging="440"/>
        <w:spacing w:after="0" w:line="252"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 xml:space="preserve">In General. </w:t>
      </w:r>
      <w:r>
        <w:rPr>
          <w:rFonts w:ascii="Arial" w:cs="Arial" w:eastAsia="Arial" w:hAnsi="Arial"/>
          <w:sz w:val="18"/>
          <w:szCs w:val="18"/>
          <w:color w:val="auto"/>
        </w:rPr>
        <w:t>Notice of a denial of benefits will be provided within ninety (90) days of the Committee’s receipt of the Claimant’s claim for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If the Committee determines that it needs additional time to review the claim, the Committee will provide the Claimant with a notice of the extension before the end of the initial ninety (90) day period. The extension will not be more than ninety (90) days from the end of the initial ninety (90) day period and the notice of extension will explain the special circumstances that require the extension and the date by which the Committee expects to make a decision.</w:t>
      </w:r>
    </w:p>
    <w:p>
      <w:pPr>
        <w:spacing w:after="0" w:line="100" w:lineRule="exact"/>
        <w:rPr>
          <w:rFonts w:ascii="Arial" w:cs="Arial" w:eastAsia="Arial" w:hAnsi="Arial"/>
          <w:sz w:val="18"/>
          <w:szCs w:val="18"/>
          <w:color w:val="auto"/>
        </w:rPr>
      </w:pPr>
    </w:p>
    <w:p>
      <w:pPr>
        <w:ind w:left="900" w:right="180" w:hanging="440"/>
        <w:spacing w:after="0" w:line="270" w:lineRule="auto"/>
        <w:tabs>
          <w:tab w:leader="none" w:pos="900"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 xml:space="preserve">Contents of Notice. </w:t>
      </w:r>
      <w:r>
        <w:rPr>
          <w:rFonts w:ascii="Arial" w:cs="Arial" w:eastAsia="Arial" w:hAnsi="Arial"/>
          <w:sz w:val="17"/>
          <w:szCs w:val="17"/>
          <w:color w:val="auto"/>
        </w:rPr>
        <w:t>If a claim for benefits is completely or partially denied, notice of such denial shall be in writing and shall set forth the reasons</w:t>
      </w:r>
      <w:r>
        <w:rPr>
          <w:rFonts w:ascii="Arial" w:cs="Arial" w:eastAsia="Arial" w:hAnsi="Arial"/>
          <w:sz w:val="17"/>
          <w:szCs w:val="17"/>
          <w:i w:val="1"/>
          <w:iCs w:val="1"/>
          <w:color w:val="auto"/>
        </w:rPr>
        <w:t xml:space="preserve"> </w:t>
      </w:r>
      <w:r>
        <w:rPr>
          <w:rFonts w:ascii="Arial" w:cs="Arial" w:eastAsia="Arial" w:hAnsi="Arial"/>
          <w:sz w:val="17"/>
          <w:szCs w:val="17"/>
          <w:color w:val="auto"/>
        </w:rPr>
        <w:t>for denial in plain language. The notice shall (i) cite the pertinent provisions of the Plan document and (ii) explain, where appropriate, how the Claimant can perfect the claim, including a description of any additional material or information necessary to complete the claim and why such material or information is necessary. The claim denial also shall include an explanation of the claims review procedures and the time limits applicable to such procedures, including a statement of the Claimant’s</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19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right to bring a civil action under Section 502(a) of ERISA following an adverse decision on review.</w:t>
      </w:r>
    </w:p>
    <w:p>
      <w:pPr>
        <w:spacing w:after="0" w:line="113" w:lineRule="exact"/>
        <w:rPr>
          <w:sz w:val="20"/>
          <w:szCs w:val="20"/>
          <w:color w:val="auto"/>
        </w:rPr>
      </w:pPr>
    </w:p>
    <w:p>
      <w:pPr>
        <w:ind w:left="440" w:hanging="426"/>
        <w:spacing w:after="0" w:line="285"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Appeal of Denied Claims.</w:t>
      </w:r>
      <w:r>
        <w:rPr>
          <w:rFonts w:ascii="Arial" w:cs="Arial" w:eastAsia="Arial" w:hAnsi="Arial"/>
          <w:sz w:val="16"/>
          <w:szCs w:val="16"/>
          <w:color w:val="auto"/>
        </w:rPr>
        <w:t xml:space="preserve"> A Claimant whose claim has been completely or partially denied shall be entitled to appeal the claim denial by filing a written appeal with a committee designated to hear such appeals (the “Appeals Committee”). A Claimant who timely requests a review of the denied claim (or his or her authorized representative) may review, upon request and free of charge, copies of all documents, records and other information relevant to the denial and may submit written comments, documents, records and other information relevant to the claim to the Appeals Committee. All written comments, documents, records, and other information shall be considered “relevant” if the information (i) was relied upon in making a benefits determination, (ii) was submitted, considered or generated in the course of making a benefits decision regardless of whether it was relied upon to make the decision, or (iii) demonstrates compliance with administrative processes and safeguards established for making benefit decisions. The Appeals Committee may, in its sole discretion and if it deems appropriate or necessary, decide to hold a hearing with respect to the claim appeal.</w:t>
      </w:r>
    </w:p>
    <w:p>
      <w:pPr>
        <w:spacing w:after="0" w:line="66" w:lineRule="exact"/>
        <w:rPr>
          <w:sz w:val="20"/>
          <w:szCs w:val="20"/>
          <w:color w:val="auto"/>
        </w:rPr>
      </w:pPr>
    </w:p>
    <w:p>
      <w:pPr>
        <w:ind w:left="900" w:right="20" w:hanging="440"/>
        <w:spacing w:after="0" w:line="285" w:lineRule="auto"/>
        <w:tabs>
          <w:tab w:leader="none" w:pos="900"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 xml:space="preserve">In General. </w:t>
      </w:r>
      <w:r>
        <w:rPr>
          <w:rFonts w:ascii="Arial" w:cs="Arial" w:eastAsia="Arial" w:hAnsi="Arial"/>
          <w:sz w:val="16"/>
          <w:szCs w:val="16"/>
          <w:color w:val="auto"/>
        </w:rPr>
        <w:t>Appeal of a denied benefits claim must be filed in writing with the Appeals Committee no later than sixty (60) days after receipt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notification of such claim denial. The Appeals Committee shall make its decision regarding the merits of the denied claim within sixty (60) days following receipt of the appeal (or within one hundred and twenty (120) days after such receipt, in a case where there are special circumstances requiring extension of time for reviewing the appealed claim). If an extension of time for reviewing the appeal is required because of special circumstances, written notice of the extension shall be furnished to the Claimant prior to the commencement of the extension. The notice will indicate the special circumstances requiring the extension of time and the date by which the Appeals Committee expects to render the determination on review. The review will take into account comments, documents, records and other information submitted by the Claimant relating to the claim without regard to whether such information was submitted or considered in the initial benefit determination.</w:t>
      </w:r>
    </w:p>
    <w:p>
      <w:pPr>
        <w:spacing w:after="0" w:line="79" w:lineRule="exact"/>
        <w:rPr>
          <w:rFonts w:ascii="Arial" w:cs="Arial" w:eastAsia="Arial" w:hAnsi="Arial"/>
          <w:sz w:val="16"/>
          <w:szCs w:val="16"/>
          <w:color w:val="auto"/>
        </w:rPr>
      </w:pPr>
    </w:p>
    <w:p>
      <w:pPr>
        <w:ind w:left="900" w:right="20" w:hanging="440"/>
        <w:spacing w:after="0" w:line="251"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 xml:space="preserve">Contents of Notice. </w:t>
      </w:r>
      <w:r>
        <w:rPr>
          <w:rFonts w:ascii="Arial" w:cs="Arial" w:eastAsia="Arial" w:hAnsi="Arial"/>
          <w:sz w:val="18"/>
          <w:szCs w:val="18"/>
          <w:color w:val="auto"/>
        </w:rPr>
        <w:t>If a benefits claim is completely or partially denied on review, notice of such denial shall be in writing and shall set forth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reasons for denial in plain language. The decision on review shall set forth (i) the specific reason or reasons for the denial, (ii) specific references to the pertinent Plan provisions on which the denial is based, (iii) a statement that the Claimant is entitled to receive, upon request and free of charge, reasonable access to and copies of all documents, records, or other information relevant (as defined above) to the Claimant’s claim, and (iv) a statement describing any voluntary appeal procedures offered by the plan and a statement of the Claimant’s right to bring an action under Section 502(a) of ERISA.</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20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ind w:left="440" w:right="320" w:hanging="426"/>
        <w:spacing w:after="0" w:line="254"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Claims Appeals Upon Change in Control</w:t>
      </w:r>
      <w:r>
        <w:rPr>
          <w:rFonts w:ascii="Arial" w:cs="Arial" w:eastAsia="Arial" w:hAnsi="Arial"/>
          <w:sz w:val="18"/>
          <w:szCs w:val="18"/>
          <w:color w:val="auto"/>
        </w:rPr>
        <w:t>. Upon a Change in Control, the Appeals Committee, as constituted immediately prior to such Change in Control, shall continue to act as the Appeals Committee. Upon such Change in Control, the Company may not remove any member of the Appeals Committee, but may replace resigning members if 2/3rds of the members of the Board of Directors of the Company and a majority of Participants and Beneficiaries with Account Balances consent to the replacement.</w:t>
      </w:r>
    </w:p>
    <w:p>
      <w:pPr>
        <w:spacing w:after="0" w:line="97" w:lineRule="exact"/>
        <w:rPr>
          <w:sz w:val="20"/>
          <w:szCs w:val="20"/>
          <w:color w:val="auto"/>
        </w:rPr>
      </w:pPr>
    </w:p>
    <w:p>
      <w:pPr>
        <w:ind w:left="440" w:right="360"/>
        <w:spacing w:after="0" w:line="267" w:lineRule="auto"/>
        <w:rPr>
          <w:sz w:val="20"/>
          <w:szCs w:val="20"/>
          <w:color w:val="auto"/>
        </w:rPr>
      </w:pPr>
      <w:r>
        <w:rPr>
          <w:rFonts w:ascii="Arial" w:cs="Arial" w:eastAsia="Arial" w:hAnsi="Arial"/>
          <w:sz w:val="18"/>
          <w:szCs w:val="18"/>
          <w:color w:val="auto"/>
        </w:rPr>
        <w:t>The Appeals Committee shall have the exclusive authority at the appeals stage to interpret the terms of the Plan and resolve appeals under the Claims Procedure.</w:t>
      </w:r>
    </w:p>
    <w:p>
      <w:pPr>
        <w:spacing w:after="0" w:line="86" w:lineRule="exact"/>
        <w:rPr>
          <w:sz w:val="20"/>
          <w:szCs w:val="20"/>
          <w:color w:val="auto"/>
        </w:rPr>
      </w:pPr>
    </w:p>
    <w:p>
      <w:pPr>
        <w:ind w:left="440" w:right="60"/>
        <w:spacing w:after="0" w:line="251" w:lineRule="auto"/>
        <w:rPr>
          <w:sz w:val="20"/>
          <w:szCs w:val="20"/>
          <w:color w:val="auto"/>
        </w:rPr>
      </w:pPr>
      <w:r>
        <w:rPr>
          <w:rFonts w:ascii="Arial" w:cs="Arial" w:eastAsia="Arial" w:hAnsi="Arial"/>
          <w:sz w:val="18"/>
          <w:szCs w:val="18"/>
          <w:color w:val="auto"/>
        </w:rPr>
        <w:t>Each Participating Employer shall, with respect to the Committee identified under this Section, (i) pay its proportionate share of all reasonable expenses and fees of the Appeals Committee, (ii) indemnify the Appeals Committee (including individual committee members) against any costs, expenses and liabilities including, without limitation, attorneys’ fees and expenses arising in connection with the performance of the Appeals Committee hereunder, except with respect to matters resulting from the Appeals Committee’s gross negligence or willful misconduct and (iii) supply full and timely information to the Appeals Committee on all matters related to the Plan, any rabbi trust, Participants, Beneficiaries and Accounts as the Appeals Committee may reasonably require.</w:t>
      </w:r>
    </w:p>
    <w:p>
      <w:pPr>
        <w:spacing w:after="0" w:line="101" w:lineRule="exact"/>
        <w:rPr>
          <w:sz w:val="20"/>
          <w:szCs w:val="20"/>
          <w:color w:val="auto"/>
        </w:rPr>
      </w:pPr>
    </w:p>
    <w:p>
      <w:pPr>
        <w:ind w:left="440" w:right="40" w:hanging="426"/>
        <w:spacing w:after="0" w:line="25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Legal Action.</w:t>
      </w:r>
      <w:r>
        <w:rPr>
          <w:rFonts w:ascii="Arial" w:cs="Arial" w:eastAsia="Arial" w:hAnsi="Arial"/>
          <w:sz w:val="18"/>
          <w:szCs w:val="18"/>
          <w:color w:val="auto"/>
        </w:rPr>
        <w:t xml:space="preserve"> A Claimant may not bring any legal action, including a suit in state or federal court or commencement of any arbitration, relating to a claim for benefits under the Plan unless and until the Claimant has followed the claims procedures under the Plan and exhausted his or her administrative remedies under such claims procedures. In no event may legal action be brought more than five years after the events giving rise to the claim have occurred.</w:t>
      </w:r>
    </w:p>
    <w:p>
      <w:pPr>
        <w:spacing w:after="0" w:line="97" w:lineRule="exact"/>
        <w:rPr>
          <w:sz w:val="20"/>
          <w:szCs w:val="20"/>
          <w:color w:val="auto"/>
        </w:rPr>
      </w:pPr>
    </w:p>
    <w:p>
      <w:pPr>
        <w:ind w:left="440" w:right="40"/>
        <w:spacing w:after="0" w:line="269" w:lineRule="auto"/>
        <w:rPr>
          <w:sz w:val="20"/>
          <w:szCs w:val="20"/>
          <w:color w:val="auto"/>
        </w:rPr>
      </w:pPr>
      <w:r>
        <w:rPr>
          <w:rFonts w:ascii="Arial" w:cs="Arial" w:eastAsia="Arial" w:hAnsi="Arial"/>
          <w:sz w:val="17"/>
          <w:szCs w:val="17"/>
          <w:color w:val="auto"/>
        </w:rPr>
        <w:t>If a Participant or Beneficiary prevails in a legal proceeding brought under the Plan to enforce the rights of such Participant or any other similarly situated Participant or Beneficiary, in whole or in part, the Participating Employer shall reimburse such Participant or Beneficiary for all legal costs, expenses, attorneys’ fees and such other liabilities incurred as a result of such proceedings. If the legal proceeding is brought in connection with a Change in Control, or a “change in control” as defined in a rabbi trust described in Section 11.2, the Participant or Beneficiary may file a claim directly with the trustee for reimbursement of such costs, expenses and fees. For purposes of the preceding sentence, the amount of the claim shall be treated as if it were an addition to the Participant’s or Beneficiary’s Account Balance.</w:t>
      </w:r>
    </w:p>
    <w:p>
      <w:pPr>
        <w:spacing w:after="0" w:line="86" w:lineRule="exact"/>
        <w:rPr>
          <w:sz w:val="20"/>
          <w:szCs w:val="20"/>
          <w:color w:val="auto"/>
        </w:rPr>
      </w:pPr>
    </w:p>
    <w:p>
      <w:pPr>
        <w:ind w:left="440" w:right="100" w:hanging="426"/>
        <w:spacing w:after="0" w:line="267"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Discretion of Appeals Committee</w:t>
      </w:r>
      <w:r>
        <w:rPr>
          <w:rFonts w:ascii="Arial" w:cs="Arial" w:eastAsia="Arial" w:hAnsi="Arial"/>
          <w:sz w:val="18"/>
          <w:szCs w:val="18"/>
          <w:color w:val="auto"/>
        </w:rPr>
        <w:t>. All interpretations, determinations and decisions of the Appeals Committee with respect to any claim shall be made in its sole discretion, and shall be final and conclusive.</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21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33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Arbitration.</w:t>
      </w:r>
    </w:p>
    <w:p>
      <w:pPr>
        <w:spacing w:after="0" w:line="113" w:lineRule="exact"/>
        <w:rPr>
          <w:sz w:val="20"/>
          <w:szCs w:val="20"/>
          <w:color w:val="auto"/>
        </w:rPr>
      </w:pPr>
    </w:p>
    <w:p>
      <w:pPr>
        <w:ind w:left="900" w:right="440" w:hanging="440"/>
        <w:spacing w:after="0" w:line="304" w:lineRule="auto"/>
        <w:tabs>
          <w:tab w:leader="none" w:pos="900"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 xml:space="preserve">Prior to Change in Control. </w:t>
      </w:r>
      <w:r>
        <w:rPr>
          <w:rFonts w:ascii="Arial" w:cs="Arial" w:eastAsia="Arial" w:hAnsi="Arial"/>
          <w:sz w:val="16"/>
          <w:szCs w:val="16"/>
          <w:color w:val="auto"/>
        </w:rPr>
        <w:t>If, prior to a Change in Control, any claim or controversy between a Participating Employer and a Participant or</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Beneficiary is not resolved through the claims procedure set forth in Article XII, such claim shall be submitted to and resolved exclusively by expedited binding arbitration by a single arbitrator. Arbitration shall be conducted in accordance with the following procedures:</w:t>
      </w:r>
    </w:p>
    <w:p>
      <w:pPr>
        <w:spacing w:after="0" w:line="60" w:lineRule="exact"/>
        <w:rPr>
          <w:rFonts w:ascii="Arial" w:cs="Arial" w:eastAsia="Arial" w:hAnsi="Arial"/>
          <w:sz w:val="16"/>
          <w:szCs w:val="16"/>
          <w:color w:val="auto"/>
        </w:rPr>
      </w:pPr>
    </w:p>
    <w:p>
      <w:pPr>
        <w:ind w:left="900" w:right="20"/>
        <w:spacing w:after="0" w:line="265" w:lineRule="auto"/>
        <w:rPr>
          <w:rFonts w:ascii="Arial" w:cs="Arial" w:eastAsia="Arial" w:hAnsi="Arial"/>
          <w:sz w:val="16"/>
          <w:szCs w:val="16"/>
          <w:color w:val="auto"/>
        </w:rPr>
      </w:pPr>
      <w:r>
        <w:rPr>
          <w:rFonts w:ascii="Arial" w:cs="Arial" w:eastAsia="Arial" w:hAnsi="Arial"/>
          <w:sz w:val="17"/>
          <w:szCs w:val="17"/>
          <w:color w:val="auto"/>
        </w:rPr>
        <w:t>The complaining party shall promptly send written notice to the other party identifying the matter in dispute and the proposed remedy. Following the giving of such notice, the parties shall meet and attempt in good faith to resolve the matter. In the event the parties are unable to resolve the matter within twenty one (21) days, the parties shall meet and attempt in good faith to select a single arbitrator acceptable to both parties. If a single arbitrator is not selected by mutual consent within ten (10) Business Days following the giving of the written notice of dispute, an arbitrator shall be selected from a list of nine persons each of whom shall be an attorney who is either engaged in the active practice of law or recognized arbitrator and who, in either event, is experienced in serving as an arbitrator in disputes between employers and employees, which list shall be provided by the main office of either JAMS, the American Arbitration Associate (“AAA”) or the Federal Mediation and Conciliation Service. If, within three Business Days of the parties’ receipt of such list, the parties are unable to agree on an arbitrator from the list, then the parties shall each strike names alternatively from the list, with the first to strike being determined by the flip of a coin. After each party has had four strikes, the remaining name on the list shall be the arbitrator. If such person is unable to serve for any reason, the parties shall repeat this process until an arbitrator is selected.</w:t>
      </w:r>
    </w:p>
    <w:p>
      <w:pPr>
        <w:spacing w:after="0" w:line="92" w:lineRule="exact"/>
        <w:rPr>
          <w:rFonts w:ascii="Arial" w:cs="Arial" w:eastAsia="Arial" w:hAnsi="Arial"/>
          <w:sz w:val="16"/>
          <w:szCs w:val="16"/>
          <w:color w:val="auto"/>
        </w:rPr>
      </w:pPr>
    </w:p>
    <w:p>
      <w:pPr>
        <w:ind w:left="900" w:right="80"/>
        <w:spacing w:after="0" w:line="295" w:lineRule="auto"/>
        <w:rPr>
          <w:rFonts w:ascii="Arial" w:cs="Arial" w:eastAsia="Arial" w:hAnsi="Arial"/>
          <w:sz w:val="16"/>
          <w:szCs w:val="16"/>
          <w:color w:val="auto"/>
        </w:rPr>
      </w:pPr>
      <w:r>
        <w:rPr>
          <w:rFonts w:ascii="Arial" w:cs="Arial" w:eastAsia="Arial" w:hAnsi="Arial"/>
          <w:sz w:val="16"/>
          <w:szCs w:val="16"/>
          <w:color w:val="auto"/>
        </w:rPr>
        <w:t>Unless the parties agree otherwise, within sixty (60) days of the selection of the arbitrator, a hearing shall be conducted before such arbitrator at a time and a place agreed upon by the parties. In the event the parties are unable to agree upon the time or place of the arbitration, the time and place shall be designated by the arbitrator after consultation with the parties. Within thirty (30) days of the conclusion of the arbitration hearing, the arbitrator shall issue an award, accompanied by a written decision explaining the basis for the arbitrator’s award.</w:t>
      </w:r>
    </w:p>
    <w:p>
      <w:pPr>
        <w:spacing w:after="0" w:line="68" w:lineRule="exact"/>
        <w:rPr>
          <w:rFonts w:ascii="Arial" w:cs="Arial" w:eastAsia="Arial" w:hAnsi="Arial"/>
          <w:sz w:val="16"/>
          <w:szCs w:val="16"/>
          <w:color w:val="auto"/>
        </w:rPr>
      </w:pPr>
    </w:p>
    <w:p>
      <w:pPr>
        <w:ind w:left="900" w:right="60"/>
        <w:spacing w:after="0" w:line="291" w:lineRule="auto"/>
        <w:rPr>
          <w:rFonts w:ascii="Arial" w:cs="Arial" w:eastAsia="Arial" w:hAnsi="Arial"/>
          <w:sz w:val="16"/>
          <w:szCs w:val="16"/>
          <w:color w:val="auto"/>
        </w:rPr>
      </w:pPr>
      <w:r>
        <w:rPr>
          <w:rFonts w:ascii="Arial" w:cs="Arial" w:eastAsia="Arial" w:hAnsi="Arial"/>
          <w:sz w:val="16"/>
          <w:szCs w:val="16"/>
          <w:color w:val="auto"/>
        </w:rPr>
        <w:t>In any arbitration hereunder, the Participating Employer shall pay all administrative fees of the arbitration and all fees of the arbitrator, except that the Participant or Beneficiary may, if he/she/it wishes, pay up to one-half of those amounts. Each party shall pay its own attorneys’ fees, costs, and expenses, unless the arbitrator orders otherwise. The prevailing party in such arbitration, as determined by the arbitrator, and in any enforcement or other court proceedings, shall be entitled, to the extent permitted by law, to reimbursement from the other party for all of the prevailing party’s costs (including but not limited to the arbitrator’s compensation), expenses, and attorneys’ fees. The arbitrator shall</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22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725233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ind w:left="900" w:right="80"/>
        <w:spacing w:after="0" w:line="270" w:lineRule="auto"/>
        <w:rPr>
          <w:sz w:val="20"/>
          <w:szCs w:val="20"/>
          <w:color w:val="auto"/>
        </w:rPr>
      </w:pPr>
      <w:r>
        <w:rPr>
          <w:rFonts w:ascii="Arial" w:cs="Arial" w:eastAsia="Arial" w:hAnsi="Arial"/>
          <w:sz w:val="17"/>
          <w:szCs w:val="17"/>
          <w:color w:val="auto"/>
        </w:rPr>
        <w:t>have no authority to add to or to modify this Plan, shall apply all applicable law, and shall have no lesser and no greater remedial authority than would a court of law resolving the same claim or controversy. The arbitrator shall have no authority to add to or to modify this Plan, shall apply all applicable law, and shall have no lesser and no greater remedial authority than would a court of law resolving the same claim or controversy. The arbitrator shall, upon an appropriate motion, dismiss any claim without an evidentiary hearing if the party bringing the motion establishes that it would be entitled to summary judgment if the matter had been pursued in court litigation.</w:t>
      </w:r>
    </w:p>
    <w:p>
      <w:pPr>
        <w:spacing w:after="0" w:line="87" w:lineRule="exact"/>
        <w:rPr>
          <w:sz w:val="20"/>
          <w:szCs w:val="20"/>
          <w:color w:val="auto"/>
        </w:rPr>
      </w:pPr>
    </w:p>
    <w:p>
      <w:pPr>
        <w:ind w:left="900" w:right="140"/>
        <w:spacing w:after="0" w:line="254" w:lineRule="auto"/>
        <w:rPr>
          <w:sz w:val="20"/>
          <w:szCs w:val="20"/>
          <w:color w:val="auto"/>
        </w:rPr>
      </w:pPr>
      <w:r>
        <w:rPr>
          <w:rFonts w:ascii="Arial" w:cs="Arial" w:eastAsia="Arial" w:hAnsi="Arial"/>
          <w:sz w:val="18"/>
          <w:szCs w:val="18"/>
          <w:color w:val="auto"/>
        </w:rPr>
        <w:t>The parties shall be entitled to discovery as follows: Each party may take no more than three depositions. The Participating Employer may depose the Participant or Beneficiary plus two other witnesses, and the Participant or Beneficiary may depose the Participating Employer, pursuant to Rule 30(b)(6) of the Federal Rules of Civil Procedure, plus two other witnesses. Each party may make such reasonable document discovery requests as are allowed in the discretion of the arbitrator.</w:t>
      </w:r>
    </w:p>
    <w:p>
      <w:pPr>
        <w:spacing w:after="0" w:line="97" w:lineRule="exact"/>
        <w:rPr>
          <w:sz w:val="20"/>
          <w:szCs w:val="20"/>
          <w:color w:val="auto"/>
        </w:rPr>
      </w:pPr>
    </w:p>
    <w:p>
      <w:pPr>
        <w:ind w:left="900" w:right="540"/>
        <w:spacing w:after="0" w:line="267" w:lineRule="auto"/>
        <w:rPr>
          <w:sz w:val="20"/>
          <w:szCs w:val="20"/>
          <w:color w:val="auto"/>
        </w:rPr>
      </w:pPr>
      <w:r>
        <w:rPr>
          <w:rFonts w:ascii="Arial" w:cs="Arial" w:eastAsia="Arial" w:hAnsi="Arial"/>
          <w:sz w:val="18"/>
          <w:szCs w:val="18"/>
          <w:color w:val="auto"/>
        </w:rPr>
        <w:t>The decision of the arbitrator shall be final, binding, and non-appealable, and may be enforced as a final judgment in any court of competent jurisdiction.</w:t>
      </w:r>
    </w:p>
    <w:p>
      <w:pPr>
        <w:spacing w:after="0" w:line="86" w:lineRule="exact"/>
        <w:rPr>
          <w:sz w:val="20"/>
          <w:szCs w:val="20"/>
          <w:color w:val="auto"/>
        </w:rPr>
      </w:pPr>
    </w:p>
    <w:p>
      <w:pPr>
        <w:jc w:val="both"/>
        <w:ind w:left="900" w:right="160"/>
        <w:spacing w:after="0" w:line="304" w:lineRule="auto"/>
        <w:rPr>
          <w:sz w:val="20"/>
          <w:szCs w:val="20"/>
          <w:color w:val="auto"/>
        </w:rPr>
      </w:pPr>
      <w:r>
        <w:rPr>
          <w:rFonts w:ascii="Arial" w:cs="Arial" w:eastAsia="Arial" w:hAnsi="Arial"/>
          <w:sz w:val="16"/>
          <w:szCs w:val="16"/>
          <w:color w:val="auto"/>
        </w:rPr>
        <w:t>This arbitration provision of the Plan shall extend to claims against any parent, subsidiary, or affiliate of each party, and, when acting within such capacity, any officer, director, shareholder, Participant, Beneficiary, or agent of any party, or of any of the above, and shall apply as well to claims arising out of state and federal statutes and local ordinances as well as to claims arising under the common law or under this Plan.</w:t>
      </w:r>
    </w:p>
    <w:p>
      <w:pPr>
        <w:spacing w:after="0" w:line="61" w:lineRule="exact"/>
        <w:rPr>
          <w:sz w:val="20"/>
          <w:szCs w:val="20"/>
          <w:color w:val="auto"/>
        </w:rPr>
      </w:pPr>
    </w:p>
    <w:p>
      <w:pPr>
        <w:ind w:left="900" w:right="20"/>
        <w:spacing w:after="0" w:line="257" w:lineRule="auto"/>
        <w:rPr>
          <w:sz w:val="20"/>
          <w:szCs w:val="20"/>
          <w:color w:val="auto"/>
        </w:rPr>
      </w:pPr>
      <w:r>
        <w:rPr>
          <w:rFonts w:ascii="Arial" w:cs="Arial" w:eastAsia="Arial" w:hAnsi="Arial"/>
          <w:sz w:val="18"/>
          <w:szCs w:val="18"/>
          <w:color w:val="auto"/>
        </w:rPr>
        <w:t>Notwithstanding the foregoing, and unless otherwise agreed between the parties, either party may apply to a court for provisional relief, including a temporary restraining order or preliminary injunction, on the ground that the arbitration award to which the applicant may be entitled may be rendered ineffectual without provisional relief.</w:t>
      </w:r>
    </w:p>
    <w:p>
      <w:pPr>
        <w:spacing w:after="0" w:line="95" w:lineRule="exact"/>
        <w:rPr>
          <w:sz w:val="20"/>
          <w:szCs w:val="20"/>
          <w:color w:val="auto"/>
        </w:rPr>
      </w:pPr>
    </w:p>
    <w:p>
      <w:pPr>
        <w:ind w:left="900" w:right="780"/>
        <w:spacing w:after="0" w:line="297" w:lineRule="auto"/>
        <w:rPr>
          <w:sz w:val="20"/>
          <w:szCs w:val="20"/>
          <w:color w:val="auto"/>
        </w:rPr>
      </w:pPr>
      <w:r>
        <w:rPr>
          <w:rFonts w:ascii="Arial" w:cs="Arial" w:eastAsia="Arial" w:hAnsi="Arial"/>
          <w:sz w:val="17"/>
          <w:szCs w:val="17"/>
          <w:color w:val="auto"/>
        </w:rPr>
        <w:t>Any arbitration hereunder shall be conducted in accordance with the Federal Arbitration Act: provided, however, that, in the event of any inconsistency between the rules and procedures of the Act and the terms of this Plan, the terms of this Plan shall prevail.</w:t>
      </w:r>
    </w:p>
    <w:p>
      <w:pPr>
        <w:spacing w:after="0" w:line="63" w:lineRule="exact"/>
        <w:rPr>
          <w:sz w:val="20"/>
          <w:szCs w:val="20"/>
          <w:color w:val="auto"/>
        </w:rPr>
      </w:pPr>
    </w:p>
    <w:p>
      <w:pPr>
        <w:ind w:left="900" w:right="60"/>
        <w:spacing w:after="0" w:line="295" w:lineRule="auto"/>
        <w:rPr>
          <w:sz w:val="20"/>
          <w:szCs w:val="20"/>
          <w:color w:val="auto"/>
        </w:rPr>
      </w:pPr>
      <w:r>
        <w:rPr>
          <w:rFonts w:ascii="Arial" w:cs="Arial" w:eastAsia="Arial" w:hAnsi="Arial"/>
          <w:sz w:val="16"/>
          <w:szCs w:val="16"/>
          <w:color w:val="auto"/>
        </w:rPr>
        <w:t>If any of the provisions of this Section 12.6(a) are determined to be unlawful or otherwise unenforceable, in the whole part, such determination shall not affect the validity of the remainder of this section and this section shall be reformed to the extent necessary to carry out its provisions to the greatest extent possible and to insure that the resolution of all conflicts between the parties, including those arising out of statutory claims, shall be resolved by neutral, binding arbitration. If a court should find that the provisions of this Section 12.6(a) are not absolutely</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23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725233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ind w:left="900" w:right="160"/>
        <w:spacing w:after="0" w:line="267" w:lineRule="auto"/>
        <w:rPr>
          <w:sz w:val="20"/>
          <w:szCs w:val="20"/>
          <w:color w:val="auto"/>
        </w:rPr>
      </w:pPr>
      <w:r>
        <w:rPr>
          <w:rFonts w:ascii="Arial" w:cs="Arial" w:eastAsia="Arial" w:hAnsi="Arial"/>
          <w:sz w:val="18"/>
          <w:szCs w:val="18"/>
          <w:color w:val="auto"/>
        </w:rPr>
        <w:t>binding, then the parties intend any arbitration decision and award to be fully admissible in evidence in any subsequent action, given great weight by any finder of fact and treated as determinative to the maximum extent permitted by law.</w:t>
      </w:r>
    </w:p>
    <w:p>
      <w:pPr>
        <w:spacing w:after="0" w:line="86" w:lineRule="exact"/>
        <w:rPr>
          <w:sz w:val="20"/>
          <w:szCs w:val="20"/>
          <w:color w:val="auto"/>
        </w:rPr>
      </w:pPr>
    </w:p>
    <w:p>
      <w:pPr>
        <w:ind w:left="900"/>
        <w:spacing w:after="0" w:line="267" w:lineRule="auto"/>
        <w:rPr>
          <w:sz w:val="20"/>
          <w:szCs w:val="20"/>
          <w:color w:val="auto"/>
        </w:rPr>
      </w:pPr>
      <w:r>
        <w:rPr>
          <w:rFonts w:ascii="Arial" w:cs="Arial" w:eastAsia="Arial" w:hAnsi="Arial"/>
          <w:sz w:val="18"/>
          <w:szCs w:val="18"/>
          <w:color w:val="auto"/>
        </w:rPr>
        <w:t>The parties do not agree to arbitrate any putative class action or any other representative action. The parties agree to arbitrate only the claims(s) of a single Participant or Beneficiary.</w:t>
      </w:r>
    </w:p>
    <w:p>
      <w:pPr>
        <w:spacing w:after="0" w:line="86" w:lineRule="exact"/>
        <w:rPr>
          <w:sz w:val="20"/>
          <w:szCs w:val="20"/>
          <w:color w:val="auto"/>
        </w:rPr>
      </w:pPr>
    </w:p>
    <w:p>
      <w:pPr>
        <w:ind w:left="900" w:right="80" w:hanging="440"/>
        <w:spacing w:after="0" w:line="295" w:lineRule="auto"/>
        <w:tabs>
          <w:tab w:leader="none" w:pos="900"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 xml:space="preserve">Upon Change in Control. </w:t>
      </w:r>
      <w:r>
        <w:rPr>
          <w:rFonts w:ascii="Arial" w:cs="Arial" w:eastAsia="Arial" w:hAnsi="Arial"/>
          <w:sz w:val="16"/>
          <w:szCs w:val="16"/>
          <w:color w:val="auto"/>
        </w:rPr>
        <w:t>If, upon the occurrence of a Change in Control, any dispute, controversy or claim arises between a Participant or</w:t>
      </w:r>
      <w:r>
        <w:rPr>
          <w:rFonts w:ascii="Arial" w:cs="Arial" w:eastAsia="Arial" w:hAnsi="Arial"/>
          <w:sz w:val="16"/>
          <w:szCs w:val="16"/>
          <w:i w:val="1"/>
          <w:iCs w:val="1"/>
          <w:color w:val="auto"/>
        </w:rPr>
        <w:t xml:space="preserve"> </w:t>
      </w:r>
      <w:r>
        <w:rPr>
          <w:rFonts w:ascii="Arial" w:cs="Arial" w:eastAsia="Arial" w:hAnsi="Arial"/>
          <w:sz w:val="16"/>
          <w:szCs w:val="16"/>
          <w:color w:val="auto"/>
        </w:rPr>
        <w:t>Beneficiary and the Participating Employer out of or relating to or concerning the provisions of the Plan, such dispute, controversy or claim shall be finally settled by a court of competent jurisdiction which, notwithstanding any other provision of the Plan, shall apply a de novo standard of review to any determination made by the Company or its Board of Directors, a Participating Employer, the Committee, or the Appeals Committee.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w:t>
      </w:r>
      <w:r>
        <w:rPr>
          <w:rFonts w:ascii="Arial" w:cs="Arial" w:eastAsia="Arial" w:hAnsi="Arial"/>
          <w:sz w:val="18"/>
          <w:szCs w:val="18"/>
          <w:b w:val="1"/>
          <w:bCs w:val="1"/>
          <w:color w:val="auto"/>
        </w:rPr>
        <w:t xml:space="preserve"> XIII</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Provisions</w:t>
      </w:r>
    </w:p>
    <w:p>
      <w:pPr>
        <w:spacing w:after="0" w:line="113" w:lineRule="exact"/>
        <w:rPr>
          <w:sz w:val="20"/>
          <w:szCs w:val="20"/>
          <w:color w:val="auto"/>
        </w:rPr>
      </w:pPr>
    </w:p>
    <w:p>
      <w:pPr>
        <w:jc w:val="both"/>
        <w:ind w:left="440" w:right="360" w:hanging="439"/>
        <w:spacing w:after="0" w:line="283"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No interest of any Participant, spouse or Beneficiary under this Plan and no benefit payable hereunder shall be assigned as security for a loan, and any such purported assignment shall be null, void and of no effect, nor shall any such interest or any such benefit be subject in any manner, either voluntarily or involuntarily, to anticipation, sale, transfer, assignment or encumbrance by or through any Participant, spouse or Beneficiary.</w:t>
      </w:r>
    </w:p>
    <w:p>
      <w:pPr>
        <w:ind w:left="440" w:right="200"/>
        <w:spacing w:after="0" w:line="254" w:lineRule="auto"/>
        <w:rPr>
          <w:sz w:val="20"/>
          <w:szCs w:val="20"/>
          <w:color w:val="auto"/>
        </w:rPr>
      </w:pPr>
      <w:r>
        <w:rPr>
          <w:rFonts w:ascii="Arial" w:cs="Arial" w:eastAsia="Arial" w:hAnsi="Arial"/>
          <w:sz w:val="18"/>
          <w:szCs w:val="18"/>
          <w:color w:val="auto"/>
        </w:rPr>
        <w:t>Notwithstanding anything to the contrary herein, however, the Committee has the discretion to make payments to an alternate payee in accordance with the terms of a domestic relations order (as defined in Code Section 414(p)(l)(B)).</w:t>
      </w:r>
    </w:p>
    <w:p>
      <w:pPr>
        <w:spacing w:after="0" w:line="98" w:lineRule="exact"/>
        <w:rPr>
          <w:sz w:val="20"/>
          <w:szCs w:val="20"/>
          <w:color w:val="auto"/>
        </w:rPr>
      </w:pPr>
    </w:p>
    <w:p>
      <w:pPr>
        <w:ind w:left="440" w:right="20"/>
        <w:spacing w:after="0" w:line="257" w:lineRule="auto"/>
        <w:rPr>
          <w:sz w:val="20"/>
          <w:szCs w:val="20"/>
          <w:color w:val="auto"/>
        </w:rPr>
      </w:pPr>
      <w:r>
        <w:rPr>
          <w:rFonts w:ascii="Arial" w:cs="Arial" w:eastAsia="Arial" w:hAnsi="Arial"/>
          <w:sz w:val="18"/>
          <w:szCs w:val="18"/>
          <w:color w:val="auto"/>
        </w:rPr>
        <w:t>The Company may assign any or all of its liabilities under this Plan in connection with any organizational restructuring, recapitalization, sale of assets (including a sale with respect to which an agreement under Treas. Reg. Section 1.409A-l(h)(4) has been entered into) or other similar transaction affecting a Participating Employer without the consent of the Participants.</w:t>
      </w:r>
    </w:p>
    <w:p>
      <w:pPr>
        <w:spacing w:after="0" w:line="95" w:lineRule="exact"/>
        <w:rPr>
          <w:sz w:val="20"/>
          <w:szCs w:val="20"/>
          <w:color w:val="auto"/>
        </w:rPr>
      </w:pPr>
    </w:p>
    <w:p>
      <w:pPr>
        <w:ind w:left="440" w:right="120" w:hanging="439"/>
        <w:spacing w:after="0" w:line="279"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Accounts Taxable Under Code Section 409A.</w:t>
      </w:r>
      <w:r>
        <w:rPr>
          <w:rFonts w:ascii="Arial" w:cs="Arial" w:eastAsia="Arial" w:hAnsi="Arial"/>
          <w:sz w:val="17"/>
          <w:szCs w:val="17"/>
          <w:color w:val="auto"/>
        </w:rPr>
        <w:t xml:space="preserve"> The Plan is intended to constitute a plan of deferred compensation that meets the requirements for deferral of income taxation under Code Section 409A. The Committee, pursuant to its authority to interpret the Plan, may sever from the Plan or any Compensation Deferral Agreement any provision or exercise of a right that otherwise would result in a violation of Code Section 409A.</w:t>
      </w:r>
    </w:p>
    <w:p>
      <w:pPr>
        <w:spacing w:after="0" w:line="78" w:lineRule="exact"/>
        <w:rPr>
          <w:sz w:val="20"/>
          <w:szCs w:val="20"/>
          <w:color w:val="auto"/>
        </w:rPr>
      </w:pPr>
    </w:p>
    <w:p>
      <w:pPr>
        <w:ind w:left="440" w:right="40" w:hanging="439"/>
        <w:spacing w:after="0" w:line="25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No Legal or Equitable Rights or Interest.</w:t>
      </w:r>
      <w:r>
        <w:rPr>
          <w:rFonts w:ascii="Arial" w:cs="Arial" w:eastAsia="Arial" w:hAnsi="Arial"/>
          <w:sz w:val="18"/>
          <w:szCs w:val="18"/>
          <w:color w:val="auto"/>
        </w:rPr>
        <w:t xml:space="preserve"> No Participant or other person shall have any legal or equitable rights or interest in this Plan that are not expressly granted in this Plan. Participation in this Plan does not give any person any right to be retained in the service of the Participating Employer. The right and power of a Participating Employer to</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24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725233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ind w:left="440" w:right="40"/>
        <w:spacing w:after="0" w:line="267" w:lineRule="auto"/>
        <w:rPr>
          <w:sz w:val="20"/>
          <w:szCs w:val="20"/>
          <w:color w:val="auto"/>
        </w:rPr>
      </w:pPr>
      <w:r>
        <w:rPr>
          <w:rFonts w:ascii="Arial" w:cs="Arial" w:eastAsia="Arial" w:hAnsi="Arial"/>
          <w:sz w:val="18"/>
          <w:szCs w:val="18"/>
          <w:color w:val="auto"/>
        </w:rPr>
        <w:t>dismiss or discharge an Employee is expressly reserved. The Participating Employers make no representations or warranties as to the tax consequences to a Participant or a Participant’s beneficiaries resulting from a deferral of income pursuant to the Plan.</w:t>
      </w:r>
    </w:p>
    <w:p>
      <w:pPr>
        <w:spacing w:after="0" w:line="86" w:lineRule="exact"/>
        <w:rPr>
          <w:sz w:val="20"/>
          <w:szCs w:val="20"/>
          <w:color w:val="auto"/>
        </w:rPr>
      </w:pPr>
    </w:p>
    <w:p>
      <w:pPr>
        <w:ind w:left="440" w:right="140" w:hanging="439"/>
        <w:spacing w:after="0" w:line="267"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No Employment Contract.</w:t>
      </w:r>
      <w:r>
        <w:rPr>
          <w:rFonts w:ascii="Arial" w:cs="Arial" w:eastAsia="Arial" w:hAnsi="Arial"/>
          <w:sz w:val="18"/>
          <w:szCs w:val="18"/>
          <w:color w:val="auto"/>
        </w:rPr>
        <w:t xml:space="preserve"> Nothing contained herein shall be construed to constitute a contract of employment between an Employee and a Participating Employer.</w:t>
      </w:r>
    </w:p>
    <w:p>
      <w:pPr>
        <w:spacing w:after="0" w:line="86" w:lineRule="exact"/>
        <w:rPr>
          <w:sz w:val="20"/>
          <w:szCs w:val="20"/>
          <w:color w:val="auto"/>
        </w:rPr>
      </w:pPr>
    </w:p>
    <w:p>
      <w:pPr>
        <w:ind w:left="440" w:right="20" w:hanging="439"/>
        <w:spacing w:after="0" w:line="279"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Any notice or filing required or permitted to be delivered to the Committee under this Plan shall be delivered in writing, in person, or through such electronic means as is established by the Committee. Notice shall be deemed given as of the date of delivery or, if delivery is made by mail, as of the date shown on the postmark on the receipt for registration or certification. Written transmission shall be sent by certified mail to:</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ATTN: CHIEF FINANCIAL OFFICER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601 RIVERSIDE AVENUE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JACKSONVILLE, FL 32204</w:t>
      </w:r>
    </w:p>
    <w:p>
      <w:pPr>
        <w:spacing w:after="0" w:line="102" w:lineRule="exact"/>
        <w:rPr>
          <w:sz w:val="20"/>
          <w:szCs w:val="20"/>
          <w:color w:val="auto"/>
        </w:rPr>
      </w:pPr>
    </w:p>
    <w:p>
      <w:pPr>
        <w:ind w:left="440" w:right="120"/>
        <w:spacing w:after="0" w:line="267" w:lineRule="auto"/>
        <w:rPr>
          <w:sz w:val="20"/>
          <w:szCs w:val="20"/>
          <w:color w:val="auto"/>
        </w:rPr>
      </w:pPr>
      <w:r>
        <w:rPr>
          <w:rFonts w:ascii="Arial" w:cs="Arial" w:eastAsia="Arial" w:hAnsi="Arial"/>
          <w:sz w:val="18"/>
          <w:szCs w:val="18"/>
          <w:color w:val="auto"/>
        </w:rPr>
        <w:t>Any notice or filing required or permitted to be given to a Participant under this Plan shall be sufficient if in writing or hand-delivered, or sent by mail to the last known address of the Participant.</w:t>
      </w:r>
    </w:p>
    <w:p>
      <w:pPr>
        <w:spacing w:after="0" w:line="86" w:lineRule="exact"/>
        <w:rPr>
          <w:sz w:val="20"/>
          <w:szCs w:val="20"/>
          <w:color w:val="auto"/>
        </w:rPr>
      </w:pPr>
    </w:p>
    <w:p>
      <w:pPr>
        <w:ind w:left="440" w:right="260" w:hanging="439"/>
        <w:spacing w:after="0" w:line="267"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headings of Sections are included solely for convenience of reference, and if there is any conflict between such headings and the text of this Plan, the text shall control.</w:t>
      </w:r>
    </w:p>
    <w:p>
      <w:pPr>
        <w:spacing w:after="0" w:line="86" w:lineRule="exact"/>
        <w:rPr>
          <w:sz w:val="20"/>
          <w:szCs w:val="20"/>
          <w:color w:val="auto"/>
        </w:rPr>
      </w:pPr>
    </w:p>
    <w:p>
      <w:pPr>
        <w:ind w:left="440" w:right="20" w:hanging="439"/>
        <w:spacing w:after="0" w:line="279" w:lineRule="auto"/>
        <w:rPr>
          <w:sz w:val="20"/>
          <w:szCs w:val="20"/>
          <w:color w:val="auto"/>
        </w:rPr>
      </w:pPr>
      <w:r>
        <w:rPr>
          <w:rFonts w:ascii="Arial" w:cs="Arial" w:eastAsia="Arial" w:hAnsi="Arial"/>
          <w:sz w:val="17"/>
          <w:szCs w:val="17"/>
          <w:color w:val="auto"/>
        </w:rPr>
        <w:t xml:space="preserve">13.7 </w:t>
      </w:r>
      <w:r>
        <w:rPr>
          <w:rFonts w:ascii="Arial" w:cs="Arial" w:eastAsia="Arial" w:hAnsi="Arial"/>
          <w:sz w:val="17"/>
          <w:szCs w:val="17"/>
          <w:u w:val="single" w:color="auto"/>
          <w:color w:val="auto"/>
        </w:rPr>
        <w:t>Invalid or Unenforceable Provisions.</w:t>
      </w:r>
      <w:r>
        <w:rPr>
          <w:rFonts w:ascii="Arial" w:cs="Arial" w:eastAsia="Arial" w:hAnsi="Arial"/>
          <w:sz w:val="17"/>
          <w:szCs w:val="17"/>
          <w:color w:val="auto"/>
        </w:rPr>
        <w:t xml:space="preserve"> If any provision of this Plan shall be held invalid or unenforceable, such invalidity or unenforceability shall not affect any other provisions hereof and the Committee may elect in its sole discretion to construe such invalid or unenforceable provisions in a manner that conforms to applicable law or as if such provisions, to the extent invalid or unenforceable, had not been included.</w:t>
      </w:r>
    </w:p>
    <w:p>
      <w:pPr>
        <w:spacing w:after="0" w:line="78" w:lineRule="exact"/>
        <w:rPr>
          <w:sz w:val="20"/>
          <w:szCs w:val="20"/>
          <w:color w:val="auto"/>
        </w:rPr>
      </w:pPr>
    </w:p>
    <w:p>
      <w:pPr>
        <w:ind w:left="440" w:right="40" w:hanging="439"/>
        <w:spacing w:after="0" w:line="295" w:lineRule="auto"/>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u w:val="single" w:color="auto"/>
          <w:color w:val="auto"/>
        </w:rPr>
        <w:t>Lost Participants or Beneficiaries.</w:t>
      </w:r>
      <w:r>
        <w:rPr>
          <w:rFonts w:ascii="Arial" w:cs="Arial" w:eastAsia="Arial" w:hAnsi="Arial"/>
          <w:sz w:val="16"/>
          <w:szCs w:val="16"/>
          <w:color w:val="auto"/>
        </w:rPr>
        <w:t xml:space="preserve"> Any Participant or Beneficiary who is entitled to a benefit from the Plan has the duty to keep the Committee advised of his or her current mailing address. If benefit payments are returned to the Plan or are not presented for payment after a reasonable amount of time, the Committee shall presume that the payee is missing. The Committee, after making such efforts as in its discretion it deems reasonable and appropriate to locate the payee, shall stop payment on any uncashed checks and may discontinue making future payments until contact with the payee is restored.</w:t>
      </w:r>
    </w:p>
    <w:p>
      <w:pPr>
        <w:spacing w:after="0" w:line="69" w:lineRule="exact"/>
        <w:rPr>
          <w:sz w:val="20"/>
          <w:szCs w:val="20"/>
          <w:color w:val="auto"/>
        </w:rPr>
      </w:pPr>
    </w:p>
    <w:p>
      <w:pPr>
        <w:ind w:left="440" w:right="20" w:hanging="439"/>
        <w:spacing w:after="0" w:line="257"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Facility of Payment to a Minor.</w:t>
      </w:r>
      <w:r>
        <w:rPr>
          <w:rFonts w:ascii="Arial" w:cs="Arial" w:eastAsia="Arial" w:hAnsi="Arial"/>
          <w:sz w:val="18"/>
          <w:szCs w:val="18"/>
          <w:color w:val="auto"/>
        </w:rPr>
        <w:t xml:space="preserve"> If a distribution is to be made to a minor, or to a person who is otherwise incompetent, then the Committee may, in its discretion, make such distribution (i) to the legal guardian, or if none, to a parent of a minor payee with whom the payee maintains his or her residence, or (ii) to the conservator or committee or, if</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25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725233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color w:val="auto"/>
        </w:rPr>
        <w:t>Fidelity National Financial, Inc. Deferred Compensation Plan</w:t>
      </w:r>
    </w:p>
    <w:p>
      <w:pPr>
        <w:spacing w:after="0" w:line="119" w:lineRule="exact"/>
        <w:rPr>
          <w:sz w:val="20"/>
          <w:szCs w:val="20"/>
          <w:color w:val="auto"/>
        </w:rPr>
      </w:pPr>
    </w:p>
    <w:p>
      <w:pPr>
        <w:ind w:left="520" w:right="40"/>
        <w:spacing w:after="0" w:line="267" w:lineRule="auto"/>
        <w:rPr>
          <w:sz w:val="20"/>
          <w:szCs w:val="20"/>
          <w:color w:val="auto"/>
        </w:rPr>
      </w:pPr>
      <w:r>
        <w:rPr>
          <w:rFonts w:ascii="Arial" w:cs="Arial" w:eastAsia="Arial" w:hAnsi="Arial"/>
          <w:sz w:val="18"/>
          <w:szCs w:val="18"/>
          <w:color w:val="auto"/>
        </w:rPr>
        <w:t>none, to the person having custody of an incompetent payee. Any such distribution shall fully discharge the Committee, the Company, and the Plan from further liability on account thereof.</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13.10 </w:t>
      </w: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To the extent not preempted by ERISA, the laws of the State of Florida shall govern the construction and administration of the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 the undersigned executed this Plan as of the 28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day of July 2008, to be effective as of the Effective Date.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FIDELITY NATIONAL FINANCIAL, INC.</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Harper</w:t>
            </w:r>
          </w:p>
        </w:tc>
        <w:tc>
          <w:tcPr>
            <w:tcW w:w="1040" w:type="dxa"/>
            <w:vAlign w:val="bottom"/>
          </w:tcPr>
          <w:p>
            <w:pPr>
              <w:ind w:left="100"/>
              <w:spacing w:after="0"/>
              <w:rPr>
                <w:sz w:val="20"/>
                <w:szCs w:val="20"/>
                <w:color w:val="auto"/>
              </w:rPr>
            </w:pPr>
            <w:r>
              <w:rPr>
                <w:rFonts w:ascii="Arial" w:cs="Arial" w:eastAsia="Arial" w:hAnsi="Arial"/>
                <w:sz w:val="18"/>
                <w:szCs w:val="18"/>
                <w:color w:val="auto"/>
                <w:w w:val="90"/>
              </w:rPr>
              <w:t>(Print Name)</w:t>
            </w:r>
          </w:p>
        </w:tc>
      </w:tr>
      <w:tr>
        <w:trPr>
          <w:trHeight w:val="221"/>
        </w:trPr>
        <w:tc>
          <w:tcPr>
            <w:tcW w:w="380" w:type="dxa"/>
            <w:vAlign w:val="bottom"/>
          </w:tcPr>
          <w:p>
            <w:pPr>
              <w:spacing w:after="0"/>
              <w:rPr>
                <w:sz w:val="20"/>
                <w:szCs w:val="20"/>
                <w:color w:val="auto"/>
              </w:rPr>
            </w:pPr>
            <w:r>
              <w:rPr>
                <w:rFonts w:ascii="Arial" w:cs="Arial" w:eastAsia="Arial" w:hAnsi="Arial"/>
                <w:sz w:val="18"/>
                <w:szCs w:val="18"/>
                <w:color w:val="auto"/>
              </w:rPr>
              <w:t>Its:</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HR</w:t>
            </w:r>
          </w:p>
        </w:tc>
        <w:tc>
          <w:tcPr>
            <w:tcW w:w="1040" w:type="dxa"/>
            <w:vAlign w:val="bottom"/>
          </w:tcPr>
          <w:p>
            <w:pPr>
              <w:ind w:left="100"/>
              <w:spacing w:after="0"/>
              <w:rPr>
                <w:sz w:val="20"/>
                <w:szCs w:val="20"/>
                <w:color w:val="auto"/>
              </w:rPr>
            </w:pPr>
            <w:r>
              <w:rPr>
                <w:rFonts w:ascii="Arial" w:cs="Arial" w:eastAsia="Arial" w:hAnsi="Arial"/>
                <w:sz w:val="18"/>
                <w:szCs w:val="18"/>
                <w:color w:val="auto"/>
              </w:rPr>
              <w:t>(Title)</w:t>
            </w:r>
          </w:p>
        </w:tc>
      </w:tr>
    </w:tbl>
    <w:p>
      <w:pPr>
        <w:spacing w:after="0" w:line="21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40474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40474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Director Relesement Plans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7/28/08</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Page 26 of 26</w:t>
      </w:r>
    </w:p>
    <w:p>
      <w:pPr>
        <w:sectPr>
          <w:pgSz w:w="11900" w:h="16838" w:orient="portrait"/>
          <w:cols w:equalWidth="0" w:num="1">
            <w:col w:w="11420"/>
          </w:cols>
          <w:pgMar w:left="240" w:top="921" w:right="23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40" w:type="dxa"/>
            <w:vAlign w:val="bottom"/>
            <w:gridSpan w:val="2"/>
          </w:tcPr>
          <w:p>
            <w:pPr>
              <w:ind w:left="760"/>
              <w:spacing w:after="0"/>
              <w:rPr>
                <w:sz w:val="20"/>
                <w:szCs w:val="20"/>
                <w:color w:val="auto"/>
              </w:rPr>
            </w:pPr>
            <w:r>
              <w:rPr>
                <w:rFonts w:ascii="Arial" w:cs="Arial" w:eastAsia="Arial" w:hAnsi="Arial"/>
                <w:sz w:val="18"/>
                <w:szCs w:val="18"/>
                <w:color w:val="auto"/>
                <w:w w:val="96"/>
              </w:rPr>
              <w:t>EXHIBIT 21.1</w:t>
            </w:r>
          </w:p>
        </w:tc>
      </w:tr>
      <w:tr>
        <w:trPr>
          <w:trHeight w:val="522"/>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680" w:type="dxa"/>
            <w:vAlign w:val="bottom"/>
            <w:gridSpan w:val="4"/>
          </w:tcPr>
          <w:p>
            <w:pPr>
              <w:jc w:val="center"/>
              <w:ind w:right="3780"/>
              <w:spacing w:after="0"/>
              <w:rPr>
                <w:sz w:val="20"/>
                <w:szCs w:val="20"/>
                <w:color w:val="auto"/>
              </w:rPr>
            </w:pPr>
            <w:r>
              <w:rPr>
                <w:rFonts w:ascii="Arial" w:cs="Arial" w:eastAsia="Arial" w:hAnsi="Arial"/>
                <w:sz w:val="18"/>
                <w:szCs w:val="18"/>
                <w:color w:val="auto"/>
                <w:w w:val="99"/>
              </w:rPr>
              <w:t>FIDELITY NATIONAL FINANCIAL, INC.</w:t>
            </w:r>
          </w:p>
        </w:tc>
      </w:tr>
      <w:tr>
        <w:trPr>
          <w:trHeight w:val="213"/>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7680" w:type="dxa"/>
            <w:vAlign w:val="bottom"/>
            <w:gridSpan w:val="4"/>
          </w:tcPr>
          <w:p>
            <w:pPr>
              <w:jc w:val="center"/>
              <w:ind w:right="3780"/>
              <w:spacing w:after="0"/>
              <w:rPr>
                <w:sz w:val="20"/>
                <w:szCs w:val="20"/>
                <w:color w:val="auto"/>
              </w:rPr>
            </w:pPr>
            <w:r>
              <w:rPr>
                <w:rFonts w:ascii="Arial" w:cs="Arial" w:eastAsia="Arial" w:hAnsi="Arial"/>
                <w:sz w:val="18"/>
                <w:szCs w:val="18"/>
                <w:color w:val="auto"/>
                <w:w w:val="91"/>
              </w:rPr>
              <w:t>List of Subsidiaries</w:t>
            </w:r>
          </w:p>
        </w:tc>
      </w:tr>
      <w:tr>
        <w:trPr>
          <w:trHeight w:val="213"/>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280" w:type="dxa"/>
            <w:vAlign w:val="bottom"/>
          </w:tcPr>
          <w:p>
            <w:pPr>
              <w:jc w:val="center"/>
              <w:ind w:right="1291"/>
              <w:spacing w:after="0"/>
              <w:rPr>
                <w:sz w:val="20"/>
                <w:szCs w:val="20"/>
                <w:color w:val="auto"/>
              </w:rPr>
            </w:pPr>
            <w:r>
              <w:rPr>
                <w:rFonts w:ascii="Arial" w:cs="Arial" w:eastAsia="Arial" w:hAnsi="Arial"/>
                <w:sz w:val="18"/>
                <w:szCs w:val="18"/>
                <w:color w:val="auto"/>
                <w:w w:val="90"/>
              </w:rPr>
              <w:t>12/31/2008</w:t>
            </w:r>
          </w:p>
        </w:tc>
        <w:tc>
          <w:tcPr>
            <w:tcW w:w="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7680" w:type="dxa"/>
            <w:vAlign w:val="bottom"/>
            <w:gridSpan w:val="4"/>
          </w:tcPr>
          <w:p>
            <w:pPr>
              <w:jc w:val="center"/>
              <w:ind w:right="3760"/>
              <w:spacing w:after="0"/>
              <w:rPr>
                <w:sz w:val="20"/>
                <w:szCs w:val="20"/>
                <w:color w:val="auto"/>
              </w:rPr>
            </w:pPr>
            <w:r>
              <w:rPr>
                <w:rFonts w:ascii="Arial" w:cs="Arial" w:eastAsia="Arial" w:hAnsi="Arial"/>
                <w:sz w:val="18"/>
                <w:szCs w:val="18"/>
                <w:color w:val="auto"/>
                <w:w w:val="90"/>
              </w:rPr>
              <w:t>12 Significant Subsidiaries</w:t>
            </w:r>
          </w:p>
        </w:tc>
      </w:tr>
      <w:tr>
        <w:trPr>
          <w:trHeight w:val="361"/>
        </w:trPr>
        <w:tc>
          <w:tcPr>
            <w:tcW w:w="376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5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gridSpan w:val="2"/>
          </w:tcPr>
          <w:p>
            <w:pPr>
              <w:ind w:left="340"/>
              <w:spacing w:after="0"/>
              <w:rPr>
                <w:sz w:val="20"/>
                <w:szCs w:val="20"/>
                <w:color w:val="auto"/>
              </w:rPr>
            </w:pPr>
            <w:r>
              <w:rPr>
                <w:rFonts w:ascii="Arial" w:cs="Arial" w:eastAsia="Arial" w:hAnsi="Arial"/>
                <w:sz w:val="14"/>
                <w:szCs w:val="14"/>
                <w:color w:val="auto"/>
              </w:rPr>
              <w:t>INCORPORATION</w:t>
            </w:r>
          </w:p>
        </w:tc>
      </w:tr>
      <w:tr>
        <w:trPr>
          <w:trHeight w:val="207"/>
        </w:trPr>
        <w:tc>
          <w:tcPr>
            <w:tcW w:w="20" w:type="dxa"/>
            <w:vAlign w:val="bottom"/>
          </w:tcPr>
          <w:p>
            <w:pPr>
              <w:spacing w:after="0"/>
              <w:rPr>
                <w:sz w:val="17"/>
                <w:szCs w:val="17"/>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Ceridian Corporation</w:t>
            </w:r>
          </w:p>
        </w:tc>
        <w:tc>
          <w:tcPr>
            <w:tcW w:w="5280" w:type="dxa"/>
            <w:vAlign w:val="bottom"/>
            <w:tcBorders>
              <w:top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Chicago Title and Trust Company</w:t>
            </w:r>
          </w:p>
        </w:tc>
        <w:tc>
          <w:tcPr>
            <w:tcW w:w="5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Illinois</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Chicago Title Company</w:t>
            </w:r>
          </w:p>
        </w:tc>
        <w:tc>
          <w:tcPr>
            <w:tcW w:w="5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Chicago Title Insurance Company</w:t>
            </w:r>
          </w:p>
        </w:tc>
        <w:tc>
          <w:tcPr>
            <w:tcW w:w="5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9"/>
              </w:rPr>
              <w:t>Commonwealth Land Title Insurance Company</w:t>
            </w:r>
          </w:p>
        </w:tc>
        <w:tc>
          <w:tcPr>
            <w:tcW w:w="5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Nebraska</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Fidelity National Title Group, Inc.</w:t>
            </w:r>
          </w:p>
        </w:tc>
        <w:tc>
          <w:tcPr>
            <w:tcW w:w="5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Fidelity National Title Insurance Company</w:t>
            </w:r>
          </w:p>
        </w:tc>
        <w:tc>
          <w:tcPr>
            <w:tcW w:w="5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Lawyers Title Insurance Corporation</w:t>
            </w:r>
          </w:p>
        </w:tc>
        <w:tc>
          <w:tcPr>
            <w:tcW w:w="5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Nebraska</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Micro General, LLC</w:t>
            </w:r>
          </w:p>
        </w:tc>
        <w:tc>
          <w:tcPr>
            <w:tcW w:w="5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National Alliance Marketing Group, Inc.</w:t>
            </w:r>
          </w:p>
        </w:tc>
        <w:tc>
          <w:tcPr>
            <w:tcW w:w="5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Rocky Mountain Support Services, Inc.</w:t>
            </w:r>
          </w:p>
        </w:tc>
        <w:tc>
          <w:tcPr>
            <w:tcW w:w="5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Arizona</w:t>
            </w: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Ticor Title Insurance Company of Florida</w:t>
            </w:r>
          </w:p>
        </w:tc>
        <w:tc>
          <w:tcPr>
            <w:tcW w:w="5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9"/>
                <w:szCs w:val="19"/>
                <w:color w:val="auto"/>
              </w:rPr>
            </w:pPr>
          </w:p>
        </w:tc>
      </w:tr>
    </w:tbl>
    <w:p>
      <w:pPr>
        <w:sectPr>
          <w:pgSz w:w="11900" w:h="16838" w:orient="portrait"/>
          <w:cols w:equalWidth="0" w:num="1">
            <w:col w:w="11420"/>
          </w:cols>
          <w:pgMar w:left="240" w:top="127"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23.1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102" w:lineRule="exact"/>
        <w:rPr>
          <w:sz w:val="20"/>
          <w:szCs w:val="20"/>
          <w:color w:val="auto"/>
        </w:rPr>
      </w:pPr>
    </w:p>
    <w:p>
      <w:pPr>
        <w:ind w:right="40" w:firstLine="130"/>
        <w:spacing w:after="0" w:line="269" w:lineRule="auto"/>
        <w:rPr>
          <w:sz w:val="20"/>
          <w:szCs w:val="20"/>
          <w:color w:val="auto"/>
        </w:rPr>
      </w:pPr>
      <w:r>
        <w:rPr>
          <w:rFonts w:ascii="Arial" w:cs="Arial" w:eastAsia="Arial" w:hAnsi="Arial"/>
          <w:sz w:val="17"/>
          <w:szCs w:val="17"/>
          <w:color w:val="auto"/>
        </w:rPr>
        <w:t>We consent to the incorporation by reference in the Registration Statements (Nos. 333-132843, 333-138254, 333-129886, and 333-129016) on Form S-8 and Registration Statements (Nos. 333-157123, 333-147391) on form S-3 of Fidelity National Financial, Inc. of our reports dated March 2, 2009, with respect to the Consolidated Balance Sheets of Fidelity National Financial, Inc. as of December 31, 2008 and 2007, and the related Consolidated Statements of Earnings, Comprehensive Earnings, Stockholders’ Equity and Cash Flows for each of the years in the three-year period ended December 31, 2008, and all related financial statement schedules, and the effectiveness of internal control over financial reporting as of December 31, 2008, which reports appear in the December 31, 2008 annual report on Form 10-K of Fidelity National Financial, Inc.</w:t>
      </w:r>
    </w:p>
    <w:p>
      <w:pPr>
        <w:spacing w:after="0" w:line="72" w:lineRule="exact"/>
        <w:rPr>
          <w:sz w:val="20"/>
          <w:szCs w:val="20"/>
          <w:color w:val="auto"/>
        </w:rPr>
      </w:pPr>
    </w:p>
    <w:p>
      <w:pPr>
        <w:ind w:right="120" w:firstLine="133"/>
        <w:spacing w:after="0" w:line="295" w:lineRule="auto"/>
        <w:rPr>
          <w:sz w:val="20"/>
          <w:szCs w:val="20"/>
          <w:color w:val="auto"/>
        </w:rPr>
      </w:pPr>
      <w:r>
        <w:rPr>
          <w:rFonts w:ascii="Arial" w:cs="Arial" w:eastAsia="Arial" w:hAnsi="Arial"/>
          <w:sz w:val="16"/>
          <w:szCs w:val="16"/>
          <w:color w:val="auto"/>
        </w:rPr>
        <w:t>Our reports on Fidelity National Financial, Inc.’s Consolidated Financial Statements and related schedules refer to a change, effective January 1, 2007, in the method of accounting for uncertain tax positions. Our report dated March 2, 2009, on the effectiveness of internal control over financial reporting as of December 31, 2008, contains an explanatory paragraph regarding the acquired LFG Underwriters that are excluded from management’s assessment and our evaluation of the effectiveness of Fidelity National Financial, Inc.’s internal control over financial reporting as of December 31, 2008.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March 2, 2009</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ectPr>
          <w:pgSz w:w="11900" w:h="16838" w:orient="portrait"/>
          <w:cols w:equalWidth="0" w:num="1">
            <w:col w:w="11420"/>
          </w:cols>
          <w:pgMar w:left="240" w:top="121"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31.1</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 Alan L. Stinson, certify that:</w:t>
      </w:r>
    </w:p>
    <w:p>
      <w:pPr>
        <w:spacing w:after="0" w:line="113" w:lineRule="exact"/>
        <w:rPr>
          <w:sz w:val="20"/>
          <w:szCs w:val="20"/>
          <w:color w:val="auto"/>
        </w:rPr>
      </w:pPr>
    </w:p>
    <w:p>
      <w:pPr>
        <w:ind w:left="180" w:hanging="173"/>
        <w:spacing w:after="0"/>
        <w:tabs>
          <w:tab w:leader="none" w:pos="1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Financial, Inc.;</w:t>
      </w:r>
    </w:p>
    <w:p>
      <w:pPr>
        <w:spacing w:after="0" w:line="113" w:lineRule="exact"/>
        <w:rPr>
          <w:rFonts w:ascii="Arial" w:cs="Arial" w:eastAsia="Arial" w:hAnsi="Arial"/>
          <w:sz w:val="18"/>
          <w:szCs w:val="18"/>
          <w:color w:val="auto"/>
        </w:rPr>
      </w:pPr>
    </w:p>
    <w:p>
      <w:pPr>
        <w:ind w:right="100" w:firstLine="7"/>
        <w:spacing w:after="0" w:line="331" w:lineRule="auto"/>
        <w:tabs>
          <w:tab w:leader="none" w:pos="178" w:val="left"/>
        </w:tabs>
        <w:numPr>
          <w:ilvl w:val="0"/>
          <w:numId w:val="1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 w:lineRule="exact"/>
        <w:rPr>
          <w:rFonts w:ascii="Arial" w:cs="Arial" w:eastAsia="Arial" w:hAnsi="Arial"/>
          <w:sz w:val="16"/>
          <w:szCs w:val="16"/>
          <w:color w:val="auto"/>
        </w:rPr>
      </w:pPr>
    </w:p>
    <w:p>
      <w:pPr>
        <w:ind w:right="200" w:firstLine="7"/>
        <w:spacing w:after="0" w:line="267" w:lineRule="auto"/>
        <w:tabs>
          <w:tab w:leader="none" w:pos="17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8"/>
          <w:szCs w:val="18"/>
          <w:color w:val="auto"/>
        </w:rPr>
      </w:pPr>
    </w:p>
    <w:p>
      <w:pPr>
        <w:ind w:right="40" w:firstLine="7"/>
        <w:spacing w:after="0" w:line="257" w:lineRule="auto"/>
        <w:tabs>
          <w:tab w:leader="none" w:pos="17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ind w:left="680" w:right="200" w:hanging="447"/>
        <w:spacing w:after="0" w:line="257" w:lineRule="auto"/>
        <w:tabs>
          <w:tab w:leader="none" w:pos="6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680" w:hanging="447"/>
        <w:spacing w:after="0" w:line="257" w:lineRule="auto"/>
        <w:tabs>
          <w:tab w:leader="none" w:pos="6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8"/>
          <w:szCs w:val="18"/>
          <w:color w:val="auto"/>
        </w:rPr>
      </w:pPr>
    </w:p>
    <w:p>
      <w:pPr>
        <w:ind w:left="680" w:right="40" w:hanging="447"/>
        <w:spacing w:after="0" w:line="297" w:lineRule="auto"/>
        <w:tabs>
          <w:tab w:leader="none" w:pos="68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7"/>
          <w:szCs w:val="17"/>
          <w:color w:val="auto"/>
        </w:rPr>
      </w:pPr>
    </w:p>
    <w:p>
      <w:pPr>
        <w:ind w:left="680" w:right="60" w:hanging="447"/>
        <w:spacing w:after="0" w:line="257" w:lineRule="auto"/>
        <w:tabs>
          <w:tab w:leader="none" w:pos="6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right="780" w:firstLine="7"/>
        <w:spacing w:after="0" w:line="297" w:lineRule="auto"/>
        <w:tabs>
          <w:tab w:leader="none" w:pos="17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7"/>
          <w:szCs w:val="17"/>
          <w:color w:val="auto"/>
        </w:rPr>
      </w:pPr>
    </w:p>
    <w:p>
      <w:pPr>
        <w:ind w:left="680" w:right="160" w:hanging="447"/>
        <w:spacing w:after="0" w:line="267" w:lineRule="auto"/>
        <w:tabs>
          <w:tab w:leader="none" w:pos="6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680" w:right="220" w:hanging="447"/>
        <w:spacing w:after="0" w:line="267" w:lineRule="auto"/>
        <w:tabs>
          <w:tab w:leader="none" w:pos="6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2009</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Alan L. Stinson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12065</wp:posOffset>
            </wp:positionV>
            <wp:extent cx="18630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863090" cy="8255"/>
                    </a:xfrm>
                    <a:prstGeom prst="rect">
                      <a:avLst/>
                    </a:prstGeom>
                    <a:noFill/>
                  </pic:spPr>
                </pic:pic>
              </a:graphicData>
            </a:graphic>
          </wp:anchor>
        </w:drawing>
      </w:r>
    </w:p>
    <w:p>
      <w:pPr>
        <w:spacing w:after="0" w:line="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Alan L. Stinson</w:t>
      </w:r>
    </w:p>
    <w:p>
      <w:pPr>
        <w:spacing w:after="0" w:line="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31.2</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13" w:lineRule="exact"/>
        <w:rPr>
          <w:sz w:val="20"/>
          <w:szCs w:val="20"/>
          <w:color w:val="auto"/>
        </w:rPr>
      </w:pPr>
    </w:p>
    <w:p>
      <w:pPr>
        <w:ind w:left="180" w:hanging="173"/>
        <w:spacing w:after="0"/>
        <w:tabs>
          <w:tab w:leader="none" w:pos="1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Financial, Inc.;</w:t>
      </w:r>
    </w:p>
    <w:p>
      <w:pPr>
        <w:spacing w:after="0" w:line="113" w:lineRule="exact"/>
        <w:rPr>
          <w:rFonts w:ascii="Arial" w:cs="Arial" w:eastAsia="Arial" w:hAnsi="Arial"/>
          <w:sz w:val="18"/>
          <w:szCs w:val="18"/>
          <w:color w:val="auto"/>
        </w:rPr>
      </w:pPr>
    </w:p>
    <w:p>
      <w:pPr>
        <w:ind w:right="100" w:firstLine="7"/>
        <w:spacing w:after="0" w:line="331" w:lineRule="auto"/>
        <w:tabs>
          <w:tab w:leader="none" w:pos="17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5" w:lineRule="exact"/>
        <w:rPr>
          <w:rFonts w:ascii="Arial" w:cs="Arial" w:eastAsia="Arial" w:hAnsi="Arial"/>
          <w:sz w:val="16"/>
          <w:szCs w:val="16"/>
          <w:color w:val="auto"/>
        </w:rPr>
      </w:pPr>
    </w:p>
    <w:p>
      <w:pPr>
        <w:ind w:right="200" w:firstLine="7"/>
        <w:spacing w:after="0" w:line="267" w:lineRule="auto"/>
        <w:tabs>
          <w:tab w:leader="none" w:pos="17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8"/>
          <w:szCs w:val="18"/>
          <w:color w:val="auto"/>
        </w:rPr>
      </w:pPr>
    </w:p>
    <w:p>
      <w:pPr>
        <w:ind w:right="40" w:firstLine="7"/>
        <w:spacing w:after="0" w:line="257" w:lineRule="auto"/>
        <w:tabs>
          <w:tab w:leader="none" w:pos="17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ind w:left="680" w:right="200" w:hanging="447"/>
        <w:spacing w:after="0" w:line="257" w:lineRule="auto"/>
        <w:tabs>
          <w:tab w:leader="none" w:pos="6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680" w:hanging="447"/>
        <w:spacing w:after="0" w:line="257" w:lineRule="auto"/>
        <w:tabs>
          <w:tab w:leader="none" w:pos="6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8"/>
          <w:szCs w:val="18"/>
          <w:color w:val="auto"/>
        </w:rPr>
      </w:pPr>
    </w:p>
    <w:p>
      <w:pPr>
        <w:ind w:left="680" w:right="40" w:hanging="447"/>
        <w:spacing w:after="0" w:line="297" w:lineRule="auto"/>
        <w:tabs>
          <w:tab w:leader="none" w:pos="680" w:val="left"/>
        </w:tabs>
        <w:numPr>
          <w:ilvl w:val="1"/>
          <w:numId w:val="18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7"/>
          <w:szCs w:val="17"/>
          <w:color w:val="auto"/>
        </w:rPr>
      </w:pPr>
    </w:p>
    <w:p>
      <w:pPr>
        <w:ind w:left="680" w:right="60" w:hanging="447"/>
        <w:spacing w:after="0" w:line="257" w:lineRule="auto"/>
        <w:tabs>
          <w:tab w:leader="none" w:pos="6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right="780" w:firstLine="7"/>
        <w:spacing w:after="0" w:line="297" w:lineRule="auto"/>
        <w:tabs>
          <w:tab w:leader="none" w:pos="17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7"/>
          <w:szCs w:val="17"/>
          <w:color w:val="auto"/>
        </w:rPr>
      </w:pPr>
    </w:p>
    <w:p>
      <w:pPr>
        <w:ind w:left="680" w:right="160" w:hanging="447"/>
        <w:spacing w:after="0" w:line="267" w:lineRule="auto"/>
        <w:tabs>
          <w:tab w:leader="none" w:pos="6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680" w:right="220" w:hanging="447"/>
        <w:spacing w:after="0" w:line="267" w:lineRule="auto"/>
        <w:tabs>
          <w:tab w:leader="none" w:pos="6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2009</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12065</wp:posOffset>
            </wp:positionV>
            <wp:extent cx="18630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863090" cy="8255"/>
                    </a:xfrm>
                    <a:prstGeom prst="rect">
                      <a:avLst/>
                    </a:prstGeom>
                    <a:noFill/>
                  </pic:spPr>
                </pic:pic>
              </a:graphicData>
            </a:graphic>
          </wp:anchor>
        </w:drawing>
      </w:r>
    </w:p>
    <w:p>
      <w:pPr>
        <w:spacing w:after="0" w:line="1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Anthony J. Park</w:t>
      </w:r>
    </w:p>
    <w:p>
      <w:pPr>
        <w:spacing w:after="0" w:line="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32.1</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CERTIFICATION OF PERIODIC FINANCIAL REPORTS PURSUANT TO 18 U.S.C. §1350</w:t>
      </w:r>
    </w:p>
    <w:p>
      <w:pPr>
        <w:spacing w:after="0" w:line="113" w:lineRule="exact"/>
        <w:rPr>
          <w:sz w:val="20"/>
          <w:szCs w:val="20"/>
          <w:color w:val="auto"/>
        </w:rPr>
      </w:pPr>
    </w:p>
    <w:p>
      <w:pPr>
        <w:ind w:firstLine="219"/>
        <w:spacing w:after="0" w:line="26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73" w:lineRule="exact"/>
        <w:rPr>
          <w:sz w:val="20"/>
          <w:szCs w:val="20"/>
          <w:color w:val="auto"/>
        </w:rPr>
      </w:pPr>
    </w:p>
    <w:p>
      <w:pPr>
        <w:ind w:left="240" w:right="260" w:hanging="233"/>
        <w:spacing w:after="0" w:line="267" w:lineRule="auto"/>
        <w:tabs>
          <w:tab w:leader="none" w:pos="2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86" w:lineRule="exact"/>
        <w:rPr>
          <w:rFonts w:ascii="Arial" w:cs="Arial" w:eastAsia="Arial" w:hAnsi="Arial"/>
          <w:sz w:val="18"/>
          <w:szCs w:val="18"/>
          <w:color w:val="auto"/>
        </w:rPr>
      </w:pPr>
    </w:p>
    <w:p>
      <w:pPr>
        <w:ind w:left="240" w:right="360" w:hanging="233"/>
        <w:spacing w:after="0" w:line="267" w:lineRule="auto"/>
        <w:tabs>
          <w:tab w:leader="none" w:pos="2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86"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2009</w:t>
      </w:r>
    </w:p>
    <w:p>
      <w:pPr>
        <w:spacing w:after="0" w:line="200" w:lineRule="exact"/>
        <w:rPr>
          <w:sz w:val="20"/>
          <w:szCs w:val="20"/>
          <w:color w:val="auto"/>
        </w:rPr>
      </w:pPr>
    </w:p>
    <w:p>
      <w:pPr>
        <w:spacing w:after="0" w:line="23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 Alan L. Stinson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3484245</wp:posOffset>
            </wp:positionH>
            <wp:positionV relativeFrom="paragraph">
              <wp:posOffset>12065</wp:posOffset>
            </wp:positionV>
            <wp:extent cx="268414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84145" cy="8255"/>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8"/>
          <w:szCs w:val="18"/>
          <w:color w:val="auto"/>
        </w:rPr>
        <w:t>Alan L. Stinson</w:t>
      </w:r>
    </w:p>
    <w:p>
      <w:pPr>
        <w:spacing w:after="0" w:line="1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32.2</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CERTIFICATION OF PERIODIC FINANCIAL REPORTS PURSUANT TO 18 U.S.C. §1350</w:t>
      </w:r>
    </w:p>
    <w:p>
      <w:pPr>
        <w:spacing w:after="0" w:line="113" w:lineRule="exact"/>
        <w:rPr>
          <w:sz w:val="20"/>
          <w:szCs w:val="20"/>
          <w:color w:val="auto"/>
        </w:rPr>
      </w:pPr>
    </w:p>
    <w:p>
      <w:pPr>
        <w:ind w:right="60" w:firstLine="219"/>
        <w:spacing w:after="0" w:line="26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73" w:lineRule="exact"/>
        <w:rPr>
          <w:sz w:val="20"/>
          <w:szCs w:val="20"/>
          <w:color w:val="auto"/>
        </w:rPr>
      </w:pPr>
    </w:p>
    <w:p>
      <w:pPr>
        <w:ind w:left="240" w:right="260" w:hanging="233"/>
        <w:spacing w:after="0" w:line="267" w:lineRule="auto"/>
        <w:tabs>
          <w:tab w:leader="none" w:pos="2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86" w:lineRule="exact"/>
        <w:rPr>
          <w:rFonts w:ascii="Arial" w:cs="Arial" w:eastAsia="Arial" w:hAnsi="Arial"/>
          <w:sz w:val="18"/>
          <w:szCs w:val="18"/>
          <w:color w:val="auto"/>
        </w:rPr>
      </w:pPr>
    </w:p>
    <w:p>
      <w:pPr>
        <w:ind w:left="240" w:right="360" w:hanging="233"/>
        <w:spacing w:after="0" w:line="267" w:lineRule="auto"/>
        <w:tabs>
          <w:tab w:leader="none" w:pos="2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72"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2009</w:t>
      </w:r>
    </w:p>
    <w:p>
      <w:pPr>
        <w:spacing w:after="0" w:line="200" w:lineRule="exact"/>
        <w:rPr>
          <w:sz w:val="20"/>
          <w:szCs w:val="20"/>
          <w:color w:val="auto"/>
        </w:rPr>
      </w:pPr>
    </w:p>
    <w:p>
      <w:pPr>
        <w:spacing w:after="0" w:line="23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3484245</wp:posOffset>
            </wp:positionH>
            <wp:positionV relativeFrom="paragraph">
              <wp:posOffset>12065</wp:posOffset>
            </wp:positionV>
            <wp:extent cx="268414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84145" cy="8255"/>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8"/>
          <w:szCs w:val="18"/>
          <w:color w:val="auto"/>
        </w:rPr>
        <w:t>Anthony J. Park</w:t>
      </w:r>
    </w:p>
    <w:p>
      <w:pPr>
        <w:spacing w:after="0" w:line="1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F18422"/>
    <w:multiLevelType w:val="hybridMultilevel"/>
    <w:lvl w:ilvl="0">
      <w:lvlJc w:val="left"/>
      <w:lvlText w:val="☑"/>
      <w:numFmt w:val="bullet"/>
      <w:start w:val="1"/>
    </w:lvl>
  </w:abstractNum>
  <w:abstractNum w:abstractNumId="1">
    <w:nsid w:val="60EF0119"/>
    <w:multiLevelType w:val="hybridMultilevel"/>
    <w:lvl w:ilvl="0">
      <w:lvlJc w:val="left"/>
      <w:lvlText w:val="o"/>
      <w:numFmt w:val="bullet"/>
      <w:start w:val="1"/>
    </w:lvl>
  </w:abstractNum>
  <w:abstractNum w:abstractNumId="2">
    <w:nsid w:val="26F324BA"/>
    <w:multiLevelType w:val="hybridMultilevel"/>
    <w:lvl w:ilvl="0">
      <w:lvlJc w:val="left"/>
      <w:lvlText w:val="•"/>
      <w:numFmt w:val="bullet"/>
      <w:start w:val="1"/>
    </w:lvl>
  </w:abstractNum>
  <w:abstractNum w:abstractNumId="3">
    <w:nsid w:val="7F01579B"/>
    <w:multiLevelType w:val="hybridMultilevel"/>
    <w:lvl w:ilvl="0">
      <w:lvlJc w:val="left"/>
      <w:lvlText w:val="•"/>
      <w:numFmt w:val="bullet"/>
      <w:start w:val="1"/>
    </w:lvl>
  </w:abstractNum>
  <w:abstractNum w:abstractNumId="4">
    <w:nsid w:val="49DA307D"/>
    <w:multiLevelType w:val="hybridMultilevel"/>
    <w:lvl w:ilvl="0">
      <w:lvlJc w:val="left"/>
      <w:lvlText w:val="•"/>
      <w:numFmt w:val="bullet"/>
      <w:start w:val="1"/>
    </w:lvl>
  </w:abstractNum>
  <w:abstractNum w:abstractNumId="5">
    <w:nsid w:val="7055A5F5"/>
    <w:multiLevelType w:val="hybridMultilevel"/>
    <w:lvl w:ilvl="0">
      <w:lvlJc w:val="left"/>
      <w:lvlText w:val="•"/>
      <w:numFmt w:val="bullet"/>
      <w:start w:val="1"/>
    </w:lvl>
  </w:abstractNum>
  <w:abstractNum w:abstractNumId="6">
    <w:nsid w:val="5FB8370B"/>
    <w:multiLevelType w:val="hybridMultilevel"/>
    <w:lvl w:ilvl="0">
      <w:lvlJc w:val="left"/>
      <w:lvlText w:val="•"/>
      <w:numFmt w:val="bullet"/>
      <w:start w:val="1"/>
    </w:lvl>
  </w:abstractNum>
  <w:abstractNum w:abstractNumId="7">
    <w:nsid w:val="50801EE1"/>
    <w:multiLevelType w:val="hybridMultilevel"/>
    <w:lvl w:ilvl="0">
      <w:lvlJc w:val="left"/>
      <w:lvlText w:val="•"/>
      <w:numFmt w:val="bullet"/>
      <w:start w:val="1"/>
    </w:lvl>
  </w:abstractNum>
  <w:abstractNum w:abstractNumId="8">
    <w:nsid w:val="488AC1A"/>
    <w:multiLevelType w:val="hybridMultilevel"/>
    <w:lvl w:ilvl="0">
      <w:lvlJc w:val="left"/>
      <w:lvlText w:val="•"/>
      <w:numFmt w:val="bullet"/>
      <w:start w:val="1"/>
    </w:lvl>
  </w:abstractNum>
  <w:abstractNum w:abstractNumId="9">
    <w:nsid w:val="5FB8011C"/>
    <w:multiLevelType w:val="hybridMultilevel"/>
    <w:lvl w:ilvl="0">
      <w:lvlJc w:val="left"/>
      <w:lvlText w:val="\emdash "/>
      <w:numFmt w:val="bullet"/>
      <w:start w:val="1"/>
    </w:lvl>
  </w:abstractNum>
  <w:abstractNum w:abstractNumId="10">
    <w:nsid w:val="6AA78F7F"/>
    <w:multiLevelType w:val="hybridMultilevel"/>
    <w:lvl w:ilvl="0">
      <w:lvlJc w:val="left"/>
      <w:lvlText w:val="(%1)"/>
      <w:numFmt w:val="decimal"/>
      <w:start w:val="1"/>
    </w:lvl>
  </w:abstractNum>
  <w:abstractNum w:abstractNumId="11">
    <w:nsid w:val="7672BD23"/>
    <w:multiLevelType w:val="hybridMultilevel"/>
    <w:lvl w:ilvl="0">
      <w:lvlJc w:val="left"/>
      <w:lvlText w:val="(%1)"/>
      <w:numFmt w:val="decimal"/>
      <w:start w:val="1"/>
    </w:lvl>
  </w:abstractNum>
  <w:abstractNum w:abstractNumId="12">
    <w:nsid w:val="6FC75AF8"/>
    <w:multiLevelType w:val="hybridMultilevel"/>
    <w:lvl w:ilvl="0">
      <w:lvlJc w:val="left"/>
      <w:lvlText w:val="•"/>
      <w:numFmt w:val="bullet"/>
      <w:start w:val="1"/>
    </w:lvl>
  </w:abstractNum>
  <w:abstractNum w:abstractNumId="13">
    <w:nsid w:val="6A5F7029"/>
    <w:multiLevelType w:val="hybridMultilevel"/>
    <w:lvl w:ilvl="0">
      <w:lvlJc w:val="left"/>
      <w:lvlText w:val="•"/>
      <w:numFmt w:val="bullet"/>
      <w:start w:val="1"/>
    </w:lvl>
  </w:abstractNum>
  <w:abstractNum w:abstractNumId="14">
    <w:nsid w:val="7D5E18F8"/>
    <w:multiLevelType w:val="hybridMultilevel"/>
    <w:lvl w:ilvl="0">
      <w:lvlJc w:val="left"/>
      <w:lvlText w:val="•"/>
      <w:numFmt w:val="bullet"/>
      <w:start w:val="1"/>
    </w:lvl>
  </w:abstractNum>
  <w:abstractNum w:abstractNumId="15">
    <w:nsid w:val="5F3534A4"/>
    <w:multiLevelType w:val="hybridMultilevel"/>
    <w:lvl w:ilvl="0">
      <w:lvlJc w:val="left"/>
      <w:lvlText w:val="•"/>
      <w:numFmt w:val="bullet"/>
      <w:start w:val="1"/>
    </w:lvl>
  </w:abstractNum>
  <w:abstractNum w:abstractNumId="16">
    <w:nsid w:val="73A1821B"/>
    <w:multiLevelType w:val="hybridMultilevel"/>
    <w:lvl w:ilvl="0">
      <w:lvlJc w:val="left"/>
      <w:lvlText w:val="•"/>
      <w:numFmt w:val="bullet"/>
      <w:start w:val="1"/>
    </w:lvl>
  </w:abstractNum>
  <w:abstractNum w:abstractNumId="17">
    <w:nsid w:val="7DE67713"/>
    <w:multiLevelType w:val="hybridMultilevel"/>
    <w:lvl w:ilvl="0">
      <w:lvlJc w:val="left"/>
      <w:lvlText w:val="•"/>
      <w:numFmt w:val="bullet"/>
      <w:start w:val="1"/>
    </w:lvl>
  </w:abstractNum>
  <w:abstractNum w:abstractNumId="18">
    <w:nsid w:val="555C55B5"/>
    <w:multiLevelType w:val="hybridMultilevel"/>
    <w:lvl w:ilvl="0">
      <w:lvlJc w:val="left"/>
      <w:lvlText w:val="•"/>
      <w:numFmt w:val="bullet"/>
      <w:start w:val="1"/>
    </w:lvl>
  </w:abstractNum>
  <w:abstractNum w:abstractNumId="19">
    <w:nsid w:val="3FA62ACA"/>
    <w:multiLevelType w:val="hybridMultilevel"/>
    <w:lvl w:ilvl="0">
      <w:lvlJc w:val="left"/>
      <w:lvlText w:val="(%1)"/>
      <w:numFmt w:val="decimal"/>
      <w:start w:val="1"/>
    </w:lvl>
  </w:abstractNum>
  <w:abstractNum w:abstractNumId="20">
    <w:nsid w:val="14FCE74E"/>
    <w:multiLevelType w:val="hybridMultilevel"/>
    <w:lvl w:ilvl="0">
      <w:lvlJc w:val="left"/>
      <w:lvlText w:val="(%1)"/>
      <w:numFmt w:val="decimal"/>
      <w:start w:val="11"/>
    </w:lvl>
  </w:abstractNum>
  <w:abstractNum w:abstractNumId="21">
    <w:nsid w:val="6A3DD3E8"/>
    <w:multiLevelType w:val="hybridMultilevel"/>
    <w:lvl w:ilvl="0">
      <w:lvlJc w:val="left"/>
      <w:lvlText w:val="(%1)"/>
      <w:numFmt w:val="decimal"/>
      <w:start w:val="1"/>
    </w:lvl>
  </w:abstractNum>
  <w:abstractNum w:abstractNumId="22">
    <w:nsid w:val="71C91298"/>
    <w:multiLevelType w:val="hybridMultilevel"/>
    <w:lvl w:ilvl="0">
      <w:lvlJc w:val="left"/>
      <w:lvlText w:val="•"/>
      <w:numFmt w:val="bullet"/>
      <w:start w:val="1"/>
    </w:lvl>
  </w:abstractNum>
  <w:abstractNum w:abstractNumId="23">
    <w:nsid w:val="9DAF632"/>
    <w:multiLevelType w:val="hybridMultilevel"/>
    <w:lvl w:ilvl="0">
      <w:lvlJc w:val="left"/>
      <w:lvlText w:val="•"/>
      <w:numFmt w:val="bullet"/>
      <w:start w:val="1"/>
    </w:lvl>
  </w:abstractNum>
  <w:abstractNum w:abstractNumId="24">
    <w:nsid w:val="53299938"/>
    <w:multiLevelType w:val="hybridMultilevel"/>
    <w:lvl w:ilvl="0">
      <w:lvlJc w:val="left"/>
      <w:lvlText w:val="(%1)"/>
      <w:numFmt w:val="lowerLetter"/>
      <w:start w:val="1"/>
    </w:lvl>
  </w:abstractNum>
  <w:abstractNum w:abstractNumId="25">
    <w:nsid w:val="1FBFE8E0"/>
    <w:multiLevelType w:val="hybridMultilevel"/>
    <w:lvl w:ilvl="0">
      <w:lvlJc w:val="left"/>
      <w:lvlText w:val="(%1)"/>
      <w:numFmt w:val="lowerRoman"/>
      <w:start w:val="3"/>
    </w:lvl>
  </w:abstractNum>
  <w:abstractNum w:abstractNumId="26">
    <w:nsid w:val="5092CA79"/>
    <w:multiLevelType w:val="hybridMultilevel"/>
    <w:lvl w:ilvl="0">
      <w:lvlJc w:val="left"/>
      <w:lvlText w:val="•"/>
      <w:numFmt w:val="bullet"/>
      <w:start w:val="1"/>
    </w:lvl>
  </w:abstractNum>
  <w:abstractNum w:abstractNumId="27">
    <w:nsid w:val="1D545C4D"/>
    <w:multiLevelType w:val="hybridMultilevel"/>
    <w:lvl w:ilvl="0">
      <w:lvlJc w:val="left"/>
      <w:lvlText w:val="•"/>
      <w:numFmt w:val="bullet"/>
      <w:start w:val="1"/>
    </w:lvl>
  </w:abstractNum>
  <w:abstractNum w:abstractNumId="28">
    <w:nsid w:val="59ADEA3D"/>
    <w:multiLevelType w:val="hybridMultilevel"/>
    <w:lvl w:ilvl="0">
      <w:lvlJc w:val="left"/>
      <w:lvlText w:val="•"/>
      <w:numFmt w:val="bullet"/>
      <w:start w:val="1"/>
    </w:lvl>
  </w:abstractNum>
  <w:abstractNum w:abstractNumId="29">
    <w:nsid w:val="288F1A34"/>
    <w:multiLevelType w:val="hybridMultilevel"/>
    <w:lvl w:ilvl="0">
      <w:lvlJc w:val="left"/>
      <w:lvlText w:val="•"/>
      <w:numFmt w:val="bullet"/>
      <w:start w:val="1"/>
    </w:lvl>
  </w:abstractNum>
  <w:abstractNum w:abstractNumId="30">
    <w:nsid w:val="2A155DBC"/>
    <w:multiLevelType w:val="hybridMultilevel"/>
    <w:lvl w:ilvl="0">
      <w:lvlJc w:val="left"/>
      <w:lvlText w:val="•"/>
      <w:numFmt w:val="bullet"/>
      <w:start w:val="1"/>
    </w:lvl>
  </w:abstractNum>
  <w:abstractNum w:abstractNumId="31">
    <w:nsid w:val="1D9F6E5F"/>
    <w:multiLevelType w:val="hybridMultilevel"/>
    <w:lvl w:ilvl="0">
      <w:lvlJc w:val="left"/>
      <w:lvlText w:val="(%1)"/>
      <w:numFmt w:val="upperLetter"/>
      <w:start w:val="1"/>
    </w:lvl>
  </w:abstractNum>
  <w:abstractNum w:abstractNumId="32">
    <w:nsid w:val="97E1B4E"/>
    <w:multiLevelType w:val="hybridMultilevel"/>
    <w:lvl w:ilvl="0">
      <w:lvlJc w:val="left"/>
      <w:lvlText w:val="%1."/>
      <w:numFmt w:val="upperLetter"/>
      <w:start w:val="4"/>
    </w:lvl>
  </w:abstractNum>
  <w:abstractNum w:abstractNumId="33">
    <w:nsid w:val="51088277"/>
    <w:multiLevelType w:val="hybridMultilevel"/>
    <w:lvl w:ilvl="0">
      <w:lvlJc w:val="left"/>
      <w:lvlText w:val="(%1)"/>
      <w:numFmt w:val="lowerLetter"/>
      <w:start w:val="1"/>
    </w:lvl>
  </w:abstractNum>
  <w:abstractNum w:abstractNumId="34">
    <w:nsid w:val="1CA0C5FA"/>
    <w:multiLevelType w:val="hybridMultilevel"/>
    <w:lvl w:ilvl="0">
      <w:lvlJc w:val="left"/>
      <w:lvlText w:val="(%1)"/>
      <w:numFmt w:val="decimal"/>
      <w:start w:val="1"/>
    </w:lvl>
  </w:abstractNum>
  <w:abstractNum w:abstractNumId="35">
    <w:nsid w:val="53584BCB"/>
    <w:multiLevelType w:val="hybridMultilevel"/>
    <w:lvl w:ilvl="0">
      <w:lvlJc w:val="left"/>
      <w:lvlText w:val="•"/>
      <w:numFmt w:val="bullet"/>
      <w:start w:val="1"/>
    </w:lvl>
  </w:abstractNum>
  <w:abstractNum w:abstractNumId="36">
    <w:nsid w:val="415E286C"/>
    <w:multiLevelType w:val="hybridMultilevel"/>
    <w:lvl w:ilvl="0">
      <w:lvlJc w:val="left"/>
      <w:lvlText w:val="(%1)"/>
      <w:numFmt w:val="lowerLetter"/>
      <w:start w:val="1"/>
    </w:lvl>
  </w:abstractNum>
  <w:abstractNum w:abstractNumId="37">
    <w:nsid w:val="7C58FD05"/>
    <w:multiLevelType w:val="hybridMultilevel"/>
    <w:lvl w:ilvl="0">
      <w:lvlJc w:val="left"/>
      <w:lvlText w:val="%1."/>
      <w:numFmt w:val="decimal"/>
      <w:start w:val="159"/>
    </w:lvl>
  </w:abstractNum>
  <w:abstractNum w:abstractNumId="38">
    <w:nsid w:val="23D86AAC"/>
    <w:multiLevelType w:val="hybridMultilevel"/>
    <w:lvl w:ilvl="0">
      <w:lvlJc w:val="left"/>
      <w:lvlText w:val="(%1)"/>
      <w:numFmt w:val="lowerLetter"/>
      <w:start w:val="1"/>
    </w:lvl>
  </w:abstractNum>
  <w:abstractNum w:abstractNumId="39">
    <w:nsid w:val="45E6D486"/>
    <w:multiLevelType w:val="hybridMultilevel"/>
    <w:lvl w:ilvl="0">
      <w:lvlJc w:val="left"/>
      <w:lvlText w:val="(%1)"/>
      <w:numFmt w:val="decimal"/>
      <w:start w:val="1"/>
    </w:lvl>
  </w:abstractNum>
  <w:abstractNum w:abstractNumId="40">
    <w:nsid w:val="5C10FE21"/>
    <w:multiLevelType w:val="hybridMultilevel"/>
    <w:lvl w:ilvl="0">
      <w:lvlJc w:val="left"/>
      <w:lvlText w:val="(%1)"/>
      <w:numFmt w:val="decimal"/>
      <w:start w:val="1"/>
    </w:lvl>
  </w:abstractNum>
  <w:abstractNum w:abstractNumId="41">
    <w:nsid w:val="E7FFA2B"/>
    <w:multiLevelType w:val="hybridMultilevel"/>
    <w:lvl w:ilvl="0">
      <w:lvlJc w:val="left"/>
      <w:lvlText w:val="(%1)"/>
      <w:numFmt w:val="decimal"/>
      <w:start w:val="1"/>
    </w:lvl>
  </w:abstractNum>
  <w:abstractNum w:abstractNumId="42">
    <w:nsid w:val="3C5991AA"/>
    <w:multiLevelType w:val="hybridMultilevel"/>
    <w:lvl w:ilvl="0">
      <w:lvlJc w:val="left"/>
      <w:lvlText w:val="(%1)"/>
      <w:numFmt w:val="lowerLetter"/>
      <w:start w:val="1"/>
    </w:lvl>
  </w:abstractNum>
  <w:abstractNum w:abstractNumId="43">
    <w:nsid w:val="4BD8591A"/>
    <w:multiLevelType w:val="hybridMultilevel"/>
    <w:lvl w:ilvl="0">
      <w:lvlJc w:val="left"/>
      <w:lvlText w:val="%1"/>
      <w:numFmt w:val="lowerLetter"/>
      <w:start w:val="1"/>
    </w:lvl>
    <w:lvl w:ilvl="1">
      <w:lvlJc w:val="left"/>
      <w:lvlText w:val="(%2)"/>
      <w:numFmt w:val="lowerLetter"/>
      <w:start w:val="1"/>
    </w:lvl>
  </w:abstractNum>
  <w:abstractNum w:abstractNumId="44">
    <w:nsid w:val="78DF6A55"/>
    <w:multiLevelType w:val="hybridMultilevel"/>
    <w:lvl w:ilvl="0">
      <w:lvlJc w:val="left"/>
      <w:lvlText w:val="(%1)"/>
      <w:numFmt w:val="lowerLetter"/>
      <w:start w:val="9"/>
    </w:lvl>
    <w:lvl w:ilvl="1">
      <w:lvlJc w:val="left"/>
      <w:lvlText w:val="(%2)"/>
      <w:numFmt w:val="lowerLetter"/>
      <w:start w:val="9"/>
    </w:lvl>
  </w:abstractNum>
  <w:abstractNum w:abstractNumId="45">
    <w:nsid w:val="39B7AAA2"/>
    <w:multiLevelType w:val="hybridMultilevel"/>
    <w:lvl w:ilvl="0">
      <w:lvlJc w:val="left"/>
      <w:lvlText w:val="(%1)"/>
      <w:numFmt w:val="lowerRoman"/>
      <w:start w:val="2"/>
    </w:lvl>
  </w:abstractNum>
  <w:abstractNum w:abstractNumId="46">
    <w:nsid w:val="2B0D8DBE"/>
    <w:multiLevelType w:val="hybridMultilevel"/>
    <w:lvl w:ilvl="0">
      <w:lvlJc w:val="left"/>
      <w:lvlText w:val="(%1)"/>
      <w:numFmt w:val="lowerLetter"/>
      <w:start w:val="2"/>
    </w:lvl>
  </w:abstractNum>
  <w:abstractNum w:abstractNumId="47">
    <w:nsid w:val="6C80EC70"/>
    <w:multiLevelType w:val="hybridMultilevel"/>
    <w:lvl w:ilvl="0">
      <w:lvlJc w:val="left"/>
      <w:lvlText w:val="(%1)"/>
      <w:numFmt w:val="lowerLetter"/>
      <w:start w:val="1"/>
    </w:lvl>
  </w:abstractNum>
  <w:abstractNum w:abstractNumId="48">
    <w:nsid w:val="379E21B5"/>
    <w:multiLevelType w:val="hybridMultilevel"/>
    <w:lvl w:ilvl="0">
      <w:lvlJc w:val="left"/>
      <w:lvlText w:val="(%1)"/>
      <w:numFmt w:val="lowerLetter"/>
      <w:start w:val="2"/>
    </w:lvl>
  </w:abstractNum>
  <w:abstractNum w:abstractNumId="49">
    <w:nsid w:val="69E373"/>
    <w:multiLevelType w:val="hybridMultilevel"/>
    <w:lvl w:ilvl="0">
      <w:lvlJc w:val="left"/>
      <w:lvlText w:val="(%1)"/>
      <w:numFmt w:val="lowerLetter"/>
      <w:start w:val="1"/>
    </w:lvl>
  </w:abstractNum>
  <w:abstractNum w:abstractNumId="50">
    <w:nsid w:val="2C27173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1">
    <w:nsid w:val="4C9B0904"/>
    <w:multiLevelType w:val="hybridMultilevel"/>
    <w:lvl w:ilvl="0">
      <w:lvlJc w:val="left"/>
      <w:lvlText w:val="(%1)"/>
      <w:numFmt w:val="lowerRoman"/>
      <w:start w:val="2"/>
    </w:lvl>
  </w:abstractNum>
  <w:abstractNum w:abstractNumId="52">
    <w:nsid w:val="6AA7B75C"/>
    <w:multiLevelType w:val="hybridMultilevel"/>
    <w:lvl w:ilvl="0">
      <w:lvlJc w:val="left"/>
      <w:lvlText w:val="(%1)"/>
      <w:numFmt w:val="lowerLetter"/>
      <w:start w:val="3"/>
    </w:lvl>
  </w:abstractNum>
  <w:abstractNum w:abstractNumId="53">
    <w:nsid w:val="1DF029D3"/>
    <w:multiLevelType w:val="hybridMultilevel"/>
    <w:lvl w:ilvl="0">
      <w:lvlJc w:val="left"/>
      <w:lvlText w:val="(%1)"/>
      <w:numFmt w:val="lowerLetter"/>
      <w:start w:val="1"/>
    </w:lvl>
    <w:lvl w:ilvl="1">
      <w:lvlJc w:val="left"/>
      <w:lvlText w:val="-"/>
      <w:numFmt w:val="bullet"/>
      <w:start w:val="1"/>
    </w:lvl>
  </w:abstractNum>
  <w:abstractNum w:abstractNumId="54">
    <w:nsid w:val="5675FF36"/>
    <w:multiLevelType w:val="hybridMultilevel"/>
    <w:lvl w:ilvl="0">
      <w:lvlJc w:val="left"/>
      <w:lvlText w:val="(%1)"/>
      <w:numFmt w:val="lowerLetter"/>
      <w:start w:val="2"/>
    </w:lvl>
  </w:abstractNum>
  <w:abstractNum w:abstractNumId="55">
    <w:nsid w:val="3DD15094"/>
    <w:multiLevelType w:val="hybridMultilevel"/>
    <w:lvl w:ilvl="0">
      <w:lvlJc w:val="left"/>
      <w:lvlText w:val="(%1)"/>
      <w:numFmt w:val="lowerLetter"/>
      <w:start w:val="1"/>
    </w:lvl>
    <w:lvl w:ilvl="1">
      <w:lvlJc w:val="left"/>
      <w:lvlText w:val="-"/>
      <w:numFmt w:val="bullet"/>
      <w:start w:val="1"/>
    </w:lvl>
  </w:abstractNum>
  <w:abstractNum w:abstractNumId="56">
    <w:nsid w:val="3DB012B3"/>
    <w:multiLevelType w:val="hybridMultilevel"/>
    <w:lvl w:ilvl="0">
      <w:lvlJc w:val="left"/>
      <w:lvlText w:val="(%1)"/>
      <w:numFmt w:val="lowerLetter"/>
      <w:start w:val="4"/>
    </w:lvl>
    <w:lvl w:ilvl="1">
      <w:lvlJc w:val="left"/>
      <w:lvlText w:val="-"/>
      <w:numFmt w:val="bullet"/>
      <w:start w:val="1"/>
    </w:lvl>
  </w:abstractNum>
  <w:abstractNum w:abstractNumId="57">
    <w:nsid w:val="2708C9AF"/>
    <w:multiLevelType w:val="hybridMultilevel"/>
    <w:lvl w:ilvl="0">
      <w:lvlJc w:val="left"/>
      <w:lvlText w:val="%1"/>
      <w:numFmt w:val="decimal"/>
      <w:start w:val="1"/>
    </w:lvl>
    <w:lvl w:ilvl="1">
      <w:lvlJc w:val="left"/>
      <w:lvlText w:val="%2."/>
      <w:numFmt w:val="decimal"/>
      <w:start w:val="1"/>
    </w:lvl>
  </w:abstractNum>
  <w:abstractNum w:abstractNumId="58">
    <w:nsid w:val="5B25ACE2"/>
    <w:multiLevelType w:val="hybridMultilevel"/>
    <w:lvl w:ilvl="0">
      <w:lvlJc w:val="left"/>
      <w:lvlText w:val="(%1)"/>
      <w:numFmt w:val="decimal"/>
      <w:start w:val="1"/>
    </w:lvl>
    <w:lvl w:ilvl="1">
      <w:lvlJc w:val="left"/>
      <w:lvlText w:val="%2."/>
      <w:numFmt w:val="decimal"/>
      <w:start w:val="3"/>
    </w:lvl>
  </w:abstractNum>
  <w:abstractNum w:abstractNumId="59">
    <w:nsid w:val="175DFCF0"/>
    <w:multiLevelType w:val="hybridMultilevel"/>
    <w:lvl w:ilvl="0">
      <w:lvlJc w:val="left"/>
      <w:lvlText w:val="%1."/>
      <w:numFmt w:val="decimal"/>
      <w:start w:val="4"/>
    </w:lvl>
    <w:lvl w:ilvl="1">
      <w:lvlJc w:val="left"/>
      <w:lvlText w:val="(%2)"/>
      <w:numFmt w:val="lowerLetter"/>
      <w:start w:val="1"/>
    </w:lvl>
  </w:abstractNum>
  <w:abstractNum w:abstractNumId="60">
    <w:nsid w:val="4F97E3E4"/>
    <w:multiLevelType w:val="hybridMultilevel"/>
    <w:lvl w:ilvl="0">
      <w:lvlJc w:val="left"/>
      <w:lvlText w:val="%1"/>
      <w:numFmt w:val="decimal"/>
      <w:start w:val="1"/>
    </w:lvl>
    <w:lvl w:ilvl="1">
      <w:lvlJc w:val="left"/>
      <w:lvlText w:val="(%2)"/>
      <w:numFmt w:val="lowerLetter"/>
      <w:start w:val="2"/>
    </w:lvl>
  </w:abstractNum>
  <w:abstractNum w:abstractNumId="61">
    <w:nsid w:val="53B0A9E"/>
    <w:multiLevelType w:val="hybridMultilevel"/>
    <w:lvl w:ilvl="0">
      <w:lvlJc w:val="left"/>
      <w:lvlText w:val="%1."/>
      <w:numFmt w:val="decimal"/>
      <w:start w:val="5"/>
    </w:lvl>
    <w:lvl w:ilvl="1">
      <w:lvlJc w:val="left"/>
      <w:lvlText w:val="(%2)"/>
      <w:numFmt w:val="lowerLetter"/>
      <w:start w:val="1"/>
    </w:lvl>
  </w:abstractNum>
  <w:abstractNum w:abstractNumId="62">
    <w:nsid w:val="34FD6B4F"/>
    <w:multiLevelType w:val="hybridMultilevel"/>
    <w:lvl w:ilvl="0">
      <w:lvlJc w:val="left"/>
      <w:lvlText w:val="(%1)"/>
      <w:numFmt w:val="lowerLetter"/>
      <w:start w:val="2"/>
    </w:lvl>
  </w:abstractNum>
  <w:abstractNum w:abstractNumId="63">
    <w:nsid w:val="5915FF32"/>
    <w:multiLevelType w:val="hybridMultilevel"/>
    <w:lvl w:ilvl="0">
      <w:lvlJc w:val="left"/>
      <w:lvlText w:val="(%1)"/>
      <w:numFmt w:val="lowerLetter"/>
      <w:start w:val="6"/>
    </w:lvl>
    <w:lvl w:ilvl="1">
      <w:lvlJc w:val="left"/>
      <w:lvlText w:val="(%2)"/>
      <w:numFmt w:val="lowerRoman"/>
      <w:start w:val="1"/>
    </w:lvl>
  </w:abstractNum>
  <w:abstractNum w:abstractNumId="64">
    <w:nsid w:val="56438D1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5">
    <w:nsid w:val="519E3149"/>
    <w:multiLevelType w:val="hybridMultilevel"/>
    <w:lvl w:ilvl="0">
      <w:lvlJc w:val="left"/>
      <w:lvlText w:val="%1"/>
      <w:numFmt w:val="lowerLetter"/>
      <w:start w:val="1"/>
    </w:lvl>
    <w:lvl w:ilvl="1">
      <w:lvlJc w:val="left"/>
      <w:lvlText w:val="(%2)"/>
      <w:numFmt w:val="lowerLetter"/>
      <w:start w:val="22"/>
    </w:lvl>
    <w:lvl w:ilvl="2">
      <w:lvlJc w:val="left"/>
      <w:lvlText w:val="(%3)"/>
      <w:numFmt w:val="lowerLetter"/>
      <w:start w:val="1"/>
    </w:lvl>
  </w:abstractNum>
  <w:abstractNum w:abstractNumId="66">
    <w:nsid w:val="2C6E4AFD"/>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67">
    <w:nsid w:val="17A1B582"/>
    <w:multiLevelType w:val="hybridMultilevel"/>
    <w:lvl w:ilvl="0">
      <w:lvlJc w:val="left"/>
      <w:lvlText w:val="(%1)"/>
      <w:numFmt w:val="lowerLetter"/>
      <w:start w:val="4"/>
    </w:lvl>
    <w:lvl w:ilvl="1">
      <w:lvlJc w:val="left"/>
      <w:lvlText w:val="(%2)"/>
      <w:numFmt w:val="lowerRoman"/>
      <w:start w:val="1"/>
    </w:lvl>
  </w:abstractNum>
  <w:abstractNum w:abstractNumId="68">
    <w:nsid w:val="4DF72E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69">
    <w:nsid w:val="5046B5A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0">
    <w:nsid w:val="5D888A0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1">
    <w:nsid w:val="2A082C70"/>
    <w:multiLevelType w:val="hybridMultilevel"/>
    <w:lvl w:ilvl="0">
      <w:lvlJc w:val="left"/>
      <w:lvlText w:val="(%1)"/>
      <w:numFmt w:val="lowerLetter"/>
      <w:start w:val="3"/>
    </w:lvl>
  </w:abstractNum>
  <w:abstractNum w:abstractNumId="72">
    <w:nsid w:val="5EC6AFD4"/>
    <w:multiLevelType w:val="hybridMultilevel"/>
    <w:lvl w:ilvl="0">
      <w:lvlJc w:val="left"/>
      <w:lvlText w:val="(%1)"/>
      <w:numFmt w:val="lowerLetter"/>
      <w:start w:val="5"/>
    </w:lvl>
    <w:lvl w:ilvl="1">
      <w:lvlJc w:val="left"/>
      <w:lvlText w:val="(%2)"/>
      <w:numFmt w:val="lowerRoman"/>
      <w:start w:val="1"/>
    </w:lvl>
  </w:abstractNum>
  <w:abstractNum w:abstractNumId="73">
    <w:nsid w:val="19E21BB2"/>
    <w:multiLevelType w:val="hybridMultilevel"/>
    <w:lvl w:ilvl="0">
      <w:lvlJc w:val="left"/>
      <w:lvlText w:val="%1"/>
      <w:numFmt w:val="decimal"/>
      <w:start w:val="1"/>
    </w:lvl>
    <w:lvl w:ilvl="1">
      <w:lvlJc w:val="left"/>
      <w:lvlText w:val="(%2)"/>
      <w:numFmt w:val="lowerLetter"/>
      <w:start w:val="6"/>
    </w:lvl>
  </w:abstractNum>
  <w:abstractNum w:abstractNumId="74">
    <w:nsid w:val="75E0858A"/>
    <w:multiLevelType w:val="hybridMultilevel"/>
    <w:lvl w:ilvl="0">
      <w:lvlJc w:val="left"/>
      <w:lvlText w:val="%1."/>
      <w:numFmt w:val="decimal"/>
      <w:start w:val="10"/>
    </w:lvl>
    <w:lvl w:ilvl="1">
      <w:lvlJc w:val="left"/>
      <w:lvlText w:val="%2"/>
      <w:numFmt w:val="lowerLetter"/>
      <w:start w:val="1"/>
    </w:lvl>
  </w:abstractNum>
  <w:abstractNum w:abstractNumId="75">
    <w:nsid w:val="57A61A29"/>
    <w:multiLevelType w:val="hybridMultilevel"/>
    <w:lvl w:ilvl="0">
      <w:lvlJc w:val="left"/>
      <w:lvlText w:val="%1."/>
      <w:numFmt w:val="decimal"/>
      <w:start w:val="12"/>
    </w:lvl>
  </w:abstractNum>
  <w:abstractNum w:abstractNumId="76">
    <w:nsid w:val="5399C654"/>
    <w:multiLevelType w:val="hybridMultilevel"/>
    <w:lvl w:ilvl="0">
      <w:lvlJc w:val="left"/>
      <w:lvlText w:val="(%1)"/>
      <w:numFmt w:val="lowerLetter"/>
      <w:start w:val="1"/>
    </w:lvl>
  </w:abstractNum>
  <w:abstractNum w:abstractNumId="77">
    <w:nsid w:val="20EE1348"/>
    <w:multiLevelType w:val="hybridMultilevel"/>
    <w:lvl w:ilvl="0">
      <w:lvlJc w:val="left"/>
      <w:lvlText w:val="%1."/>
      <w:numFmt w:val="decimal"/>
      <w:start w:val="14"/>
    </w:lvl>
  </w:abstractNum>
  <w:abstractNum w:abstractNumId="78">
    <w:nsid w:val="4427069A"/>
    <w:multiLevelType w:val="hybridMultilevel"/>
    <w:lvl w:ilvl="0">
      <w:lvlJc w:val="left"/>
      <w:lvlText w:val="%1."/>
      <w:numFmt w:val="decimal"/>
      <w:start w:val="18"/>
    </w:lvl>
  </w:abstractNum>
  <w:abstractNum w:abstractNumId="79">
    <w:nsid w:val="B37E80A"/>
    <w:multiLevelType w:val="hybridMultilevel"/>
    <w:lvl w:ilvl="0">
      <w:lvlJc w:val="left"/>
      <w:lvlText w:val="%1"/>
      <w:numFmt w:val="decimal"/>
      <w:start w:val="1"/>
    </w:lvl>
    <w:lvl w:ilvl="1">
      <w:lvlJc w:val="left"/>
      <w:lvlText w:val="%2."/>
      <w:numFmt w:val="decimal"/>
      <w:start w:val="24"/>
    </w:lvl>
  </w:abstractNum>
  <w:abstractNum w:abstractNumId="80">
    <w:nsid w:val="2157F6BC"/>
    <w:multiLevelType w:val="hybridMultilevel"/>
    <w:lvl w:ilvl="0">
      <w:lvlJc w:val="left"/>
      <w:lvlText w:val="(%1)"/>
      <w:numFmt w:val="decimal"/>
      <w:start w:val="3"/>
    </w:lvl>
    <w:lvl w:ilvl="1">
      <w:lvlJc w:val="left"/>
      <w:lvlText w:val="%2"/>
      <w:numFmt w:val="decimal"/>
      <w:start w:val="1"/>
    </w:lvl>
  </w:abstractNum>
  <w:abstractNum w:abstractNumId="81">
    <w:nsid w:val="704E1DD5"/>
    <w:multiLevelType w:val="hybridMultilevel"/>
    <w:lvl w:ilvl="0">
      <w:lvlJc w:val="left"/>
      <w:lvlText w:val="%1."/>
      <w:numFmt w:val="decimal"/>
      <w:start w:val="26"/>
    </w:lvl>
  </w:abstractNum>
  <w:abstractNum w:abstractNumId="82">
    <w:nsid w:val="57D2F10E"/>
    <w:multiLevelType w:val="hybridMultilevel"/>
    <w:lvl w:ilvl="0">
      <w:lvlJc w:val="left"/>
      <w:lvlText w:val="%1."/>
      <w:numFmt w:val="decimal"/>
      <w:start w:val="28"/>
    </w:lvl>
  </w:abstractNum>
  <w:abstractNum w:abstractNumId="83">
    <w:nsid w:val="BFFAE18"/>
    <w:multiLevelType w:val="hybridMultilevel"/>
    <w:lvl w:ilvl="0">
      <w:lvlJc w:val="left"/>
      <w:lvlText w:val="%1"/>
      <w:numFmt w:val="decimal"/>
      <w:start w:val="1"/>
    </w:lvl>
    <w:lvl w:ilvl="1">
      <w:lvlJc w:val="left"/>
      <w:lvlText w:val="%2."/>
      <w:numFmt w:val="decimal"/>
      <w:start w:val="1"/>
    </w:lvl>
  </w:abstractNum>
  <w:abstractNum w:abstractNumId="84">
    <w:nsid w:val="E3E47A8"/>
    <w:multiLevelType w:val="hybridMultilevel"/>
    <w:lvl w:ilvl="0">
      <w:lvlJc w:val="left"/>
      <w:lvlText w:val="(%1)"/>
      <w:numFmt w:val="decimal"/>
      <w:start w:val="1"/>
    </w:lvl>
    <w:lvl w:ilvl="1">
      <w:lvlJc w:val="left"/>
      <w:lvlText w:val="%2."/>
      <w:numFmt w:val="decimal"/>
      <w:start w:val="4"/>
    </w:lvl>
  </w:abstractNum>
  <w:abstractNum w:abstractNumId="85">
    <w:nsid w:val="2E48F044"/>
    <w:multiLevelType w:val="hybridMultilevel"/>
    <w:lvl w:ilvl="0">
      <w:lvlJc w:val="left"/>
      <w:lvlText w:val="%1"/>
      <w:numFmt w:val="decimal"/>
      <w:start w:val="1"/>
    </w:lvl>
    <w:lvl w:ilvl="1">
      <w:lvlJc w:val="left"/>
      <w:lvlText w:val="(%2)"/>
      <w:numFmt w:val="lowerLetter"/>
      <w:start w:val="1"/>
    </w:lvl>
  </w:abstractNum>
  <w:abstractNum w:abstractNumId="86">
    <w:nsid w:val="49D0FEAC"/>
    <w:multiLevelType w:val="hybridMultilevel"/>
    <w:lvl w:ilvl="0">
      <w:lvlJc w:val="left"/>
      <w:lvlText w:val="%1."/>
      <w:numFmt w:val="decimal"/>
      <w:start w:val="6"/>
    </w:lvl>
    <w:lvl w:ilvl="1">
      <w:lvlJc w:val="left"/>
      <w:lvlText w:val="(%2)"/>
      <w:numFmt w:val="lowerLetter"/>
      <w:start w:val="1"/>
    </w:lvl>
  </w:abstractNum>
  <w:abstractNum w:abstractNumId="87">
    <w:nsid w:val="4BEE5A5B"/>
    <w:multiLevelType w:val="hybridMultilevel"/>
    <w:lvl w:ilvl="0">
      <w:lvlJc w:val="left"/>
      <w:lvlText w:val="(%1)"/>
      <w:numFmt w:val="lowerLetter"/>
      <w:start w:val="2"/>
    </w:lvl>
  </w:abstractNum>
  <w:abstractNum w:abstractNumId="88">
    <w:nsid w:val="5551B9F3"/>
    <w:multiLevelType w:val="hybridMultilevel"/>
    <w:lvl w:ilvl="0">
      <w:lvlJc w:val="left"/>
      <w:lvlText w:val="(%1)"/>
      <w:numFmt w:val="lowerLetter"/>
      <w:start w:val="6"/>
    </w:lvl>
    <w:lvl w:ilvl="1">
      <w:lvlJc w:val="left"/>
      <w:lvlText w:val="(%2)"/>
      <w:numFmt w:val="lowerRoman"/>
      <w:start w:val="1"/>
    </w:lvl>
  </w:abstractNum>
  <w:abstractNum w:abstractNumId="89">
    <w:nsid w:val="24F6AB8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0">
    <w:nsid w:val="634C574C"/>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91">
    <w:nsid w:val="24E99DD7"/>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92">
    <w:nsid w:val="2A31B62D"/>
    <w:multiLevelType w:val="hybridMultilevel"/>
    <w:lvl w:ilvl="0">
      <w:lvlJc w:val="left"/>
      <w:lvlText w:val="(%1)"/>
      <w:numFmt w:val="lowerLetter"/>
      <w:start w:val="4"/>
    </w:lvl>
    <w:lvl w:ilvl="1">
      <w:lvlJc w:val="left"/>
      <w:lvlText w:val="(%2)"/>
      <w:numFmt w:val="lowerRoman"/>
      <w:start w:val="1"/>
    </w:lvl>
  </w:abstractNum>
  <w:abstractNum w:abstractNumId="93">
    <w:nsid w:val="1849C29B"/>
    <w:multiLevelType w:val="hybridMultilevel"/>
    <w:lvl w:ilvl="0">
      <w:lvlJc w:val="left"/>
      <w:lvlText w:val="%1"/>
      <w:numFmt w:val="lowerLetter"/>
      <w:start w:val="1"/>
    </w:lvl>
    <w:lvl w:ilvl="1">
      <w:lvlJc w:val="left"/>
      <w:lvlText w:val="(%2)"/>
      <w:numFmt w:val="lowerRoman"/>
      <w:start w:val="6"/>
    </w:lvl>
  </w:abstractNum>
  <w:abstractNum w:abstractNumId="94">
    <w:nsid w:val="7DFF9D09"/>
    <w:multiLevelType w:val="hybridMultilevel"/>
    <w:lvl w:ilvl="0">
      <w:lvlJc w:val="left"/>
      <w:lvlText w:val="(%1)"/>
      <w:numFmt w:val="lowerLetter"/>
      <w:start w:val="5"/>
    </w:lvl>
    <w:lvl w:ilvl="1">
      <w:lvlJc w:val="left"/>
      <w:lvlText w:val="%2"/>
      <w:numFmt w:val="lowerRoman"/>
      <w:start w:val="1"/>
    </w:lvl>
  </w:abstractNum>
  <w:abstractNum w:abstractNumId="95">
    <w:nsid w:val="754342"/>
    <w:multiLevelType w:val="hybridMultilevel"/>
    <w:lvl w:ilvl="0">
      <w:lvlJc w:val="left"/>
      <w:lvlText w:val="%1."/>
      <w:numFmt w:val="decimal"/>
      <w:start w:val="10"/>
    </w:lvl>
  </w:abstractNum>
  <w:abstractNum w:abstractNumId="96">
    <w:nsid w:val="69E7F3E5"/>
    <w:multiLevelType w:val="hybridMultilevel"/>
    <w:lvl w:ilvl="0">
      <w:lvlJc w:val="left"/>
      <w:lvlText w:val="(%1)"/>
      <w:numFmt w:val="lowerLetter"/>
      <w:start w:val="1"/>
    </w:lvl>
  </w:abstractNum>
  <w:abstractNum w:abstractNumId="97">
    <w:nsid w:val="2A6DE806"/>
    <w:multiLevelType w:val="hybridMultilevel"/>
    <w:lvl w:ilvl="0">
      <w:lvlJc w:val="left"/>
      <w:lvlText w:val="(%1)"/>
      <w:numFmt w:val="lowerLetter"/>
      <w:start w:val="3"/>
    </w:lvl>
  </w:abstractNum>
  <w:abstractNum w:abstractNumId="98">
    <w:nsid w:val="1816F8C4"/>
    <w:multiLevelType w:val="hybridMultilevel"/>
    <w:lvl w:ilvl="0">
      <w:lvlJc w:val="left"/>
      <w:lvlText w:val="(%1)"/>
      <w:numFmt w:val="lowerLetter"/>
      <w:start w:val="5"/>
    </w:lvl>
    <w:lvl w:ilvl="1">
      <w:lvlJc w:val="left"/>
      <w:lvlText w:val="(%2)"/>
      <w:numFmt w:val="lowerRoman"/>
      <w:start w:val="1"/>
    </w:lvl>
  </w:abstractNum>
  <w:abstractNum w:abstractNumId="99">
    <w:nsid w:val="37DF2233"/>
    <w:multiLevelType w:val="hybridMultilevel"/>
    <w:lvl w:ilvl="0">
      <w:lvlJc w:val="left"/>
      <w:lvlText w:val="%1"/>
      <w:numFmt w:val="decimal"/>
      <w:start w:val="1"/>
    </w:lvl>
    <w:lvl w:ilvl="1">
      <w:lvlJc w:val="left"/>
      <w:lvlText w:val="(%2)"/>
      <w:numFmt w:val="lowerLetter"/>
      <w:start w:val="6"/>
    </w:lvl>
  </w:abstractNum>
  <w:abstractNum w:abstractNumId="100">
    <w:nsid w:val="7AB49DAF"/>
    <w:multiLevelType w:val="hybridMultilevel"/>
    <w:lvl w:ilvl="0">
      <w:lvlJc w:val="left"/>
      <w:lvlText w:val="%1."/>
      <w:numFmt w:val="decimal"/>
      <w:start w:val="11"/>
    </w:lvl>
    <w:lvl w:ilvl="1">
      <w:lvlJc w:val="left"/>
      <w:lvlText w:val="%2"/>
      <w:numFmt w:val="lowerLetter"/>
      <w:start w:val="1"/>
    </w:lvl>
  </w:abstractNum>
  <w:abstractNum w:abstractNumId="101">
    <w:nsid w:val="759F82CD"/>
    <w:multiLevelType w:val="hybridMultilevel"/>
    <w:lvl w:ilvl="0">
      <w:lvlJc w:val="left"/>
      <w:lvlText w:val="%1."/>
      <w:numFmt w:val="decimal"/>
      <w:start w:val="13"/>
    </w:lvl>
  </w:abstractNum>
  <w:abstractNum w:abstractNumId="102">
    <w:nsid w:val="61E74EA3"/>
    <w:multiLevelType w:val="hybridMultilevel"/>
    <w:lvl w:ilvl="0">
      <w:lvlJc w:val="left"/>
      <w:lvlText w:val="(%1)"/>
      <w:numFmt w:val="lowerLetter"/>
      <w:start w:val="1"/>
    </w:lvl>
  </w:abstractNum>
  <w:abstractNum w:abstractNumId="103">
    <w:nsid w:val="597B4D84"/>
    <w:multiLevelType w:val="hybridMultilevel"/>
    <w:lvl w:ilvl="0">
      <w:lvlJc w:val="left"/>
      <w:lvlText w:val="(%1)"/>
      <w:numFmt w:val="lowerLetter"/>
      <w:start w:val="3"/>
    </w:lvl>
  </w:abstractNum>
  <w:abstractNum w:abstractNumId="104">
    <w:nsid w:val="F819E7F"/>
    <w:multiLevelType w:val="hybridMultilevel"/>
    <w:lvl w:ilvl="0">
      <w:lvlJc w:val="left"/>
      <w:lvlText w:val="%1."/>
      <w:numFmt w:val="decimal"/>
      <w:start w:val="14"/>
    </w:lvl>
  </w:abstractNum>
  <w:abstractNum w:abstractNumId="105">
    <w:nsid w:val="57C7D42D"/>
    <w:multiLevelType w:val="hybridMultilevel"/>
    <w:lvl w:ilvl="0">
      <w:lvlJc w:val="left"/>
      <w:lvlText w:val="%1."/>
      <w:numFmt w:val="decimal"/>
      <w:start w:val="18"/>
    </w:lvl>
  </w:abstractNum>
  <w:abstractNum w:abstractNumId="106">
    <w:nsid w:val="312167AD"/>
    <w:multiLevelType w:val="hybridMultilevel"/>
    <w:lvl w:ilvl="0">
      <w:lvlJc w:val="left"/>
      <w:lvlText w:val="%1"/>
      <w:numFmt w:val="decimal"/>
      <w:start w:val="1"/>
    </w:lvl>
    <w:lvl w:ilvl="1">
      <w:lvlJc w:val="left"/>
      <w:lvlText w:val="%2."/>
      <w:numFmt w:val="decimal"/>
      <w:start w:val="24"/>
    </w:lvl>
  </w:abstractNum>
  <w:abstractNum w:abstractNumId="107">
    <w:nsid w:val="631B64D4"/>
    <w:multiLevelType w:val="hybridMultilevel"/>
    <w:lvl w:ilvl="0">
      <w:lvlJc w:val="left"/>
      <w:lvlText w:val="(%1)"/>
      <w:numFmt w:val="decimal"/>
      <w:start w:val="3"/>
    </w:lvl>
    <w:lvl w:ilvl="1">
      <w:lvlJc w:val="left"/>
      <w:lvlText w:val="%2"/>
      <w:numFmt w:val="decimal"/>
      <w:start w:val="1"/>
    </w:lvl>
  </w:abstractNum>
  <w:abstractNum w:abstractNumId="108">
    <w:nsid w:val="78B5E776"/>
    <w:multiLevelType w:val="hybridMultilevel"/>
    <w:lvl w:ilvl="0">
      <w:lvlJc w:val="left"/>
      <w:lvlText w:val="%1."/>
      <w:numFmt w:val="decimal"/>
      <w:start w:val="26"/>
    </w:lvl>
  </w:abstractNum>
  <w:abstractNum w:abstractNumId="109">
    <w:nsid w:val="75486E47"/>
    <w:multiLevelType w:val="hybridMultilevel"/>
    <w:lvl w:ilvl="0">
      <w:lvlJc w:val="left"/>
      <w:lvlText w:val="%1."/>
      <w:numFmt w:val="decimal"/>
      <w:start w:val="1"/>
    </w:lvl>
  </w:abstractNum>
  <w:abstractNum w:abstractNumId="110">
    <w:nsid w:val="6E534CDE"/>
    <w:multiLevelType w:val="hybridMultilevel"/>
    <w:lvl w:ilvl="0">
      <w:lvlJc w:val="left"/>
      <w:lvlText w:val="%1"/>
      <w:numFmt w:val="decimal"/>
      <w:start w:val="1"/>
    </w:lvl>
    <w:lvl w:ilvl="1">
      <w:lvlJc w:val="left"/>
      <w:lvlText w:val="%2."/>
      <w:numFmt w:val="decimal"/>
      <w:start w:val="1"/>
    </w:lvl>
  </w:abstractNum>
  <w:abstractNum w:abstractNumId="111">
    <w:nsid w:val="1A0DDE32"/>
    <w:multiLevelType w:val="hybridMultilevel"/>
    <w:lvl w:ilvl="0">
      <w:lvlJc w:val="left"/>
      <w:lvlText w:val="(%1)"/>
      <w:numFmt w:val="decimal"/>
      <w:start w:val="1"/>
    </w:lvl>
    <w:lvl w:ilvl="1">
      <w:lvlJc w:val="left"/>
      <w:lvlText w:val="%2."/>
      <w:numFmt w:val="decimal"/>
      <w:start w:val="4"/>
    </w:lvl>
  </w:abstractNum>
  <w:abstractNum w:abstractNumId="112">
    <w:nsid w:val="65968C1C"/>
    <w:multiLevelType w:val="hybridMultilevel"/>
    <w:lvl w:ilvl="0">
      <w:lvlJc w:val="left"/>
      <w:lvlText w:val="%1."/>
      <w:numFmt w:val="decimal"/>
      <w:start w:val="5"/>
    </w:lvl>
    <w:lvl w:ilvl="1">
      <w:lvlJc w:val="left"/>
      <w:lvlText w:val="(%2)"/>
      <w:numFmt w:val="lowerLetter"/>
      <w:start w:val="1"/>
    </w:lvl>
  </w:abstractNum>
  <w:abstractNum w:abstractNumId="113">
    <w:nsid w:val="46263DEC"/>
    <w:multiLevelType w:val="hybridMultilevel"/>
    <w:lvl w:ilvl="0">
      <w:lvlJc w:val="left"/>
      <w:lvlText w:val="%1."/>
      <w:numFmt w:val="decimal"/>
      <w:start w:val="8"/>
    </w:lvl>
    <w:lvl w:ilvl="1">
      <w:lvlJc w:val="left"/>
      <w:lvlText w:val="(%2)"/>
      <w:numFmt w:val="lowerLetter"/>
      <w:start w:val="1"/>
    </w:lvl>
  </w:abstractNum>
  <w:abstractNum w:abstractNumId="114">
    <w:nsid w:val="260D8C4A"/>
    <w:multiLevelType w:val="hybridMultilevel"/>
    <w:lvl w:ilvl="0">
      <w:lvlJc w:val="left"/>
      <w:lvlText w:val="(%1)"/>
      <w:numFmt w:val="lowerLetter"/>
      <w:start w:val="5"/>
    </w:lvl>
    <w:lvl w:ilvl="1">
      <w:lvlJc w:val="left"/>
      <w:lvlText w:val="(%2)"/>
      <w:numFmt w:val="lowerRoman"/>
      <w:start w:val="1"/>
    </w:lvl>
  </w:abstractNum>
  <w:abstractNum w:abstractNumId="115">
    <w:nsid w:val="73D4D3C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90"/>
    </w:lvl>
  </w:abstractNum>
  <w:abstractNum w:abstractNumId="116">
    <w:nsid w:val="746F2E30"/>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17">
    <w:nsid w:val="6FDE8AF6"/>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18">
    <w:nsid w:val="3FC32E2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9">
    <w:nsid w:val="49C0E823"/>
    <w:multiLevelType w:val="hybridMultilevel"/>
    <w:lvl w:ilvl="0">
      <w:lvlJc w:val="left"/>
      <w:lvlText w:val="(%1)"/>
      <w:numFmt w:val="lowerLetter"/>
      <w:start w:val="3"/>
    </w:lvl>
    <w:lvl w:ilvl="1">
      <w:lvlJc w:val="left"/>
      <w:lvlText w:val="(%2)"/>
      <w:numFmt w:val="lowerRoman"/>
      <w:start w:val="1"/>
    </w:lvl>
  </w:abstractNum>
  <w:abstractNum w:abstractNumId="120">
    <w:nsid w:val="14D53685"/>
    <w:multiLevelType w:val="hybridMultilevel"/>
    <w:lvl w:ilvl="0">
      <w:lvlJc w:val="left"/>
      <w:lvlText w:val="%1"/>
      <w:numFmt w:val="lowerLetter"/>
      <w:start w:val="1"/>
    </w:lvl>
    <w:lvl w:ilvl="1">
      <w:lvlJc w:val="left"/>
      <w:lvlText w:val="(%2)"/>
      <w:numFmt w:val="lowerRoman"/>
      <w:start w:val="6"/>
    </w:lvl>
  </w:abstractNum>
  <w:abstractNum w:abstractNumId="121">
    <w:nsid w:val="230F856C"/>
    <w:multiLevelType w:val="hybridMultilevel"/>
    <w:lvl w:ilvl="0">
      <w:lvlJc w:val="left"/>
      <w:lvlText w:val="(%1)"/>
      <w:numFmt w:val="lowerLetter"/>
      <w:start w:val="5"/>
    </w:lvl>
    <w:lvl w:ilvl="1">
      <w:lvlJc w:val="left"/>
      <w:lvlText w:val="%2"/>
      <w:numFmt w:val="lowerRoman"/>
      <w:start w:val="1"/>
    </w:lvl>
  </w:abstractNum>
  <w:abstractNum w:abstractNumId="122">
    <w:nsid w:val="6EAA85FB"/>
    <w:multiLevelType w:val="hybridMultilevel"/>
    <w:lvl w:ilvl="0">
      <w:lvlJc w:val="left"/>
      <w:lvlText w:val="%1."/>
      <w:numFmt w:val="decimal"/>
      <w:start w:val="10"/>
    </w:lvl>
  </w:abstractNum>
  <w:abstractNum w:abstractNumId="123">
    <w:nsid w:val="3F06ECB2"/>
    <w:multiLevelType w:val="hybridMultilevel"/>
    <w:lvl w:ilvl="0">
      <w:lvlJc w:val="left"/>
      <w:lvlText w:val="(%1)"/>
      <w:numFmt w:val="lowerLetter"/>
      <w:start w:val="1"/>
    </w:lvl>
  </w:abstractNum>
  <w:abstractNum w:abstractNumId="124">
    <w:nsid w:val="3B594807"/>
    <w:multiLevelType w:val="hybridMultilevel"/>
    <w:lvl w:ilvl="0">
      <w:lvlJc w:val="left"/>
      <w:lvlText w:val="(%1)"/>
      <w:numFmt w:val="lowerLetter"/>
      <w:start w:val="2"/>
    </w:lvl>
  </w:abstractNum>
  <w:abstractNum w:abstractNumId="125">
    <w:nsid w:val="6CAA2304"/>
    <w:multiLevelType w:val="hybridMultilevel"/>
    <w:lvl w:ilvl="0">
      <w:lvlJc w:val="left"/>
      <w:lvlText w:val="(%1)"/>
      <w:numFmt w:val="lowerLetter"/>
      <w:start w:val="4"/>
    </w:lvl>
    <w:lvl w:ilvl="1">
      <w:lvlJc w:val="left"/>
      <w:lvlText w:val="(%2)"/>
      <w:numFmt w:val="lowerRoman"/>
      <w:start w:val="1"/>
    </w:lvl>
  </w:abstractNum>
  <w:abstractNum w:abstractNumId="126">
    <w:nsid w:val="3F7C2FF4"/>
    <w:multiLevelType w:val="hybridMultilevel"/>
    <w:lvl w:ilvl="0">
      <w:lvlJc w:val="left"/>
      <w:lvlText w:val="(%1)"/>
      <w:numFmt w:val="lowerRoman"/>
      <w:start w:val="4"/>
    </w:lvl>
  </w:abstractNum>
  <w:abstractNum w:abstractNumId="127">
    <w:nsid w:val="25413BEC"/>
    <w:multiLevelType w:val="hybridMultilevel"/>
    <w:lvl w:ilvl="0">
      <w:lvlJc w:val="left"/>
      <w:lvlText w:val="%1"/>
      <w:numFmt w:val="decimal"/>
      <w:start w:val="1"/>
    </w:lvl>
    <w:lvl w:ilvl="1">
      <w:lvlJc w:val="left"/>
      <w:lvlText w:val="(%2)"/>
      <w:numFmt w:val="lowerLetter"/>
      <w:start w:val="6"/>
    </w:lvl>
  </w:abstractNum>
  <w:abstractNum w:abstractNumId="128">
    <w:nsid w:val="17180B0B"/>
    <w:multiLevelType w:val="hybridMultilevel"/>
    <w:lvl w:ilvl="0">
      <w:lvlJc w:val="left"/>
      <w:lvlText w:val="%1."/>
      <w:numFmt w:val="decimal"/>
      <w:start w:val="11"/>
    </w:lvl>
    <w:lvl w:ilvl="1">
      <w:lvlJc w:val="left"/>
      <w:lvlText w:val="%2"/>
      <w:numFmt w:val="lowerLetter"/>
      <w:start w:val="1"/>
    </w:lvl>
  </w:abstractNum>
  <w:abstractNum w:abstractNumId="129">
    <w:nsid w:val="579328B9"/>
    <w:multiLevelType w:val="hybridMultilevel"/>
    <w:lvl w:ilvl="0">
      <w:lvlJc w:val="left"/>
      <w:lvlText w:val="%1."/>
      <w:numFmt w:val="decimal"/>
      <w:start w:val="12"/>
    </w:lvl>
  </w:abstractNum>
  <w:abstractNum w:abstractNumId="130">
    <w:nsid w:val="5D205E20"/>
    <w:multiLevelType w:val="hybridMultilevel"/>
    <w:lvl w:ilvl="0">
      <w:lvlJc w:val="left"/>
      <w:lvlText w:val="(%1)"/>
      <w:numFmt w:val="lowerLetter"/>
      <w:start w:val="1"/>
    </w:lvl>
  </w:abstractNum>
  <w:abstractNum w:abstractNumId="131">
    <w:nsid w:val="11CCA8BA"/>
    <w:multiLevelType w:val="hybridMultilevel"/>
    <w:lvl w:ilvl="0">
      <w:lvlJc w:val="left"/>
      <w:lvlText w:val="(%1)"/>
      <w:numFmt w:val="lowerLetter"/>
      <w:start w:val="3"/>
    </w:lvl>
  </w:abstractNum>
  <w:abstractNum w:abstractNumId="132">
    <w:nsid w:val="4D32AB86"/>
    <w:multiLevelType w:val="hybridMultilevel"/>
    <w:lvl w:ilvl="0">
      <w:lvlJc w:val="left"/>
      <w:lvlText w:val="%1."/>
      <w:numFmt w:val="decimal"/>
      <w:start w:val="14"/>
    </w:lvl>
  </w:abstractNum>
  <w:abstractNum w:abstractNumId="133">
    <w:nsid w:val="3F07ACC3"/>
    <w:multiLevelType w:val="hybridMultilevel"/>
    <w:lvl w:ilvl="0">
      <w:lvlJc w:val="left"/>
      <w:lvlText w:val="%1."/>
      <w:numFmt w:val="decimal"/>
      <w:start w:val="17"/>
    </w:lvl>
  </w:abstractNum>
  <w:abstractNum w:abstractNumId="134">
    <w:nsid w:val="6B47F63E"/>
    <w:multiLevelType w:val="hybridMultilevel"/>
    <w:lvl w:ilvl="0">
      <w:lvlJc w:val="left"/>
      <w:lvlText w:val="%1"/>
      <w:numFmt w:val="decimal"/>
      <w:start w:val="1"/>
    </w:lvl>
    <w:lvl w:ilvl="1">
      <w:lvlJc w:val="left"/>
      <w:lvlText w:val="%2."/>
      <w:numFmt w:val="decimal"/>
      <w:start w:val="22"/>
    </w:lvl>
  </w:abstractNum>
  <w:abstractNum w:abstractNumId="135">
    <w:nsid w:val="5CB44A05"/>
    <w:multiLevelType w:val="hybridMultilevel"/>
    <w:lvl w:ilvl="0">
      <w:lvlJc w:val="left"/>
      <w:lvlText w:val="(%1)"/>
      <w:numFmt w:val="decimal"/>
      <w:start w:val="90"/>
    </w:lvl>
    <w:lvl w:ilvl="1">
      <w:lvlJc w:val="left"/>
      <w:lvlText w:val="%2."/>
      <w:numFmt w:val="decimal"/>
      <w:start w:val="24"/>
    </w:lvl>
  </w:abstractNum>
  <w:abstractNum w:abstractNumId="136">
    <w:nsid w:val="16CF80F1"/>
    <w:multiLevelType w:val="hybridMultilevel"/>
    <w:lvl w:ilvl="0">
      <w:lvlJc w:val="left"/>
      <w:lvlText w:val="(%1)"/>
      <w:numFmt w:val="decimal"/>
      <w:start w:val="3"/>
    </w:lvl>
  </w:abstractNum>
  <w:abstractNum w:abstractNumId="137">
    <w:nsid w:val="1C695DEC"/>
    <w:multiLevelType w:val="hybridMultilevel"/>
    <w:lvl w:ilvl="0">
      <w:lvlJc w:val="left"/>
      <w:lvlText w:val="%1."/>
      <w:numFmt w:val="decimal"/>
      <w:start w:val="26"/>
    </w:lvl>
  </w:abstractNum>
  <w:abstractNum w:abstractNumId="138">
    <w:nsid w:val="3FCFAED9"/>
    <w:multiLevelType w:val="hybridMultilevel"/>
    <w:lvl w:ilvl="0">
      <w:lvlJc w:val="left"/>
      <w:lvlText w:val="%1"/>
      <w:numFmt w:val="decimal"/>
      <w:start w:val="1"/>
    </w:lvl>
    <w:lvl w:ilvl="1">
      <w:lvlJc w:val="left"/>
      <w:lvlText w:val="%2."/>
      <w:numFmt w:val="decimal"/>
      <w:start w:val="1"/>
    </w:lvl>
  </w:abstractNum>
  <w:abstractNum w:abstractNumId="139">
    <w:nsid w:val="F856867"/>
    <w:multiLevelType w:val="hybridMultilevel"/>
    <w:lvl w:ilvl="0">
      <w:lvlJc w:val="left"/>
      <w:lvlText w:val="(%1)"/>
      <w:numFmt w:val="decimal"/>
      <w:start w:val="1"/>
    </w:lvl>
    <w:lvl w:ilvl="1">
      <w:lvlJc w:val="left"/>
      <w:lvlText w:val="%2."/>
      <w:numFmt w:val="decimal"/>
      <w:start w:val="3"/>
    </w:lvl>
  </w:abstractNum>
  <w:abstractNum w:abstractNumId="140">
    <w:nsid w:val="11B1CC33"/>
    <w:multiLevelType w:val="hybridMultilevel"/>
    <w:lvl w:ilvl="0">
      <w:lvlJc w:val="left"/>
      <w:lvlText w:val="%1."/>
      <w:numFmt w:val="decimal"/>
      <w:start w:val="4"/>
    </w:lvl>
    <w:lvl w:ilvl="1">
      <w:lvlJc w:val="left"/>
      <w:lvlText w:val="(%2)"/>
      <w:numFmt w:val="lowerLetter"/>
      <w:start w:val="1"/>
    </w:lvl>
  </w:abstractNum>
  <w:abstractNum w:abstractNumId="141">
    <w:nsid w:val="2E22FBB7"/>
    <w:multiLevelType w:val="hybridMultilevel"/>
    <w:lvl w:ilvl="0">
      <w:lvlJc w:val="left"/>
      <w:lvlText w:val="%1"/>
      <w:numFmt w:val="decimal"/>
      <w:start w:val="1"/>
    </w:lvl>
    <w:lvl w:ilvl="1">
      <w:lvlJc w:val="left"/>
      <w:lvlText w:val="(%2)"/>
      <w:numFmt w:val="lowerLetter"/>
      <w:start w:val="2"/>
    </w:lvl>
  </w:abstractNum>
  <w:abstractNum w:abstractNumId="142">
    <w:nsid w:val="29934699"/>
    <w:multiLevelType w:val="hybridMultilevel"/>
    <w:lvl w:ilvl="0">
      <w:lvlJc w:val="left"/>
      <w:lvlText w:val="%1."/>
      <w:numFmt w:val="decimal"/>
      <w:start w:val="5"/>
    </w:lvl>
    <w:lvl w:ilvl="1">
      <w:lvlJc w:val="left"/>
      <w:lvlText w:val="(%2)"/>
      <w:numFmt w:val="lowerLetter"/>
      <w:start w:val="1"/>
    </w:lvl>
  </w:abstractNum>
  <w:abstractNum w:abstractNumId="143">
    <w:nsid w:val="77485850"/>
    <w:multiLevelType w:val="hybridMultilevel"/>
    <w:lvl w:ilvl="0">
      <w:lvlJc w:val="left"/>
      <w:lvlText w:val="(%1)"/>
      <w:numFmt w:val="lowerLetter"/>
      <w:start w:val="2"/>
    </w:lvl>
  </w:abstractNum>
  <w:abstractNum w:abstractNumId="144">
    <w:nsid w:val="744939A3"/>
    <w:multiLevelType w:val="hybridMultilevel"/>
    <w:lvl w:ilvl="0">
      <w:lvlJc w:val="left"/>
      <w:lvlText w:val="(%1)"/>
      <w:numFmt w:val="lowerLetter"/>
      <w:start w:val="6"/>
    </w:lvl>
    <w:lvl w:ilvl="1">
      <w:lvlJc w:val="left"/>
      <w:lvlText w:val="(%2)"/>
      <w:numFmt w:val="lowerRoman"/>
      <w:start w:val="1"/>
    </w:lvl>
  </w:abstractNum>
  <w:abstractNum w:abstractNumId="145">
    <w:nsid w:val="4FA0D2E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46">
    <w:nsid w:val="6B1D2C14"/>
    <w:multiLevelType w:val="hybridMultilevel"/>
    <w:lvl w:ilvl="0">
      <w:lvlJc w:val="left"/>
      <w:lvlText w:val="%1"/>
      <w:numFmt w:val="lowerLetter"/>
      <w:start w:val="1"/>
    </w:lvl>
    <w:lvl w:ilvl="1">
      <w:lvlJc w:val="left"/>
      <w:lvlText w:val="(%2)"/>
      <w:numFmt w:val="lowerLetter"/>
      <w:start w:val="22"/>
    </w:lvl>
    <w:lvl w:ilvl="2">
      <w:lvlJc w:val="left"/>
      <w:lvlText w:val="(%3)"/>
      <w:numFmt w:val="lowerLetter"/>
      <w:start w:val="1"/>
    </w:lvl>
  </w:abstractNum>
  <w:abstractNum w:abstractNumId="147">
    <w:nsid w:val="68B867D3"/>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148">
    <w:nsid w:val="3F7F5DD9"/>
    <w:multiLevelType w:val="hybridMultilevel"/>
    <w:lvl w:ilvl="0">
      <w:lvlJc w:val="left"/>
      <w:lvlText w:val="(%1)"/>
      <w:numFmt w:val="lowerLetter"/>
      <w:start w:val="4"/>
    </w:lvl>
    <w:lvl w:ilvl="1">
      <w:lvlJc w:val="left"/>
      <w:lvlText w:val="(%2)"/>
      <w:numFmt w:val="lowerRoman"/>
      <w:start w:val="1"/>
    </w:lvl>
  </w:abstractNum>
  <w:abstractNum w:abstractNumId="149">
    <w:nsid w:val="2AE05A3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50">
    <w:nsid w:val="32794FF7"/>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51">
    <w:nsid w:val="5454945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52">
    <w:nsid w:val="4DEFDFA0"/>
    <w:multiLevelType w:val="hybridMultilevel"/>
    <w:lvl w:ilvl="0">
      <w:lvlJc w:val="left"/>
      <w:lvlText w:val="(%1)"/>
      <w:numFmt w:val="lowerLetter"/>
      <w:start w:val="3"/>
    </w:lvl>
  </w:abstractNum>
  <w:abstractNum w:abstractNumId="153">
    <w:nsid w:val="2123D5F2"/>
    <w:multiLevelType w:val="hybridMultilevel"/>
    <w:lvl w:ilvl="0">
      <w:lvlJc w:val="left"/>
      <w:lvlText w:val="(%1)"/>
      <w:numFmt w:val="lowerLetter"/>
      <w:start w:val="5"/>
    </w:lvl>
  </w:abstractNum>
  <w:abstractNum w:abstractNumId="154">
    <w:nsid w:val="135B8110"/>
    <w:multiLevelType w:val="hybridMultilevel"/>
    <w:lvl w:ilvl="0">
      <w:lvlJc w:val="left"/>
      <w:lvlText w:val="(%1)"/>
      <w:numFmt w:val="lowerRoman"/>
      <w:start w:val="1"/>
    </w:lvl>
  </w:abstractNum>
  <w:abstractNum w:abstractNumId="155">
    <w:nsid w:val="94927A8"/>
    <w:multiLevelType w:val="hybridMultilevel"/>
    <w:lvl w:ilvl="0">
      <w:lvlJc w:val="left"/>
      <w:lvlText w:val="%1"/>
      <w:numFmt w:val="decimal"/>
      <w:start w:val="1"/>
    </w:lvl>
    <w:lvl w:ilvl="1">
      <w:lvlJc w:val="left"/>
      <w:lvlText w:val="(%2)"/>
      <w:numFmt w:val="lowerLetter"/>
      <w:start w:val="6"/>
    </w:lvl>
  </w:abstractNum>
  <w:abstractNum w:abstractNumId="156">
    <w:nsid w:val="DCDF8F6"/>
    <w:multiLevelType w:val="hybridMultilevel"/>
    <w:lvl w:ilvl="0">
      <w:lvlJc w:val="left"/>
      <w:lvlText w:val="%1."/>
      <w:numFmt w:val="decimal"/>
      <w:start w:val="10"/>
    </w:lvl>
    <w:lvl w:ilvl="1">
      <w:lvlJc w:val="left"/>
      <w:lvlText w:val="%2"/>
      <w:numFmt w:val="lowerLetter"/>
      <w:start w:val="1"/>
    </w:lvl>
  </w:abstractNum>
  <w:abstractNum w:abstractNumId="157">
    <w:nsid w:val="52D7B105"/>
    <w:multiLevelType w:val="hybridMultilevel"/>
    <w:lvl w:ilvl="0">
      <w:lvlJc w:val="left"/>
      <w:lvlText w:val="%1."/>
      <w:numFmt w:val="decimal"/>
      <w:start w:val="12"/>
    </w:lvl>
  </w:abstractNum>
  <w:abstractNum w:abstractNumId="158">
    <w:nsid w:val="2E8A6394"/>
    <w:multiLevelType w:val="hybridMultilevel"/>
    <w:lvl w:ilvl="0">
      <w:lvlJc w:val="left"/>
      <w:lvlText w:val="(%1)"/>
      <w:numFmt w:val="lowerLetter"/>
      <w:start w:val="1"/>
    </w:lvl>
  </w:abstractNum>
  <w:abstractNum w:abstractNumId="159">
    <w:nsid w:val="24E60401"/>
    <w:multiLevelType w:val="hybridMultilevel"/>
    <w:lvl w:ilvl="0">
      <w:lvlJc w:val="left"/>
      <w:lvlText w:val="(%1)"/>
      <w:numFmt w:val="lowerLetter"/>
      <w:start w:val="2"/>
    </w:lvl>
  </w:abstractNum>
  <w:abstractNum w:abstractNumId="160">
    <w:nsid w:val="2A6AD9BE"/>
    <w:multiLevelType w:val="hybridMultilevel"/>
    <w:lvl w:ilvl="0">
      <w:lvlJc w:val="left"/>
      <w:lvlText w:val="%1."/>
      <w:numFmt w:val="decimal"/>
      <w:start w:val="14"/>
    </w:lvl>
  </w:abstractNum>
  <w:abstractNum w:abstractNumId="161">
    <w:nsid w:val="BAAC1B4"/>
    <w:multiLevelType w:val="hybridMultilevel"/>
    <w:lvl w:ilvl="0">
      <w:lvlJc w:val="left"/>
      <w:lvlText w:val="%1."/>
      <w:numFmt w:val="decimal"/>
      <w:start w:val="18"/>
    </w:lvl>
  </w:abstractNum>
  <w:abstractNum w:abstractNumId="162">
    <w:nsid w:val="36B2ACBC"/>
    <w:multiLevelType w:val="hybridMultilevel"/>
    <w:lvl w:ilvl="0">
      <w:lvlJc w:val="left"/>
      <w:lvlText w:val="%1"/>
      <w:numFmt w:val="decimal"/>
      <w:start w:val="1"/>
    </w:lvl>
    <w:lvl w:ilvl="1">
      <w:lvlJc w:val="left"/>
      <w:lvlText w:val="%2."/>
      <w:numFmt w:val="decimal"/>
      <w:start w:val="24"/>
    </w:lvl>
  </w:abstractNum>
  <w:abstractNum w:abstractNumId="163">
    <w:nsid w:val="779D8544"/>
    <w:multiLevelType w:val="hybridMultilevel"/>
    <w:lvl w:ilvl="0">
      <w:lvlJc w:val="left"/>
      <w:lvlText w:val="(%1)"/>
      <w:numFmt w:val="decimal"/>
      <w:start w:val="3"/>
    </w:lvl>
    <w:lvl w:ilvl="1">
      <w:lvlJc w:val="left"/>
      <w:lvlText w:val="%2"/>
      <w:numFmt w:val="decimal"/>
      <w:start w:val="1"/>
    </w:lvl>
  </w:abstractNum>
  <w:abstractNum w:abstractNumId="164">
    <w:nsid w:val="4AB26E78"/>
    <w:multiLevelType w:val="hybridMultilevel"/>
    <w:lvl w:ilvl="0">
      <w:lvlJc w:val="left"/>
      <w:lvlText w:val="%1."/>
      <w:numFmt w:val="decimal"/>
      <w:start w:val="26"/>
    </w:lvl>
  </w:abstractNum>
  <w:abstractNum w:abstractNumId="165">
    <w:nsid w:val="21FAA2FA"/>
    <w:multiLevelType w:val="hybridMultilevel"/>
    <w:lvl w:ilvl="0">
      <w:lvlJc w:val="left"/>
      <w:lvlText w:val="(%1)"/>
      <w:numFmt w:val="decimal"/>
      <w:start w:val="90"/>
    </w:lvl>
  </w:abstractNum>
  <w:abstractNum w:abstractNumId="166">
    <w:nsid w:val="5451CF49"/>
    <w:multiLevelType w:val="hybridMultilevel"/>
    <w:lvl w:ilvl="0">
      <w:lvlJc w:val="left"/>
      <w:lvlText w:val="(%1)"/>
      <w:numFmt w:val="lowerLetter"/>
      <w:start w:val="1"/>
    </w:lvl>
  </w:abstractNum>
  <w:abstractNum w:abstractNumId="167">
    <w:nsid w:val="6181EF69"/>
    <w:multiLevelType w:val="hybridMultilevel"/>
    <w:lvl w:ilvl="0">
      <w:lvlJc w:val="left"/>
      <w:lvlText w:val="(%1)"/>
      <w:numFmt w:val="lowerLetter"/>
      <w:start w:val="1"/>
    </w:lvl>
  </w:abstractNum>
  <w:abstractNum w:abstractNumId="168">
    <w:nsid w:val="3E6400E6"/>
    <w:multiLevelType w:val="hybridMultilevel"/>
    <w:lvl w:ilvl="0">
      <w:lvlJc w:val="left"/>
      <w:lvlText w:val="(%1)"/>
      <w:numFmt w:val="lowerLetter"/>
      <w:start w:val="3"/>
    </w:lvl>
    <w:lvl w:ilvl="1">
      <w:lvlJc w:val="left"/>
      <w:lvlText w:val="(%2)"/>
      <w:numFmt w:val="lowerRoman"/>
      <w:start w:val="1"/>
    </w:lvl>
  </w:abstractNum>
  <w:abstractNum w:abstractNumId="169">
    <w:nsid w:val="14217E23"/>
    <w:multiLevelType w:val="hybridMultilevel"/>
    <w:lvl w:ilvl="0">
      <w:lvlJc w:val="left"/>
      <w:lvlText w:val="(%1)"/>
      <w:numFmt w:val="lowerLetter"/>
      <w:start w:val="4"/>
    </w:lvl>
  </w:abstractNum>
  <w:abstractNum w:abstractNumId="170">
    <w:nsid w:val="710757D0"/>
    <w:multiLevelType w:val="hybridMultilevel"/>
    <w:lvl w:ilvl="0">
      <w:lvlJc w:val="left"/>
      <w:lvlText w:val="(%1)"/>
      <w:numFmt w:val="lowerLetter"/>
      <w:start w:val="7"/>
    </w:lvl>
  </w:abstractNum>
  <w:abstractNum w:abstractNumId="171">
    <w:nsid w:val="5015CD1A"/>
    <w:multiLevelType w:val="hybridMultilevel"/>
    <w:lvl w:ilvl="0">
      <w:lvlJc w:val="left"/>
      <w:lvlText w:val="(%1)"/>
      <w:numFmt w:val="lowerLetter"/>
      <w:start w:val="1"/>
    </w:lvl>
  </w:abstractNum>
  <w:abstractNum w:abstractNumId="172">
    <w:nsid w:val="424479DA"/>
    <w:multiLevelType w:val="hybridMultilevel"/>
    <w:lvl w:ilvl="0">
      <w:lvlJc w:val="left"/>
      <w:lvlText w:val="(%1)"/>
      <w:numFmt w:val="lowerLetter"/>
      <w:start w:val="1"/>
    </w:lvl>
  </w:abstractNum>
  <w:abstractNum w:abstractNumId="173">
    <w:nsid w:val="1A9A9E69"/>
    <w:multiLevelType w:val="hybridMultilevel"/>
    <w:lvl w:ilvl="0">
      <w:lvlJc w:val="left"/>
      <w:lvlText w:val="(%1)"/>
      <w:numFmt w:val="lowerLetter"/>
      <w:start w:val="2"/>
    </w:lvl>
  </w:abstractNum>
  <w:abstractNum w:abstractNumId="174">
    <w:nsid w:val="475E256A"/>
    <w:multiLevelType w:val="hybridMultilevel"/>
    <w:lvl w:ilvl="0">
      <w:lvlJc w:val="left"/>
      <w:lvlText w:val="(%1)"/>
      <w:numFmt w:val="lowerLetter"/>
      <w:start w:val="6"/>
    </w:lvl>
  </w:abstractNum>
  <w:abstractNum w:abstractNumId="175">
    <w:nsid w:val="368DB37E"/>
    <w:multiLevelType w:val="hybridMultilevel"/>
    <w:lvl w:ilvl="0">
      <w:lvlJc w:val="left"/>
      <w:lvlText w:val="(%1)"/>
      <w:numFmt w:val="lowerLetter"/>
      <w:start w:val="1"/>
    </w:lvl>
  </w:abstractNum>
  <w:abstractNum w:abstractNumId="176">
    <w:nsid w:val="6A3B714C"/>
    <w:multiLevelType w:val="hybridMultilevel"/>
    <w:lvl w:ilvl="0">
      <w:lvlJc w:val="left"/>
      <w:lvlText w:val="(%1)"/>
      <w:numFmt w:val="lowerLetter"/>
      <w:start w:val="4"/>
    </w:lvl>
  </w:abstractNum>
  <w:abstractNum w:abstractNumId="177">
    <w:nsid w:val="327B517E"/>
    <w:multiLevelType w:val="hybridMultilevel"/>
    <w:lvl w:ilvl="0">
      <w:lvlJc w:val="left"/>
      <w:lvlText w:val="(%1)"/>
      <w:numFmt w:val="lowerRoman"/>
      <w:start w:val="2"/>
    </w:lvl>
  </w:abstractNum>
  <w:abstractNum w:abstractNumId="178">
    <w:nsid w:val="1F461B51"/>
    <w:multiLevelType w:val="hybridMultilevel"/>
    <w:lvl w:ilvl="0">
      <w:lvlJc w:val="left"/>
      <w:lvlText w:val="(%1)"/>
      <w:numFmt w:val="lowerLetter"/>
      <w:start w:val="1"/>
    </w:lvl>
  </w:abstractNum>
  <w:abstractNum w:abstractNumId="179">
    <w:nsid w:val="29BACF25"/>
    <w:multiLevelType w:val="hybridMultilevel"/>
    <w:lvl w:ilvl="0">
      <w:lvlJc w:val="left"/>
      <w:lvlText w:val="(%1)"/>
      <w:numFmt w:val="lowerLetter"/>
      <w:start w:val="1"/>
    </w:lvl>
  </w:abstractNum>
  <w:abstractNum w:abstractNumId="180">
    <w:nsid w:val="5D5BABB3"/>
    <w:multiLevelType w:val="hybridMultilevel"/>
    <w:lvl w:ilvl="0">
      <w:lvlJc w:val="left"/>
      <w:lvlText w:val="(%1)"/>
      <w:numFmt w:val="lowerLetter"/>
      <w:start w:val="1"/>
    </w:lvl>
  </w:abstractNum>
  <w:abstractNum w:abstractNumId="181">
    <w:nsid w:val="51BF6B48"/>
    <w:multiLevelType w:val="hybridMultilevel"/>
    <w:lvl w:ilvl="0">
      <w:lvlJc w:val="left"/>
      <w:lvlText w:val="(%1)"/>
      <w:numFmt w:val="lowerLetter"/>
      <w:start w:val="2"/>
    </w:lvl>
  </w:abstractNum>
  <w:abstractNum w:abstractNumId="182">
    <w:nsid w:val="7E0F6384"/>
    <w:multiLevelType w:val="hybridMultilevel"/>
    <w:lvl w:ilvl="0">
      <w:lvlJc w:val="left"/>
      <w:lvlText w:val="%1."/>
      <w:numFmt w:val="decimal"/>
      <w:start w:val="1"/>
    </w:lvl>
    <w:lvl w:ilvl="1">
      <w:lvlJc w:val="left"/>
      <w:lvlText w:val="%2)"/>
      <w:numFmt w:val="lowerLetter"/>
      <w:start w:val="1"/>
    </w:lvl>
  </w:abstractNum>
  <w:abstractNum w:abstractNumId="183">
    <w:nsid w:val="2B4B8B53"/>
    <w:multiLevelType w:val="hybridMultilevel"/>
    <w:lvl w:ilvl="0">
      <w:lvlJc w:val="left"/>
      <w:lvlText w:val="%1."/>
      <w:numFmt w:val="decimal"/>
      <w:start w:val="1"/>
    </w:lvl>
    <w:lvl w:ilvl="1">
      <w:lvlJc w:val="left"/>
      <w:lvlText w:val="%2)"/>
      <w:numFmt w:val="lowerLetter"/>
      <w:start w:val="1"/>
    </w:lvl>
  </w:abstractNum>
  <w:abstractNum w:abstractNumId="184">
    <w:nsid w:val="72E3413A"/>
    <w:multiLevelType w:val="hybridMultilevel"/>
    <w:lvl w:ilvl="0">
      <w:lvlJc w:val="left"/>
      <w:lvlText w:val="%1."/>
      <w:numFmt w:val="decimal"/>
      <w:start w:val="1"/>
    </w:lvl>
  </w:abstractNum>
  <w:abstractNum w:abstractNumId="185">
    <w:nsid w:val="116AE4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2019-12-11T01:22:54Z</dcterms:created>
  <dcterms:modified xsi:type="dcterms:W3CDTF">2019-12-11T01:22:54Z</dcterms:modified>
</cp:coreProperties>
</file>