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608965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565785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 w:lineRule="exact"/>
        <w:rPr>
          <w:sz w:val="24"/>
          <w:szCs w:val="24"/>
          <w:color w:val="auto"/>
        </w:rPr>
      </w:pPr>
    </w:p>
    <w:p>
      <w:pPr>
        <w:ind w:left="40"/>
        <w:spacing w:after="0"/>
        <w:tabs>
          <w:tab w:leader="none" w:pos="1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8" w:lineRule="exact"/>
        <w:rPr>
          <w:sz w:val="24"/>
          <w:szCs w:val="24"/>
          <w:color w:val="auto"/>
        </w:rPr>
      </w:pPr>
    </w:p>
    <w:p>
      <w:pPr>
        <w:ind w:left="40"/>
        <w:spacing w:after="0"/>
        <w:tabs>
          <w:tab w:leader="none" w:pos="1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7"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980" w:type="dxa"/>
            <w:vAlign w:val="bottom"/>
            <w:gridSpan w:val="2"/>
          </w:tcPr>
          <w:p>
            <w:pPr>
              <w:jc w:val="center"/>
              <w:ind w:right="968"/>
              <w:spacing w:after="0"/>
              <w:rPr>
                <w:sz w:val="20"/>
                <w:szCs w:val="20"/>
                <w:color w:val="auto"/>
              </w:rPr>
            </w:pPr>
            <w:r>
              <w:rPr>
                <w:rFonts w:ascii="Arial" w:cs="Arial" w:eastAsia="Arial" w:hAnsi="Arial"/>
                <w:sz w:val="18"/>
                <w:szCs w:val="18"/>
                <w:color w:val="auto"/>
                <w:w w:val="92"/>
              </w:rPr>
              <w:t>Delaware</w:t>
            </w: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40" w:type="dxa"/>
            <w:vAlign w:val="bottom"/>
          </w:tcPr>
          <w:p>
            <w:pPr>
              <w:jc w:val="right"/>
              <w:ind w:right="1990"/>
              <w:spacing w:after="0"/>
              <w:rPr>
                <w:sz w:val="20"/>
                <w:szCs w:val="20"/>
                <w:color w:val="auto"/>
              </w:rPr>
            </w:pPr>
            <w:r>
              <w:rPr>
                <w:rFonts w:ascii="Arial" w:cs="Arial" w:eastAsia="Arial" w:hAnsi="Arial"/>
                <w:sz w:val="18"/>
                <w:szCs w:val="18"/>
                <w:color w:val="auto"/>
              </w:rPr>
              <w:t>16-1725106</w:t>
            </w:r>
          </w:p>
        </w:tc>
      </w:tr>
      <w:tr>
        <w:trPr>
          <w:trHeight w:val="27"/>
        </w:trPr>
        <w:tc>
          <w:tcPr>
            <w:tcW w:w="39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22"/>
        </w:trPr>
        <w:tc>
          <w:tcPr>
            <w:tcW w:w="3940" w:type="dxa"/>
            <w:vAlign w:val="bottom"/>
            <w:gridSpan w:val="3"/>
          </w:tcPr>
          <w:p>
            <w:pPr>
              <w:jc w:val="center"/>
              <w:ind w:left="830"/>
              <w:spacing w:after="0"/>
              <w:rPr>
                <w:sz w:val="20"/>
                <w:szCs w:val="20"/>
                <w:color w:val="auto"/>
              </w:rPr>
            </w:pPr>
            <w:r>
              <w:rPr>
                <w:rFonts w:ascii="Arial" w:cs="Arial" w:eastAsia="Arial" w:hAnsi="Arial"/>
                <w:sz w:val="18"/>
                <w:szCs w:val="18"/>
                <w:color w:val="auto"/>
                <w:w w:val="93"/>
              </w:rPr>
              <w:t>(State or other jurisdiction of</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40" w:type="dxa"/>
            <w:vAlign w:val="bottom"/>
          </w:tcPr>
          <w:p>
            <w:pPr>
              <w:jc w:val="center"/>
              <w:ind w:right="1490"/>
              <w:spacing w:after="0"/>
              <w:rPr>
                <w:sz w:val="20"/>
                <w:szCs w:val="20"/>
                <w:color w:val="auto"/>
              </w:rPr>
            </w:pPr>
            <w:r>
              <w:rPr>
                <w:rFonts w:ascii="Arial" w:cs="Arial" w:eastAsia="Arial" w:hAnsi="Arial"/>
                <w:sz w:val="18"/>
                <w:szCs w:val="18"/>
                <w:color w:val="auto"/>
                <w:w w:val="92"/>
              </w:rPr>
              <w:t>(I.R.S. Employer</w:t>
            </w:r>
          </w:p>
        </w:tc>
      </w:tr>
      <w:tr>
        <w:trPr>
          <w:trHeight w:val="230"/>
        </w:trPr>
        <w:tc>
          <w:tcPr>
            <w:tcW w:w="3940" w:type="dxa"/>
            <w:vAlign w:val="bottom"/>
            <w:gridSpan w:val="3"/>
          </w:tcPr>
          <w:p>
            <w:pPr>
              <w:jc w:val="center"/>
              <w:ind w:left="830"/>
              <w:spacing w:after="0"/>
              <w:rPr>
                <w:sz w:val="20"/>
                <w:szCs w:val="20"/>
                <w:color w:val="auto"/>
              </w:rPr>
            </w:pPr>
            <w:r>
              <w:rPr>
                <w:rFonts w:ascii="Arial" w:cs="Arial" w:eastAsia="Arial" w:hAnsi="Arial"/>
                <w:sz w:val="18"/>
                <w:szCs w:val="18"/>
                <w:color w:val="auto"/>
                <w:w w:val="93"/>
              </w:rPr>
              <w:t>incorporation or organization)</w:t>
            </w: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40" w:type="dxa"/>
            <w:vAlign w:val="bottom"/>
          </w:tcPr>
          <w:p>
            <w:pPr>
              <w:jc w:val="center"/>
              <w:ind w:right="1490"/>
              <w:spacing w:after="0"/>
              <w:rPr>
                <w:sz w:val="20"/>
                <w:szCs w:val="20"/>
                <w:color w:val="auto"/>
              </w:rPr>
            </w:pPr>
            <w:r>
              <w:rPr>
                <w:rFonts w:ascii="Arial" w:cs="Arial" w:eastAsia="Arial" w:hAnsi="Arial"/>
                <w:sz w:val="18"/>
                <w:szCs w:val="18"/>
                <w:color w:val="auto"/>
                <w:w w:val="94"/>
              </w:rPr>
              <w:t>Identification Number)</w:t>
            </w:r>
          </w:p>
        </w:tc>
      </w:tr>
      <w:tr>
        <w:trPr>
          <w:trHeight w:val="324"/>
        </w:trPr>
        <w:tc>
          <w:tcPr>
            <w:tcW w:w="1960" w:type="dxa"/>
            <w:vAlign w:val="bottom"/>
          </w:tcPr>
          <w:p>
            <w:pPr>
              <w:ind w:left="260"/>
              <w:spacing w:after="0"/>
              <w:rPr>
                <w:sz w:val="20"/>
                <w:szCs w:val="20"/>
                <w:color w:val="auto"/>
              </w:rPr>
            </w:pPr>
            <w:r>
              <w:rPr>
                <w:rFonts w:ascii="Arial" w:cs="Arial" w:eastAsia="Arial" w:hAnsi="Arial"/>
                <w:sz w:val="18"/>
                <w:szCs w:val="18"/>
                <w:color w:val="auto"/>
                <w:w w:val="95"/>
              </w:rPr>
              <w:t>601 Riverside Avenue</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Pr>
          <w:p>
            <w:pPr>
              <w:ind w:left="160"/>
              <w:spacing w:after="0"/>
              <w:rPr>
                <w:sz w:val="20"/>
                <w:szCs w:val="20"/>
                <w:color w:val="auto"/>
              </w:rPr>
            </w:pPr>
            <w:r>
              <w:rPr>
                <w:rFonts w:ascii="Arial" w:cs="Arial" w:eastAsia="Arial" w:hAnsi="Arial"/>
                <w:sz w:val="18"/>
                <w:szCs w:val="18"/>
                <w:color w:val="auto"/>
              </w:rPr>
              <w:t>Jacksonville  ,</w:t>
            </w:r>
          </w:p>
        </w:tc>
        <w:tc>
          <w:tcPr>
            <w:tcW w:w="3340" w:type="dxa"/>
            <w:vAlign w:val="bottom"/>
            <w:gridSpan w:val="3"/>
          </w:tcPr>
          <w:p>
            <w:pPr>
              <w:ind w:left="80"/>
              <w:spacing w:after="0"/>
              <w:rPr>
                <w:sz w:val="20"/>
                <w:szCs w:val="20"/>
                <w:color w:val="auto"/>
              </w:rPr>
            </w:pPr>
            <w:r>
              <w:rPr>
                <w:rFonts w:ascii="Arial" w:cs="Arial" w:eastAsia="Arial" w:hAnsi="Arial"/>
                <w:sz w:val="18"/>
                <w:szCs w:val="18"/>
                <w:color w:val="auto"/>
              </w:rPr>
              <w:t>Florida</w:t>
            </w:r>
          </w:p>
        </w:tc>
        <w:tc>
          <w:tcPr>
            <w:tcW w:w="3440" w:type="dxa"/>
            <w:vAlign w:val="bottom"/>
          </w:tcPr>
          <w:p>
            <w:pPr>
              <w:jc w:val="right"/>
              <w:ind w:right="2190"/>
              <w:spacing w:after="0"/>
              <w:rPr>
                <w:sz w:val="20"/>
                <w:szCs w:val="20"/>
                <w:color w:val="auto"/>
              </w:rPr>
            </w:pPr>
            <w:r>
              <w:rPr>
                <w:rFonts w:ascii="Arial" w:cs="Arial" w:eastAsia="Arial" w:hAnsi="Arial"/>
                <w:sz w:val="18"/>
                <w:szCs w:val="18"/>
                <w:color w:val="auto"/>
              </w:rPr>
              <w:t>32204</w:t>
            </w:r>
          </w:p>
        </w:tc>
      </w:tr>
      <w:tr>
        <w:trPr>
          <w:trHeight w:val="27"/>
        </w:trPr>
        <w:tc>
          <w:tcPr>
            <w:tcW w:w="39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3"/>
          </w:tcPr>
          <w:p>
            <w:pPr>
              <w:jc w:val="center"/>
              <w:ind w:left="830"/>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4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r>
        <w:trPr>
          <w:trHeight w:val="351"/>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40" w:type="dxa"/>
            <w:vAlign w:val="bottom"/>
            <w:gridSpan w:val="3"/>
          </w:tcPr>
          <w:p>
            <w:pPr>
              <w:jc w:val="right"/>
              <w:ind w:right="1360"/>
              <w:spacing w:after="0"/>
              <w:rPr>
                <w:sz w:val="20"/>
                <w:szCs w:val="20"/>
                <w:color w:val="auto"/>
              </w:rPr>
            </w:pPr>
            <w:r>
              <w:rPr>
                <w:rFonts w:ascii="Arial" w:cs="Arial" w:eastAsia="Arial" w:hAnsi="Arial"/>
                <w:sz w:val="18"/>
                <w:szCs w:val="18"/>
                <w:color w:val="auto"/>
              </w:rPr>
              <w:t>(904) 854-8100</w:t>
            </w:r>
          </w:p>
        </w:tc>
        <w:tc>
          <w:tcPr>
            <w:tcW w:w="3440" w:type="dxa"/>
            <w:vAlign w:val="bottom"/>
          </w:tcPr>
          <w:p>
            <w:pPr>
              <w:spacing w:after="0"/>
              <w:rPr>
                <w:sz w:val="24"/>
                <w:szCs w:val="24"/>
                <w:color w:val="auto"/>
              </w:rPr>
            </w:pPr>
          </w:p>
        </w:tc>
      </w:tr>
      <w:tr>
        <w:trPr>
          <w:trHeight w:val="140"/>
        </w:trPr>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60" w:type="dxa"/>
            <w:vAlign w:val="bottom"/>
            <w:gridSpan w:val="4"/>
          </w:tcPr>
          <w:p>
            <w:pPr>
              <w:jc w:val="right"/>
              <w:ind w:right="10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440" w:type="dxa"/>
            <w:vAlign w:val="bottom"/>
          </w:tcPr>
          <w:p>
            <w:pPr>
              <w:spacing w:after="0"/>
              <w:rPr>
                <w:sz w:val="12"/>
                <w:szCs w:val="12"/>
                <w:color w:val="auto"/>
              </w:rPr>
            </w:pPr>
          </w:p>
        </w:tc>
      </w:tr>
    </w:tbl>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1"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52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89"/>
              </w:rPr>
              <w:t>Title of Each Class</w:t>
            </w:r>
          </w:p>
        </w:tc>
        <w:tc>
          <w:tcPr>
            <w:tcW w:w="154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92"/>
              </w:rPr>
              <w:t>Trading Symbol</w:t>
            </w:r>
          </w:p>
        </w:tc>
        <w:tc>
          <w:tcPr>
            <w:tcW w:w="150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3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FNF Common Stock, $0.0001 par value</w:t>
            </w:r>
          </w:p>
        </w:tc>
        <w:tc>
          <w:tcPr>
            <w:tcW w:w="4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FNF</w:t>
            </w:r>
          </w:p>
        </w:tc>
        <w:tc>
          <w:tcPr>
            <w:tcW w:w="15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30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5.50% Notes due September 2022</w:t>
            </w:r>
          </w:p>
        </w:tc>
        <w:tc>
          <w:tcPr>
            <w:tcW w:w="4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FNF22</w:t>
            </w:r>
          </w:p>
        </w:tc>
        <w:tc>
          <w:tcPr>
            <w:tcW w:w="15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ind w:right="300"/>
        <w:spacing w:after="0" w:line="25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spacing w:after="0"/>
              <w:rPr>
                <w:sz w:val="18"/>
                <w:szCs w:val="18"/>
                <w:color w:val="auto"/>
              </w:rPr>
            </w:pPr>
          </w:p>
        </w:tc>
        <w:tc>
          <w:tcPr>
            <w:tcW w:w="2580" w:type="dxa"/>
            <w:vAlign w:val="bottom"/>
            <w:vMerge w:val="restart"/>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2"/>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4"/>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continue"/>
          </w:tcPr>
          <w:p>
            <w:pPr>
              <w:spacing w:after="0"/>
              <w:rPr>
                <w:sz w:val="22"/>
                <w:szCs w:val="22"/>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258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60" w:type="dxa"/>
            <w:vAlign w:val="bottom"/>
            <w:vMerge w:val="continue"/>
          </w:tcPr>
          <w:p>
            <w:pPr>
              <w:spacing w:after="0"/>
              <w:rPr>
                <w:sz w:val="22"/>
                <w:szCs w:val="22"/>
                <w:color w:val="auto"/>
              </w:rPr>
            </w:pP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0"/>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7"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April 13, 2020 were: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FNF Common Stock 272,013,813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948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70"/>
        </w:trPr>
        <w:tc>
          <w:tcPr>
            <w:tcW w:w="1022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980" w:type="dxa"/>
            <w:vAlign w:val="bottom"/>
          </w:tcPr>
          <w:p>
            <w:pPr>
              <w:spacing w:after="0"/>
              <w:rPr>
                <w:sz w:val="23"/>
                <w:szCs w:val="23"/>
                <w:color w:val="auto"/>
              </w:rPr>
            </w:pPr>
          </w:p>
        </w:tc>
      </w:tr>
      <w:tr>
        <w:trPr>
          <w:trHeight w:val="269"/>
        </w:trPr>
        <w:tc>
          <w:tcPr>
            <w:tcW w:w="10220" w:type="dxa"/>
            <w:vAlign w:val="bottom"/>
            <w:gridSpan w:val="2"/>
          </w:tcPr>
          <w:p>
            <w:pPr>
              <w:ind w:left="2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Item 1. Condensed Consolidated Financial Statements</w:t>
              </w:r>
            </w:hyperlink>
          </w:p>
        </w:tc>
        <w:tc>
          <w:tcPr>
            <w:tcW w:w="980" w:type="dxa"/>
            <w:vAlign w:val="bottom"/>
          </w:tcPr>
          <w:p>
            <w:pPr>
              <w:spacing w:after="0"/>
              <w:rPr>
                <w:sz w:val="23"/>
                <w:szCs w:val="23"/>
                <w:color w:val="auto"/>
              </w:rPr>
            </w:pPr>
          </w:p>
        </w:tc>
      </w:tr>
      <w:tr>
        <w:trPr>
          <w:trHeight w:val="230"/>
        </w:trPr>
        <w:tc>
          <w:tcPr>
            <w:tcW w:w="10220" w:type="dxa"/>
            <w:vAlign w:val="bottom"/>
            <w:gridSpan w:val="2"/>
          </w:tcPr>
          <w:p>
            <w:pPr>
              <w:ind w:left="5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A. Condensed Consolidated Balance Sheets as of March 31, 2020 and December 31,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tc>
      </w:tr>
      <w:tr>
        <w:trPr>
          <w:trHeight w:val="229"/>
        </w:trPr>
        <w:tc>
          <w:tcPr>
            <w:tcW w:w="10220" w:type="dxa"/>
            <w:vAlign w:val="bottom"/>
            <w:gridSpan w:val="2"/>
          </w:tcPr>
          <w:p>
            <w:pPr>
              <w:ind w:left="5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 Condensed Consolidated Statements of Earnings for the three-month periods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29"/>
        </w:trPr>
        <w:tc>
          <w:tcPr>
            <w:tcW w:w="10220" w:type="dxa"/>
            <w:vAlign w:val="bottom"/>
            <w:gridSpan w:val="2"/>
          </w:tcPr>
          <w:p>
            <w:pPr>
              <w:ind w:left="500"/>
              <w:spacing w:after="0"/>
              <w:rPr>
                <w:rFonts w:ascii="Arial" w:cs="Arial" w:eastAsia="Arial" w:hAnsi="Arial"/>
                <w:sz w:val="18"/>
                <w:szCs w:val="18"/>
                <w:u w:val="single" w:color="auto"/>
                <w:color w:val="0000FF"/>
                <w:w w:val="93"/>
              </w:rPr>
            </w:pPr>
            <w:hyperlink w:anchor="page5">
              <w:r>
                <w:rPr>
                  <w:rFonts w:ascii="Arial" w:cs="Arial" w:eastAsia="Arial" w:hAnsi="Arial"/>
                  <w:sz w:val="18"/>
                  <w:szCs w:val="18"/>
                  <w:u w:val="single" w:color="auto"/>
                  <w:color w:val="0000FF"/>
                  <w:w w:val="93"/>
                </w:rPr>
                <w:t>C. Condensed Consolidated Statements of Comprehensive Earnings for the three-month periods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30"/>
        </w:trPr>
        <w:tc>
          <w:tcPr>
            <w:tcW w:w="10220" w:type="dxa"/>
            <w:vAlign w:val="bottom"/>
            <w:gridSpan w:val="2"/>
          </w:tcPr>
          <w:p>
            <w:pPr>
              <w:ind w:left="5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D. Condensed Consolidated Statements of Equity for the three-month periods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29"/>
        </w:trPr>
        <w:tc>
          <w:tcPr>
            <w:tcW w:w="10220" w:type="dxa"/>
            <w:vAlign w:val="bottom"/>
            <w:gridSpan w:val="2"/>
          </w:tcPr>
          <w:p>
            <w:pPr>
              <w:ind w:left="5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E. Condensed Consolidated Statements of Cash Flows for the three-month periods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r>
      <w:tr>
        <w:trPr>
          <w:trHeight w:val="230"/>
        </w:trPr>
        <w:tc>
          <w:tcPr>
            <w:tcW w:w="10220" w:type="dxa"/>
            <w:vAlign w:val="bottom"/>
            <w:gridSpan w:val="2"/>
          </w:tcPr>
          <w:p>
            <w:pPr>
              <w:ind w:left="5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F. Notes to Condensed Consolidated Financial Statements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229"/>
        </w:trPr>
        <w:tc>
          <w:tcPr>
            <w:tcW w:w="10220" w:type="dxa"/>
            <w:vAlign w:val="bottom"/>
            <w:gridSpan w:val="2"/>
          </w:tcPr>
          <w:p>
            <w:pPr>
              <w:ind w:left="5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 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29"/>
        </w:trPr>
        <w:tc>
          <w:tcPr>
            <w:tcW w:w="10220" w:type="dxa"/>
            <w:vAlign w:val="bottom"/>
            <w:gridSpan w:val="2"/>
          </w:tcPr>
          <w:p>
            <w:pPr>
              <w:ind w:left="50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3. Quantitative and Qualitative Disclosure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30"/>
        </w:trPr>
        <w:tc>
          <w:tcPr>
            <w:tcW w:w="10220" w:type="dxa"/>
            <w:vAlign w:val="bottom"/>
            <w:gridSpan w:val="2"/>
          </w:tcPr>
          <w:p>
            <w:pPr>
              <w:ind w:left="20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4. 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69"/>
        </w:trPr>
        <w:tc>
          <w:tcPr>
            <w:tcW w:w="1022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Part II: OTHER INFORMATION</w:t>
              </w:r>
            </w:hyperlink>
          </w:p>
        </w:tc>
        <w:tc>
          <w:tcPr>
            <w:tcW w:w="980" w:type="dxa"/>
            <w:vAlign w:val="bottom"/>
          </w:tcPr>
          <w:p>
            <w:pPr>
              <w:spacing w:after="0"/>
              <w:rPr>
                <w:sz w:val="23"/>
                <w:szCs w:val="23"/>
                <w:color w:val="auto"/>
              </w:rPr>
            </w:pPr>
          </w:p>
        </w:tc>
      </w:tr>
      <w:tr>
        <w:trPr>
          <w:trHeight w:val="229"/>
        </w:trPr>
        <w:tc>
          <w:tcPr>
            <w:tcW w:w="740" w:type="dxa"/>
            <w:vAlign w:val="bottom"/>
          </w:tcPr>
          <w:p>
            <w:pPr>
              <w:ind w:left="200"/>
              <w:spacing w:after="0"/>
              <w:rPr>
                <w:rFonts w:ascii="Arial" w:cs="Arial" w:eastAsia="Arial" w:hAnsi="Arial"/>
                <w:sz w:val="18"/>
                <w:szCs w:val="18"/>
                <w:u w:val="single" w:color="auto"/>
                <w:color w:val="0000FF"/>
                <w:w w:val="94"/>
              </w:rPr>
            </w:pPr>
            <w:hyperlink w:anchor="page33">
              <w:r>
                <w:rPr>
                  <w:rFonts w:ascii="Arial" w:cs="Arial" w:eastAsia="Arial" w:hAnsi="Arial"/>
                  <w:sz w:val="18"/>
                  <w:szCs w:val="18"/>
                  <w:u w:val="single" w:color="auto"/>
                  <w:color w:val="0000FF"/>
                  <w:w w:val="94"/>
                </w:rPr>
                <w:t>Item 1.</w:t>
              </w:r>
            </w:hyperlink>
          </w:p>
        </w:tc>
        <w:tc>
          <w:tcPr>
            <w:tcW w:w="948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29"/>
        </w:trPr>
        <w:tc>
          <w:tcPr>
            <w:tcW w:w="10220" w:type="dxa"/>
            <w:vAlign w:val="bottom"/>
            <w:gridSpan w:val="2"/>
          </w:tcPr>
          <w:p>
            <w:pPr>
              <w:ind w:left="20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1A. 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30"/>
        </w:trPr>
        <w:tc>
          <w:tcPr>
            <w:tcW w:w="740" w:type="dxa"/>
            <w:vAlign w:val="bottom"/>
          </w:tcPr>
          <w:p>
            <w:pPr>
              <w:ind w:left="200"/>
              <w:spacing w:after="0"/>
              <w:rPr>
                <w:rFonts w:ascii="Arial" w:cs="Arial" w:eastAsia="Arial" w:hAnsi="Arial"/>
                <w:sz w:val="18"/>
                <w:szCs w:val="18"/>
                <w:u w:val="single" w:color="auto"/>
                <w:color w:val="0000FF"/>
                <w:w w:val="94"/>
              </w:rPr>
            </w:pPr>
            <w:hyperlink w:anchor="page34">
              <w:r>
                <w:rPr>
                  <w:rFonts w:ascii="Arial" w:cs="Arial" w:eastAsia="Arial" w:hAnsi="Arial"/>
                  <w:sz w:val="18"/>
                  <w:szCs w:val="18"/>
                  <w:u w:val="single" w:color="auto"/>
                  <w:color w:val="0000FF"/>
                  <w:w w:val="94"/>
                </w:rPr>
                <w:t>Item 2.</w:t>
              </w:r>
            </w:hyperlink>
          </w:p>
        </w:tc>
        <w:tc>
          <w:tcPr>
            <w:tcW w:w="948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r>
      <w:tr>
        <w:trPr>
          <w:trHeight w:val="229"/>
        </w:trPr>
        <w:tc>
          <w:tcPr>
            <w:tcW w:w="740" w:type="dxa"/>
            <w:vAlign w:val="bottom"/>
          </w:tcPr>
          <w:p>
            <w:pPr>
              <w:ind w:left="200"/>
              <w:spacing w:after="0"/>
              <w:rPr>
                <w:rFonts w:ascii="Arial" w:cs="Arial" w:eastAsia="Arial" w:hAnsi="Arial"/>
                <w:sz w:val="18"/>
                <w:szCs w:val="18"/>
                <w:u w:val="single" w:color="auto"/>
                <w:color w:val="0000FF"/>
                <w:w w:val="94"/>
              </w:rPr>
            </w:pPr>
            <w:hyperlink w:anchor="page35">
              <w:r>
                <w:rPr>
                  <w:rFonts w:ascii="Arial" w:cs="Arial" w:eastAsia="Arial" w:hAnsi="Arial"/>
                  <w:sz w:val="18"/>
                  <w:szCs w:val="18"/>
                  <w:u w:val="single" w:color="auto"/>
                  <w:color w:val="0000FF"/>
                  <w:w w:val="94"/>
                </w:rPr>
                <w:t>Item 5.</w:t>
              </w:r>
            </w:hyperlink>
          </w:p>
        </w:tc>
        <w:tc>
          <w:tcPr>
            <w:tcW w:w="948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230"/>
        </w:trPr>
        <w:tc>
          <w:tcPr>
            <w:tcW w:w="740" w:type="dxa"/>
            <w:vAlign w:val="bottom"/>
          </w:tcPr>
          <w:p>
            <w:pPr>
              <w:ind w:left="200"/>
              <w:spacing w:after="0"/>
              <w:rPr>
                <w:rFonts w:ascii="Arial" w:cs="Arial" w:eastAsia="Arial" w:hAnsi="Arial"/>
                <w:sz w:val="18"/>
                <w:szCs w:val="18"/>
                <w:u w:val="single" w:color="auto"/>
                <w:color w:val="0000FF"/>
                <w:w w:val="94"/>
              </w:rPr>
            </w:pPr>
            <w:hyperlink w:anchor="page36">
              <w:r>
                <w:rPr>
                  <w:rFonts w:ascii="Arial" w:cs="Arial" w:eastAsia="Arial" w:hAnsi="Arial"/>
                  <w:sz w:val="18"/>
                  <w:szCs w:val="18"/>
                  <w:u w:val="single" w:color="auto"/>
                  <w:color w:val="0000FF"/>
                  <w:w w:val="94"/>
                </w:rPr>
                <w:t>Item 6.</w:t>
              </w:r>
            </w:hyperlink>
          </w:p>
        </w:tc>
        <w:tc>
          <w:tcPr>
            <w:tcW w:w="948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millions, except share data)</w:t>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8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(Unaudited)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92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2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92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w w:val="97"/>
              </w:rPr>
              <w:t>Fixed maturity securities available for sale, at fair value, at March 31, 2020 and December 31, 2019, net of allowance for credit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3"/>
              </w:rPr>
              <w:t>losses of $11 and $0, respectively, and includes pledged fixed maturity securities of $423 and $410, respectively, related to secured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trust deposits</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Preferred securities, at fair value</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Equity securities, at fair value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24"/>
        </w:trPr>
        <w:tc>
          <w:tcPr>
            <w:tcW w:w="89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long-term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66"/>
        </w:trPr>
        <w:tc>
          <w:tcPr>
            <w:tcW w:w="8920" w:type="dxa"/>
            <w:vAlign w:val="bottom"/>
          </w:tcPr>
          <w:p>
            <w:pPr>
              <w:ind w:left="220"/>
              <w:spacing w:after="0" w:line="166" w:lineRule="exact"/>
              <w:rPr>
                <w:sz w:val="20"/>
                <w:szCs w:val="20"/>
                <w:color w:val="auto"/>
              </w:rPr>
            </w:pPr>
            <w:r>
              <w:rPr>
                <w:rFonts w:ascii="Arial" w:cs="Arial" w:eastAsia="Arial" w:hAnsi="Arial"/>
                <w:sz w:val="16"/>
                <w:szCs w:val="16"/>
                <w:color w:val="auto"/>
                <w:w w:val="98"/>
              </w:rPr>
              <w:t>Short-term investments, at March 31, 2020 and December 31, 2019 includes pledged short-term investments of $0 and $12,</w:t>
            </w:r>
          </w:p>
        </w:tc>
        <w:tc>
          <w:tcPr>
            <w:tcW w:w="160" w:type="dxa"/>
            <w:vAlign w:val="bottom"/>
          </w:tcPr>
          <w:p>
            <w:pPr>
              <w:spacing w:after="0"/>
              <w:rPr>
                <w:sz w:val="14"/>
                <w:szCs w:val="14"/>
                <w:color w:val="auto"/>
              </w:rPr>
            </w:pP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9"/>
        </w:trPr>
        <w:tc>
          <w:tcPr>
            <w:tcW w:w="8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respectively, related to secured trust deposits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4,488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166"/>
        </w:trPr>
        <w:tc>
          <w:tcPr>
            <w:tcW w:w="8920" w:type="dxa"/>
            <w:vAlign w:val="bottom"/>
          </w:tcPr>
          <w:p>
            <w:pPr>
              <w:ind w:left="20"/>
              <w:spacing w:after="0" w:line="166" w:lineRule="exact"/>
              <w:rPr>
                <w:sz w:val="20"/>
                <w:szCs w:val="20"/>
                <w:color w:val="auto"/>
              </w:rPr>
            </w:pPr>
            <w:r>
              <w:rPr>
                <w:rFonts w:ascii="Arial" w:cs="Arial" w:eastAsia="Arial" w:hAnsi="Arial"/>
                <w:sz w:val="16"/>
                <w:szCs w:val="16"/>
                <w:color w:val="auto"/>
                <w:w w:val="91"/>
              </w:rPr>
              <w:t>Cash and cash equivalents, at March 31, 2020 and December 31, 2019 includes $306 and $384, respectively, of pledged cash related to</w:t>
            </w:r>
          </w:p>
        </w:tc>
        <w:tc>
          <w:tcPr>
            <w:tcW w:w="160" w:type="dxa"/>
            <w:vAlign w:val="bottom"/>
          </w:tcPr>
          <w:p>
            <w:pPr>
              <w:spacing w:after="0"/>
              <w:rPr>
                <w:sz w:val="14"/>
                <w:szCs w:val="14"/>
                <w:color w:val="auto"/>
              </w:rPr>
            </w:pP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Arial" w:cs="Arial" w:eastAsia="Arial" w:hAnsi="Arial"/>
                <w:sz w:val="16"/>
                <w:szCs w:val="16"/>
                <w:color w:val="auto"/>
              </w:rPr>
              <w:t>secured trust deposits</w:t>
            </w: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$23 and $20 at March 31, 2020 and December 31, 2019, respectively</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24"/>
        </w:trPr>
        <w:tc>
          <w:tcPr>
            <w:tcW w:w="892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Title plants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47"/>
        </w:trPr>
        <w:tc>
          <w:tcPr>
            <w:tcW w:w="89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10,204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920" w:type="dxa"/>
            <w:vAlign w:val="bottom"/>
            <w:shd w:val="clear" w:color="auto" w:fill="CCEEFF"/>
          </w:tcPr>
          <w:p>
            <w:pPr>
              <w:ind w:left="470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24"/>
        </w:trPr>
        <w:tc>
          <w:tcPr>
            <w:tcW w:w="8920" w:type="dxa"/>
            <w:vAlign w:val="bottom"/>
          </w:tcPr>
          <w:p>
            <w:pPr>
              <w:ind w:left="220"/>
              <w:spacing w:after="0"/>
              <w:rPr>
                <w:sz w:val="20"/>
                <w:szCs w:val="20"/>
                <w:color w:val="auto"/>
              </w:rPr>
            </w:pPr>
            <w:r>
              <w:rPr>
                <w:rFonts w:ascii="Arial" w:cs="Arial" w:eastAsia="Arial" w:hAnsi="Arial"/>
                <w:sz w:val="16"/>
                <w:szCs w:val="16"/>
                <w:color w:val="auto"/>
              </w:rPr>
              <w:t>Notes payable</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Reserve for title claim losses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Secured trust deposits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tax liability</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7"/>
        </w:trPr>
        <w:tc>
          <w:tcPr>
            <w:tcW w:w="892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920" w:type="dxa"/>
            <w:vAlign w:val="bottom"/>
          </w:tcPr>
          <w:p>
            <w:pPr>
              <w:ind w:left="22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6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9"/>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920" w:type="dxa"/>
            <w:vAlign w:val="bottom"/>
          </w:tcPr>
          <w:p>
            <w:pPr>
              <w:ind w:left="220"/>
              <w:spacing w:after="0" w:line="166" w:lineRule="exact"/>
              <w:rPr>
                <w:sz w:val="20"/>
                <w:szCs w:val="20"/>
                <w:color w:val="auto"/>
              </w:rPr>
            </w:pPr>
            <w:r>
              <w:rPr>
                <w:rFonts w:ascii="Arial" w:cs="Arial" w:eastAsia="Arial" w:hAnsi="Arial"/>
                <w:sz w:val="16"/>
                <w:szCs w:val="16"/>
                <w:color w:val="auto"/>
                <w:w w:val="91"/>
              </w:rPr>
              <w:t>FNF common stock, $0.0001 par value; authorized 600,000,000 shares as of March 31, 2020 and December 31, 2019; outstanding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20" w:type="dxa"/>
            <w:vAlign w:val="bottom"/>
          </w:tcPr>
          <w:p>
            <w:pPr>
              <w:ind w:left="220"/>
              <w:spacing w:after="0" w:line="162" w:lineRule="exact"/>
              <w:rPr>
                <w:sz w:val="20"/>
                <w:szCs w:val="20"/>
                <w:color w:val="auto"/>
              </w:rPr>
            </w:pPr>
            <w:r>
              <w:rPr>
                <w:rFonts w:ascii="Arial" w:cs="Arial" w:eastAsia="Arial" w:hAnsi="Arial"/>
                <w:sz w:val="16"/>
                <w:szCs w:val="16"/>
                <w:color w:val="auto"/>
              </w:rPr>
              <w:t>272,418,216 and 275,563,436 as of March 31, 2020 and December 31, 2019, respectively, and issued of 292,341,256 and</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Arial" w:cs="Arial" w:eastAsia="Arial" w:hAnsi="Arial"/>
                <w:sz w:val="16"/>
                <w:szCs w:val="16"/>
                <w:color w:val="auto"/>
              </w:rPr>
              <w:t>292,236,476 as of March 31, 2020 and December 31, 2019, respectively</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4,592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Accumulated other comprehensive earnings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Less: Treasury stock,19,923,040 shares and 16,673,040 shares as of March 31, 2020 and December 31, 2019, respectively, at cost</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20"/>
        </w:trPr>
        <w:tc>
          <w:tcPr>
            <w:tcW w:w="8920" w:type="dxa"/>
            <w:vAlign w:val="bottom"/>
          </w:tcPr>
          <w:p>
            <w:pPr>
              <w:ind w:left="500"/>
              <w:spacing w:after="0"/>
              <w:rPr>
                <w:sz w:val="20"/>
                <w:szCs w:val="20"/>
                <w:color w:val="auto"/>
              </w:rPr>
            </w:pPr>
            <w:r>
              <w:rPr>
                <w:rFonts w:ascii="Arial" w:cs="Arial" w:eastAsia="Arial" w:hAnsi="Arial"/>
                <w:sz w:val="16"/>
                <w:szCs w:val="16"/>
                <w:color w:val="auto"/>
              </w:rPr>
              <w:t>Total Fidelity National Financial, Inc. shareholders’ equity</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892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5,365</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redeemable non-controlling interest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10,204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3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13335</wp:posOffset>
            </wp:positionV>
            <wp:extent cx="1028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5"/>
          </w:tcPr>
          <w:p>
            <w:pPr>
              <w:ind w:left="2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4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Agency title insurance premiums</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52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16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and investment income</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20"/>
              <w:spacing w:after="0"/>
              <w:rPr>
                <w:sz w:val="20"/>
                <w:szCs w:val="20"/>
                <w:color w:val="auto"/>
              </w:rPr>
            </w:pPr>
            <w:r>
              <w:rPr>
                <w:rFonts w:ascii="Arial" w:cs="Arial" w:eastAsia="Arial" w:hAnsi="Arial"/>
                <w:sz w:val="16"/>
                <w:szCs w:val="16"/>
                <w:color w:val="auto"/>
              </w:rPr>
              <w:t>Realized gains and losses, net</w:t>
            </w:r>
          </w:p>
        </w:tc>
        <w:tc>
          <w:tcPr>
            <w:tcW w:w="160" w:type="dxa"/>
            <w:vAlign w:val="bottom"/>
          </w:tcPr>
          <w:p>
            <w:pPr>
              <w:spacing w:after="0"/>
              <w:rPr>
                <w:sz w:val="19"/>
                <w:szCs w:val="19"/>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5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52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16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5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Provision for title claim losses</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5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520" w:type="dxa"/>
            <w:vAlign w:val="bottom"/>
          </w:tcPr>
          <w:p>
            <w:pPr>
              <w:ind w:left="20"/>
              <w:spacing w:after="0"/>
              <w:rPr>
                <w:sz w:val="20"/>
                <w:szCs w:val="20"/>
                <w:color w:val="auto"/>
              </w:rPr>
            </w:pPr>
            <w:r>
              <w:rPr>
                <w:rFonts w:ascii="Arial" w:cs="Arial" w:eastAsia="Arial" w:hAnsi="Arial"/>
                <w:sz w:val="16"/>
                <w:szCs w:val="16"/>
                <w:color w:val="auto"/>
              </w:rPr>
              <w:t>(Loss) earnings from continuing operations before income taxes and equity in earnings of unconsolidated affiliates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9520" w:type="dxa"/>
            <w:vAlign w:val="bottom"/>
          </w:tcPr>
          <w:p>
            <w:pPr>
              <w:ind w:left="20"/>
              <w:spacing w:after="0"/>
              <w:rPr>
                <w:sz w:val="20"/>
                <w:szCs w:val="20"/>
                <w:color w:val="auto"/>
              </w:rPr>
            </w:pPr>
            <w:r>
              <w:rPr>
                <w:rFonts w:ascii="Arial" w:cs="Arial" w:eastAsia="Arial" w:hAnsi="Arial"/>
                <w:sz w:val="16"/>
                <w:szCs w:val="16"/>
                <w:color w:val="auto"/>
              </w:rPr>
              <w:t>(Loss) earnings before equity in earnings of unconsolidated affiliates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952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9520" w:type="dxa"/>
            <w:vAlign w:val="bottom"/>
          </w:tcPr>
          <w:p>
            <w:pPr>
              <w:ind w:left="20"/>
              <w:spacing w:after="0"/>
              <w:rPr>
                <w:sz w:val="20"/>
                <w:szCs w:val="20"/>
                <w:color w:val="auto"/>
              </w:rPr>
            </w:pPr>
            <w:r>
              <w:rPr>
                <w:rFonts w:ascii="Arial" w:cs="Arial" w:eastAsia="Arial" w:hAnsi="Arial"/>
                <w:sz w:val="16"/>
                <w:szCs w:val="16"/>
                <w:color w:val="auto"/>
              </w:rPr>
              <w:t>Net (loss) earnings attributable to Fidelity National Financial, Inc.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520" w:type="dxa"/>
            <w:vAlign w:val="bottom"/>
          </w:tcPr>
          <w:p>
            <w:pPr>
              <w:ind w:left="20"/>
              <w:spacing w:after="0"/>
              <w:rPr>
                <w:sz w:val="20"/>
                <w:szCs w:val="20"/>
                <w:color w:val="auto"/>
              </w:rPr>
            </w:pPr>
            <w:r>
              <w:rPr>
                <w:rFonts w:ascii="Arial" w:cs="Arial" w:eastAsia="Arial" w:hAnsi="Arial"/>
                <w:sz w:val="16"/>
                <w:szCs w:val="16"/>
                <w:color w:val="auto"/>
              </w:rPr>
              <w:t>Net (loss) earnings per share attributable to FNF common shareholders, 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 attributable to FNF common shareholders,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9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common stock, basic basis</w:t>
            </w:r>
          </w:p>
        </w:tc>
        <w:tc>
          <w:tcPr>
            <w:tcW w:w="1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520" w:type="dxa"/>
            <w:vAlign w:val="bottom"/>
          </w:tcPr>
          <w:p>
            <w:pPr>
              <w:ind w:left="2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520" w:type="dxa"/>
            <w:vAlign w:val="bottom"/>
            <w:vMerge w:val="restart"/>
          </w:tcPr>
          <w:p>
            <w:pPr>
              <w:ind w:left="3680"/>
              <w:spacing w:after="0"/>
              <w:rPr>
                <w:sz w:val="20"/>
                <w:szCs w:val="20"/>
                <w:color w:val="auto"/>
              </w:rPr>
            </w:pPr>
            <w:r>
              <w:rPr>
                <w:rFonts w:ascii="Arial" w:cs="Arial" w:eastAsia="Arial" w:hAnsi="Arial"/>
                <w:sz w:val="16"/>
                <w:szCs w:val="16"/>
                <w:color w:val="auto"/>
              </w:rPr>
              <w:t>See Notes to Condensed Consolidated Financial Statements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95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left="340" w:right="2200"/>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23"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13335</wp:posOffset>
            </wp:positionV>
            <wp:extent cx="1148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9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5"/>
          </w:tcPr>
          <w:p>
            <w:pPr>
              <w:ind w:left="340"/>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Other comprehensive (loss) earnings: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9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Unrealized (loss) gain on investments and other financial instruments, net (excluding investments in unconsolidated affiliates)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9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9320" w:type="dxa"/>
            <w:vAlign w:val="bottom"/>
          </w:tcPr>
          <w:p>
            <w:pPr>
              <w:ind w:left="220"/>
              <w:spacing w:after="0"/>
              <w:rPr>
                <w:sz w:val="20"/>
                <w:szCs w:val="20"/>
                <w:color w:val="auto"/>
              </w:rPr>
            </w:pPr>
            <w:r>
              <w:rPr>
                <w:rFonts w:ascii="Arial" w:cs="Arial" w:eastAsia="Arial" w:hAnsi="Arial"/>
                <w:sz w:val="18"/>
                <w:szCs w:val="18"/>
                <w:color w:val="auto"/>
              </w:rPr>
              <w:t>Unrealized gain on investments in unconsolidated affiliates (2)</w:t>
            </w:r>
          </w:p>
        </w:tc>
        <w:tc>
          <w:tcPr>
            <w:tcW w:w="200" w:type="dxa"/>
            <w:vAlign w:val="bottom"/>
          </w:tcPr>
          <w:p>
            <w:pPr>
              <w:spacing w:after="0"/>
              <w:rPr>
                <w:sz w:val="21"/>
                <w:szCs w:val="21"/>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7"/>
        </w:trPr>
        <w:tc>
          <w:tcPr>
            <w:tcW w:w="9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(loss) gain on foreign currency translation (3)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22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20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7"/>
        </w:trPr>
        <w:tc>
          <w:tcPr>
            <w:tcW w:w="9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earnings</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9320" w:type="dxa"/>
            <w:vAlign w:val="bottom"/>
          </w:tcPr>
          <w:p>
            <w:pPr>
              <w:ind w:left="20"/>
              <w:spacing w:after="0"/>
              <w:rPr>
                <w:sz w:val="20"/>
                <w:szCs w:val="20"/>
                <w:color w:val="auto"/>
              </w:rPr>
            </w:pPr>
            <w:r>
              <w:rPr>
                <w:rFonts w:ascii="Arial" w:cs="Arial" w:eastAsia="Arial" w:hAnsi="Arial"/>
                <w:sz w:val="18"/>
                <w:szCs w:val="18"/>
                <w:color w:val="auto"/>
              </w:rPr>
              <w:t>Comprehensive (loss) earnings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r>
      <w:tr>
        <w:trPr>
          <w:trHeight w:val="27"/>
        </w:trPr>
        <w:tc>
          <w:tcPr>
            <w:tcW w:w="9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63"/>
        </w:trPr>
        <w:tc>
          <w:tcPr>
            <w:tcW w:w="9320" w:type="dxa"/>
            <w:vAlign w:val="bottom"/>
          </w:tcPr>
          <w:p>
            <w:pPr>
              <w:ind w:left="20"/>
              <w:spacing w:after="0"/>
              <w:rPr>
                <w:sz w:val="20"/>
                <w:szCs w:val="20"/>
                <w:color w:val="auto"/>
              </w:rPr>
            </w:pPr>
            <w:r>
              <w:rPr>
                <w:rFonts w:ascii="Arial" w:cs="Arial" w:eastAsia="Arial" w:hAnsi="Arial"/>
                <w:sz w:val="18"/>
                <w:szCs w:val="18"/>
                <w:color w:val="auto"/>
              </w:rPr>
              <w:t>Comprehensive (loss) earnings attributable to Fidelity National Financial, Inc.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hanging="972"/>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of income tax (benefit) expense of $(3) million and $7 million for the three-month periods ended March 31, 2020 and 2019, respectively.</w:t>
      </w:r>
    </w:p>
    <w:p>
      <w:pPr>
        <w:spacing w:after="0" w:line="194" w:lineRule="exact"/>
        <w:rPr>
          <w:rFonts w:ascii="Arial" w:cs="Arial" w:eastAsia="Arial" w:hAnsi="Arial"/>
          <w:sz w:val="16"/>
          <w:szCs w:val="16"/>
          <w:color w:val="auto"/>
        </w:rPr>
      </w:pPr>
    </w:p>
    <w:p>
      <w:pPr>
        <w:ind w:left="980" w:hanging="972"/>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of income tax expense of $2 million and $2 million for the three-month periods ended March 31, 2020 and 2019,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of income tax (benefit) expense of $(3) million and $1 million for the three-month periods ended March 31, 2020 and 2019, respectively.</w:t>
      </w:r>
    </w:p>
    <w:p>
      <w:pPr>
        <w:spacing w:after="0" w:line="194" w:lineRule="exact"/>
        <w:rPr>
          <w:rFonts w:ascii="Arial" w:cs="Arial" w:eastAsia="Arial" w:hAnsi="Arial"/>
          <w:sz w:val="16"/>
          <w:szCs w:val="16"/>
          <w:color w:val="auto"/>
        </w:rPr>
      </w:pPr>
    </w:p>
    <w:p>
      <w:pPr>
        <w:ind w:left="980" w:hanging="972"/>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of income tax expense of $1 million and $1 million for the three-month periods ended March 31, 2020 and 2019,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Redeemable</w:t>
            </w: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13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r>
      <w:tr>
        <w:trPr>
          <w:trHeight w:val="198"/>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13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controlling</w:t>
            </w: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December 31, 2018</w:t>
            </w:r>
          </w:p>
        </w:tc>
        <w:tc>
          <w:tcPr>
            <w:tcW w:w="500" w:type="dxa"/>
            <w:vAlign w:val="bottom"/>
          </w:tcPr>
          <w:p>
            <w:pPr>
              <w:jc w:val="right"/>
              <w:spacing w:after="0"/>
              <w:rPr>
                <w:sz w:val="20"/>
                <w:szCs w:val="20"/>
                <w:color w:val="auto"/>
              </w:rPr>
            </w:pPr>
            <w:r>
              <w:rPr>
                <w:rFonts w:ascii="Arial" w:cs="Arial" w:eastAsia="Arial" w:hAnsi="Arial"/>
                <w:sz w:val="13"/>
                <w:szCs w:val="13"/>
                <w:color w:val="auto"/>
              </w:rPr>
              <w:t>290</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(498)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4,628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Treasury stock repurchased</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Reclassification adjustments for change in unrealized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Dividends declared, $0.31 per common share</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Subsidiary dividends declared to non-controlling</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3"/>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earnings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20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March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7"/>
              </w:rPr>
              <w:t>$ (516)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7"/>
              </w:rPr>
              <w:t>$ (598)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344</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Other comprehensive loss — unrealized loss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6"/>
              </w:rPr>
              <w:t>Other comprehensive earnings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2"/>
              </w:rPr>
              <w:t>Other comprehensive loss — unrealized loss on foreign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currency translation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Reclassification adjustments for change in unrealized</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$0.33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Subsidiary dividends declared to non-controlling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 earnings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9"/>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March 31, 2020</w:t>
            </w:r>
          </w:p>
        </w:tc>
        <w:tc>
          <w:tcPr>
            <w:tcW w:w="500" w:type="dxa"/>
            <w:vAlign w:val="bottom"/>
          </w:tcPr>
          <w:p>
            <w:pPr>
              <w:jc w:val="right"/>
              <w:spacing w:after="0"/>
              <w:rPr>
                <w:sz w:val="20"/>
                <w:szCs w:val="20"/>
                <w:color w:val="auto"/>
              </w:rPr>
            </w:pPr>
            <w:r>
              <w:rPr>
                <w:rFonts w:ascii="Arial" w:cs="Arial" w:eastAsia="Arial" w:hAnsi="Arial"/>
                <w:sz w:val="13"/>
                <w:szCs w:val="13"/>
                <w:color w:val="auto"/>
              </w:rPr>
              <w:t>292</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4,592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6"/>
                <w:szCs w:val="16"/>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(692)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5,116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21"/>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92"/>
        </w:trPr>
        <w:tc>
          <w:tcPr>
            <w:tcW w:w="9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6"/>
                <w:szCs w:val="16"/>
                <w:color w:val="auto"/>
              </w:rPr>
            </w:pPr>
          </w:p>
        </w:tc>
      </w:tr>
      <w:tr>
        <w:trPr>
          <w:trHeight w:val="196"/>
        </w:trPr>
        <w:tc>
          <w:tcPr>
            <w:tcW w:w="9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89"/>
              </w:rPr>
              <w:t>2019</w:t>
            </w:r>
          </w:p>
        </w:tc>
      </w:tr>
      <w:tr>
        <w:trPr>
          <w:trHeight w:val="190"/>
        </w:trPr>
        <w:tc>
          <w:tcPr>
            <w:tcW w:w="9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7"/>
              </w:rPr>
              <w:t>(Unaudited)</w:t>
            </w:r>
          </w:p>
        </w:tc>
        <w:tc>
          <w:tcPr>
            <w:tcW w:w="580" w:type="dxa"/>
            <w:vAlign w:val="bottom"/>
          </w:tcPr>
          <w:p>
            <w:pPr>
              <w:spacing w:after="0"/>
              <w:rPr>
                <w:sz w:val="16"/>
                <w:szCs w:val="16"/>
                <w:color w:val="auto"/>
              </w:rPr>
            </w:pPr>
          </w:p>
        </w:tc>
      </w:tr>
      <w:tr>
        <w:trPr>
          <w:trHeight w:val="208"/>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9"/>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w:t>
            </w:r>
          </w:p>
        </w:tc>
      </w:tr>
      <w:tr>
        <w:trPr>
          <w:trHeight w:val="196"/>
        </w:trPr>
        <w:tc>
          <w:tcPr>
            <w:tcW w:w="9280" w:type="dxa"/>
            <w:vAlign w:val="bottom"/>
          </w:tcPr>
          <w:p>
            <w:pPr>
              <w:ind w:left="220"/>
              <w:spacing w:after="0"/>
              <w:rPr>
                <w:sz w:val="20"/>
                <w:szCs w:val="20"/>
                <w:color w:val="auto"/>
              </w:rPr>
            </w:pPr>
            <w:r>
              <w:rPr>
                <w:rFonts w:ascii="Arial" w:cs="Arial" w:eastAsia="Arial" w:hAnsi="Arial"/>
                <w:sz w:val="14"/>
                <w:szCs w:val="14"/>
                <w:color w:val="auto"/>
              </w:rPr>
              <w:t>Adjustments to reconcile net (loss) earnings to net cash provided by (used in) operating activities: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r>
      <w:tr>
        <w:trPr>
          <w:trHeight w:val="196"/>
        </w:trPr>
        <w:tc>
          <w:tcPr>
            <w:tcW w:w="928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09"/>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on sales of investments and other assets and asset impairments,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Pr>
          <w:p>
            <w:pPr>
              <w:ind w:left="460"/>
              <w:spacing w:after="0"/>
              <w:rPr>
                <w:sz w:val="20"/>
                <w:szCs w:val="20"/>
                <w:color w:val="auto"/>
              </w:rPr>
            </w:pPr>
            <w:r>
              <w:rPr>
                <w:rFonts w:ascii="Arial" w:cs="Arial" w:eastAsia="Arial" w:hAnsi="Arial"/>
                <w:sz w:val="14"/>
                <w:szCs w:val="14"/>
                <w:color w:val="auto"/>
              </w:rPr>
              <w:t>Non-cash lease costs</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37</w:t>
            </w:r>
          </w:p>
        </w:tc>
      </w:tr>
      <w:tr>
        <w:trPr>
          <w:trHeight w:val="209"/>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lease payments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196"/>
        </w:trPr>
        <w:tc>
          <w:tcPr>
            <w:tcW w:w="9280" w:type="dxa"/>
            <w:vAlign w:val="bottom"/>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09"/>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r>
      <w:tr>
        <w:trPr>
          <w:trHeight w:val="196"/>
        </w:trPr>
        <w:tc>
          <w:tcPr>
            <w:tcW w:w="9280" w:type="dxa"/>
            <w:vAlign w:val="bottom"/>
          </w:tcPr>
          <w:p>
            <w:pPr>
              <w:ind w:left="460"/>
              <w:spacing w:after="0"/>
              <w:rPr>
                <w:sz w:val="20"/>
                <w:szCs w:val="20"/>
                <w:color w:val="auto"/>
              </w:rPr>
            </w:pPr>
            <w:r>
              <w:rPr>
                <w:rFonts w:ascii="Arial" w:cs="Arial" w:eastAsia="Arial" w:hAnsi="Arial"/>
                <w:sz w:val="14"/>
                <w:szCs w:val="14"/>
                <w:color w:val="auto"/>
              </w:rPr>
              <w:t>Change in valuation of equity and preferred securities, net</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09"/>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6"/>
        </w:trPr>
        <w:tc>
          <w:tcPr>
            <w:tcW w:w="9280" w:type="dxa"/>
            <w:vAlign w:val="bottom"/>
          </w:tcPr>
          <w:p>
            <w:pPr>
              <w:ind w:left="500"/>
              <w:spacing w:after="0"/>
              <w:rPr>
                <w:sz w:val="20"/>
                <w:szCs w:val="20"/>
                <w:color w:val="auto"/>
              </w:rPr>
            </w:pPr>
            <w:r>
              <w:rPr>
                <w:rFonts w:ascii="Arial" w:cs="Arial" w:eastAsia="Arial" w:hAnsi="Arial"/>
                <w:sz w:val="14"/>
                <w:szCs w:val="14"/>
                <w:color w:val="auto"/>
              </w:rPr>
              <w:t>Net decrease in trade receivables</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209"/>
        </w:trPr>
        <w:tc>
          <w:tcPr>
            <w:tcW w:w="9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prepaid expenses and 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r>
      <w:tr>
        <w:trPr>
          <w:trHeight w:val="196"/>
        </w:trPr>
        <w:tc>
          <w:tcPr>
            <w:tcW w:w="9280" w:type="dxa"/>
            <w:vAlign w:val="bottom"/>
          </w:tcPr>
          <w:p>
            <w:pPr>
              <w:ind w:left="50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09"/>
        </w:trPr>
        <w:tc>
          <w:tcPr>
            <w:tcW w:w="9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increase (decrease) in reserve for title claim losses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196"/>
        </w:trPr>
        <w:tc>
          <w:tcPr>
            <w:tcW w:w="92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change in income taxes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r>
      <w:tr>
        <w:trPr>
          <w:trHeight w:val="20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190"/>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investment securities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r>
      <w:tr>
        <w:trPr>
          <w:trHeight w:val="197"/>
        </w:trPr>
        <w:tc>
          <w:tcPr>
            <w:tcW w:w="9280" w:type="dxa"/>
            <w:vAlign w:val="bottom"/>
          </w:tcPr>
          <w:p>
            <w:pPr>
              <w:ind w:left="220"/>
              <w:spacing w:after="0"/>
              <w:rPr>
                <w:sz w:val="20"/>
                <w:szCs w:val="20"/>
                <w:color w:val="auto"/>
              </w:rPr>
            </w:pPr>
            <w:r>
              <w:rPr>
                <w:rFonts w:ascii="Arial" w:cs="Arial" w:eastAsia="Arial" w:hAnsi="Arial"/>
                <w:sz w:val="14"/>
                <w:szCs w:val="14"/>
                <w:color w:val="auto"/>
              </w:rPr>
              <w:t>Proceeds from calls and maturities of investment securities</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62</w:t>
            </w: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9280" w:type="dxa"/>
            <w:vAlign w:val="bottom"/>
          </w:tcPr>
          <w:p>
            <w:pPr>
              <w:ind w:left="220"/>
              <w:spacing w:after="0"/>
              <w:rPr>
                <w:sz w:val="20"/>
                <w:szCs w:val="20"/>
                <w:color w:val="auto"/>
              </w:rPr>
            </w:pPr>
            <w:r>
              <w:rPr>
                <w:rFonts w:ascii="Arial" w:cs="Arial" w:eastAsia="Arial" w:hAnsi="Arial"/>
                <w:sz w:val="14"/>
                <w:szCs w:val="14"/>
                <w:color w:val="auto"/>
              </w:rPr>
              <w:t>Fundings of Cannae Holdings Inc. note receivable</w:t>
            </w:r>
          </w:p>
        </w:tc>
        <w:tc>
          <w:tcPr>
            <w:tcW w:w="1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capitalized software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197"/>
        </w:trPr>
        <w:tc>
          <w:tcPr>
            <w:tcW w:w="9280" w:type="dxa"/>
            <w:vAlign w:val="bottom"/>
          </w:tcPr>
          <w:p>
            <w:pPr>
              <w:ind w:left="220"/>
              <w:spacing w:after="0"/>
              <w:rPr>
                <w:sz w:val="20"/>
                <w:szCs w:val="20"/>
                <w:color w:val="auto"/>
              </w:rPr>
            </w:pPr>
            <w:r>
              <w:rPr>
                <w:rFonts w:ascii="Arial" w:cs="Arial" w:eastAsia="Arial" w:hAnsi="Arial"/>
                <w:sz w:val="14"/>
                <w:szCs w:val="14"/>
                <w:color w:val="auto"/>
              </w:rPr>
              <w:t>Purchases of investment securities</w:t>
            </w: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(purchases of) proceeds from sales and maturities of short-term investment securities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w:t>
            </w:r>
          </w:p>
        </w:tc>
      </w:tr>
      <w:tr>
        <w:trPr>
          <w:trHeight w:val="197"/>
        </w:trPr>
        <w:tc>
          <w:tcPr>
            <w:tcW w:w="928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r>
      <w:tr>
        <w:trPr>
          <w:trHeight w:val="197"/>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0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r>
      <w:tr>
        <w:trPr>
          <w:trHeight w:val="190"/>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197"/>
        </w:trPr>
        <w:tc>
          <w:tcPr>
            <w:tcW w:w="9280" w:type="dxa"/>
            <w:vAlign w:val="bottom"/>
          </w:tcPr>
          <w:p>
            <w:pPr>
              <w:ind w:left="22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7"/>
        </w:trPr>
        <w:tc>
          <w:tcPr>
            <w:tcW w:w="9280" w:type="dxa"/>
            <w:vAlign w:val="bottom"/>
          </w:tcPr>
          <w:p>
            <w:pPr>
              <w:ind w:left="220"/>
              <w:spacing w:after="0"/>
              <w:rPr>
                <w:sz w:val="20"/>
                <w:szCs w:val="20"/>
                <w:color w:val="auto"/>
              </w:rPr>
            </w:pPr>
            <w:r>
              <w:rPr>
                <w:rFonts w:ascii="Arial" w:cs="Arial" w:eastAsia="Arial" w:hAnsi="Arial"/>
                <w:sz w:val="14"/>
                <w:szCs w:val="14"/>
                <w:color w:val="auto"/>
              </w:rPr>
              <w:t>Net change in secured trust deposits</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(113)</w:t>
            </w:r>
          </w:p>
        </w:tc>
      </w:tr>
      <w:tr>
        <w:trPr>
          <w:trHeight w:val="208"/>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197"/>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Purchases of treasury stock</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196"/>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r>
      <w:tr>
        <w:trPr>
          <w:trHeight w:val="196"/>
        </w:trPr>
        <w:tc>
          <w:tcPr>
            <w:tcW w:w="92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(134)</w:t>
            </w:r>
          </w:p>
        </w:tc>
      </w:tr>
      <w:tr>
        <w:trPr>
          <w:trHeight w:val="20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1,257</w:t>
            </w:r>
          </w:p>
        </w:tc>
      </w:tr>
      <w:tr>
        <w:trPr>
          <w:trHeight w:val="202"/>
        </w:trPr>
        <w:tc>
          <w:tcPr>
            <w:tcW w:w="92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1,123</w:t>
            </w: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FGL Holdings ("FGL")</w:t>
      </w:r>
    </w:p>
    <w:p>
      <w:pPr>
        <w:spacing w:after="0" w:line="252"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On February 7, 2020, we entered into a merger agreement as amended or otherwise supplemented from time to time, (the “Merger Agreement”) to acquire FGL (NYSE: FG) (the “FGL Merger”). Subject to the terms and conditions of the Merger Agreement, which has been approved by the board of directors of FNF, at the First Effective Time (as defined in the Merger Agreement), the ordinary shares of FGL (the “Ordinary Shares”), including all restricted Ordinary Shares (whether vested or unvested), issued and outstanding as of immediately prior to the First Effective Time (other than (i) shares owned by FGL and any of its subsidiaries or FNF and any of its subsidiaries and (ii) shares in respect of which dissenters rights have been properly exercised and perfected under Cayman law) will be converted into the right to receive $12.50 in cash or 0.2558 shares (“the Stock Consideration”) of common stock of FNF (“FNF Common Stock”), at the election of the holder thereof and subject to the proration mechanics set forth in the Merger Agreement. Pursuant to the Merger Agreement, all Ordinary Shares held by FNF and its subsidiaries will be converted into the right to receive the Stock Consideration. Each Series B Cumulative Preferred Share, all of which are held by FNF and its subsidiaries, will be converted into the right to receive a number of shares of FNF Common Stock that is equal to (i) the Liquidation Preference (as defined in the Merger Agreement) divided by (ii) the Reference Parent Common Stock Price (as defined in the Merger Agreement).</w:t>
      </w:r>
    </w:p>
    <w:p>
      <w:pPr>
        <w:spacing w:after="0" w:line="20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Additionally, pursuant to the Merger Agreement, all options to purchase Ordinary Shares (“FGL Share Option”) and phantom unit denominated in Ordinary Shares (“FGL Phantom Unit”), in each case, outstanding immediately prior to the First Effective Time, will be canceled and converted into options to purchase FNF Common Stock and phantom units denominated in FNF Common Stock at the First Effective Time (collectively, the “Rollover Awards”), as applicable. The Rollover Awards will generally be subject to the same terms and conditions as applicable to the applicable canceled FGL Share Option or FGL Phantom Unit immediately prior to the First Effective Time, except that (i) all performance-vesting criteria will be deemed satisfied at the First Effective Time at the levels described in the Merger Agreement and such Rollover Awards will be subject only to time-based vesting conditions after the First Effective Time, and (ii) immediately prior to the First Effective Time, additional time-vesting credits will be provided to holders in respect of FGL Share Options and FGL Phantom Units granted prior to January 1, 2020, as described in the Merger Agreement.</w:t>
      </w:r>
    </w:p>
    <w:p>
      <w:pPr>
        <w:spacing w:after="0" w:line="192"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closing of the FGL Merger is subject to certain closing conditions, including the approval by FGL stockholders, federal and state regulatory approvals, and the satisfaction of other customary closing conditions. Closing is expected in the second or third quarter of 2020.</w:t>
      </w:r>
    </w:p>
    <w:p>
      <w:pPr>
        <w:spacing w:after="0" w:line="17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April 27, 2020 we entered into an amendment to the Merger Agreement (the "Amendment"). See Item 5. of Part II of this Quarterly Report for further discussion of the Amendment.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connection with the contemplated FGL Merger, on April 22, 2020, we entered into a term loan credit agreement that provides for an aggregate principal borrowing of $1.0 billion (the "Term Loan Agreement") with Bank of America, N.A, as administrative agent (in such capacity, the "Administrative Agent"), JPMorgan Chase Bank, N.A., as syndication agent, and the other lenders party thereto from time to time (the “Term Lenders”), pursuant to which the Term Lenders provided a $1 billion delayed draw term loan facility (the “Term Loan”). The Term Loan generally accrues interest based on a fluctuating rate per annum based on either (i) the base rate (which is equal to the highest of (a) the federal funds rate plus 0.5% of 1%, (b) the Administrative Agent’s "prime rate," and (c) LIBOR plus 1% (with a floor of 1.75%)), plus a margin of between 1% and 2% depending on the senior unsecured debt ratings of FNF (the “FNF Debt Rating”) or (ii) LIBOR (with a floor of 0.75%) plus a margin of between 2% and 0.03 depending on the FNF Debt Rating. In accordance with the Term Loan Agreement, the FGL Merger shall have been, or shall concurrently with the Term Loan Agreement borrowing be, consummated in accordance with the terms of the Merger Agreement. See Item 5. of Part II of this Quarterly Report for further discussion of the Term Loan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ind w:right="140" w:firstLine="324"/>
        <w:spacing w:after="0" w:line="241" w:lineRule="auto"/>
        <w:rPr>
          <w:sz w:val="20"/>
          <w:szCs w:val="20"/>
          <w:color w:val="auto"/>
        </w:rPr>
      </w:pPr>
      <w:r>
        <w:rPr>
          <w:rFonts w:ascii="Arial" w:cs="Arial" w:eastAsia="Arial" w:hAnsi="Arial"/>
          <w:sz w:val="18"/>
          <w:szCs w:val="18"/>
          <w:color w:val="auto"/>
        </w:rPr>
        <w:t>Income tax (benefit) expense was $(28) million and $65 million in the three-month periods ended March 31, 2020 and 2019, respectively. Income tax (benefit) expense as a percentage of (loss) earnings before income taxes was 33% and 25% in the three-month periods ended March 31, 2020 and 2019, respectively. The change in income tax (benefit) expense as a percentage of (loss) earnings before income taxes in the 2020 period from the comparable period in 2019 is primarily attributable to an additional tax benefit in the current quarter of $7 million related to a 2017 amended return filed in the 2020 period.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Options or other instruments which provide the ability to purchase shares of our common stock that are antidilutive are excluded from the computation of diluted earnings per share. For the three months ended March 31, 2020, our basic and diluted net loss per share attributable to FNF common shareholders are the same because we generated a net loss attributable to FNF common shareholders and the assumed conversions of our potentially dilutive securities would have an antidilutive impact. There were three million antidilutive securities outstanding during the three months ended March 31, 2020. There were no antidilutive instruments outstanding during the three months ended March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2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color w:val="auto"/>
        </w:rPr>
        <w:t>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The method used to measure estimated credit losses for fixed maturity available-for-sale securities will be unchanged from current GAAP; however, the amendments require credit losses to be recognized through an allowance rather than as a reduction to the amortized cost of those securities. We adopted ASC 326 using the modified retrospective method for all financial assets measured at amortized cost. Results for reporting period beginning after December 15, 2019 are presented under ASC 326 while prior period amounts continue to be reported in accordance with previously applicable Generally Accepted Accounting Principles. We adopted this standard using the prospective transition approach for debt securities for which other than temporary impairment had been recognized prior to January 1, 2020. As a result, the amortized cost basis remains the same before and after the effective date of ASC 326. The effective interest rate on these debt securities was not changed. Amounts previously recognized in accumulated other comprehensive income as of January 1, 2020 relating to improvements in cash flows expected to be collected will be accreted into income over the remaining life of the asset.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Recoveries of amounts previously written off relating to improvements in cash flows after January 1, 2020 will be recorded in earnings when received. We did not record a cumulative-effect adjustment to the opening balance of retained earnings upon adoption of this standard in the current quarter as the impact was not material. The overall effect of Topic 326 was not material to the Consolidated Financial Statements upon adoption. See Note D.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for further discussion of the adoption as it relates to our fixed maturity securities available for sale.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We have adopted this standard as of January 1, 2020 and are applying this guidance on a prospective basis. The overall effect of Topic 350 was not material to the Consolidated Financial Statements upon adoption.</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2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do not expect this guidance to have a material impact on our Consolidated Financial Statements and related disclosures upon adoption.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Claim Losses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r>
      <w:tr>
        <w:trPr>
          <w:trHeight w:val="196"/>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7"/>
                <w:szCs w:val="17"/>
                <w:color w:val="auto"/>
              </w:rPr>
            </w:pPr>
          </w:p>
        </w:tc>
      </w:tr>
      <w:tr>
        <w:trPr>
          <w:trHeight w:val="196"/>
        </w:trPr>
        <w:tc>
          <w:tcPr>
            <w:tcW w:w="8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8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Change in reinsurance recoverable</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 loss provision related to:</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8060" w:type="dxa"/>
            <w:vAlign w:val="bottom"/>
          </w:tcPr>
          <w:p>
            <w:pPr>
              <w:ind w:left="460"/>
              <w:spacing w:after="0"/>
              <w:rPr>
                <w:sz w:val="20"/>
                <w:szCs w:val="20"/>
                <w:color w:val="auto"/>
              </w:rPr>
            </w:pPr>
            <w:r>
              <w:rPr>
                <w:rFonts w:ascii="Arial" w:cs="Arial" w:eastAsia="Arial" w:hAnsi="Arial"/>
                <w:sz w:val="18"/>
                <w:szCs w:val="18"/>
                <w:color w:val="auto"/>
              </w:rPr>
              <w:t>Total title claim loss provision</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auto"/>
            </w:tcBorders>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8060" w:type="dxa"/>
            <w:vAlign w:val="bottom"/>
          </w:tcPr>
          <w:p>
            <w:pPr>
              <w:ind w:left="460"/>
              <w:spacing w:after="0"/>
              <w:rPr>
                <w:sz w:val="20"/>
                <w:szCs w:val="20"/>
                <w:color w:val="auto"/>
              </w:rPr>
            </w:pPr>
            <w:r>
              <w:rPr>
                <w:rFonts w:ascii="Arial" w:cs="Arial" w:eastAsia="Arial" w:hAnsi="Arial"/>
                <w:sz w:val="18"/>
                <w:szCs w:val="18"/>
                <w:color w:val="auto"/>
              </w:rPr>
              <w:t>Total title claims paid, net of recoupments</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auto"/>
            </w:tcBorders>
          </w:tcPr>
          <w:p>
            <w:pPr>
              <w:spacing w:after="0"/>
              <w:rPr>
                <w:sz w:val="20"/>
                <w:szCs w:val="20"/>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spacing w:after="0"/>
              <w:rPr>
                <w:sz w:val="24"/>
                <w:szCs w:val="24"/>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8060" w:type="dxa"/>
            <w:vAlign w:val="bottom"/>
          </w:tcPr>
          <w:p>
            <w:pPr>
              <w:ind w:left="2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color w:val="auto"/>
        </w:rPr>
        <w:t>Five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It is further alleged that Chicago Title Company participated with Ms. Champion-Cain and her entities in a fraud scheme involving an escrow account maintained by Chicago Title Company into which the plaintiffs’ funds were deposited. The five lawsuits are as follows:</w:t>
      </w:r>
    </w:p>
    <w:p>
      <w:pPr>
        <w:spacing w:after="0" w:line="221"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 xml:space="preserve">On October 22, 2019, a lawsuit styled, </w:t>
      </w:r>
      <w:r>
        <w:rPr>
          <w:rFonts w:ascii="Arial" w:cs="Arial" w:eastAsia="Arial" w:hAnsi="Arial"/>
          <w:sz w:val="18"/>
          <w:szCs w:val="18"/>
          <w:i w:val="1"/>
          <w:iCs w:val="1"/>
          <w:color w:val="auto"/>
        </w:rPr>
        <w:t>Ovation Fin. Holdings 2 LLC, Ovation Fund Mgmt. II, LLC, Banc of California, N.A. v. Chicago Title Ins. Co.,</w:t>
      </w:r>
      <w:r>
        <w:rPr>
          <w:rFonts w:ascii="Arial" w:cs="Arial" w:eastAsia="Arial" w:hAnsi="Arial"/>
          <w:sz w:val="18"/>
          <w:szCs w:val="18"/>
          <w:color w:val="auto"/>
        </w:rPr>
        <w:t xml:space="preserve"> </w:t>
      </w:r>
      <w:r>
        <w:rPr>
          <w:rFonts w:ascii="Arial" w:cs="Arial" w:eastAsia="Arial" w:hAnsi="Arial"/>
          <w:sz w:val="18"/>
          <w:szCs w:val="18"/>
          <w:i w:val="1"/>
          <w:iCs w:val="1"/>
          <w:color w:val="auto"/>
        </w:rPr>
        <w:t>Chicago Title Co</w:t>
      </w:r>
      <w:r>
        <w:rPr>
          <w:rFonts w:ascii="Arial" w:cs="Arial" w:eastAsia="Arial" w:hAnsi="Arial"/>
          <w:sz w:val="18"/>
          <w:szCs w:val="18"/>
          <w:color w:val="auto"/>
        </w:rPr>
        <w:t>., was filed in the United States District Court for the Southern District of California. Plaintiffs claim losses of more than $75 million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alleged fraud scheme, and also seek consequential,</w:t>
      </w:r>
    </w:p>
    <w:p>
      <w:pPr>
        <w:spacing w:after="0" w:line="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treble, and punitive damages. The Named Companies are defending and have filed a motion to dismiss the complaint on several grounds, or alternatively, to stay the case.</w:t>
      </w:r>
    </w:p>
    <w:p>
      <w:pPr>
        <w:spacing w:after="0" w:line="21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On November 5, 2019, a putative class action lawsuit styled, </w:t>
      </w:r>
      <w:r>
        <w:rPr>
          <w:rFonts w:ascii="Arial" w:cs="Arial" w:eastAsia="Arial" w:hAnsi="Arial"/>
          <w:sz w:val="16"/>
          <w:szCs w:val="16"/>
          <w:i w:val="1"/>
          <w:iCs w:val="1"/>
          <w:color w:val="auto"/>
        </w:rPr>
        <w:t>Blake E. Allred and Melissa M. Allred v. Chicago Title Co., Chicago Title Ins. Co., Adelle</w:t>
      </w:r>
      <w:r>
        <w:rPr>
          <w:rFonts w:ascii="Arial" w:cs="Arial" w:eastAsia="Arial" w:hAnsi="Arial"/>
          <w:sz w:val="16"/>
          <w:szCs w:val="16"/>
          <w:color w:val="auto"/>
        </w:rPr>
        <w:t xml:space="preserve"> </w:t>
      </w:r>
      <w:r>
        <w:rPr>
          <w:rFonts w:ascii="Arial" w:cs="Arial" w:eastAsia="Arial" w:hAnsi="Arial"/>
          <w:sz w:val="16"/>
          <w:szCs w:val="16"/>
          <w:i w:val="1"/>
          <w:iCs w:val="1"/>
          <w:color w:val="auto"/>
        </w:rPr>
        <w:t>E. Ducharme, Betty Elixman, Gina Champion-Cain, Joelle Hanson, Cris Torres, and Rachel Bond</w:t>
      </w:r>
      <w:r>
        <w:rPr>
          <w:rFonts w:ascii="Arial" w:cs="Arial" w:eastAsia="Arial" w:hAnsi="Arial"/>
          <w:sz w:val="16"/>
          <w:szCs w:val="16"/>
          <w:color w:val="auto"/>
        </w:rPr>
        <w:t>, was filed in the United States District Court for the</w:t>
      </w:r>
    </w:p>
    <w:p>
      <w:pPr>
        <w:ind w:right="280"/>
        <w:spacing w:after="0" w:line="260" w:lineRule="auto"/>
        <w:rPr>
          <w:sz w:val="20"/>
          <w:szCs w:val="20"/>
          <w:color w:val="auto"/>
        </w:rPr>
      </w:pPr>
      <w:r>
        <w:rPr>
          <w:rFonts w:ascii="Arial" w:cs="Arial" w:eastAsia="Arial" w:hAnsi="Arial"/>
          <w:sz w:val="18"/>
          <w:szCs w:val="18"/>
          <w:color w:val="auto"/>
        </w:rPr>
        <w:t>Southern District of California. Plaintiffs seek class certification and consequential, treble, and punitive damages. The Named Companies are defending and have filed a motion to dismiss the complaint on several grounds, or alternatively, to stay the case.</w:t>
      </w:r>
    </w:p>
    <w:p>
      <w:pPr>
        <w:spacing w:after="0" w:line="21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On December 13, 2019, a lawsuit styled, </w:t>
      </w:r>
      <w:r>
        <w:rPr>
          <w:rFonts w:ascii="Arial" w:cs="Arial" w:eastAsia="Arial" w:hAnsi="Arial"/>
          <w:sz w:val="16"/>
          <w:szCs w:val="16"/>
          <w:i w:val="1"/>
          <w:iCs w:val="1"/>
          <w:color w:val="auto"/>
        </w:rPr>
        <w:t>Kim Funding, LLC, Kim H. Peterson, Joseph J. Cohen, and ABC Funding Strategies, LLC v. Chicago Title</w:t>
      </w:r>
      <w:r>
        <w:rPr>
          <w:rFonts w:ascii="Arial" w:cs="Arial" w:eastAsia="Arial" w:hAnsi="Arial"/>
          <w:sz w:val="16"/>
          <w:szCs w:val="16"/>
          <w:color w:val="auto"/>
        </w:rPr>
        <w:t xml:space="preserve"> </w:t>
      </w:r>
      <w:r>
        <w:rPr>
          <w:rFonts w:ascii="Arial" w:cs="Arial" w:eastAsia="Arial" w:hAnsi="Arial"/>
          <w:sz w:val="16"/>
          <w:szCs w:val="16"/>
          <w:i w:val="1"/>
          <w:iCs w:val="1"/>
          <w:color w:val="auto"/>
        </w:rPr>
        <w:t>Co., Chicago Title Ins. Co., Thomas Schwiebert, Adelle Ducharme, and Betty Elixman</w:t>
      </w:r>
      <w:r>
        <w:rPr>
          <w:rFonts w:ascii="Arial" w:cs="Arial" w:eastAsia="Arial" w:hAnsi="Arial"/>
          <w:sz w:val="16"/>
          <w:szCs w:val="16"/>
          <w:color w:val="auto"/>
        </w:rPr>
        <w:t>, was filed in the Superior Court of San Diego County for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Plaintiffs claim losses of more than $250 million as a result of the alleged fraud scheme, and also seek statutory, treble, and punitive damages.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Named Companies are defending and have filed a motion to dismiss the complaint on several grounds.</w:t>
      </w:r>
    </w:p>
    <w:p>
      <w:pPr>
        <w:spacing w:after="0" w:line="224" w:lineRule="exact"/>
        <w:rPr>
          <w:sz w:val="20"/>
          <w:szCs w:val="20"/>
          <w:color w:val="auto"/>
        </w:rPr>
      </w:pPr>
    </w:p>
    <w:p>
      <w:pPr>
        <w:ind w:right="120" w:firstLine="324"/>
        <w:spacing w:after="0" w:line="231" w:lineRule="auto"/>
        <w:rPr>
          <w:sz w:val="20"/>
          <w:szCs w:val="20"/>
          <w:color w:val="auto"/>
        </w:rPr>
      </w:pPr>
      <w:r>
        <w:rPr>
          <w:rFonts w:ascii="Arial" w:cs="Arial" w:eastAsia="Arial" w:hAnsi="Arial"/>
          <w:sz w:val="18"/>
          <w:szCs w:val="18"/>
          <w:color w:val="auto"/>
        </w:rPr>
        <w:t xml:space="preserve">On March 6, 2020, a lawsuit styled, </w:t>
      </w:r>
      <w:r>
        <w:rPr>
          <w:rFonts w:ascii="Arial" w:cs="Arial" w:eastAsia="Arial" w:hAnsi="Arial"/>
          <w:sz w:val="18"/>
          <w:szCs w:val="18"/>
          <w:i w:val="1"/>
          <w:iCs w:val="1"/>
          <w:color w:val="auto"/>
        </w:rPr>
        <w:t>Wakefield Capital, LLC, Wakefield Investments, LLC, 2Budz Holding, LLC, Doug and Kristine Heidrich, and Jeff</w:t>
      </w:r>
      <w:r>
        <w:rPr>
          <w:rFonts w:ascii="Arial" w:cs="Arial" w:eastAsia="Arial" w:hAnsi="Arial"/>
          <w:sz w:val="18"/>
          <w:szCs w:val="18"/>
          <w:color w:val="auto"/>
        </w:rPr>
        <w:t xml:space="preserve"> </w:t>
      </w:r>
      <w:r>
        <w:rPr>
          <w:rFonts w:ascii="Arial" w:cs="Arial" w:eastAsia="Arial" w:hAnsi="Arial"/>
          <w:sz w:val="18"/>
          <w:szCs w:val="18"/>
          <w:i w:val="1"/>
          <w:iCs w:val="1"/>
          <w:color w:val="auto"/>
        </w:rPr>
        <w:t>and Heidi Orr v. Chicago Title Co. and Chicago Title Ins. Co.</w:t>
      </w:r>
      <w:r>
        <w:rPr>
          <w:rFonts w:ascii="Arial" w:cs="Arial" w:eastAsia="Arial" w:hAnsi="Arial"/>
          <w:sz w:val="18"/>
          <w:szCs w:val="18"/>
          <w:color w:val="auto"/>
        </w:rPr>
        <w:t>, was filed in the Superior Court of San Diego County for the State of California.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claim losses in excess of $7.8 million as a result of the alleged fraud scheme, and also seek punitive damages, recovery of attorneys’ fees, and disgorgement. The Company is investigating and will file its response on or before the due date.</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 xml:space="preserve">On March 16, 2020, a lawsuit styled, </w:t>
      </w:r>
      <w:r>
        <w:rPr>
          <w:rFonts w:ascii="Arial" w:cs="Arial" w:eastAsia="Arial" w:hAnsi="Arial"/>
          <w:sz w:val="18"/>
          <w:szCs w:val="18"/>
          <w:i w:val="1"/>
          <w:iCs w:val="1"/>
          <w:color w:val="auto"/>
        </w:rPr>
        <w:t>Randolph L. Levin, et al., v. Chicago Title Co., Chicago Title Ins. Co., Thomas Schwiebert, Adelle Ducharme, Betty</w:t>
      </w:r>
      <w:r>
        <w:rPr>
          <w:rFonts w:ascii="Arial" w:cs="Arial" w:eastAsia="Arial" w:hAnsi="Arial"/>
          <w:sz w:val="18"/>
          <w:szCs w:val="18"/>
          <w:color w:val="auto"/>
        </w:rPr>
        <w:t xml:space="preserve"> </w:t>
      </w:r>
      <w:r>
        <w:rPr>
          <w:rFonts w:ascii="Arial" w:cs="Arial" w:eastAsia="Arial" w:hAnsi="Arial"/>
          <w:sz w:val="18"/>
          <w:szCs w:val="18"/>
          <w:i w:val="1"/>
          <w:iCs w:val="1"/>
          <w:color w:val="auto"/>
        </w:rPr>
        <w:t>Elixman, et al</w:t>
      </w:r>
      <w:r>
        <w:rPr>
          <w:rFonts w:ascii="Arial" w:cs="Arial" w:eastAsia="Arial" w:hAnsi="Arial"/>
          <w:sz w:val="18"/>
          <w:szCs w:val="18"/>
          <w:color w:val="auto"/>
        </w:rPr>
        <w:t>., was filed in the Superior Court of San Diego County for the State of</w:t>
      </w:r>
    </w:p>
    <w:p>
      <w:pPr>
        <w:sectPr>
          <w:pgSz w:w="11900" w:h="16838" w:orient="portrait"/>
          <w:cols w:equalWidth="0" w:num="1">
            <w:col w:w="11220"/>
          </w:cols>
          <w:pgMar w:left="320" w:top="121" w:right="35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0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California. Plaintiffs claim losses in excess of $38 million as a result of the alleged fraud scheme, and also seek punitive damages and the recovery of attorneys’ fees. The Company is investigating and will file its response on or before the due date.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Chicago Title Company is also in receipt of a pre-suit demand for approximately $30 million from another group of alleged investors.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Chicago Title Company has acknowledged receipt of the claim and is investigating.</w:t>
      </w:r>
    </w:p>
    <w:p>
      <w:pPr>
        <w:spacing w:after="0" w:line="2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At this time, the Company is unable to ascertain its liability, if any, and is unable to make an estimate of a reasonably possible claim loss for any of these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The Company, however, has recorded an incurred claim loss reserve for legal fees related to these matters as of March 31, 2020, which is included in its consolidated reserve for claim losses. As further information becomes available, the Company will continue to evaluate the adequacy of its consolidated reserve for claim losses.</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fair value hierarchy for those assets and liabilities measured at fair value on a recurring basis as of March 31, 2020 and December 31, 2019,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6"/>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278</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 and political subdivisions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1,567</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Mortgage-backed/asset-backed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57</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628</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r>
      <w:tr>
        <w:trPr>
          <w:trHeight w:val="263"/>
        </w:trPr>
        <w:tc>
          <w:tcPr>
            <w:tcW w:w="60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3,048</w:t>
            </w:r>
          </w:p>
        </w:tc>
      </w:tr>
      <w:tr>
        <w:trPr>
          <w:trHeight w:val="21"/>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41"/>
        </w:trPr>
        <w:tc>
          <w:tcPr>
            <w:tcW w:w="6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6"/>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288</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 and political subdivisions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1,587</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Mortgage-backed/asset-backed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w:t>
            </w:r>
          </w:p>
        </w:tc>
      </w:tr>
      <w:tr>
        <w:trPr>
          <w:trHeight w:val="243"/>
        </w:trPr>
        <w:tc>
          <w:tcPr>
            <w:tcW w:w="6040" w:type="dxa"/>
            <w:vAlign w:val="bottom"/>
          </w:tcPr>
          <w:p>
            <w:pPr>
              <w:ind w:left="220"/>
              <w:spacing w:after="0"/>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60</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811</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r>
      <w:tr>
        <w:trPr>
          <w:trHeight w:val="263"/>
        </w:trPr>
        <w:tc>
          <w:tcPr>
            <w:tcW w:w="60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3,344</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preferred securities and fixed 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69" w:lineRule="exact"/>
        <w:rPr>
          <w:sz w:val="20"/>
          <w:szCs w:val="20"/>
          <w:color w:val="auto"/>
        </w:rPr>
      </w:pPr>
    </w:p>
    <w:p>
      <w:pPr>
        <w:ind w:left="66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81" w:lineRule="exact"/>
        <w:rPr>
          <w:sz w:val="20"/>
          <w:szCs w:val="20"/>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Level 3 fair value measures for our other long-term investment were provided by a third-party pricing service. We utilized one firm to value our Level 3 other long-term investment. The pricing service is a leading global provider of financial market data, analytics and related services to financial institutions. We utilized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December 31, 2019 was a range of 6.8% - 7.4% and a weighted-average of 7.0%. Based on the total fair value of our Level 3 other long-term investment as of December 31, 2019, changes in the discount rate utilized will not result in a fair value significantly different than the amount recorded.</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remaining Level 3 fair value measures for our equity and corporate debt securities relate to multiple investments which are considered immaterial individually and in the aggregate.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three-month periods ended March 31,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center"/>
              <w:ind w:left="294"/>
              <w:spacing w:after="0"/>
              <w:rPr>
                <w:sz w:val="20"/>
                <w:szCs w:val="20"/>
                <w:color w:val="auto"/>
              </w:rPr>
            </w:pPr>
            <w:r>
              <w:rPr>
                <w:rFonts w:ascii="Arial" w:cs="Arial" w:eastAsia="Arial" w:hAnsi="Arial"/>
                <w:sz w:val="14"/>
                <w:szCs w:val="14"/>
                <w:b w:val="1"/>
                <w:bCs w:val="1"/>
                <w:color w:val="auto"/>
                <w:w w:val="92"/>
              </w:rPr>
              <w:t>Three months ended March 31, 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right="32"/>
              <w:spacing w:after="0"/>
              <w:rPr>
                <w:sz w:val="20"/>
                <w:szCs w:val="20"/>
                <w:color w:val="auto"/>
              </w:rPr>
            </w:pPr>
            <w:r>
              <w:rPr>
                <w:rFonts w:ascii="Arial" w:cs="Arial" w:eastAsia="Arial" w:hAnsi="Arial"/>
                <w:sz w:val="14"/>
                <w:szCs w:val="14"/>
                <w:b w:val="1"/>
                <w:bCs w:val="1"/>
                <w:color w:val="auto"/>
                <w:w w:val="92"/>
              </w:rPr>
              <w:t>Three months ended March 31, 2019</w:t>
            </w: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9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Other Long-</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Other Long-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2"/>
              </w:rPr>
              <w:t>Corporate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Debt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Securities</w:t>
            </w: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4"/>
              </w:rPr>
              <w:t>$ 118</w:t>
            </w:r>
          </w:p>
        </w:tc>
        <w:tc>
          <w:tcPr>
            <w:tcW w:w="0" w:type="dxa"/>
            <w:vAlign w:val="bottom"/>
          </w:tcPr>
          <w:p>
            <w:pPr>
              <w:spacing w:after="0"/>
              <w:rPr>
                <w:sz w:val="1"/>
                <w:szCs w:val="1"/>
                <w:color w:val="auto"/>
              </w:rPr>
            </w:pPr>
          </w:p>
        </w:tc>
      </w:tr>
      <w:tr>
        <w:trPr>
          <w:trHeight w:val="243"/>
        </w:trPr>
        <w:tc>
          <w:tcPr>
            <w:tcW w:w="2720" w:type="dxa"/>
            <w:vAlign w:val="bottom"/>
          </w:tcPr>
          <w:p>
            <w:pPr>
              <w:ind w:left="120"/>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Paid-in-kind dividends (1)</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72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 and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720" w:type="dxa"/>
            <w:vAlign w:val="bottom"/>
          </w:tcPr>
          <w:p>
            <w:pPr>
              <w:ind w:left="120"/>
              <w:spacing w:after="0"/>
              <w:rPr>
                <w:sz w:val="20"/>
                <w:szCs w:val="20"/>
                <w:color w:val="auto"/>
              </w:rPr>
            </w:pPr>
            <w:r>
              <w:rPr>
                <w:rFonts w:ascii="Arial" w:cs="Arial" w:eastAsia="Arial" w:hAnsi="Arial"/>
                <w:sz w:val="18"/>
                <w:szCs w:val="18"/>
                <w:color w:val="auto"/>
                <w:w w:val="97"/>
              </w:rPr>
              <w:t>Net valuation (loss) gain included</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20"/>
              <w:spacing w:after="0"/>
              <w:rPr>
                <w:sz w:val="20"/>
                <w:szCs w:val="20"/>
                <w:color w:val="auto"/>
              </w:rPr>
            </w:pPr>
            <w:r>
              <w:rPr>
                <w:rFonts w:ascii="Arial" w:cs="Arial" w:eastAsia="Arial" w:hAnsi="Arial"/>
                <w:sz w:val="18"/>
                <w:szCs w:val="18"/>
                <w:color w:val="auto"/>
              </w:rPr>
              <w:t>in earnings (2)</w:t>
            </w:r>
          </w:p>
        </w:tc>
        <w:tc>
          <w:tcPr>
            <w:tcW w:w="18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ending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4"/>
              </w:rPr>
              <w:t>$ 125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Condensed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Condensed Consolidated Statements of Earnings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For the three months ended March 31, 2020, we transferred $59 million of other long-term investments from Level 3 to Level 1 based on a change in valuation technique. For the three months ended March 31, 2019, transfers out of Level 3 are not considered material.</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Substantially all of the unrealized gain (loss) on investments and other financial instruments, net (excluding investments in unconsolidated affiliates) on our Condensed Consolidated Statements of Comprehensive Income relate to fixed maturity securities which are considered Level 2 fair value measures.</w:t>
      </w:r>
    </w:p>
    <w:p>
      <w:pPr>
        <w:spacing w:after="0" w:line="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The carrying amounts of short-term investments, accounts receivable and notes receivable approximate fair value due to their short-term nature and/or short time period since consummation. Additional information regarding the fair value of our investment portfolio is included in Note D. </w:t>
      </w:r>
      <w:r>
        <w:rPr>
          <w:rFonts w:ascii="Arial" w:cs="Arial" w:eastAsia="Arial" w:hAnsi="Arial"/>
          <w:sz w:val="16"/>
          <w:szCs w:val="16"/>
          <w:i w:val="1"/>
          <w:iCs w:val="1"/>
          <w:color w:val="auto"/>
        </w:rPr>
        <w:t>Investments</w:t>
      </w:r>
      <w:r>
        <w:rPr>
          <w:rFonts w:ascii="Arial" w:cs="Arial" w:eastAsia="Arial" w:hAnsi="Arial"/>
          <w:sz w:val="16"/>
          <w:szCs w:val="16"/>
          <w:color w:val="auto"/>
        </w:rPr>
        <w: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Beginning January 1, 2020, unrealized losses are evaluated to determine whether the decline in fair value has resulted from credit losses or other factors. In making this assessment, management considers the extent to which fair value is less than amortized cost, adverse conditions specifically related to the security and changes to the rating of the security by a rating agency, among other factors, including the correlation between changes in the price of certain comparable benchmark indices and the security. If credit losses exist, an allowance for credit losses is recorded for the credit losses limited by the amount that the fair value is less than the amortized cost. Any impairment that has not been recorded through an allowance for credit losses is recognized in other comprehensive income. Such reviews are inherently uncertain and the value of the investment may not fully recover or may decline in future periods resulting in additional losses.</w:t>
      </w:r>
    </w:p>
    <w:p>
      <w:pPr>
        <w:spacing w:after="0" w:line="87" w:lineRule="exact"/>
        <w:rPr>
          <w:sz w:val="20"/>
          <w:szCs w:val="20"/>
          <w:color w:val="auto"/>
        </w:rPr>
      </w:pPr>
    </w:p>
    <w:p>
      <w:pPr>
        <w:ind w:right="500" w:firstLine="324"/>
        <w:spacing w:after="0" w:line="293" w:lineRule="auto"/>
        <w:rPr>
          <w:sz w:val="20"/>
          <w:szCs w:val="20"/>
          <w:color w:val="auto"/>
        </w:rPr>
      </w:pPr>
      <w:r>
        <w:rPr>
          <w:rFonts w:ascii="Arial" w:cs="Arial" w:eastAsia="Arial" w:hAnsi="Arial"/>
          <w:sz w:val="17"/>
          <w:szCs w:val="17"/>
          <w:color w:val="auto"/>
        </w:rPr>
        <w:t>The cost basis of fixed maturity securities available for sale includes an adjustment for amortized premium or accreted discount since the date of purchase. The fair values of our available for sale securities at March 31, 2020 and December 31, 2019 are as follows:</w:t>
      </w: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Fair</w:t>
            </w:r>
          </w:p>
        </w:tc>
      </w:tr>
      <w:tr>
        <w:trPr>
          <w:trHeight w:val="208"/>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Credit Loss</w:t>
            </w:r>
          </w:p>
        </w:tc>
        <w:tc>
          <w:tcPr>
            <w:tcW w:w="320" w:type="dxa"/>
            <w:vAlign w:val="bottom"/>
          </w:tcPr>
          <w:p>
            <w:pPr>
              <w:spacing w:after="0"/>
              <w:rPr>
                <w:sz w:val="18"/>
                <w:szCs w:val="18"/>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Value</w:t>
            </w:r>
          </w:p>
        </w:tc>
      </w:tr>
      <w:tr>
        <w:trPr>
          <w:trHeight w:val="187"/>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5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U.S. government and agencies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center"/>
              <w:ind w:left="515"/>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278</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w:t>
            </w:r>
          </w:p>
        </w:tc>
      </w:tr>
      <w:tr>
        <w:trPr>
          <w:trHeight w:val="243"/>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center"/>
              <w:ind w:left="595"/>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1,567</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w:t>
            </w:r>
          </w:p>
        </w:tc>
      </w:tr>
      <w:tr>
        <w:trPr>
          <w:trHeight w:val="243"/>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Foreign government bonds</w:t>
            </w:r>
          </w:p>
        </w:tc>
        <w:tc>
          <w:tcPr>
            <w:tcW w:w="3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left="51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57</w:t>
            </w:r>
          </w:p>
        </w:tc>
      </w:tr>
      <w:tr>
        <w:trPr>
          <w:trHeight w:val="27"/>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3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2,057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Fair</w:t>
            </w:r>
          </w:p>
        </w:tc>
      </w:tr>
      <w:tr>
        <w:trPr>
          <w:trHeight w:val="208"/>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Basis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r>
      <w:tr>
        <w:trPr>
          <w:trHeight w:val="187"/>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U.S. government and agencies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288</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w:t>
            </w:r>
          </w:p>
        </w:tc>
      </w:tr>
      <w:tr>
        <w:trPr>
          <w:trHeight w:val="243"/>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1,587</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w:t>
            </w:r>
          </w:p>
        </w:tc>
      </w:tr>
      <w:tr>
        <w:trPr>
          <w:trHeight w:val="243"/>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Foreign government bonds</w:t>
            </w:r>
          </w:p>
        </w:tc>
        <w:tc>
          <w:tcPr>
            <w:tcW w:w="32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60</w:t>
            </w:r>
          </w:p>
        </w:tc>
      </w:tr>
      <w:tr>
        <w:trPr>
          <w:trHeight w:val="27"/>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2,090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4"/>
              </w:rPr>
              <w:t>March 31, 2020</w:t>
            </w: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0"/>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r>
      <w:tr>
        <w:trPr>
          <w:trHeight w:val="208"/>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8"/>
                <w:szCs w:val="18"/>
                <w:color w:val="auto"/>
              </w:rPr>
            </w:pPr>
          </w:p>
        </w:tc>
      </w:tr>
      <w:tr>
        <w:trPr>
          <w:trHeight w:val="196"/>
        </w:trPr>
        <w:tc>
          <w:tcPr>
            <w:tcW w:w="6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(Dollars in millions)</w:t>
            </w: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5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unrealized losses on investment securities for which the allowance for credit losses has not been recorded and the fair value of the related securities, aggregated by investment category and length of time that individual securities have been in a continuous unrealized loss position at March 31, 2020 were as follows:</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Borders>
              <w:bottom w:val="single" w:sz="8" w:color="auto"/>
            </w:tcBorders>
          </w:tcPr>
          <w:p>
            <w:pPr>
              <w:spacing w:after="0"/>
              <w:rPr>
                <w:sz w:val="16"/>
                <w:szCs w:val="16"/>
                <w:color w:val="auto"/>
              </w:rPr>
            </w:pPr>
          </w:p>
        </w:tc>
      </w:t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6"/>
                <w:szCs w:val="16"/>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Unrealized</w:t>
            </w:r>
          </w:p>
        </w:tc>
      </w:tr>
      <w:tr>
        <w:trPr>
          <w:trHeight w:val="208"/>
        </w:trPr>
        <w:tc>
          <w:tcPr>
            <w:tcW w:w="4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Losses</w:t>
            </w: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4"/>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Unrealized losses on corporate bonds have not been recognized into income because the issuers bonds are of high credit quality (rated AA or higher), management does not intend to and it is likely that management will not be required to sell the securities prior to their anticipated recovery and the decline in fair value is largely due to changes in interest rates and other market conditions. The issuers continue to make timely principal and interest payment on the bonds. The fair value is expected to recover as the bonds approach maturity.</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2019, were as follows: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Borders>
              <w:bottom w:val="single" w:sz="8" w:color="auto"/>
            </w:tcBorders>
          </w:tcPr>
          <w:p>
            <w:pPr>
              <w:spacing w:after="0"/>
              <w:rPr>
                <w:sz w:val="16"/>
                <w:szCs w:val="16"/>
                <w:color w:val="auto"/>
              </w:rPr>
            </w:pPr>
          </w:p>
        </w:tc>
      </w:t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6"/>
                <w:szCs w:val="16"/>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Unrealized</w:t>
            </w:r>
          </w:p>
        </w:tc>
      </w:tr>
      <w:tr>
        <w:trPr>
          <w:trHeight w:val="208"/>
        </w:trPr>
        <w:tc>
          <w:tcPr>
            <w:tcW w:w="4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Losses</w:t>
            </w: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840" w:type="dxa"/>
            <w:vAlign w:val="bottom"/>
          </w:tcPr>
          <w:p>
            <w:pPr>
              <w:jc w:val="right"/>
              <w:ind w:right="58"/>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government bonds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r>
      <w:tr>
        <w:trPr>
          <w:trHeight w:val="264"/>
        </w:trPr>
        <w:tc>
          <w:tcPr>
            <w:tcW w:w="4120" w:type="dxa"/>
            <w:vAlign w:val="bottom"/>
          </w:tcPr>
          <w:p>
            <w:pPr>
              <w:ind w:left="220"/>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2020, we recorded impairment charges of $11 million related to our corporate debt securities. We recorded no impairments relating to our investments during the three months ended March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8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realized gains and losses on investments and other assets and proceeds from the sale or maturity of investments and other assets for the three-month periods ended March 31, 2020 and 2019, respectively:</w:t>
      </w:r>
    </w:p>
    <w:p>
      <w:pPr>
        <w:spacing w:after="0" w:line="10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March 31, 2020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Net</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Gross Proceeds</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7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780" w:type="dxa"/>
            <w:vAlign w:val="bottom"/>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Credit Losses</w:t>
            </w: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maturities of fixed maturity securities available for sale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Sales and maturities of preferred securities</w:t>
            </w:r>
          </w:p>
        </w:tc>
        <w:tc>
          <w:tcPr>
            <w:tcW w:w="10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 equity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Valuation of fixed maturity securities available for sale</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of equity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Valuation of preferred securities</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of other long term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Other realized gains and losses, net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March 31, 2019</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82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88"/>
              </w:rPr>
              <w:t>Gross</w:t>
            </w:r>
          </w:p>
        </w:tc>
        <w:tc>
          <w:tcPr>
            <w:tcW w:w="9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Net Realized</w:t>
            </w:r>
          </w:p>
        </w:tc>
        <w:tc>
          <w:tcPr>
            <w:tcW w:w="240" w:type="dxa"/>
            <w:vAlign w:val="bottom"/>
          </w:tcPr>
          <w:p>
            <w:pPr>
              <w:spacing w:after="0"/>
              <w:rPr>
                <w:sz w:val="13"/>
                <w:szCs w:val="13"/>
                <w:color w:val="auto"/>
              </w:rPr>
            </w:pPr>
          </w:p>
        </w:tc>
        <w:tc>
          <w:tcPr>
            <w:tcW w:w="8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w:t>
            </w:r>
          </w:p>
        </w:tc>
      </w:tr>
      <w:tr>
        <w:trPr>
          <w:trHeight w:val="148"/>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340" w:type="dxa"/>
            <w:vAlign w:val="bottom"/>
          </w:tcPr>
          <w:p>
            <w:pPr>
              <w:spacing w:after="0"/>
              <w:rPr>
                <w:sz w:val="12"/>
                <w:szCs w:val="12"/>
                <w:color w:val="auto"/>
              </w:rPr>
            </w:pPr>
          </w:p>
        </w:tc>
        <w:tc>
          <w:tcPr>
            <w:tcW w:w="8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Proceeds from</w:t>
            </w:r>
          </w:p>
        </w:tc>
      </w:t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6"/>
                <w:szCs w:val="16"/>
                <w:color w:val="auto"/>
              </w:rPr>
            </w:pPr>
          </w:p>
        </w:tc>
        <w:tc>
          <w:tcPr>
            <w:tcW w:w="820" w:type="dxa"/>
            <w:vAlign w:val="bottom"/>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Sale/Maturity</w:t>
            </w:r>
          </w:p>
        </w:tc>
      </w:tr>
      <w:tr>
        <w:trPr>
          <w:trHeight w:val="196"/>
        </w:trPr>
        <w:tc>
          <w:tcPr>
            <w:tcW w:w="5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maturities of 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Sales and maturities of preferred securities</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 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Valuation of equity securities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of preferred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Valuation of other long term investments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lease assets</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64"/>
        </w:trPr>
        <w:tc>
          <w:tcPr>
            <w:tcW w:w="580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Included in equity securities as of March 31, 2020 and December 31, 2019 are 5,706,134 shares of Cannae common stock (NYSE: CNNE) which were purchased during the fourth quarter of 2017 in connection with the split-off of our former portfolio company investments to Cannae. The fair value of our related party investment based on quoted market prices is $191 million and $212 million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consists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2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140" w:type="dxa"/>
            <w:vAlign w:val="bottom"/>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6"/>
        </w:trPr>
        <w:tc>
          <w:tcPr>
            <w:tcW w:w="8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(In millions)</w:t>
            </w:r>
          </w:p>
        </w:tc>
        <w:tc>
          <w:tcPr>
            <w:tcW w:w="1180" w:type="dxa"/>
            <w:vAlign w:val="bottom"/>
          </w:tcPr>
          <w:p>
            <w:pPr>
              <w:spacing w:after="0"/>
              <w:rPr>
                <w:sz w:val="17"/>
                <w:szCs w:val="17"/>
                <w:color w:val="auto"/>
              </w:rPr>
            </w:pPr>
          </w:p>
        </w:tc>
      </w:tr>
      <w:tr>
        <w:trPr>
          <w:trHeight w:val="27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 Notes, net of discount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6"/>
              </w:rPr>
              <w:t>443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443</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5.50% Notes, net of discount</w:t>
            </w:r>
          </w:p>
        </w:tc>
        <w:tc>
          <w:tcPr>
            <w:tcW w:w="1060" w:type="dxa"/>
            <w:vAlign w:val="bottom"/>
          </w:tcPr>
          <w:p>
            <w:pPr>
              <w:spacing w:after="0"/>
              <w:rPr>
                <w:sz w:val="23"/>
                <w:szCs w:val="23"/>
                <w:color w:val="auto"/>
              </w:rPr>
            </w:pPr>
          </w:p>
        </w:tc>
        <w:tc>
          <w:tcPr>
            <w:tcW w:w="440" w:type="dxa"/>
            <w:vAlign w:val="bottom"/>
          </w:tcPr>
          <w:p>
            <w:pPr>
              <w:jc w:val="right"/>
              <w:ind w:right="74"/>
              <w:spacing w:after="0"/>
              <w:rPr>
                <w:sz w:val="20"/>
                <w:szCs w:val="20"/>
                <w:color w:val="auto"/>
              </w:rPr>
            </w:pPr>
            <w:r>
              <w:rPr>
                <w:rFonts w:ascii="Arial" w:cs="Arial" w:eastAsia="Arial" w:hAnsi="Arial"/>
                <w:sz w:val="18"/>
                <w:szCs w:val="18"/>
                <w:color w:val="auto"/>
                <w:w w:val="86"/>
              </w:rPr>
              <w:t>398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398</w:t>
            </w: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37"/>
        </w:trPr>
        <w:tc>
          <w:tcPr>
            <w:tcW w:w="8140" w:type="dxa"/>
            <w:vAlign w:val="bottom"/>
          </w:tcPr>
          <w:p>
            <w:pPr>
              <w:spacing w:after="0"/>
              <w:rPr>
                <w:sz w:val="20"/>
                <w:szCs w:val="20"/>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86"/>
              </w:rPr>
              <w:t>839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838</w:t>
            </w:r>
          </w:p>
        </w:tc>
      </w:tr>
      <w:tr>
        <w:trPr>
          <w:trHeight w:val="27"/>
        </w:trPr>
        <w:tc>
          <w:tcPr>
            <w:tcW w:w="8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2020, the estimated fair value of our unsecured notes payable was approximately $955 million, which was $104 million higher than its carrying value, excluding $12 million of net unamortized debt issuance costs and discount. The fair values of our unsecured notes payable are based on established market prices for the securities on March 31, 2020 and are considered Level 2 financial liabilities.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27, 2017, we entered into a Fourth Amended and Restated Credit Agreement that provides for our $800 million revolving credit facility (the Revolving Credit Facility) with Bank of America, N.A., as administrative agent and the other agents party thereto (the "Restated Credit Agreement").The material terms of the Restated Credit Agreement are set forth in our Annual Report for the year ended December 31, 2019. As of March 31, 2020, there was no principal outstanding, $2 million of unamortized debt issuance costs, and $800 million of available borrowing capacity under the Revolving Credit Facility.</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28, 2012, we completed an offering of $400 million in aggregate principal amount of 5.50% notes due September 2022 (the "5.50% Notes"), pursuant to an effective registration statement previously filed with the Securities and Exchange Commission ("SEC"). The material terms of the 5.50% Notes are set forth in our Annual Report for the year ended December 31, 2019.</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20" w:type="dxa"/>
            <w:vAlign w:val="bottom"/>
          </w:tcPr>
          <w:p>
            <w:pPr>
              <w:ind w:left="280"/>
              <w:spacing w:after="0"/>
              <w:rPr>
                <w:sz w:val="20"/>
                <w:szCs w:val="20"/>
                <w:color w:val="auto"/>
              </w:rPr>
            </w:pPr>
            <w:r>
              <w:rPr>
                <w:rFonts w:ascii="Arial" w:cs="Arial" w:eastAsia="Arial" w:hAnsi="Arial"/>
                <w:sz w:val="18"/>
                <w:szCs w:val="18"/>
                <w:color w:val="auto"/>
              </w:rPr>
              <w:t>Gross principal maturities of notes payable at March 31, 2020 are as follows (in millions):</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9820" w:type="dxa"/>
            <w:vAlign w:val="bottom"/>
          </w:tcPr>
          <w:p>
            <w:pPr>
              <w:ind w:left="20"/>
              <w:spacing w:after="0"/>
              <w:rPr>
                <w:sz w:val="20"/>
                <w:szCs w:val="20"/>
                <w:color w:val="auto"/>
              </w:rPr>
            </w:pPr>
            <w:r>
              <w:rPr>
                <w:rFonts w:ascii="Arial" w:cs="Arial" w:eastAsia="Arial" w:hAnsi="Arial"/>
                <w:sz w:val="18"/>
                <w:szCs w:val="18"/>
                <w:color w:val="auto"/>
              </w:rPr>
              <w:t>2020 (remaining)</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400</w:t>
            </w: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r>
      <w:tr>
        <w:trPr>
          <w:trHeight w:val="237"/>
        </w:trPr>
        <w:tc>
          <w:tcPr>
            <w:tcW w:w="98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850</w:t>
            </w:r>
          </w:p>
        </w:tc>
      </w:tr>
      <w:tr>
        <w:trPr>
          <w:trHeight w:val="27"/>
        </w:trPr>
        <w:tc>
          <w:tcPr>
            <w:tcW w:w="9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Summary of Reserve for Claim Losses for further discussion.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$22 million as of March 31, 2020 and December 31, 2019.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that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The court also determined that a multiplier of 1.5, not treble, should be applied to the amount of damages, if any, proven by class members at trial, and that Plaintiffs should bear the responsibility of identifying class members and calculating damages. The Company’s requests for interlocutory appeals of both the liability and damage multiplier issues were denied. The parties executed a written settlement agreement and received preliminary approval. Notice must now be given, and the class action settlement administrator will follow the claims process. We do not believe the settlement will have a material adverse effect on our financial condition.</w:t>
      </w:r>
    </w:p>
    <w:p>
      <w:pPr>
        <w:spacing w:after="0" w:line="5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April 22, 2020, our Board of Directors declared cash dividends of $0.33 per share, payable on June 30, 2020, to FNF common shareholders of record as of June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2020:</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(In millions)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1,278</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610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601</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1,879</w:t>
            </w:r>
          </w:p>
        </w:tc>
        <w:tc>
          <w:tcPr>
            <w:tcW w:w="0" w:type="dxa"/>
            <w:vAlign w:val="bottom"/>
          </w:tcPr>
          <w:p>
            <w:pPr>
              <w:spacing w:after="0"/>
              <w:rPr>
                <w:sz w:val="1"/>
                <w:szCs w:val="1"/>
                <w:color w:val="auto"/>
              </w:rPr>
            </w:pPr>
          </w:p>
        </w:tc>
      </w:tr>
      <w:tr>
        <w:trPr>
          <w:trHeight w:val="1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1,623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1,612</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08"/>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7"/>
        </w:trPr>
        <w:tc>
          <w:tcPr>
            <w:tcW w:w="8080" w:type="dxa"/>
            <w:vAlign w:val="bottom"/>
          </w:tcPr>
          <w:p>
            <w:pPr>
              <w:ind w:left="20"/>
              <w:spacing w:after="0"/>
              <w:rPr>
                <w:sz w:val="20"/>
                <w:szCs w:val="20"/>
                <w:color w:val="auto"/>
              </w:rPr>
            </w:pPr>
            <w:r>
              <w:rPr>
                <w:rFonts w:ascii="Arial" w:cs="Arial" w:eastAsia="Arial" w:hAnsi="Arial"/>
                <w:sz w:val="14"/>
                <w:szCs w:val="14"/>
                <w:color w:val="auto"/>
              </w:rPr>
              <w:t>Loss before income taxes and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4"/>
                <w:szCs w:val="14"/>
                <w:color w:val="auto"/>
              </w:rPr>
              <w:t>Loss before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10,204</w:t>
            </w:r>
          </w:p>
        </w:tc>
        <w:tc>
          <w:tcPr>
            <w:tcW w:w="0" w:type="dxa"/>
            <w:vAlign w:val="bottom"/>
          </w:tcPr>
          <w:p>
            <w:pPr>
              <w:spacing w:after="0"/>
              <w:rPr>
                <w:sz w:val="1"/>
                <w:szCs w:val="1"/>
                <w:color w:val="auto"/>
              </w:rPr>
            </w:pPr>
          </w:p>
        </w:tc>
      </w:tr>
      <w:tr>
        <w:trPr>
          <w:trHeight w:val="190"/>
        </w:trPr>
        <w:tc>
          <w:tcPr>
            <w:tcW w:w="80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2019:</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(In millions)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992</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1,526</w:t>
            </w:r>
          </w:p>
        </w:tc>
        <w:tc>
          <w:tcPr>
            <w:tcW w:w="0" w:type="dxa"/>
            <w:vAlign w:val="bottom"/>
          </w:tcPr>
          <w:p>
            <w:pPr>
              <w:spacing w:after="0"/>
              <w:rPr>
                <w:sz w:val="1"/>
                <w:szCs w:val="1"/>
                <w:color w:val="auto"/>
              </w:rPr>
            </w:pPr>
          </w:p>
        </w:tc>
      </w:tr>
      <w:tr>
        <w:trPr>
          <w:trHeight w:val="1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1,663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1,722</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08"/>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7"/>
        </w:trPr>
        <w:tc>
          <w:tcPr>
            <w:tcW w:w="808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8,567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9,647</w:t>
            </w:r>
          </w:p>
        </w:tc>
        <w:tc>
          <w:tcPr>
            <w:tcW w:w="0" w:type="dxa"/>
            <w:vAlign w:val="bottom"/>
          </w:tcPr>
          <w:p>
            <w:pPr>
              <w:spacing w:after="0"/>
              <w:rPr>
                <w:sz w:val="1"/>
                <w:szCs w:val="1"/>
                <w:color w:val="auto"/>
              </w:rPr>
            </w:pPr>
          </w:p>
        </w:tc>
      </w:tr>
      <w:tr>
        <w:trPr>
          <w:trHeight w:val="190"/>
        </w:trPr>
        <w:tc>
          <w:tcPr>
            <w:tcW w:w="80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2,727</w:t>
            </w: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104" w:lineRule="exact"/>
        <w:rPr>
          <w:sz w:val="20"/>
          <w:szCs w:val="20"/>
          <w:color w:val="auto"/>
        </w:rPr>
      </w:pPr>
    </w:p>
    <w:p>
      <w:pPr>
        <w:jc w:val="both"/>
        <w:ind w:left="660" w:hanging="409"/>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supplemental cash flow information is provided with respect to certain cash payment and non-cash investing and financing activities.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20" w:type="dxa"/>
            <w:vAlign w:val="bottom"/>
            <w:gridSpan w:val="5"/>
          </w:tcPr>
          <w:p>
            <w:pPr>
              <w:jc w:val="right"/>
              <w:ind w:right="252"/>
              <w:spacing w:after="0"/>
              <w:rPr>
                <w:sz w:val="20"/>
                <w:szCs w:val="20"/>
                <w:color w:val="auto"/>
              </w:rPr>
            </w:pPr>
            <w:r>
              <w:rPr>
                <w:rFonts w:ascii="Arial" w:cs="Arial" w:eastAsia="Arial" w:hAnsi="Arial"/>
                <w:sz w:val="14"/>
                <w:szCs w:val="14"/>
                <w:b w:val="1"/>
                <w:bCs w:val="1"/>
                <w:color w:val="auto"/>
              </w:rPr>
              <w:t>Three months ended March 31,</w:t>
            </w:r>
          </w:p>
        </w:tc>
      </w:tr>
      <w:tr>
        <w:trPr>
          <w:trHeight w:val="208"/>
        </w:trPr>
        <w:tc>
          <w:tcPr>
            <w:tcW w:w="85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r>
      <w:tr>
        <w:trPr>
          <w:trHeight w:val="243"/>
        </w:trPr>
        <w:tc>
          <w:tcPr>
            <w:tcW w:w="858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Change in treasury stock purchases payable in period</w:t>
            </w: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Remeasurement of lease liabilities</w:t>
            </w: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2125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8"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Revenue from insurance contracts: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Direct title insurance premiums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Agency title insurance premiums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Home warranty</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 revenue from insurance contracts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from contracts with customers: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Escrow fees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title-related fees and income</w:t>
      </w:r>
    </w:p>
    <w:p>
      <w:pPr>
        <w:spacing w:after="0" w:line="73" w:lineRule="exact"/>
        <w:rPr>
          <w:sz w:val="20"/>
          <w:szCs w:val="20"/>
          <w:color w:val="auto"/>
        </w:rPr>
      </w:pPr>
    </w:p>
    <w:p>
      <w:pPr>
        <w:ind w:left="620"/>
        <w:spacing w:after="0" w:line="293" w:lineRule="auto"/>
        <w:rPr>
          <w:sz w:val="20"/>
          <w:szCs w:val="20"/>
          <w:color w:val="auto"/>
        </w:rPr>
      </w:pPr>
      <w:r>
        <w:rPr>
          <w:rFonts w:ascii="Arial" w:cs="Arial" w:eastAsia="Arial" w:hAnsi="Arial"/>
          <w:sz w:val="16"/>
          <w:szCs w:val="16"/>
          <w:color w:val="auto"/>
        </w:rPr>
        <w:t>ServiceLink, excluding title premiums, escrow fees, and subservicing fees</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Real estate technology</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Real estate brokerage</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 revenue from contracts with customers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Loan subservicing revenue</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Interest and investment income</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Realized gains and losses, net</w:t>
      </w:r>
    </w:p>
    <w:p>
      <w:pPr>
        <w:spacing w:after="0" w:line="11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25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25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13335</wp:posOffset>
            </wp:positionV>
            <wp:extent cx="1097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2019</w:t>
            </w:r>
          </w:p>
        </w:tc>
      </w:tr>
      <w:tr>
        <w:trPr>
          <w:trHeight w:val="208"/>
        </w:trPr>
        <w:tc>
          <w:tcPr>
            <w:tcW w:w="3040" w:type="dxa"/>
            <w:vAlign w:val="bottom"/>
            <w:gridSpan w:val="2"/>
          </w:tcPr>
          <w:p>
            <w:pPr>
              <w:ind w:left="480"/>
              <w:spacing w:after="0"/>
              <w:rPr>
                <w:sz w:val="20"/>
                <w:szCs w:val="20"/>
                <w:color w:val="auto"/>
              </w:rPr>
            </w:pPr>
            <w:r>
              <w:rPr>
                <w:rFonts w:ascii="Arial" w:cs="Arial" w:eastAsia="Arial" w:hAnsi="Arial"/>
                <w:sz w:val="14"/>
                <w:szCs w:val="14"/>
                <w:b w:val="1"/>
                <w:bCs w:val="1"/>
                <w:color w:val="auto"/>
              </w:rPr>
              <w:t>Income Statement Classification</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8"/>
                <w:szCs w:val="18"/>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Total Revenue</w:t>
            </w:r>
          </w:p>
        </w:tc>
      </w:tr>
      <w:tr>
        <w:trPr>
          <w:trHeight w:val="244"/>
        </w:trPr>
        <w:tc>
          <w:tcPr>
            <w:tcW w:w="2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right"/>
              <w:ind w:right="440"/>
              <w:spacing w:after="0"/>
              <w:rPr>
                <w:sz w:val="20"/>
                <w:szCs w:val="20"/>
                <w:color w:val="auto"/>
              </w:rPr>
            </w:pPr>
            <w:r>
              <w:rPr>
                <w:rFonts w:ascii="Arial" w:cs="Arial" w:eastAsia="Arial" w:hAnsi="Arial"/>
                <w:sz w:val="14"/>
                <w:szCs w:val="14"/>
                <w:color w:val="auto"/>
              </w:rPr>
              <w:t>(in millions)</w:t>
            </w:r>
          </w:p>
        </w:tc>
      </w:tr>
      <w:tr>
        <w:trPr>
          <w:trHeight w:val="23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Direct title insurance premiums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440</w:t>
            </w:r>
          </w:p>
        </w:tc>
      </w:tr>
      <w:tr>
        <w:trPr>
          <w:trHeight w:val="25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2"/>
                <w:szCs w:val="22"/>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552</w:t>
            </w:r>
          </w:p>
        </w:tc>
      </w:tr>
      <w:tr>
        <w:trPr>
          <w:trHeight w:val="25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2"/>
                <w:szCs w:val="22"/>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41</w:t>
            </w: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1,033</w:t>
            </w:r>
          </w:p>
        </w:tc>
      </w:tr>
      <w:tr>
        <w:trPr>
          <w:trHeight w:val="5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4"/>
                <w:szCs w:val="24"/>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165</w:t>
            </w:r>
          </w:p>
        </w:tc>
      </w:tr>
      <w:tr>
        <w:trPr>
          <w:trHeight w:val="25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2"/>
                <w:szCs w:val="22"/>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136</w:t>
            </w:r>
          </w:p>
        </w:tc>
      </w:tr>
      <w:tr>
        <w:trPr>
          <w:trHeight w:val="459"/>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4"/>
                <w:szCs w:val="24"/>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83</w:t>
            </w:r>
          </w:p>
        </w:tc>
      </w:tr>
      <w:tr>
        <w:trPr>
          <w:trHeight w:val="25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2"/>
                <w:szCs w:val="22"/>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25</w:t>
            </w:r>
          </w:p>
        </w:tc>
      </w:tr>
      <w:tr>
        <w:trPr>
          <w:trHeight w:val="25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2"/>
                <w:szCs w:val="22"/>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w:t>
            </w:r>
          </w:p>
        </w:tc>
      </w:tr>
      <w:tr>
        <w:trPr>
          <w:trHeight w:val="25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21</w:t>
            </w: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437</w:t>
            </w:r>
          </w:p>
        </w:tc>
      </w:tr>
      <w:tr>
        <w:trPr>
          <w:trHeight w:val="5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4"/>
                <w:szCs w:val="24"/>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56</w:t>
            </w:r>
          </w:p>
        </w:tc>
      </w:tr>
      <w:tr>
        <w:trPr>
          <w:trHeight w:val="25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Interest and investment income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80" w:type="dxa"/>
            <w:vAlign w:val="bottom"/>
          </w:tcPr>
          <w:p>
            <w:pPr>
              <w:spacing w:after="0"/>
              <w:rPr>
                <w:sz w:val="22"/>
                <w:szCs w:val="22"/>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54</w:t>
            </w:r>
          </w:p>
        </w:tc>
      </w:tr>
      <w:tr>
        <w:trPr>
          <w:trHeight w:val="25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Realized gains and losses, net</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8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142</w:t>
            </w: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7"/>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1,722</w:t>
            </w:r>
          </w:p>
        </w:tc>
      </w:tr>
      <w:tr>
        <w:trPr>
          <w:trHeight w:val="2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-2956560</wp:posOffset>
            </wp:positionV>
            <wp:extent cx="651510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5100" cy="16256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-2630805</wp:posOffset>
            </wp:positionV>
            <wp:extent cx="651510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5100" cy="16319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-2296795</wp:posOffset>
            </wp:positionV>
            <wp:extent cx="651510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5100" cy="16319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-1971040</wp:posOffset>
            </wp:positionV>
            <wp:extent cx="651510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5100" cy="16256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-1516380</wp:posOffset>
            </wp:positionV>
            <wp:extent cx="651510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0" cy="16319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-1190625</wp:posOffset>
            </wp:positionV>
            <wp:extent cx="651510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0" cy="16256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-856615</wp:posOffset>
            </wp:positionV>
            <wp:extent cx="651510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5100" cy="16256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-530860</wp:posOffset>
            </wp:positionV>
            <wp:extent cx="651510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5100" cy="16256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-205105</wp:posOffset>
            </wp:positionV>
            <wp:extent cx="651510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300"/>
            <w:col w:w="7300"/>
          </w:cols>
          <w:pgMar w:left="320" w:top="121" w:right="339" w:bottom="1440" w:gutter="0" w:footer="0" w:header="0"/>
          <w:type w:val="continuous"/>
        </w:sectPr>
      </w:pPr>
    </w:p>
    <w:p>
      <w:pPr>
        <w:spacing w:after="0" w:line="2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December 31, 2019</w:t>
            </w: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3"/>
          </w:tcPr>
          <w:p>
            <w:pPr>
              <w:jc w:val="right"/>
              <w:ind w:right="1216"/>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86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9"/>
              <w:spacing w:after="0"/>
              <w:rPr>
                <w:sz w:val="20"/>
                <w:szCs w:val="20"/>
                <w:color w:val="auto"/>
              </w:rPr>
            </w:pPr>
            <w:r>
              <w:rPr>
                <w:rFonts w:ascii="Arial" w:cs="Arial" w:eastAsia="Arial" w:hAnsi="Arial"/>
                <w:sz w:val="18"/>
                <w:szCs w:val="18"/>
                <w:color w:val="auto"/>
              </w:rPr>
              <w:t>301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321</w:t>
            </w: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(contract liabilities)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111</w:t>
            </w:r>
          </w:p>
        </w:tc>
      </w:tr>
      <w:tr>
        <w:trPr>
          <w:trHeight w:val="27"/>
        </w:trPr>
        <w:tc>
          <w:tcPr>
            <w:tcW w:w="7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months ended March 31, 2020, we recognized $44 million of revenue which was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a weak U.S. economy, or the overall impact of the outbreak of the novel coronavirus COVID-19; our potential inability to find suitable acquisition candidates, acquisitions in lines of business that will not necessarily be limited to our traditional areas of focus, or difficulties in consummating and integrating acquisitions (including the contemplated FGL Merger);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2019 and other filings with the SEC.</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Title segment revenue is closely related to the level of real estate activity which includes sales, mortgage financing and mortgage refinancing.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10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housing inventory and home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and demand for commercial real estate;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the severity and duration of the negative impacts related to the recent outbreak of COVID-19 are not yet known, the most recent forecast of the Mortgage Bankers Association ("MBA"), as of April 2, 2020, estimates (actual for fiscal year 2019) the size of the U.S. residential mortgage originations market as shown in the following table for 2019 - 2022 in its "Mortgage Finance Forecast" (in billions):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r>
      <w:tr>
        <w:trPr>
          <w:trHeight w:val="250"/>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1,272</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6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901</w:t>
            </w: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1,907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1,899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2,426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2,173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2019, total originations were reflective of a strong residential real estate market driven by increasing home prices and low mortgage interest rates. Concerns over a slowing global economy and the impact of a prolonged trade war resulted in interest rate cuts in the second half of the year which significantly increased refinance transactions and slightly increased purchase transactions when compared to 2018. Additionally, existing home sales increased in each quarter of 2019. Average interest rates on 30-year fixed rate mortgages, averaged 4.4% in the first quarter of 2019 but subsequently decreased in the following three quarters to an average of 3.7% in the fourth quarter of 2019.</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 2020, the MBA expects residential purchase transactions to slightly decrease from 2019 levels in 2020 followed by a slight increase in 2021. Additionally the MBA expects residential refinance transactions to increase in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followed by a decrease in 2021. The MBA expects overall mortgage originations to increase in 2020 followed by a decrease in 2021.</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11, 2020, the World Health Organization declared that the novel coronavirus or COVID-19 “can be characterized as a pandemic,” which is defined as a worldwide spread of a new disease for which most people do not have immunity. On March 15th, 2020, the Federal Reserve took emergency action and reduced its benchmark interest rate by a full percentage point to nearly zero. Through the three months ended March 31, 2020, mortgage interest rates continued to decline to below 3.50%. Concerns over a slowing global economy and the impact of a prolonged trade war, now combined with the COVID-19 pandemic sweeping the globe, have resulted in significant uncertainty in the economic outlook. With shelter in place and similar restrictive mitigation measures issued throughout the country for an unknown duration, the Company's expectation is that real estate activity will decline dramatically, at least through June 30, 2020 and potentially much longer.</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Other economic indicators used to measure the health of the U.S. economy, including the unemployment rate and consumer confidence, indicated that the U.S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as of March 31, 2020, unemployment rose nearly 1% to 4.4%. Additionally, the Conference Board's monthly Consumer Confidence Index remained at high levels through February 2020 before falling over 9% in March 2020.</w:t>
      </w:r>
    </w:p>
    <w:p>
      <w:pPr>
        <w:spacing w:after="0" w:line="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continued to experience strong demand in commercial real estate markets and from 2015 through the three months ended March 31, 2020, we experienced historically high volumes and fee-per-file in our commercial business. While COVID-19 will likely have an impact on the timing and volume of commercial real estate transactions in the short term as the logistics of transactions evolves and some buyers move to the sidelines until the pandemic is resolved, we believe that refinance activity will likely increase in response to the recent Fed rate cuts. For the three weeks ended April 17, 2020, purchase orders opened per day declined by 47% and refinance orders opened per day increased 122% versus the prior comparable period.</w:t>
      </w:r>
    </w:p>
    <w:p>
      <w:pPr>
        <w:spacing w:after="0" w:line="51" w:lineRule="exact"/>
        <w:rPr>
          <w:sz w:val="20"/>
          <w:szCs w:val="20"/>
          <w:color w:val="auto"/>
        </w:rPr>
      </w:pPr>
    </w:p>
    <w:p>
      <w:pPr>
        <w:jc w:val="both"/>
        <w:ind w:right="20" w:firstLine="324"/>
        <w:spacing w:after="0" w:line="231" w:lineRule="auto"/>
        <w:rPr>
          <w:sz w:val="20"/>
          <w:szCs w:val="20"/>
          <w:color w:val="auto"/>
        </w:rPr>
      </w:pPr>
      <w:r>
        <w:rPr>
          <w:rFonts w:ascii="Arial" w:cs="Arial" w:eastAsia="Arial" w:hAnsi="Arial"/>
          <w:sz w:val="18"/>
          <w:szCs w:val="18"/>
          <w:color w:val="auto"/>
        </w:rPr>
        <w:t>We cannot be certain how the outbreak of COVID-19 and the steps taken to attempt to mitigate its spread will impact our future results of operations. 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returns.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II of this Quarterly Report for further discussion risk factors related to COVID-19.</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The first calendar quarter is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2020 will likely deviate from historical patterns due to COVID-19 with the first quarter potentially being the strongest of 2020. We have noted short-term fluctuations through recent years in resale and refinance transactions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96"/>
        </w:trPr>
        <w:tc>
          <w:tcPr>
            <w:tcW w:w="6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96"/>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r>
      <w:tr>
        <w:trPr>
          <w:trHeight w:val="25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440</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552</w:t>
            </w: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Escrow, title-related and other fees</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534</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w:t>
            </w: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142</w:t>
            </w: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6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1,722</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Personnel costs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592</w:t>
            </w: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421</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344</w:t>
            </w: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44</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title claim losses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12</w:t>
            </w: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1,458</w:t>
            </w: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w w:val="99"/>
              </w:rPr>
              <w:t>(Loss) earnings before income taxes and equity in earnings of unconsolidated</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264</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7</w:t>
            </w: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decreased by $110 million in the three months ended March 31, 2020 compared to the corresponding period in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earnings decreased by $263 million in the three months ended March 31, 2020 compared to the corresponding period in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Income tax (benefit) expense was $(28) million and $65 million in the three-month periods ended March 31, 2020 and 2019, respectively. Income tax (benefit) expense as a percentage of earnings before income taxes was 33% and 25% in the three-month periods ended March 31, 2020 and 2019, respectively. The increase in income tax (benefit) expense as a percentage of (loss) earnings before taxes in the 2020 period from the comparable period in 2019 is primarily attributable to an additional tax benefit in the current quarter of $7 million related to a 2017 amended return filed in the 2020 period.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163"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title insurance premiums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6160" w:type="dxa"/>
            <w:vAlign w:val="bottom"/>
          </w:tcPr>
          <w:p>
            <w:pPr>
              <w:ind w:left="200"/>
              <w:spacing w:after="0"/>
              <w:rPr>
                <w:sz w:val="20"/>
                <w:szCs w:val="20"/>
                <w:color w:val="auto"/>
              </w:rPr>
            </w:pPr>
            <w:r>
              <w:rPr>
                <w:rFonts w:ascii="Arial" w:cs="Arial" w:eastAsia="Arial" w:hAnsi="Arial"/>
                <w:sz w:val="18"/>
                <w:szCs w:val="18"/>
                <w:color w:val="auto"/>
              </w:rPr>
              <w:t>Agency title insurance premiums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Escrow, title-related and other fees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616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Realized gains and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61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616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160" w:type="dxa"/>
            <w:vAlign w:val="bottom"/>
          </w:tcPr>
          <w:p>
            <w:pPr>
              <w:ind w:left="200"/>
              <w:spacing w:after="0"/>
              <w:rPr>
                <w:sz w:val="20"/>
                <w:szCs w:val="20"/>
                <w:color w:val="auto"/>
              </w:rPr>
            </w:pPr>
            <w:r>
              <w:rPr>
                <w:rFonts w:ascii="Arial" w:cs="Arial" w:eastAsia="Arial" w:hAnsi="Arial"/>
                <w:sz w:val="18"/>
                <w:szCs w:val="18"/>
                <w:color w:val="auto"/>
              </w:rPr>
              <w:t>Provision for title claim losses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8"/>
                <w:szCs w:val="18"/>
                <w:color w:val="auto"/>
                <w:w w:val="98"/>
              </w:rPr>
              <w:t>(Loss) earnings from continuing operations, before income taxes and equity in</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5"/>
        </w:trPr>
        <w:tc>
          <w:tcPr>
            <w:tcW w:w="6160" w:type="dxa"/>
            <w:vAlign w:val="bottom"/>
          </w:tcPr>
          <w:p>
            <w:pPr>
              <w:ind w:left="20"/>
              <w:spacing w:after="0"/>
              <w:rPr>
                <w:sz w:val="20"/>
                <w:szCs w:val="20"/>
                <w:color w:val="auto"/>
              </w:rPr>
            </w:pPr>
            <w:r>
              <w:rPr>
                <w:rFonts w:ascii="Arial" w:cs="Arial" w:eastAsia="Arial" w:hAnsi="Arial"/>
                <w:sz w:val="18"/>
                <w:szCs w:val="18"/>
                <w:color w:val="auto"/>
              </w:rPr>
              <w:t>earnings of unconsolidated affiliates</w:t>
            </w: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opened by direct title operations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Orders closed by direct title operations (in thousands)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per file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7"/>
        </w:trPr>
        <w:tc>
          <w:tcPr>
            <w:tcW w:w="6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Total revenues for the Title segment decreased by $40 million, or 2%, in the three months ended March 31, 2020 from the corresponding period in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55" w:lineRule="exact"/>
        <w:rPr>
          <w:sz w:val="20"/>
          <w:szCs w:val="20"/>
          <w:color w:val="auto"/>
        </w:rPr>
      </w:pPr>
    </w:p>
    <w:tbl>
      <w:tblPr>
        <w:tblLayout w:type="fixed"/>
        <w:tblInd w:w="186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90"/>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7"/>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6"/>
                <w:szCs w:val="16"/>
                <w:color w:val="auto"/>
              </w:rPr>
            </w:pPr>
          </w:p>
        </w:tc>
      </w:tr>
      <w:tr>
        <w:trPr>
          <w:trHeight w:val="208"/>
        </w:trPr>
        <w:tc>
          <w:tcPr>
            <w:tcW w:w="3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5"/>
              </w:rPr>
              <w:t>(Dollars in millions)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premiums from direct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Title premiums from agency operations</w:t>
            </w:r>
          </w:p>
        </w:tc>
        <w:tc>
          <w:tcPr>
            <w:tcW w:w="200" w:type="dxa"/>
            <w:vAlign w:val="bottom"/>
          </w:tcPr>
          <w:p>
            <w:pPr>
              <w:spacing w:after="0"/>
              <w:rPr>
                <w:sz w:val="21"/>
                <w:szCs w:val="21"/>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732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83"/>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title premiums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premiums increased by 29% in the three months ended March 31, 2020 as compared to the corresponding period in 2019. The increase is comprised of an increase in Title premiums from direct operations of $106 million, or 24%, and an increase in Title premiums from agency operations of $180 million, or 33%.</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10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5980" w:type="dxa"/>
            <w:vAlign w:val="bottom"/>
          </w:tcPr>
          <w:p>
            <w:pPr>
              <w:spacing w:after="0"/>
              <w:rPr>
                <w:sz w:val="17"/>
                <w:szCs w:val="17"/>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Opened title insurance orders from purchase transactions (1)</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Opened title insurance orders from refinance transactions (1)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598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Closed title insurance orders from purchase transactions (1)</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Closed title insurance orders from refinance transactions (1)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598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
        </w:trPr>
        <w:tc>
          <w:tcPr>
            <w:tcW w:w="5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Title premiums from direct operations increased in the three months ended March 31, 2020, as compared to the corresponding period in 2019. The increase in the three-month period is primarily attributable to an increase in closed order volumes, partially offset by a decrease in the fee per file.</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experienced an increase in closed title insurance order volumes from purchase and refinance transactions in the three months ended March 31, 2020 as compared to the corresponding period in 2019. Total closed order volumes were 377,000 in the three months ended March 31, 2020 compared to 263,000 in the three months ended March 31, 2019. This represented an overall increase of 43% in the three months ended March 31, 2020 from the corresponding period in 2019. The increase in refinance transactions in the 2020 period is primarily due to lower average interest rates when compared to the corresponding 2019 period.</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opened title insurance order volumes increased in the three months ended March 31, 2020, as compared to the corresponding period in 2019. The increase in the three-month period was primarily attributable to increased opened title orders from refinance transactions, and a slight increase in opened title orders from purchase transactions.</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average fee per file in our direct operations was $2,224 in the three months ended March 31, 2020, compared to $2,567 in the three months ended March 31, 2019, respectively. The year-to-date decrease in average fee per file reflects an increased proportion of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premiums from agency operations increased $180 million, or 33%, in the three months ended March 31, 2020 from the corresponding period in 2019. The increase was directionally consistent with the trend in title premiums from direct operations and is further impacted by changes in underlying real estate activity in the geographic regions in which the independent agents operate.</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Escrow, title-related and other fees increased by $129 million, or 27%, in the three months ended March 31, 2020 from the corresponding period in 2019. Escrow fees, which are more closely related to our direct operations, increased by $56 million, or 34%, in the three months ended March 31, 2020 as compared to the corresponding period in 2019. The increase in the three-month period is directionally consistent with the change in title premiums from direct operations. Other fees in the Title segment, excluding escrow fees, increased by $73 million or 23% in the three months ended March 31, 2020, compared to the corresponding period in 2019. The changes in Other fees were primarily driven by a $43 million increase in volume related to our ServiceLink business. The remaining increase in Other Fees in the 2020 period relate to various individually immaterial items.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investment income remained flat in the three months ended March 31, 2020 compared to the corresponding period in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Realized gains and losses, net, decreased $455 million in the three months ended March 31, 2020 from the comparable period in 2019. The decrease in the three-month period is primarily attributable to fluctuations in non-cash valuation changes on our equity and preferred security holdings.</w:t>
      </w:r>
    </w:p>
    <w:p>
      <w:pPr>
        <w:spacing w:after="0" w:line="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increased $90 million, or 16%, in the three months ended March 31, 2020 compared to the corresponding periods in 2019. The increase in the three-month period is primarily attributable to increased average headcount and increased commissions driven by the increase in closed title order volumes in the 2020 period. Personnel costs as a percentage of total revenues from direct title premiums and escrow, title-related and other fees were 55% and 60% for the three-month periods ended March 31, 2020 and 2019, respectively. Average employee count in the Title segment was 24,427 and 22,170 in the three-month periods ended March 31, 2020 and 2019, respectively.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by $65 million, or 21%, in the three months ended March 31, 2020 from the corresponding period in 2019. Other operating expenses as a percentage of total revenue excluding agency premiums, interest and investment income, and realized gains and losses were 33% and 34% in the three months ended March 31, 2020 and 2019, respectively.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has remained relatively consistent since 2019:</w:t>
      </w:r>
    </w:p>
    <w:p>
      <w:pPr>
        <w:spacing w:after="0" w:line="174" w:lineRule="exact"/>
        <w:rPr>
          <w:sz w:val="20"/>
          <w:szCs w:val="20"/>
          <w:color w:val="auto"/>
        </w:rPr>
      </w:pPr>
    </w:p>
    <w:tbl>
      <w:tblPr>
        <w:tblLayout w:type="fixed"/>
        <w:tblInd w:w="200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r>
      <w:tr>
        <w:trPr>
          <w:trHeight w:val="196"/>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1"/>
                <w:szCs w:val="2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88"/>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claim loss provision for title insurance was $58 million and $45 million for the three-month periods ended March 31, 2020 and 2019,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50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76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Escrow, title-related and other fees</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Interest and investment income</w:t>
            </w:r>
          </w:p>
        </w:tc>
        <w:tc>
          <w:tcPr>
            <w:tcW w:w="780" w:type="dxa"/>
            <w:vAlign w:val="bottom"/>
          </w:tcPr>
          <w:p>
            <w:pPr>
              <w:spacing w:after="0"/>
              <w:rPr>
                <w:sz w:val="21"/>
                <w:szCs w:val="21"/>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gains and losses, net</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Personnel costs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760" w:type="dxa"/>
            <w:vAlign w:val="bottom"/>
          </w:tcPr>
          <w:p>
            <w:pPr>
              <w:ind w:left="480"/>
              <w:spacing w:after="0"/>
              <w:rPr>
                <w:sz w:val="20"/>
                <w:szCs w:val="20"/>
                <w:color w:val="auto"/>
              </w:rPr>
            </w:pPr>
            <w:r>
              <w:rPr>
                <w:rFonts w:ascii="Arial" w:cs="Arial" w:eastAsia="Arial" w:hAnsi="Arial"/>
                <w:sz w:val="18"/>
                <w:szCs w:val="18"/>
                <w:color w:val="auto"/>
              </w:rPr>
              <w:t>Total expenses</w:t>
            </w:r>
          </w:p>
        </w:tc>
        <w:tc>
          <w:tcPr>
            <w:tcW w:w="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1"/>
              </w:rPr>
              <w:t>Loss from continuing operations, before income taxes and equity in earnings of</w:t>
            </w: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unconsolidated affiliates</w:t>
            </w: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Total revenues in the Corporate and Other segment decreased $70 million, or 119%, in the three-month period ended March 31, 2020 from the corresponding period in 2019. The decrease is primarily attributable to valuation losses associated with our deferred compensation plan assets.</w:t>
      </w:r>
    </w:p>
    <w:p>
      <w:pPr>
        <w:spacing w:after="0" w:line="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Personnel costs in the Corporate and Other segment decreased $68 million, or 166%, in the three-month period ended March 31, 2020 from the corresponding period in 2019. The decrease in the three-month period ended March 31, 2020 is primarily attributable to decreased valuations associated with our deferred compensation plan assets.</w:t>
      </w:r>
    </w:p>
    <w:p>
      <w:pPr>
        <w:spacing w:after="0" w:line="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 the Corporate and Other segment increased $2 million, or 7%, in the three-month period ended March 31, 2020 from the corresponding period in 2019. The increase is primarily attributable to costs related to the contemplated FGL Merger, which were in excess of the costs incurred related to the abandoned acquisition of Stewart Information Services Corporation in the 2019 period.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on our debt, capital expenditures, business acquisitions, stock repurchases and dividends on our common stock. We paid dividends of $0.33 per share in the first quarter of 2020, or approximately $90 million to our common shareholders. On April 22, 2020, our Board of Directors declared cash dividends of $0.33 per share, payable on June 30, 2020, to FNF common shareholders of record as of June 16, 2020.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March 31, 2020, we had cash and cash equivalents of $890 million, short term investments of $1,258 million and available capacity under our Revolving Credit Facility of $800 million. On April 22, 2020 we entered into the Term Loan Agreement which provides for a $1 billion, 364 day delayed-draw, term loan. In addition to our cash on hand the proceeds of the Term Loan Agreement will be used to fund the up-to $1.5 billion cash portion of the FGL Merger. 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our title claim loss reserves, we do not specifically match durations of our investments to the cash outflows required to pay claims, but do manage outflows on a shorter time frame.</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2019, $1,868 million of our net assets were restricted from dividend payments without prior approval from the relevant departments of insurance. We anticipate that our title insurance subsidiaries will pay or make dividends in the remainder of 2020 of approximately $389 million. Our underwritten title companies and non-insurance subsidiaries are not regulated to the same extent as our insurance subsidiaries.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(used in) operations for the three months ended March 31, 2020 and 2019 totaled $105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$(4) million, respectively. The increase in cash provided by operating activities of $109 million is primarily attributable to the increase in pre-tax earnings, excluding non-cash valuation losses and the timing of receipts and payments of prepaid assets, receivables and income taxes, partially offset by the timing of receipts and payments of payables.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(used in) provided by investing activities for the three months ended March 31, 2020 and 2019 were $(439)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$94 million, respectively. The increase in cash used in investing activities of $533 million in the 2020 period compared to the 2019 period is primarily attributable to a $650 million increase in net cash outflow from purchases of short-term investments and an $88 million reduction in proceeds from sales of investment securities, partially offset by increased proceeds from call and maturities of investment securities of $97 million in the 2020 period, and the funding of the Cannae note receivable of $100 million in the 2019 period.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$28 million and $22 million for the three-month periods ended March 31, 2020 and 2019, respectively.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three months ended March 31, 2020 and 2019 were $152 million and $224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used in financing activities of $72 million from the 2019 period is primarily attributable to $148 million increase in cash inflows related to the change in secured trust deposits, partially offset by a $71 million increase in purchases of treasury stock during the 2020 period.</w:t>
      </w:r>
    </w:p>
    <w:p>
      <w:pPr>
        <w:spacing w:after="0" w:line="79"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 Additionally, see Item 5. of Part II of this Quarterly Report for discussion of the Term Loan Agreement.</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July 17, 2018, our Board of Directors approved a new three-year stock repurchase program effective August 1, 2018</w:t>
      </w:r>
      <w:r>
        <w:rPr>
          <w:rFonts w:ascii="Arial" w:cs="Arial" w:eastAsia="Arial" w:hAnsi="Arial"/>
          <w:sz w:val="16"/>
          <w:szCs w:val="16"/>
          <w:i w:val="1"/>
          <w:iCs w:val="1"/>
          <w:color w:val="auto"/>
        </w:rPr>
        <w:t xml:space="preserve"> </w:t>
      </w:r>
      <w:r>
        <w:rPr>
          <w:rFonts w:ascii="Arial" w:cs="Arial" w:eastAsia="Arial" w:hAnsi="Arial"/>
          <w:sz w:val="16"/>
          <w:szCs w:val="16"/>
          <w:color w:val="auto"/>
        </w:rPr>
        <w:t>(the "2018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We repurchased 3,250,000 shares of FNF common stock during the three months ended March 31, 2020 for approximately $94 million, or an average of $28.95 per share. Subsequent to March 31, 2020 through market close on April 23, 2020, we purchased 400,000 additional shares for $10 million, or an average of $24.39 per share. Since the original commencement of the 2018 Repurchase Program through market close on April 23, 2020, we repurchased a total of 6,430,000 FNF common shares for $210 million, or an average of $32.70 per share.</w:t>
      </w:r>
    </w:p>
    <w:p>
      <w:pPr>
        <w:spacing w:after="0" w:line="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inclusion of operating lease arrangements on the balance sheet, further discussed below, there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no significant changes to our off-balance sheet arrangements since our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our adoption of ASC Topic 326 as further described in Notes A and D to our Condensed Consolidated Financial Statements included in Item 1 of Part 1 of this Quarterly Report which is incorporated by reference into this Item 2 of Part I, there have been no material changes to our critical accounting policies described in our Annual Report on Form 10-K for the year ended December 31,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2019.</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2020 that have materially affected, or are reasonably likely to materially affect, our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risk factors disclosed in "Item 1A. Risk Factors" included in our Annual Report on Form 10-K for the year ended December 31, 2019, are hereby incorporated by reference. In addition, , we identified the following additional risk as a result of the outbreak of the COVID-19 pandemic.</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Our business could be materially and adversely affected by the occurrence of a catastrophe, including natural or man-made disasters.</w:t>
      </w:r>
    </w:p>
    <w:p>
      <w:pPr>
        <w:spacing w:after="0" w:line="2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Any catastrophic event, such as pandemic diseases, terrorist attacks, floods, severe storms or hurricanes or computer cyber-terrorism, could have a material and adverse effect on our business in several respects:</w:t>
      </w:r>
    </w:p>
    <w:p>
      <w:pPr>
        <w:spacing w:after="0" w:line="198" w:lineRule="exact"/>
        <w:rPr>
          <w:sz w:val="20"/>
          <w:szCs w:val="20"/>
          <w:color w:val="auto"/>
        </w:rPr>
      </w:pPr>
    </w:p>
    <w:p>
      <w:pPr>
        <w:ind w:left="660" w:right="700" w:hanging="328"/>
        <w:spacing w:after="0" w:line="29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outbreak of a pandemic disease, like the novel coronavirus COVID-19, could have a material adverse effect on our liquidity, financial condition and the operating results of our insurance business due to its impact on the economy and financial markets;</w:t>
      </w:r>
    </w:p>
    <w:p>
      <w:pPr>
        <w:spacing w:after="0" w:line="173"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197"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could experience long-term interruptions in our service and the services provided by our significant vendors due to the effects of catastrophic events, including but not limited to government mandates to self-quarantine, work remotely and prolonged travel restrictions.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three months ended March 31, 2020:</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 Shares</w:t>
            </w:r>
          </w:p>
        </w:tc>
        <w:tc>
          <w:tcPr>
            <w:tcW w:w="1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 per</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1/1/2020 - 1/31/2020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22,220,000</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2/1/2020 - 2/29/2020</w:t>
            </w:r>
          </w:p>
        </w:tc>
        <w:tc>
          <w:tcPr>
            <w:tcW w:w="12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1540" w:type="dxa"/>
            <w:vAlign w:val="bottom"/>
          </w:tcPr>
          <w:p>
            <w:pPr>
              <w:jc w:val="right"/>
              <w:ind w:right="59"/>
              <w:spacing w:after="0"/>
              <w:rPr>
                <w:sz w:val="20"/>
                <w:szCs w:val="20"/>
                <w:color w:val="auto"/>
              </w:rPr>
            </w:pPr>
            <w:r>
              <w:rPr>
                <w:rFonts w:ascii="Arial" w:cs="Arial" w:eastAsia="Arial" w:hAnsi="Arial"/>
                <w:sz w:val="18"/>
                <w:szCs w:val="18"/>
                <w:color w:val="auto"/>
              </w:rPr>
              <w:t>150,000</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22,070,000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3/1/2020 - 3/31/2020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3,100,000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3,100,000</w:t>
            </w:r>
          </w:p>
        </w:tc>
        <w:tc>
          <w:tcPr>
            <w:tcW w:w="16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18,970,000</w:t>
            </w:r>
          </w:p>
        </w:tc>
        <w:tc>
          <w:tcPr>
            <w:tcW w:w="0" w:type="dxa"/>
            <w:vAlign w:val="bottom"/>
          </w:tcPr>
          <w:p>
            <w:pPr>
              <w:spacing w:after="0"/>
              <w:rPr>
                <w:sz w:val="1"/>
                <w:szCs w:val="1"/>
                <w:color w:val="auto"/>
              </w:rPr>
            </w:pPr>
          </w:p>
        </w:tc>
      </w:t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3,250,000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3,250,000</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hanging="648"/>
        <w:spacing w:after="0" w:line="277" w:lineRule="auto"/>
        <w:tabs>
          <w:tab w:leader="none" w:pos="6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35"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Merger Agreement Amendment</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April 24, 2020 we entered into an amendment to the Merger Agreement (the "Amendment"). Under the Amendment, the parties have agreed that the exchange agent will be required, not less than 20 days prior to the election deadline, to mail the election forms to all persons who are record holders of FGL ordinary shares (other than FGL, any subsidiary of FGL, FNF, F I Corp., F II Corp., or any other subsidiary thereof) and FGL restricted stock rights as of the FGL record date (April 23,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Term Loan Agreement</w:t>
      </w:r>
    </w:p>
    <w:p>
      <w:pPr>
        <w:spacing w:after="0" w:line="212" w:lineRule="exact"/>
        <w:rPr>
          <w:sz w:val="20"/>
          <w:szCs w:val="20"/>
          <w:color w:val="auto"/>
        </w:rPr>
      </w:pPr>
    </w:p>
    <w:p>
      <w:pPr>
        <w:jc w:val="both"/>
        <w:spacing w:after="0" w:line="208" w:lineRule="auto"/>
        <w:rPr>
          <w:sz w:val="20"/>
          <w:szCs w:val="20"/>
          <w:color w:val="auto"/>
        </w:rPr>
      </w:pPr>
      <w:r>
        <w:rPr>
          <w:rFonts w:ascii="Arial" w:cs="Arial" w:eastAsia="Arial" w:hAnsi="Arial"/>
          <w:sz w:val="17"/>
          <w:szCs w:val="17"/>
          <w:color w:val="auto"/>
        </w:rPr>
        <w:t>In connection with the FGL Merger, on April 22, 2020, we entered into the Term Loan Agreement which provides for an aggregate principal borrowing of $1 billion, which has a maturity date 364 days from the signing date. The Term Loan generally accrues interest based on a fluctuating rate per annum based on either (i) the base rate (which is equal to the highest of (a) the federal funds rate plus 1/2 of 1%, (b) the Administrative Agent’s "prime rate," and (c) LIBOR plus 1% (with a floor of 1.75%)), plus a margin of between 1% and 2% depending on the FNF Debt Rating or (ii) LIBOR (with a floor of 0.75%) plus a margin of between 2% and 3% depending on the FNF Debt Rating. In addition, FNF will pay a ticking fee of between 37.5 and 62.5 basis points on the daily unused portion of the commitments under the Term Loan Agreement, also depending on the FNF Debt Rating. In accordance with the Term Loan Agreement, the FGL Merger shall have been, or shall concurrently with the borrowing be, consummated in accordance with the terms of the Merger Agreement. The Term Loan Agreement contains affirmative, negative and financial covenants, and events of default that are generally consistent with the corresponding provisions in the Restated Credit Agreement.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right="240" w:hanging="227"/>
        <w:spacing w:after="0" w:line="412" w:lineRule="auto"/>
        <w:tabs>
          <w:tab w:leader="none" w:pos="482" w:val="left"/>
        </w:tabs>
        <w:numPr>
          <w:ilvl w:val="0"/>
          <w:numId w:val="9"/>
        </w:numPr>
        <w:rPr>
          <w:rFonts w:ascii="Arial" w:cs="Arial" w:eastAsia="Arial" w:hAnsi="Arial"/>
          <w:sz w:val="16"/>
          <w:szCs w:val="16"/>
          <w:color w:val="auto"/>
        </w:rPr>
      </w:pPr>
      <w:r>
        <w:rPr>
          <w:rFonts w:ascii="Arial" w:cs="Arial" w:eastAsia="Arial" w:hAnsi="Arial"/>
          <w:sz w:val="16"/>
          <w:szCs w:val="16"/>
          <w:color w:val="auto"/>
        </w:rPr>
        <w:t>Exhibits: 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89" w:lineRule="auto"/>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Agreement and Plan of Merger, dated February 7, 2020, by and between FGL Holdings, Fidelity National Financial, Inc., F Corp I</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and F Corp II. (incorporated by reference to Exhibit 2.1 to the Registrant's Current Report on Form 8-K filed on February 7, 2020)</w:t>
        </w:r>
      </w:hyperlink>
    </w:p>
    <w:p>
      <w:pPr>
        <w:spacing w:after="0" w:line="33" w:lineRule="exact"/>
        <w:rPr>
          <w:sz w:val="20"/>
          <w:szCs w:val="20"/>
          <w:color w:val="auto"/>
        </w:rPr>
      </w:pPr>
    </w:p>
    <w:p>
      <w:pPr>
        <w:sectPr>
          <w:pgSz w:w="11900" w:h="16838" w:orient="portrait"/>
          <w:cols w:equalWidth="0" w:num="2">
            <w:col w:w="1360" w:space="180"/>
            <w:col w:w="9660"/>
          </w:cols>
          <w:pgMar w:left="320" w:top="121" w:right="379" w:bottom="1440" w:gutter="0" w:footer="0" w:header="0"/>
        </w:sectPr>
      </w:pPr>
    </w:p>
    <w:tbl>
      <w:tblPr>
        <w:tblLayout w:type="fixed"/>
        <w:tblInd w:w="240" w:type="dxa"/>
        <w:tblCellMar>
          <w:top w:w="0" w:type="dxa"/>
          <w:left w:w="0" w:type="dxa"/>
          <w:bottom w:w="0" w:type="dxa"/>
          <w:right w:w="0" w:type="dxa"/>
        </w:tblCellMar>
      </w:tblPr>
      <w:tr>
        <w:trPr>
          <w:trHeight w:val="227"/>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10.1</w:t>
            </w:r>
          </w:p>
        </w:tc>
        <w:tc>
          <w:tcPr>
            <w:tcW w:w="96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Term Loan Credit Agreement, dated April 22, 2020, among Fidelity National Financial, Inc., as the Borrower, Bank of America, N.A.</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1300" w:type="dxa"/>
            <w:vAlign w:val="bottom"/>
          </w:tcPr>
          <w:p>
            <w:pPr>
              <w:spacing w:after="0"/>
              <w:rPr>
                <w:sz w:val="19"/>
                <w:szCs w:val="19"/>
                <w:color w:val="auto"/>
              </w:rPr>
            </w:pPr>
          </w:p>
        </w:tc>
        <w:tc>
          <w:tcPr>
            <w:tcW w:w="9680" w:type="dxa"/>
            <w:vAlign w:val="bottom"/>
            <w:gridSpan w:val="4"/>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as Administrative Agent, JP Morgan Chase Bank, N.A., as Syndication Agent, and The Other Lenders Party Thereto</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10.2</w:t>
            </w:r>
          </w:p>
        </w:tc>
        <w:tc>
          <w:tcPr>
            <w:tcW w:w="9700" w:type="dxa"/>
            <w:vAlign w:val="bottom"/>
            <w:tcBorders>
              <w:bottom w:val="single" w:sz="8" w:color="0000FF"/>
            </w:tcBorders>
            <w:gridSpan w:val="5"/>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First Amendment to the Agreement and Plan of Merger, dated as of April 24, 2020, by Fidelity National Financial, Inc., a Delaware</w:t>
              </w:r>
            </w:hyperlink>
          </w:p>
        </w:tc>
        <w:tc>
          <w:tcPr>
            <w:tcW w:w="20" w:type="dxa"/>
            <w:vAlign w:val="bottom"/>
          </w:tcPr>
          <w:p>
            <w:pPr>
              <w:spacing w:after="0"/>
              <w:rPr>
                <w:sz w:val="23"/>
                <w:szCs w:val="23"/>
                <w:color w:val="auto"/>
              </w:rPr>
            </w:pPr>
          </w:p>
        </w:tc>
      </w:tr>
      <w:tr>
        <w:trPr>
          <w:trHeight w:val="156"/>
        </w:trPr>
        <w:tc>
          <w:tcPr>
            <w:tcW w:w="1300" w:type="dxa"/>
            <w:vAlign w:val="bottom"/>
          </w:tcPr>
          <w:p>
            <w:pPr>
              <w:spacing w:after="0"/>
              <w:rPr>
                <w:sz w:val="13"/>
                <w:szCs w:val="13"/>
                <w:color w:val="auto"/>
              </w:rPr>
            </w:pPr>
          </w:p>
        </w:tc>
        <w:tc>
          <w:tcPr>
            <w:tcW w:w="9700" w:type="dxa"/>
            <w:vAlign w:val="bottom"/>
            <w:gridSpan w:val="5"/>
          </w:tcPr>
          <w:p>
            <w:pPr>
              <w:spacing w:after="0" w:line="15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Corporation ("Parent"), F I Corp., a Cayman Islands exempted company and wholly owned subsidiary of Parent, F II Corp., a</w:t>
              </w:r>
            </w:hyperlink>
          </w:p>
        </w:tc>
        <w:tc>
          <w:tcPr>
            <w:tcW w:w="20" w:type="dxa"/>
            <w:vAlign w:val="bottom"/>
          </w:tcPr>
          <w:p>
            <w:pPr>
              <w:spacing w:after="0"/>
              <w:rPr>
                <w:sz w:val="13"/>
                <w:szCs w:val="13"/>
                <w:color w:val="auto"/>
              </w:rPr>
            </w:pPr>
          </w:p>
        </w:tc>
      </w:tr>
      <w:tr>
        <w:trPr>
          <w:trHeight w:val="224"/>
        </w:trPr>
        <w:tc>
          <w:tcPr>
            <w:tcW w:w="1300" w:type="dxa"/>
            <w:vAlign w:val="bottom"/>
          </w:tcPr>
          <w:p>
            <w:pPr>
              <w:spacing w:after="0"/>
              <w:rPr>
                <w:sz w:val="19"/>
                <w:szCs w:val="19"/>
                <w:color w:val="auto"/>
              </w:rPr>
            </w:pPr>
          </w:p>
        </w:tc>
        <w:tc>
          <w:tcPr>
            <w:tcW w:w="9640" w:type="dxa"/>
            <w:vAlign w:val="bottom"/>
            <w:tcBorders>
              <w:top w:val="single" w:sz="8" w:color="0000FF"/>
            </w:tcBorders>
            <w:gridSpan w:val="2"/>
          </w:tcPr>
          <w:p>
            <w:pPr>
              <w:spacing w:after="0"/>
              <w:rPr>
                <w:rFonts w:ascii="Arial" w:cs="Arial" w:eastAsia="Arial" w:hAnsi="Arial"/>
                <w:sz w:val="18"/>
                <w:szCs w:val="18"/>
                <w:u w:val="single" w:color="auto"/>
                <w:color w:val="0000FF"/>
                <w:w w:val="90"/>
              </w:rPr>
            </w:pPr>
            <w:hyperlink r:id="rId60">
              <w:r>
                <w:rPr>
                  <w:rFonts w:ascii="Arial" w:cs="Arial" w:eastAsia="Arial" w:hAnsi="Arial"/>
                  <w:sz w:val="18"/>
                  <w:szCs w:val="18"/>
                  <w:u w:val="single" w:color="auto"/>
                  <w:color w:val="0000FF"/>
                  <w:w w:val="90"/>
                </w:rPr>
                <w:t>Cayman Islands exempted company and wholly owned subsidiary of Parent, and FGL Holdings, a Cayman Island exempted company</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r>
      <w:tr>
        <w:trPr>
          <w:trHeight w:val="323"/>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31.1</w:t>
            </w:r>
          </w:p>
        </w:tc>
        <w:tc>
          <w:tcPr>
            <w:tcW w:w="9720" w:type="dxa"/>
            <w:vAlign w:val="bottom"/>
            <w:gridSpan w:val="6"/>
          </w:tcPr>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37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31.2</w:t>
            </w:r>
          </w:p>
        </w:tc>
        <w:tc>
          <w:tcPr>
            <w:tcW w:w="9720" w:type="dxa"/>
            <w:vAlign w:val="bottom"/>
            <w:gridSpan w:val="6"/>
          </w:tcPr>
          <w:p>
            <w:pPr>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324"/>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32.1</w:t>
            </w:r>
          </w:p>
        </w:tc>
        <w:tc>
          <w:tcPr>
            <w:tcW w:w="970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98">
              <w:r>
                <w:rPr>
                  <w:rFonts w:ascii="Arial" w:cs="Arial" w:eastAsia="Arial" w:hAnsi="Arial"/>
                  <w:sz w:val="18"/>
                  <w:szCs w:val="18"/>
                  <w:color w:val="0000FF"/>
                  <w:w w:val="92"/>
                </w:rPr>
                <w:t>Certification by Chief Executive Officer of Periodic Financial Reports pursuant to Section 906 of the Sarbanes-Oxley Act of 2002, 18</w:t>
              </w:r>
            </w:hyperlink>
          </w:p>
        </w:tc>
        <w:tc>
          <w:tcPr>
            <w:tcW w:w="20" w:type="dxa"/>
            <w:vAlign w:val="bottom"/>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1520" w:type="dxa"/>
            <w:vAlign w:val="bottom"/>
            <w:tcBorders>
              <w:bottom w:val="single" w:sz="8" w:color="0000FF"/>
            </w:tcBorders>
          </w:tcPr>
          <w:p>
            <w:pPr>
              <w:spacing w:after="0" w:line="156" w:lineRule="exact"/>
              <w:rPr>
                <w:rFonts w:ascii="Arial" w:cs="Arial" w:eastAsia="Arial" w:hAnsi="Arial"/>
                <w:sz w:val="18"/>
                <w:szCs w:val="18"/>
                <w:color w:val="0000FF"/>
                <w:w w:val="89"/>
              </w:rPr>
            </w:pPr>
            <w:hyperlink w:anchor="page198">
              <w:r>
                <w:rPr>
                  <w:rFonts w:ascii="Arial" w:cs="Arial" w:eastAsia="Arial" w:hAnsi="Arial"/>
                  <w:sz w:val="18"/>
                  <w:szCs w:val="18"/>
                  <w:color w:val="0000FF"/>
                  <w:w w:val="89"/>
                </w:rPr>
                <w:t>U.S.C. Section 1350.</w:t>
              </w:r>
            </w:hyperlink>
          </w:p>
        </w:tc>
        <w:tc>
          <w:tcPr>
            <w:tcW w:w="8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32.2</w:t>
            </w:r>
          </w:p>
        </w:tc>
        <w:tc>
          <w:tcPr>
            <w:tcW w:w="9720" w:type="dxa"/>
            <w:vAlign w:val="bottom"/>
            <w:gridSpan w:val="6"/>
          </w:tcPr>
          <w:p>
            <w:pPr>
              <w:spacing w:after="0"/>
              <w:rPr>
                <w:rFonts w:ascii="Arial" w:cs="Arial" w:eastAsia="Arial" w:hAnsi="Arial"/>
                <w:sz w:val="18"/>
                <w:szCs w:val="18"/>
                <w:color w:val="0000FF"/>
                <w:w w:val="93"/>
              </w:rPr>
            </w:pPr>
            <w:hyperlink w:anchor="page199">
              <w:r>
                <w:rPr>
                  <w:rFonts w:ascii="Arial" w:cs="Arial" w:eastAsia="Arial" w:hAnsi="Arial"/>
                  <w:sz w:val="18"/>
                  <w:szCs w:val="18"/>
                  <w:color w:val="0000FF"/>
                  <w:w w:val="93"/>
                </w:rPr>
                <w:t>Certification by Chief Financial Officer of Periodic Financial Reports pursuant to Section 906 of the Sarbanes-Oxley Act of 2002, 18</w:t>
              </w:r>
            </w:hyperlink>
          </w:p>
        </w:tc>
      </w:tr>
      <w:tr>
        <w:trPr>
          <w:trHeight w:val="156"/>
        </w:trPr>
        <w:tc>
          <w:tcPr>
            <w:tcW w:w="13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99">
              <w:r>
                <w:rPr>
                  <w:rFonts w:ascii="Arial" w:cs="Arial" w:eastAsia="Arial" w:hAnsi="Arial"/>
                  <w:sz w:val="18"/>
                  <w:szCs w:val="18"/>
                  <w:color w:val="0000FF"/>
                  <w:w w:val="89"/>
                </w:rPr>
                <w:t>U.S.C. Section 1350.</w:t>
              </w:r>
            </w:hyperlink>
          </w:p>
        </w:tc>
        <w:tc>
          <w:tcPr>
            <w:tcW w:w="8140" w:type="dxa"/>
            <w:vAlign w:val="bottom"/>
            <w:tcBorders>
              <w:top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12"/>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5"/>
              </w:rPr>
              <w:t>101.INS</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635"/>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0"/>
              </w:rPr>
              <w:t>101.SCH</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4"/>
              </w:rPr>
              <w:t>101.CAL</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2"/>
              </w:rPr>
              <w:t>101.DEF</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1"/>
              </w:rPr>
              <w:t>101.PRE</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19"/>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5"/>
              </w:rPr>
              <w:t>101.LAB</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88" w:lineRule="exact"/>
        <w:rPr>
          <w:sz w:val="20"/>
          <w:szCs w:val="20"/>
          <w:color w:val="auto"/>
        </w:rPr>
      </w:pPr>
    </w:p>
    <w:p>
      <w:pPr>
        <w:ind w:left="1540" w:hanging="1107"/>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4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tbl>
      <w:tblPr>
        <w:tblLayout w:type="fixed"/>
        <w:tblInd w:w="540" w:type="dxa"/>
        <w:tblCellMar>
          <w:top w:w="0" w:type="dxa"/>
          <w:left w:w="0" w:type="dxa"/>
          <w:bottom w:w="0" w:type="dxa"/>
          <w:right w:w="0" w:type="dxa"/>
        </w:tblCellMar>
      </w:tblPr>
      <w:tr>
        <w:trPr>
          <w:trHeight w:val="191"/>
        </w:trPr>
        <w:tc>
          <w:tcPr>
            <w:tcW w:w="3200" w:type="dxa"/>
            <w:vAlign w:val="bottom"/>
          </w:tcPr>
          <w:p>
            <w:pPr>
              <w:spacing w:after="0" w:line="191" w:lineRule="exact"/>
              <w:rPr>
                <w:sz w:val="20"/>
                <w:szCs w:val="20"/>
                <w:color w:val="auto"/>
              </w:rPr>
            </w:pPr>
            <w:r>
              <w:rPr>
                <w:rFonts w:ascii="Arial" w:cs="Arial" w:eastAsia="Arial" w:hAnsi="Arial"/>
                <w:sz w:val="18"/>
                <w:szCs w:val="18"/>
                <w:color w:val="auto"/>
              </w:rPr>
              <w:t>Date: April 28, 2020</w:t>
            </w:r>
          </w:p>
        </w:tc>
        <w:tc>
          <w:tcPr>
            <w:tcW w:w="4920" w:type="dxa"/>
            <w:vAlign w:val="bottom"/>
          </w:tcPr>
          <w:p>
            <w:pPr>
              <w:ind w:left="1700"/>
              <w:spacing w:after="0" w:line="191" w:lineRule="exact"/>
              <w:rPr>
                <w:sz w:val="20"/>
                <w:szCs w:val="20"/>
                <w:color w:val="auto"/>
              </w:rPr>
            </w:pPr>
            <w:r>
              <w:rPr>
                <w:rFonts w:ascii="Arial" w:cs="Arial" w:eastAsia="Arial" w:hAnsi="Arial"/>
                <w:sz w:val="18"/>
                <w:szCs w:val="18"/>
                <w:color w:val="auto"/>
              </w:rPr>
              <w:t>FIDELITY NATIONAL FINANCIAL, INC.</w:t>
            </w:r>
          </w:p>
        </w:tc>
      </w:tr>
      <w:tr>
        <w:trPr>
          <w:trHeight w:val="230"/>
        </w:trPr>
        <w:tc>
          <w:tcPr>
            <w:tcW w:w="3200" w:type="dxa"/>
            <w:vAlign w:val="bottom"/>
          </w:tcPr>
          <w:p>
            <w:pPr>
              <w:spacing w:after="0"/>
              <w:rPr>
                <w:sz w:val="20"/>
                <w:szCs w:val="20"/>
                <w:color w:val="auto"/>
              </w:rPr>
            </w:pPr>
          </w:p>
        </w:tc>
        <w:tc>
          <w:tcPr>
            <w:tcW w:w="4920" w:type="dxa"/>
            <w:vAlign w:val="bottom"/>
          </w:tcPr>
          <w:p>
            <w:pPr>
              <w:ind w:left="1700"/>
              <w:spacing w:after="0"/>
              <w:rPr>
                <w:sz w:val="20"/>
                <w:szCs w:val="20"/>
                <w:color w:val="auto"/>
              </w:rPr>
            </w:pPr>
            <w:r>
              <w:rPr>
                <w:rFonts w:ascii="Arial" w:cs="Arial" w:eastAsia="Arial" w:hAnsi="Arial"/>
                <w:sz w:val="18"/>
                <w:szCs w:val="18"/>
                <w:color w:val="auto"/>
              </w:rPr>
              <w:t>(registrant)</w:t>
            </w:r>
          </w:p>
        </w:tc>
      </w:tr>
      <w:tr>
        <w:trPr>
          <w:trHeight w:val="431"/>
        </w:trPr>
        <w:tc>
          <w:tcPr>
            <w:tcW w:w="3200" w:type="dxa"/>
            <w:vAlign w:val="bottom"/>
          </w:tcPr>
          <w:p>
            <w:pPr>
              <w:spacing w:after="0"/>
              <w:rPr>
                <w:sz w:val="24"/>
                <w:szCs w:val="24"/>
                <w:color w:val="auto"/>
              </w:rPr>
            </w:pPr>
          </w:p>
        </w:tc>
        <w:tc>
          <w:tcPr>
            <w:tcW w:w="4920" w:type="dxa"/>
            <w:vAlign w:val="bottom"/>
          </w:tcPr>
          <w:p>
            <w:pPr>
              <w:ind w:left="1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0</wp:posOffset>
            </wp:positionV>
            <wp:extent cx="2657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121" w:right="45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Deal CUSIP Number: 31620KAK6</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Term Loan CUSIP Number: 31620KAJ9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TERM LOAN CREDIT AGREEMENT</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April 22, 2020</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FIDELITY NATIONAL FINANCIAL, INC.,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the Borrower,</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Syndication Agent,</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U.S. BANK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CITIBANK, N.A.,</w:t>
      </w:r>
    </w:p>
    <w:p>
      <w:pPr>
        <w:jc w:val="center"/>
        <w:ind w:right="1120"/>
        <w:spacing w:after="0"/>
        <w:rPr>
          <w:sz w:val="20"/>
          <w:szCs w:val="20"/>
          <w:color w:val="auto"/>
        </w:rPr>
      </w:pPr>
      <w:r>
        <w:rPr>
          <w:rFonts w:ascii="Arial" w:cs="Arial" w:eastAsia="Arial" w:hAnsi="Arial"/>
          <w:sz w:val="20"/>
          <w:szCs w:val="20"/>
          <w:b w:val="1"/>
          <w:bCs w:val="1"/>
          <w:color w:val="auto"/>
        </w:rPr>
        <w:t>CITIZENS BANK, N.A.,</w:t>
      </w:r>
    </w:p>
    <w:p>
      <w:pPr>
        <w:jc w:val="center"/>
        <w:ind w:right="1120"/>
        <w:spacing w:after="0"/>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w:t>
      </w:r>
    </w:p>
    <w:p>
      <w:pPr>
        <w:jc w:val="center"/>
        <w:ind w:right="1120"/>
        <w:spacing w:after="0"/>
        <w:rPr>
          <w:sz w:val="20"/>
          <w:szCs w:val="20"/>
          <w:color w:val="auto"/>
        </w:rPr>
      </w:pPr>
      <w:r>
        <w:rPr>
          <w:rFonts w:ascii="Arial" w:cs="Arial" w:eastAsia="Arial" w:hAnsi="Arial"/>
          <w:sz w:val="20"/>
          <w:szCs w:val="20"/>
          <w:b w:val="1"/>
          <w:bCs w:val="1"/>
          <w:color w:val="auto"/>
        </w:rPr>
        <w:t>MUFG UNION BANK, N.A.,</w:t>
      </w:r>
    </w:p>
    <w:p>
      <w:pPr>
        <w:jc w:val="center"/>
        <w:ind w:right="1120"/>
        <w:spacing w:after="0"/>
        <w:rPr>
          <w:sz w:val="20"/>
          <w:szCs w:val="20"/>
          <w:color w:val="auto"/>
        </w:rPr>
      </w:pPr>
      <w:r>
        <w:rPr>
          <w:rFonts w:ascii="Arial" w:cs="Arial" w:eastAsia="Arial" w:hAnsi="Arial"/>
          <w:sz w:val="20"/>
          <w:szCs w:val="20"/>
          <w:color w:val="auto"/>
        </w:rPr>
        <w:t>as</w:t>
      </w:r>
    </w:p>
    <w:p>
      <w:pPr>
        <w:jc w:val="center"/>
        <w:ind w:right="1120"/>
        <w:spacing w:after="0"/>
        <w:rPr>
          <w:sz w:val="20"/>
          <w:szCs w:val="20"/>
          <w:color w:val="auto"/>
        </w:rPr>
      </w:pPr>
      <w:r>
        <w:rPr>
          <w:rFonts w:ascii="Arial" w:cs="Arial" w:eastAsia="Arial" w:hAnsi="Arial"/>
          <w:sz w:val="20"/>
          <w:szCs w:val="20"/>
          <w:color w:val="auto"/>
        </w:rPr>
        <w:t>Co-Documentation Agents</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Other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BOFA SECURITIES, INC.,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JPMORGAN CHASE BANK, N.A.,</w:t>
      </w:r>
    </w:p>
    <w:p>
      <w:pPr>
        <w:jc w:val="center"/>
        <w:ind w:right="112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jc w:val="center"/>
        <w:ind w:right="1120"/>
        <w:spacing w:after="0"/>
        <w:rPr>
          <w:sz w:val="20"/>
          <w:szCs w:val="20"/>
          <w:color w:val="auto"/>
        </w:rPr>
      </w:pPr>
      <w:r>
        <w:rPr>
          <w:rFonts w:ascii="Arial" w:cs="Arial" w:eastAsia="Arial" w:hAnsi="Arial"/>
          <w:sz w:val="20"/>
          <w:szCs w:val="20"/>
          <w:color w:val="auto"/>
        </w:rPr>
        <w:t>as</w:t>
      </w:r>
    </w:p>
    <w:p>
      <w:pPr>
        <w:jc w:val="center"/>
        <w:ind w:right="1120"/>
        <w:spacing w:after="0"/>
        <w:rPr>
          <w:sz w:val="20"/>
          <w:szCs w:val="20"/>
          <w:color w:val="auto"/>
        </w:rPr>
      </w:pPr>
      <w:r>
        <w:rPr>
          <w:rFonts w:ascii="Arial" w:cs="Arial" w:eastAsia="Arial" w:hAnsi="Arial"/>
          <w:sz w:val="20"/>
          <w:szCs w:val="20"/>
          <w:color w:val="auto"/>
        </w:rPr>
        <w:t>Joint Lead Arrangers,</w:t>
      </w: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BOFA SECURITIES, INC.,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JPMORGAN CHASE BANK, N.A.,</w:t>
      </w:r>
    </w:p>
    <w:p>
      <w:pPr>
        <w:jc w:val="center"/>
        <w:ind w:right="1120"/>
        <w:spacing w:after="0"/>
        <w:rPr>
          <w:sz w:val="20"/>
          <w:szCs w:val="20"/>
          <w:color w:val="auto"/>
        </w:rPr>
      </w:pPr>
      <w:r>
        <w:rPr>
          <w:rFonts w:ascii="Arial" w:cs="Arial" w:eastAsia="Arial" w:hAnsi="Arial"/>
          <w:sz w:val="20"/>
          <w:szCs w:val="20"/>
          <w:color w:val="auto"/>
        </w:rPr>
        <w:t>as</w:t>
      </w:r>
    </w:p>
    <w:p>
      <w:pPr>
        <w:jc w:val="center"/>
        <w:ind w:right="1120"/>
        <w:spacing w:after="0"/>
        <w:rPr>
          <w:sz w:val="20"/>
          <w:szCs w:val="20"/>
          <w:color w:val="auto"/>
        </w:rPr>
      </w:pPr>
      <w:r>
        <w:rPr>
          <w:rFonts w:ascii="Arial" w:cs="Arial" w:eastAsia="Arial" w:hAnsi="Arial"/>
          <w:sz w:val="20"/>
          <w:szCs w:val="20"/>
          <w:color w:val="auto"/>
        </w:rPr>
        <w:t>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1329055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9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56"/>
        </w:trPr>
        <w:tc>
          <w:tcPr>
            <w:tcW w:w="1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20" w:type="dxa"/>
            <w:vAlign w:val="bottom"/>
            <w:gridSpan w:val="5"/>
          </w:tcPr>
          <w:p>
            <w:pPr>
              <w:jc w:val="center"/>
              <w:ind w:right="740"/>
              <w:spacing w:after="0"/>
              <w:rPr>
                <w:sz w:val="20"/>
                <w:szCs w:val="20"/>
                <w:color w:val="auto"/>
              </w:rPr>
            </w:pPr>
            <w:r>
              <w:rPr>
                <w:rFonts w:ascii="Arial" w:cs="Arial" w:eastAsia="Arial" w:hAnsi="Arial"/>
                <w:sz w:val="20"/>
                <w:szCs w:val="20"/>
                <w:b w:val="1"/>
                <w:bCs w:val="1"/>
                <w:color w:val="auto"/>
                <w:w w:val="98"/>
              </w:rPr>
              <w:t>TABLE OF CONTENTS</w:t>
            </w: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ind w:left="860"/>
              <w:spacing w:after="0"/>
              <w:rPr>
                <w:sz w:val="20"/>
                <w:szCs w:val="20"/>
                <w:color w:val="auto"/>
              </w:rPr>
            </w:pPr>
            <w:r>
              <w:rPr>
                <w:rFonts w:ascii="Arial" w:cs="Arial" w:eastAsia="Arial" w:hAnsi="Arial"/>
                <w:sz w:val="20"/>
                <w:szCs w:val="20"/>
                <w:color w:val="auto"/>
                <w:w w:val="86"/>
              </w:rPr>
              <w:t>Section</w:t>
            </w:r>
          </w:p>
        </w:tc>
        <w:tc>
          <w:tcPr>
            <w:tcW w:w="2560" w:type="dxa"/>
            <w:vAlign w:val="bottom"/>
            <w:gridSpan w:val="3"/>
          </w:tcPr>
          <w:p>
            <w:pPr>
              <w:ind w:left="58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60" w:type="dxa"/>
            <w:vAlign w:val="bottom"/>
            <w:gridSpan w:val="4"/>
          </w:tcPr>
          <w:p>
            <w:pPr>
              <w:jc w:val="center"/>
              <w:ind w:right="1580"/>
              <w:spacing w:after="0"/>
              <w:rPr>
                <w:sz w:val="20"/>
                <w:szCs w:val="20"/>
                <w:color w:val="auto"/>
              </w:rPr>
            </w:pPr>
            <w:r>
              <w:rPr>
                <w:rFonts w:ascii="Arial" w:cs="Arial" w:eastAsia="Arial" w:hAnsi="Arial"/>
                <w:sz w:val="20"/>
                <w:szCs w:val="20"/>
                <w:color w:val="auto"/>
                <w:w w:val="98"/>
              </w:rPr>
              <w:t>Article I</w:t>
            </w:r>
          </w:p>
        </w:tc>
        <w:tc>
          <w:tcPr>
            <w:tcW w:w="0" w:type="dxa"/>
            <w:vAlign w:val="bottom"/>
          </w:tcPr>
          <w:p>
            <w:pPr>
              <w:spacing w:after="0"/>
              <w:rPr>
                <w:sz w:val="1"/>
                <w:szCs w:val="1"/>
                <w:color w:val="auto"/>
              </w:rPr>
            </w:pPr>
          </w:p>
        </w:tc>
      </w:tr>
      <w:tr>
        <w:trPr>
          <w:trHeight w:val="250"/>
        </w:trPr>
        <w:tc>
          <w:tcPr>
            <w:tcW w:w="2760" w:type="dxa"/>
            <w:vAlign w:val="bottom"/>
            <w:gridSpan w:val="3"/>
            <w:vMerge w:val="restart"/>
          </w:tcPr>
          <w:p>
            <w:pPr>
              <w:spacing w:after="0"/>
              <w:rPr>
                <w:sz w:val="20"/>
                <w:szCs w:val="20"/>
                <w:color w:val="auto"/>
              </w:rPr>
            </w:pPr>
            <w:r>
              <w:rPr>
                <w:rFonts w:ascii="Arial" w:cs="Arial" w:eastAsia="Arial" w:hAnsi="Arial"/>
                <w:sz w:val="20"/>
                <w:szCs w:val="20"/>
                <w:color w:val="auto"/>
              </w:rPr>
              <w:t>Section 1.01. Defined Terms</w:t>
            </w:r>
          </w:p>
        </w:tc>
        <w:tc>
          <w:tcPr>
            <w:tcW w:w="640" w:type="dxa"/>
            <w:vAlign w:val="bottom"/>
            <w:vMerge w:val="restart"/>
          </w:tcPr>
          <w:p>
            <w:pPr>
              <w:jc w:val="right"/>
              <w:ind w:right="441"/>
              <w:spacing w:after="0"/>
              <w:rPr>
                <w:sz w:val="20"/>
                <w:szCs w:val="20"/>
                <w:color w:val="auto"/>
              </w:rPr>
            </w:pPr>
            <w:r>
              <w:rPr>
                <w:rFonts w:ascii="Arial" w:cs="Arial" w:eastAsia="Arial" w:hAnsi="Arial"/>
                <w:sz w:val="20"/>
                <w:szCs w:val="20"/>
                <w:color w:val="auto"/>
                <w:w w:val="71"/>
              </w:rPr>
              <w:t>1</w:t>
            </w:r>
          </w:p>
        </w:tc>
        <w:tc>
          <w:tcPr>
            <w:tcW w:w="4600" w:type="dxa"/>
            <w:vAlign w:val="bottom"/>
            <w:gridSpan w:val="6"/>
          </w:tcPr>
          <w:p>
            <w:pPr>
              <w:jc w:val="center"/>
              <w:ind w:right="140"/>
              <w:spacing w:after="0"/>
              <w:rPr>
                <w:sz w:val="20"/>
                <w:szCs w:val="20"/>
                <w:color w:val="auto"/>
              </w:rPr>
            </w:pPr>
            <w:r>
              <w:rPr>
                <w:rFonts w:ascii="Arial" w:cs="Arial" w:eastAsia="Arial" w:hAnsi="Arial"/>
                <w:sz w:val="20"/>
                <w:szCs w:val="20"/>
                <w:color w:val="auto"/>
                <w:w w:val="96"/>
              </w:rPr>
              <w:t>DEFINITIONS AND ACCOUNTING TERMS</w:t>
            </w:r>
          </w:p>
        </w:tc>
        <w:tc>
          <w:tcPr>
            <w:tcW w:w="0" w:type="dxa"/>
            <w:vAlign w:val="bottom"/>
          </w:tcPr>
          <w:p>
            <w:pPr>
              <w:spacing w:after="0"/>
              <w:rPr>
                <w:sz w:val="1"/>
                <w:szCs w:val="1"/>
                <w:color w:val="auto"/>
              </w:rPr>
            </w:pPr>
          </w:p>
        </w:tc>
      </w:tr>
      <w:tr>
        <w:trPr>
          <w:trHeight w:val="209"/>
        </w:trPr>
        <w:tc>
          <w:tcPr>
            <w:tcW w:w="2760" w:type="dxa"/>
            <w:vAlign w:val="bottom"/>
            <w:gridSpan w:val="3"/>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spacing w:after="0"/>
              <w:rPr>
                <w:sz w:val="20"/>
                <w:szCs w:val="20"/>
                <w:color w:val="auto"/>
              </w:rPr>
            </w:pPr>
            <w:r>
              <w:rPr>
                <w:rFonts w:ascii="Arial" w:cs="Arial" w:eastAsia="Arial" w:hAnsi="Arial"/>
                <w:sz w:val="20"/>
                <w:szCs w:val="20"/>
                <w:color w:val="auto"/>
                <w:w w:val="89"/>
              </w:rPr>
              <w:t>Section 1.02. Other Interpretive Provisions</w:t>
            </w: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3"/>
          </w:tcPr>
          <w:p>
            <w:pPr>
              <w:spacing w:after="0"/>
              <w:rPr>
                <w:sz w:val="20"/>
                <w:szCs w:val="20"/>
                <w:color w:val="auto"/>
              </w:rPr>
            </w:pPr>
            <w:r>
              <w:rPr>
                <w:rFonts w:ascii="Arial" w:cs="Arial" w:eastAsia="Arial" w:hAnsi="Arial"/>
                <w:sz w:val="20"/>
                <w:szCs w:val="20"/>
                <w:color w:val="auto"/>
                <w:w w:val="96"/>
              </w:rPr>
              <w:t>Section 1.03. Accounting Terms</w:t>
            </w:r>
          </w:p>
        </w:tc>
        <w:tc>
          <w:tcPr>
            <w:tcW w:w="640" w:type="dxa"/>
            <w:vAlign w:val="bottom"/>
          </w:tcPr>
          <w:p>
            <w:pPr>
              <w:jc w:val="right"/>
              <w:ind w:right="101"/>
              <w:spacing w:after="0"/>
              <w:rPr>
                <w:sz w:val="20"/>
                <w:szCs w:val="20"/>
                <w:color w:val="auto"/>
              </w:rPr>
            </w:pPr>
            <w:r>
              <w:rPr>
                <w:rFonts w:ascii="Arial" w:cs="Arial" w:eastAsia="Arial" w:hAnsi="Arial"/>
                <w:sz w:val="20"/>
                <w:szCs w:val="20"/>
                <w:color w:val="auto"/>
              </w:rPr>
              <w:t>30</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20"/>
                <w:szCs w:val="20"/>
                <w:color w:val="auto"/>
                <w:w w:val="91"/>
              </w:rPr>
              <w:t>Section 1.04. Rounding</w:t>
            </w:r>
          </w:p>
        </w:tc>
        <w:tc>
          <w:tcPr>
            <w:tcW w:w="260" w:type="dxa"/>
            <w:vAlign w:val="bottom"/>
          </w:tcPr>
          <w:p>
            <w:pPr>
              <w:spacing w:after="0"/>
              <w:rPr>
                <w:sz w:val="19"/>
                <w:szCs w:val="19"/>
                <w:color w:val="auto"/>
              </w:rPr>
            </w:pP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30</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20"/>
                <w:szCs w:val="20"/>
                <w:color w:val="auto"/>
                <w:w w:val="89"/>
              </w:rPr>
              <w:t>Section 1.05. Times of Day</w:t>
            </w:r>
          </w:p>
        </w:tc>
        <w:tc>
          <w:tcPr>
            <w:tcW w:w="1220" w:type="dxa"/>
            <w:vAlign w:val="bottom"/>
            <w:gridSpan w:val="2"/>
          </w:tcPr>
          <w:p>
            <w:pPr>
              <w:jc w:val="right"/>
              <w:ind w:right="481"/>
              <w:spacing w:after="0"/>
              <w:rPr>
                <w:sz w:val="20"/>
                <w:szCs w:val="20"/>
                <w:color w:val="auto"/>
              </w:rPr>
            </w:pPr>
            <w:r>
              <w:rPr>
                <w:rFonts w:ascii="Arial" w:cs="Arial" w:eastAsia="Arial" w:hAnsi="Arial"/>
                <w:sz w:val="20"/>
                <w:szCs w:val="20"/>
                <w:color w:val="auto"/>
              </w:rPr>
              <w:t>31</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5"/>
          </w:tcPr>
          <w:p>
            <w:pPr>
              <w:spacing w:after="0"/>
              <w:rPr>
                <w:sz w:val="20"/>
                <w:szCs w:val="20"/>
                <w:color w:val="auto"/>
              </w:rPr>
            </w:pPr>
            <w:r>
              <w:rPr>
                <w:rFonts w:ascii="Arial" w:cs="Arial" w:eastAsia="Arial" w:hAnsi="Arial"/>
                <w:sz w:val="20"/>
                <w:szCs w:val="20"/>
                <w:color w:val="auto"/>
                <w:w w:val="91"/>
              </w:rPr>
              <w:t>Section 1.06. Timing of Payment of Performance</w:t>
            </w:r>
          </w:p>
        </w:tc>
        <w:tc>
          <w:tcPr>
            <w:tcW w:w="860" w:type="dxa"/>
            <w:vAlign w:val="bottom"/>
          </w:tcPr>
          <w:p>
            <w:pPr>
              <w:jc w:val="right"/>
              <w:ind w:right="341"/>
              <w:spacing w:after="0"/>
              <w:rPr>
                <w:sz w:val="20"/>
                <w:szCs w:val="20"/>
                <w:color w:val="auto"/>
              </w:rPr>
            </w:pPr>
            <w:r>
              <w:rPr>
                <w:rFonts w:ascii="Arial" w:cs="Arial" w:eastAsia="Arial" w:hAnsi="Arial"/>
                <w:sz w:val="20"/>
                <w:szCs w:val="20"/>
                <w:color w:val="auto"/>
              </w:rPr>
              <w:t>31</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7"/>
          </w:tcPr>
          <w:p>
            <w:pPr>
              <w:spacing w:after="0"/>
              <w:rPr>
                <w:sz w:val="20"/>
                <w:szCs w:val="20"/>
                <w:color w:val="auto"/>
              </w:rPr>
            </w:pPr>
            <w:r>
              <w:rPr>
                <w:rFonts w:ascii="Arial" w:cs="Arial" w:eastAsia="Arial" w:hAnsi="Arial"/>
                <w:sz w:val="20"/>
                <w:szCs w:val="20"/>
                <w:color w:val="auto"/>
                <w:w w:val="80"/>
              </w:rPr>
              <w:t>Section 1.07. Certain Calculations and Tests31</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80" w:type="dxa"/>
            <w:vAlign w:val="bottom"/>
            <w:gridSpan w:val="2"/>
          </w:tcPr>
          <w:p>
            <w:pPr>
              <w:spacing w:after="0"/>
              <w:rPr>
                <w:sz w:val="20"/>
                <w:szCs w:val="20"/>
                <w:color w:val="auto"/>
              </w:rPr>
            </w:pPr>
            <w:r>
              <w:rPr>
                <w:rFonts w:ascii="Arial" w:cs="Arial" w:eastAsia="Arial" w:hAnsi="Arial"/>
                <w:sz w:val="20"/>
                <w:szCs w:val="20"/>
                <w:color w:val="auto"/>
                <w:w w:val="87"/>
              </w:rPr>
              <w:t>Section 1.08. Interest Rates</w:t>
            </w:r>
          </w:p>
        </w:tc>
        <w:tc>
          <w:tcPr>
            <w:tcW w:w="1220" w:type="dxa"/>
            <w:vAlign w:val="bottom"/>
            <w:gridSpan w:val="2"/>
          </w:tcPr>
          <w:p>
            <w:pPr>
              <w:jc w:val="right"/>
              <w:ind w:right="481"/>
              <w:spacing w:after="0"/>
              <w:rPr>
                <w:sz w:val="20"/>
                <w:szCs w:val="20"/>
                <w:color w:val="auto"/>
              </w:rPr>
            </w:pPr>
            <w:r>
              <w:rPr>
                <w:rFonts w:ascii="Arial" w:cs="Arial" w:eastAsia="Arial" w:hAnsi="Arial"/>
                <w:sz w:val="20"/>
                <w:szCs w:val="20"/>
                <w:color w:val="auto"/>
              </w:rPr>
              <w:t>31</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60" w:type="dxa"/>
            <w:vAlign w:val="bottom"/>
            <w:gridSpan w:val="4"/>
          </w:tcPr>
          <w:p>
            <w:pPr>
              <w:jc w:val="center"/>
              <w:ind w:right="1600"/>
              <w:spacing w:after="0"/>
              <w:rPr>
                <w:sz w:val="20"/>
                <w:szCs w:val="20"/>
                <w:color w:val="auto"/>
              </w:rPr>
            </w:pPr>
            <w:r>
              <w:rPr>
                <w:rFonts w:ascii="Arial" w:cs="Arial" w:eastAsia="Arial" w:hAnsi="Arial"/>
                <w:sz w:val="20"/>
                <w:szCs w:val="20"/>
                <w:color w:val="auto"/>
                <w:w w:val="99"/>
              </w:rPr>
              <w:t>Article II</w:t>
            </w:r>
          </w:p>
        </w:tc>
        <w:tc>
          <w:tcPr>
            <w:tcW w:w="0" w:type="dxa"/>
            <w:vAlign w:val="bottom"/>
          </w:tcPr>
          <w:p>
            <w:pPr>
              <w:spacing w:after="0"/>
              <w:rPr>
                <w:sz w:val="1"/>
                <w:szCs w:val="1"/>
                <w:color w:val="auto"/>
              </w:rPr>
            </w:pPr>
          </w:p>
        </w:tc>
      </w:tr>
      <w:tr>
        <w:trPr>
          <w:trHeight w:val="250"/>
        </w:trPr>
        <w:tc>
          <w:tcPr>
            <w:tcW w:w="1920" w:type="dxa"/>
            <w:vAlign w:val="bottom"/>
            <w:vMerge w:val="restart"/>
          </w:tcPr>
          <w:p>
            <w:pPr>
              <w:spacing w:after="0"/>
              <w:rPr>
                <w:sz w:val="20"/>
                <w:szCs w:val="20"/>
                <w:color w:val="auto"/>
              </w:rPr>
            </w:pPr>
            <w:r>
              <w:rPr>
                <w:rFonts w:ascii="Arial" w:cs="Arial" w:eastAsia="Arial" w:hAnsi="Arial"/>
                <w:sz w:val="20"/>
                <w:szCs w:val="20"/>
                <w:color w:val="auto"/>
              </w:rPr>
              <w:t>Section 2.01. Loans</w:t>
            </w:r>
          </w:p>
        </w:tc>
        <w:tc>
          <w:tcPr>
            <w:tcW w:w="840" w:type="dxa"/>
            <w:vAlign w:val="bottom"/>
            <w:gridSpan w:val="2"/>
            <w:vMerge w:val="restart"/>
          </w:tcPr>
          <w:p>
            <w:pPr>
              <w:jc w:val="right"/>
              <w:ind w:right="381"/>
              <w:spacing w:after="0"/>
              <w:rPr>
                <w:sz w:val="20"/>
                <w:szCs w:val="20"/>
                <w:color w:val="auto"/>
              </w:rPr>
            </w:pPr>
            <w:r>
              <w:rPr>
                <w:rFonts w:ascii="Arial" w:cs="Arial" w:eastAsia="Arial" w:hAnsi="Arial"/>
                <w:sz w:val="20"/>
                <w:szCs w:val="20"/>
                <w:color w:val="auto"/>
              </w:rPr>
              <w:t>31</w:t>
            </w:r>
          </w:p>
        </w:tc>
        <w:tc>
          <w:tcPr>
            <w:tcW w:w="640" w:type="dxa"/>
            <w:vAlign w:val="bottom"/>
          </w:tcPr>
          <w:p>
            <w:pPr>
              <w:spacing w:after="0"/>
              <w:rPr>
                <w:sz w:val="21"/>
                <w:szCs w:val="21"/>
                <w:color w:val="auto"/>
              </w:rPr>
            </w:pPr>
          </w:p>
        </w:tc>
        <w:tc>
          <w:tcPr>
            <w:tcW w:w="4600" w:type="dxa"/>
            <w:vAlign w:val="bottom"/>
            <w:gridSpan w:val="6"/>
          </w:tcPr>
          <w:p>
            <w:pPr>
              <w:jc w:val="center"/>
              <w:ind w:right="160"/>
              <w:spacing w:after="0"/>
              <w:rPr>
                <w:sz w:val="20"/>
                <w:szCs w:val="20"/>
                <w:color w:val="auto"/>
              </w:rPr>
            </w:pPr>
            <w:r>
              <w:rPr>
                <w:rFonts w:ascii="Arial" w:cs="Arial" w:eastAsia="Arial" w:hAnsi="Arial"/>
                <w:sz w:val="20"/>
                <w:szCs w:val="20"/>
                <w:color w:val="auto"/>
                <w:w w:val="96"/>
              </w:rPr>
              <w:t>THE COMMITMENTS AND CREDIT EXTENSIONS</w:t>
            </w:r>
          </w:p>
        </w:tc>
        <w:tc>
          <w:tcPr>
            <w:tcW w:w="0" w:type="dxa"/>
            <w:vAlign w:val="bottom"/>
          </w:tcPr>
          <w:p>
            <w:pPr>
              <w:spacing w:after="0"/>
              <w:rPr>
                <w:sz w:val="1"/>
                <w:szCs w:val="1"/>
                <w:color w:val="auto"/>
              </w:rPr>
            </w:pPr>
          </w:p>
        </w:tc>
      </w:tr>
      <w:tr>
        <w:trPr>
          <w:trHeight w:val="209"/>
        </w:trPr>
        <w:tc>
          <w:tcPr>
            <w:tcW w:w="19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7"/>
          </w:tcPr>
          <w:p>
            <w:pPr>
              <w:spacing w:after="0"/>
              <w:rPr>
                <w:sz w:val="20"/>
                <w:szCs w:val="20"/>
                <w:color w:val="auto"/>
              </w:rPr>
            </w:pPr>
            <w:r>
              <w:rPr>
                <w:rFonts w:ascii="Arial" w:cs="Arial" w:eastAsia="Arial" w:hAnsi="Arial"/>
                <w:sz w:val="20"/>
                <w:szCs w:val="20"/>
                <w:color w:val="auto"/>
                <w:w w:val="92"/>
              </w:rPr>
              <w:t>Section 2.02. Borrowing, Conversions and Continuations of Loans</w:t>
            </w:r>
          </w:p>
        </w:tc>
        <w:tc>
          <w:tcPr>
            <w:tcW w:w="580" w:type="dxa"/>
            <w:vAlign w:val="bottom"/>
          </w:tcPr>
          <w:p>
            <w:pPr>
              <w:jc w:val="right"/>
              <w:ind w:right="241"/>
              <w:spacing w:after="0"/>
              <w:rPr>
                <w:sz w:val="20"/>
                <w:szCs w:val="20"/>
                <w:color w:val="auto"/>
              </w:rPr>
            </w:pPr>
            <w:r>
              <w:rPr>
                <w:rFonts w:ascii="Arial" w:cs="Arial" w:eastAsia="Arial" w:hAnsi="Arial"/>
                <w:sz w:val="20"/>
                <w:szCs w:val="20"/>
                <w:color w:val="auto"/>
                <w:w w:val="98"/>
              </w:rPr>
              <w:t>31</w:t>
            </w: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spacing w:after="0"/>
              <w:rPr>
                <w:sz w:val="20"/>
                <w:szCs w:val="20"/>
                <w:color w:val="auto"/>
              </w:rPr>
            </w:pPr>
            <w:r>
              <w:rPr>
                <w:rFonts w:ascii="Arial" w:cs="Arial" w:eastAsia="Arial" w:hAnsi="Arial"/>
                <w:sz w:val="20"/>
                <w:szCs w:val="20"/>
                <w:color w:val="auto"/>
                <w:w w:val="96"/>
              </w:rPr>
              <w:t>Section 2.03. [Reserved.]</w:t>
            </w: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33</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20"/>
                <w:szCs w:val="20"/>
                <w:color w:val="auto"/>
                <w:w w:val="89"/>
              </w:rPr>
              <w:t>Section 2.04. Prepayments</w:t>
            </w:r>
          </w:p>
        </w:tc>
        <w:tc>
          <w:tcPr>
            <w:tcW w:w="580" w:type="dxa"/>
            <w:vAlign w:val="bottom"/>
          </w:tcPr>
          <w:p>
            <w:pPr>
              <w:jc w:val="right"/>
              <w:spacing w:after="0"/>
              <w:rPr>
                <w:sz w:val="20"/>
                <w:szCs w:val="20"/>
                <w:color w:val="auto"/>
              </w:rPr>
            </w:pPr>
            <w:r>
              <w:rPr>
                <w:rFonts w:ascii="Arial" w:cs="Arial" w:eastAsia="Arial" w:hAnsi="Arial"/>
                <w:sz w:val="20"/>
                <w:szCs w:val="20"/>
                <w:color w:val="auto"/>
              </w:rPr>
              <w:t>33</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7"/>
          </w:tcPr>
          <w:p>
            <w:pPr>
              <w:spacing w:after="0"/>
              <w:rPr>
                <w:sz w:val="20"/>
                <w:szCs w:val="20"/>
                <w:color w:val="auto"/>
              </w:rPr>
            </w:pPr>
            <w:r>
              <w:rPr>
                <w:rFonts w:ascii="Arial" w:cs="Arial" w:eastAsia="Arial" w:hAnsi="Arial"/>
                <w:sz w:val="20"/>
                <w:szCs w:val="20"/>
                <w:color w:val="auto"/>
              </w:rPr>
              <w:t>Section 2.05. Termination or Reduction of Commitments   34</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3"/>
          </w:tcPr>
          <w:p>
            <w:pPr>
              <w:spacing w:after="0"/>
              <w:rPr>
                <w:sz w:val="20"/>
                <w:szCs w:val="20"/>
                <w:color w:val="auto"/>
              </w:rPr>
            </w:pPr>
            <w:r>
              <w:rPr>
                <w:rFonts w:ascii="Arial" w:cs="Arial" w:eastAsia="Arial" w:hAnsi="Arial"/>
                <w:sz w:val="20"/>
                <w:szCs w:val="20"/>
                <w:color w:val="auto"/>
                <w:w w:val="89"/>
              </w:rPr>
              <w:t>Section 2.06. Repayment of Loans</w:t>
            </w:r>
          </w:p>
        </w:tc>
        <w:tc>
          <w:tcPr>
            <w:tcW w:w="640" w:type="dxa"/>
            <w:vAlign w:val="bottom"/>
          </w:tcPr>
          <w:p>
            <w:pPr>
              <w:jc w:val="right"/>
              <w:spacing w:after="0"/>
              <w:rPr>
                <w:sz w:val="20"/>
                <w:szCs w:val="20"/>
                <w:color w:val="auto"/>
              </w:rPr>
            </w:pPr>
            <w:r>
              <w:rPr>
                <w:rFonts w:ascii="Arial" w:cs="Arial" w:eastAsia="Arial" w:hAnsi="Arial"/>
                <w:sz w:val="20"/>
                <w:szCs w:val="20"/>
                <w:color w:val="auto"/>
              </w:rPr>
              <w:t>34</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20"/>
                <w:szCs w:val="20"/>
                <w:color w:val="auto"/>
              </w:rPr>
              <w:t>Section 2.07. Interest</w:t>
            </w:r>
          </w:p>
        </w:tc>
        <w:tc>
          <w:tcPr>
            <w:tcW w:w="260" w:type="dxa"/>
            <w:vAlign w:val="bottom"/>
          </w:tcPr>
          <w:p>
            <w:pPr>
              <w:spacing w:after="0"/>
              <w:rPr>
                <w:sz w:val="19"/>
                <w:szCs w:val="19"/>
                <w:color w:val="auto"/>
              </w:rPr>
            </w:pPr>
          </w:p>
        </w:tc>
        <w:tc>
          <w:tcPr>
            <w:tcW w:w="580" w:type="dxa"/>
            <w:vAlign w:val="bottom"/>
          </w:tcPr>
          <w:p>
            <w:pPr>
              <w:jc w:val="right"/>
              <w:ind w:right="281"/>
              <w:spacing w:after="0"/>
              <w:rPr>
                <w:sz w:val="20"/>
                <w:szCs w:val="20"/>
                <w:color w:val="auto"/>
              </w:rPr>
            </w:pPr>
            <w:r>
              <w:rPr>
                <w:rFonts w:ascii="Arial" w:cs="Arial" w:eastAsia="Arial" w:hAnsi="Arial"/>
                <w:sz w:val="20"/>
                <w:szCs w:val="20"/>
                <w:color w:val="auto"/>
                <w:w w:val="80"/>
              </w:rPr>
              <w:t>34</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20"/>
                <w:szCs w:val="20"/>
                <w:color w:val="auto"/>
              </w:rPr>
              <w:t>Section 2.08. Fees</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35</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5"/>
          </w:tcPr>
          <w:p>
            <w:pPr>
              <w:spacing w:after="0"/>
              <w:rPr>
                <w:sz w:val="20"/>
                <w:szCs w:val="20"/>
                <w:color w:val="auto"/>
              </w:rPr>
            </w:pPr>
            <w:r>
              <w:rPr>
                <w:rFonts w:ascii="Arial" w:cs="Arial" w:eastAsia="Arial" w:hAnsi="Arial"/>
                <w:sz w:val="20"/>
                <w:szCs w:val="20"/>
                <w:color w:val="auto"/>
                <w:w w:val="94"/>
              </w:rPr>
              <w:t>Section 2.09. Computation of Interest and Fees</w:t>
            </w:r>
          </w:p>
        </w:tc>
        <w:tc>
          <w:tcPr>
            <w:tcW w:w="860" w:type="dxa"/>
            <w:vAlign w:val="bottom"/>
          </w:tcPr>
          <w:p>
            <w:pPr>
              <w:jc w:val="right"/>
              <w:ind w:right="461"/>
              <w:spacing w:after="0"/>
              <w:rPr>
                <w:sz w:val="20"/>
                <w:szCs w:val="20"/>
                <w:color w:val="auto"/>
              </w:rPr>
            </w:pPr>
            <w:r>
              <w:rPr>
                <w:rFonts w:ascii="Arial" w:cs="Arial" w:eastAsia="Arial" w:hAnsi="Arial"/>
                <w:sz w:val="20"/>
                <w:szCs w:val="20"/>
                <w:color w:val="auto"/>
              </w:rPr>
              <w:t>35</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3"/>
          </w:tcPr>
          <w:p>
            <w:pPr>
              <w:spacing w:after="0"/>
              <w:rPr>
                <w:sz w:val="20"/>
                <w:szCs w:val="20"/>
                <w:color w:val="auto"/>
              </w:rPr>
            </w:pPr>
            <w:r>
              <w:rPr>
                <w:rFonts w:ascii="Arial" w:cs="Arial" w:eastAsia="Arial" w:hAnsi="Arial"/>
                <w:sz w:val="20"/>
                <w:szCs w:val="20"/>
                <w:color w:val="auto"/>
                <w:w w:val="99"/>
              </w:rPr>
              <w:t>Section 2.10. Evidence of Debt</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36</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10"/>
          </w:tcPr>
          <w:p>
            <w:pPr>
              <w:spacing w:after="0"/>
              <w:rPr>
                <w:sz w:val="20"/>
                <w:szCs w:val="20"/>
                <w:color w:val="auto"/>
              </w:rPr>
            </w:pPr>
            <w:r>
              <w:rPr>
                <w:rFonts w:ascii="Arial" w:cs="Arial" w:eastAsia="Arial" w:hAnsi="Arial"/>
                <w:sz w:val="20"/>
                <w:szCs w:val="20"/>
                <w:color w:val="auto"/>
              </w:rPr>
              <w:t>Section 2.11. Payments Generally; Administrative Agent’s Clawback  36</w:t>
            </w:r>
          </w:p>
        </w:tc>
        <w:tc>
          <w:tcPr>
            <w:tcW w:w="0" w:type="dxa"/>
            <w:vAlign w:val="bottom"/>
          </w:tcPr>
          <w:p>
            <w:pPr>
              <w:spacing w:after="0"/>
              <w:rPr>
                <w:sz w:val="1"/>
                <w:szCs w:val="1"/>
                <w:color w:val="auto"/>
              </w:rPr>
            </w:pPr>
          </w:p>
        </w:tc>
      </w:tr>
      <w:tr>
        <w:trPr>
          <w:trHeight w:val="229"/>
        </w:trPr>
        <w:tc>
          <w:tcPr>
            <w:tcW w:w="3980" w:type="dxa"/>
            <w:vAlign w:val="bottom"/>
            <w:gridSpan w:val="5"/>
          </w:tcPr>
          <w:p>
            <w:pPr>
              <w:spacing w:after="0"/>
              <w:rPr>
                <w:sz w:val="20"/>
                <w:szCs w:val="20"/>
                <w:color w:val="auto"/>
              </w:rPr>
            </w:pPr>
            <w:r>
              <w:rPr>
                <w:rFonts w:ascii="Arial" w:cs="Arial" w:eastAsia="Arial" w:hAnsi="Arial"/>
                <w:sz w:val="20"/>
                <w:szCs w:val="20"/>
                <w:color w:val="auto"/>
                <w:w w:val="96"/>
              </w:rPr>
              <w:t>Section 2.12. Sharing of Payments by Lenders</w:t>
            </w:r>
          </w:p>
        </w:tc>
        <w:tc>
          <w:tcPr>
            <w:tcW w:w="860" w:type="dxa"/>
            <w:vAlign w:val="bottom"/>
          </w:tcPr>
          <w:p>
            <w:pPr>
              <w:jc w:val="right"/>
              <w:ind w:right="521"/>
              <w:spacing w:after="0"/>
              <w:rPr>
                <w:sz w:val="20"/>
                <w:szCs w:val="20"/>
                <w:color w:val="auto"/>
              </w:rPr>
            </w:pPr>
            <w:r>
              <w:rPr>
                <w:rFonts w:ascii="Arial" w:cs="Arial" w:eastAsia="Arial" w:hAnsi="Arial"/>
                <w:sz w:val="20"/>
                <w:szCs w:val="20"/>
                <w:color w:val="auto"/>
                <w:w w:val="98"/>
              </w:rPr>
              <w:t>38</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20"/>
                <w:szCs w:val="20"/>
                <w:color w:val="auto"/>
                <w:w w:val="96"/>
              </w:rPr>
              <w:t>Section 2.13. [Reserved.]</w:t>
            </w: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38</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60" w:type="dxa"/>
            <w:vAlign w:val="bottom"/>
            <w:gridSpan w:val="3"/>
          </w:tcPr>
          <w:p>
            <w:pPr>
              <w:spacing w:after="0"/>
              <w:rPr>
                <w:sz w:val="20"/>
                <w:szCs w:val="20"/>
                <w:color w:val="auto"/>
              </w:rPr>
            </w:pPr>
            <w:r>
              <w:rPr>
                <w:rFonts w:ascii="Arial" w:cs="Arial" w:eastAsia="Arial" w:hAnsi="Arial"/>
                <w:sz w:val="20"/>
                <w:szCs w:val="20"/>
                <w:color w:val="auto"/>
                <w:w w:val="94"/>
              </w:rPr>
              <w:t>Section 2.14. Defaulting Lenders</w:t>
            </w:r>
          </w:p>
        </w:tc>
        <w:tc>
          <w:tcPr>
            <w:tcW w:w="640" w:type="dxa"/>
            <w:vAlign w:val="bottom"/>
          </w:tcPr>
          <w:p>
            <w:pPr>
              <w:jc w:val="right"/>
              <w:ind w:right="81"/>
              <w:spacing w:after="0"/>
              <w:rPr>
                <w:sz w:val="20"/>
                <w:szCs w:val="20"/>
                <w:color w:val="auto"/>
              </w:rPr>
            </w:pPr>
            <w:r>
              <w:rPr>
                <w:rFonts w:ascii="Arial" w:cs="Arial" w:eastAsia="Arial" w:hAnsi="Arial"/>
                <w:sz w:val="20"/>
                <w:szCs w:val="20"/>
                <w:color w:val="auto"/>
              </w:rPr>
              <w:t>39</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60" w:type="dxa"/>
            <w:vAlign w:val="bottom"/>
            <w:gridSpan w:val="4"/>
          </w:tcPr>
          <w:p>
            <w:pPr>
              <w:jc w:val="center"/>
              <w:ind w:right="1600"/>
              <w:spacing w:after="0"/>
              <w:rPr>
                <w:sz w:val="20"/>
                <w:szCs w:val="20"/>
                <w:color w:val="auto"/>
              </w:rPr>
            </w:pPr>
            <w:r>
              <w:rPr>
                <w:rFonts w:ascii="Arial" w:cs="Arial" w:eastAsia="Arial" w:hAnsi="Arial"/>
                <w:sz w:val="20"/>
                <w:szCs w:val="20"/>
                <w:color w:val="auto"/>
              </w:rPr>
              <w:t>Article III</w:t>
            </w:r>
          </w:p>
        </w:tc>
        <w:tc>
          <w:tcPr>
            <w:tcW w:w="0" w:type="dxa"/>
            <w:vAlign w:val="bottom"/>
          </w:tcPr>
          <w:p>
            <w:pPr>
              <w:spacing w:after="0"/>
              <w:rPr>
                <w:sz w:val="1"/>
                <w:szCs w:val="1"/>
                <w:color w:val="auto"/>
              </w:rPr>
            </w:pPr>
          </w:p>
        </w:tc>
      </w:tr>
      <w:tr>
        <w:trPr>
          <w:trHeight w:val="250"/>
        </w:trPr>
        <w:tc>
          <w:tcPr>
            <w:tcW w:w="1920" w:type="dxa"/>
            <w:vAlign w:val="bottom"/>
            <w:vMerge w:val="restart"/>
          </w:tcPr>
          <w:p>
            <w:pPr>
              <w:spacing w:after="0"/>
              <w:rPr>
                <w:sz w:val="20"/>
                <w:szCs w:val="20"/>
                <w:color w:val="auto"/>
              </w:rPr>
            </w:pPr>
            <w:r>
              <w:rPr>
                <w:rFonts w:ascii="Arial" w:cs="Arial" w:eastAsia="Arial" w:hAnsi="Arial"/>
                <w:sz w:val="20"/>
                <w:szCs w:val="20"/>
                <w:color w:val="auto"/>
              </w:rPr>
              <w:t>Section 3.01. Taxes</w:t>
            </w:r>
          </w:p>
        </w:tc>
        <w:tc>
          <w:tcPr>
            <w:tcW w:w="840" w:type="dxa"/>
            <w:vAlign w:val="bottom"/>
            <w:gridSpan w:val="2"/>
            <w:vMerge w:val="restart"/>
          </w:tcPr>
          <w:p>
            <w:pPr>
              <w:jc w:val="right"/>
              <w:ind w:right="421"/>
              <w:spacing w:after="0"/>
              <w:rPr>
                <w:sz w:val="20"/>
                <w:szCs w:val="20"/>
                <w:color w:val="auto"/>
              </w:rPr>
            </w:pPr>
            <w:r>
              <w:rPr>
                <w:rFonts w:ascii="Arial" w:cs="Arial" w:eastAsia="Arial" w:hAnsi="Arial"/>
                <w:sz w:val="20"/>
                <w:szCs w:val="20"/>
                <w:color w:val="auto"/>
              </w:rPr>
              <w:t>40</w:t>
            </w:r>
          </w:p>
        </w:tc>
        <w:tc>
          <w:tcPr>
            <w:tcW w:w="640" w:type="dxa"/>
            <w:vAlign w:val="bottom"/>
          </w:tcPr>
          <w:p>
            <w:pPr>
              <w:spacing w:after="0"/>
              <w:rPr>
                <w:sz w:val="21"/>
                <w:szCs w:val="21"/>
                <w:color w:val="auto"/>
              </w:rPr>
            </w:pPr>
          </w:p>
        </w:tc>
        <w:tc>
          <w:tcPr>
            <w:tcW w:w="4600" w:type="dxa"/>
            <w:vAlign w:val="bottom"/>
            <w:gridSpan w:val="6"/>
          </w:tcPr>
          <w:p>
            <w:pPr>
              <w:jc w:val="center"/>
              <w:ind w:right="160"/>
              <w:spacing w:after="0"/>
              <w:rPr>
                <w:sz w:val="20"/>
                <w:szCs w:val="20"/>
                <w:color w:val="auto"/>
              </w:rPr>
            </w:pPr>
            <w:r>
              <w:rPr>
                <w:rFonts w:ascii="Arial" w:cs="Arial" w:eastAsia="Arial" w:hAnsi="Arial"/>
                <w:sz w:val="20"/>
                <w:szCs w:val="20"/>
                <w:color w:val="auto"/>
                <w:w w:val="97"/>
              </w:rPr>
              <w:t>TAXES, YIELD PROTECTION AND ILLEGALITY</w:t>
            </w:r>
          </w:p>
        </w:tc>
        <w:tc>
          <w:tcPr>
            <w:tcW w:w="0" w:type="dxa"/>
            <w:vAlign w:val="bottom"/>
          </w:tcPr>
          <w:p>
            <w:pPr>
              <w:spacing w:after="0"/>
              <w:rPr>
                <w:sz w:val="1"/>
                <w:szCs w:val="1"/>
                <w:color w:val="auto"/>
              </w:rPr>
            </w:pPr>
          </w:p>
        </w:tc>
      </w:tr>
      <w:tr>
        <w:trPr>
          <w:trHeight w:val="209"/>
        </w:trPr>
        <w:tc>
          <w:tcPr>
            <w:tcW w:w="19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20"/>
                <w:szCs w:val="20"/>
                <w:color w:val="auto"/>
                <w:w w:val="97"/>
              </w:rPr>
              <w:t>Section 3.02. Illegality</w:t>
            </w:r>
          </w:p>
        </w:tc>
        <w:tc>
          <w:tcPr>
            <w:tcW w:w="260" w:type="dxa"/>
            <w:vAlign w:val="bottom"/>
          </w:tcPr>
          <w:p>
            <w:pPr>
              <w:spacing w:after="0"/>
              <w:rPr>
                <w:sz w:val="19"/>
                <w:szCs w:val="19"/>
                <w:color w:val="auto"/>
              </w:rPr>
            </w:pPr>
          </w:p>
        </w:tc>
        <w:tc>
          <w:tcPr>
            <w:tcW w:w="580" w:type="dxa"/>
            <w:vAlign w:val="bottom"/>
          </w:tcPr>
          <w:p>
            <w:pPr>
              <w:jc w:val="right"/>
              <w:ind w:right="161"/>
              <w:spacing w:after="0"/>
              <w:rPr>
                <w:sz w:val="20"/>
                <w:szCs w:val="20"/>
                <w:color w:val="auto"/>
              </w:rPr>
            </w:pPr>
            <w:r>
              <w:rPr>
                <w:rFonts w:ascii="Arial" w:cs="Arial" w:eastAsia="Arial" w:hAnsi="Arial"/>
                <w:sz w:val="20"/>
                <w:szCs w:val="20"/>
                <w:color w:val="auto"/>
              </w:rPr>
              <w:t>45</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spacing w:after="0"/>
              <w:rPr>
                <w:sz w:val="20"/>
                <w:szCs w:val="20"/>
                <w:color w:val="auto"/>
              </w:rPr>
            </w:pPr>
            <w:r>
              <w:rPr>
                <w:rFonts w:ascii="Arial" w:cs="Arial" w:eastAsia="Arial" w:hAnsi="Arial"/>
                <w:sz w:val="20"/>
                <w:szCs w:val="20"/>
                <w:color w:val="auto"/>
                <w:w w:val="91"/>
              </w:rPr>
              <w:t>Section 3.03. Inability to Determine Rates</w:t>
            </w: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45</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7"/>
          </w:tcPr>
          <w:p>
            <w:pPr>
              <w:spacing w:after="0"/>
              <w:rPr>
                <w:sz w:val="20"/>
                <w:szCs w:val="20"/>
                <w:color w:val="auto"/>
              </w:rPr>
            </w:pPr>
            <w:r>
              <w:rPr>
                <w:rFonts w:ascii="Arial" w:cs="Arial" w:eastAsia="Arial" w:hAnsi="Arial"/>
                <w:sz w:val="20"/>
                <w:szCs w:val="20"/>
                <w:color w:val="auto"/>
                <w:w w:val="91"/>
              </w:rPr>
              <w:t>Section 3.04. Increased Costs; Reserves on Eurodollar Rate Loans</w:t>
            </w:r>
          </w:p>
        </w:tc>
        <w:tc>
          <w:tcPr>
            <w:tcW w:w="580" w:type="dxa"/>
            <w:vAlign w:val="bottom"/>
          </w:tcPr>
          <w:p>
            <w:pPr>
              <w:jc w:val="right"/>
              <w:ind w:right="281"/>
              <w:spacing w:after="0"/>
              <w:rPr>
                <w:sz w:val="20"/>
                <w:szCs w:val="20"/>
                <w:color w:val="auto"/>
              </w:rPr>
            </w:pPr>
            <w:r>
              <w:rPr>
                <w:rFonts w:ascii="Arial" w:cs="Arial" w:eastAsia="Arial" w:hAnsi="Arial"/>
                <w:sz w:val="20"/>
                <w:szCs w:val="20"/>
                <w:color w:val="auto"/>
                <w:w w:val="80"/>
              </w:rPr>
              <w:t>47</w:t>
            </w: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4"/>
          </w:tcPr>
          <w:p>
            <w:pPr>
              <w:spacing w:after="0"/>
              <w:rPr>
                <w:sz w:val="20"/>
                <w:szCs w:val="20"/>
                <w:color w:val="auto"/>
              </w:rPr>
            </w:pPr>
            <w:r>
              <w:rPr>
                <w:rFonts w:ascii="Arial" w:cs="Arial" w:eastAsia="Arial" w:hAnsi="Arial"/>
                <w:sz w:val="20"/>
                <w:szCs w:val="20"/>
                <w:color w:val="auto"/>
                <w:w w:val="96"/>
              </w:rPr>
              <w:t>Section 3.05. Compensation for Losses</w:t>
            </w:r>
          </w:p>
        </w:tc>
        <w:tc>
          <w:tcPr>
            <w:tcW w:w="580" w:type="dxa"/>
            <w:vAlign w:val="bottom"/>
          </w:tcPr>
          <w:p>
            <w:pPr>
              <w:jc w:val="right"/>
              <w:ind w:right="181"/>
              <w:spacing w:after="0"/>
              <w:rPr>
                <w:sz w:val="20"/>
                <w:szCs w:val="20"/>
                <w:color w:val="auto"/>
              </w:rPr>
            </w:pPr>
            <w:r>
              <w:rPr>
                <w:rFonts w:ascii="Arial" w:cs="Arial" w:eastAsia="Arial" w:hAnsi="Arial"/>
                <w:sz w:val="20"/>
                <w:szCs w:val="20"/>
                <w:color w:val="auto"/>
              </w:rPr>
              <w:t>49</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7"/>
          </w:tcPr>
          <w:p>
            <w:pPr>
              <w:spacing w:after="0"/>
              <w:rPr>
                <w:sz w:val="20"/>
                <w:szCs w:val="20"/>
                <w:color w:val="auto"/>
              </w:rPr>
            </w:pPr>
            <w:r>
              <w:rPr>
                <w:rFonts w:ascii="Arial" w:cs="Arial" w:eastAsia="Arial" w:hAnsi="Arial"/>
                <w:sz w:val="20"/>
                <w:szCs w:val="20"/>
                <w:color w:val="auto"/>
                <w:w w:val="93"/>
              </w:rPr>
              <w:t>Section 3.06. Mitigation Obligations; Replacement of Lenders   49</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0"/>
                <w:szCs w:val="20"/>
                <w:color w:val="auto"/>
              </w:rPr>
            </w:pPr>
            <w:r>
              <w:rPr>
                <w:rFonts w:ascii="Arial" w:cs="Arial" w:eastAsia="Arial" w:hAnsi="Arial"/>
                <w:sz w:val="20"/>
                <w:szCs w:val="20"/>
                <w:color w:val="auto"/>
                <w:w w:val="98"/>
              </w:rPr>
              <w:t>Section 3.07. Survival</w:t>
            </w:r>
          </w:p>
        </w:tc>
        <w:tc>
          <w:tcPr>
            <w:tcW w:w="260" w:type="dxa"/>
            <w:vAlign w:val="bottom"/>
          </w:tcPr>
          <w:p>
            <w:pPr>
              <w:spacing w:after="0"/>
              <w:rPr>
                <w:sz w:val="21"/>
                <w:szCs w:val="21"/>
                <w:color w:val="auto"/>
              </w:rPr>
            </w:pP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50</w:t>
            </w: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60" w:type="dxa"/>
            <w:vAlign w:val="bottom"/>
            <w:gridSpan w:val="4"/>
          </w:tcPr>
          <w:p>
            <w:pPr>
              <w:jc w:val="center"/>
              <w:ind w:right="1600"/>
              <w:spacing w:after="0"/>
              <w:rPr>
                <w:sz w:val="20"/>
                <w:szCs w:val="20"/>
                <w:color w:val="auto"/>
              </w:rPr>
            </w:pPr>
            <w:r>
              <w:rPr>
                <w:rFonts w:ascii="Arial" w:cs="Arial" w:eastAsia="Arial" w:hAnsi="Arial"/>
                <w:sz w:val="20"/>
                <w:szCs w:val="20"/>
                <w:color w:val="auto"/>
                <w:w w:val="99"/>
              </w:rPr>
              <w:t>Article IV</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gridSpan w:val="7"/>
          </w:tcPr>
          <w:p>
            <w:pPr>
              <w:jc w:val="center"/>
              <w:ind w:left="401"/>
              <w:spacing w:after="0"/>
              <w:rPr>
                <w:sz w:val="20"/>
                <w:szCs w:val="20"/>
                <w:color w:val="auto"/>
              </w:rPr>
            </w:pPr>
            <w:r>
              <w:rPr>
                <w:rFonts w:ascii="Arial" w:cs="Arial" w:eastAsia="Arial" w:hAnsi="Arial"/>
                <w:sz w:val="20"/>
                <w:szCs w:val="20"/>
                <w:color w:val="auto"/>
                <w:w w:val="94"/>
              </w:rPr>
              <w:t>CONDITIONS PRECEDENT TO CREDIT EXTENSIONS</w:t>
            </w:r>
          </w:p>
        </w:tc>
        <w:tc>
          <w:tcPr>
            <w:tcW w:w="0" w:type="dxa"/>
            <w:vAlign w:val="bottom"/>
          </w:tcPr>
          <w:p>
            <w:pPr>
              <w:spacing w:after="0"/>
              <w:rPr>
                <w:sz w:val="1"/>
                <w:szCs w:val="1"/>
                <w:color w:val="auto"/>
              </w:rPr>
            </w:pPr>
          </w:p>
        </w:tc>
      </w:tr>
      <w:tr>
        <w:trPr>
          <w:trHeight w:val="230"/>
        </w:trPr>
        <w:tc>
          <w:tcPr>
            <w:tcW w:w="3400" w:type="dxa"/>
            <w:vAlign w:val="bottom"/>
            <w:gridSpan w:val="4"/>
          </w:tcPr>
          <w:p>
            <w:pPr>
              <w:spacing w:after="0"/>
              <w:rPr>
                <w:sz w:val="20"/>
                <w:szCs w:val="20"/>
                <w:color w:val="auto"/>
              </w:rPr>
            </w:pPr>
            <w:r>
              <w:rPr>
                <w:rFonts w:ascii="Arial" w:cs="Arial" w:eastAsia="Arial" w:hAnsi="Arial"/>
                <w:sz w:val="20"/>
                <w:szCs w:val="20"/>
                <w:color w:val="auto"/>
                <w:w w:val="91"/>
              </w:rPr>
              <w:t>Section 4.01. Conditions to Effective Date</w:t>
            </w:r>
          </w:p>
        </w:tc>
        <w:tc>
          <w:tcPr>
            <w:tcW w:w="580" w:type="dxa"/>
            <w:vAlign w:val="bottom"/>
          </w:tcPr>
          <w:p>
            <w:pPr>
              <w:jc w:val="right"/>
              <w:spacing w:after="0"/>
              <w:rPr>
                <w:sz w:val="20"/>
                <w:szCs w:val="20"/>
                <w:color w:val="auto"/>
              </w:rPr>
            </w:pPr>
            <w:r>
              <w:rPr>
                <w:rFonts w:ascii="Arial" w:cs="Arial" w:eastAsia="Arial" w:hAnsi="Arial"/>
                <w:sz w:val="20"/>
                <w:szCs w:val="20"/>
                <w:color w:val="auto"/>
              </w:rPr>
              <w:t>50</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spacing w:after="0"/>
              <w:rPr>
                <w:sz w:val="20"/>
                <w:szCs w:val="20"/>
                <w:color w:val="auto"/>
              </w:rPr>
            </w:pPr>
            <w:r>
              <w:rPr>
                <w:rFonts w:ascii="Arial" w:cs="Arial" w:eastAsia="Arial" w:hAnsi="Arial"/>
                <w:sz w:val="20"/>
                <w:szCs w:val="20"/>
                <w:color w:val="auto"/>
                <w:w w:val="92"/>
              </w:rPr>
              <w:t>Section 4.02. Conditions to Funding Date</w:t>
            </w:r>
          </w:p>
        </w:tc>
        <w:tc>
          <w:tcPr>
            <w:tcW w:w="580" w:type="dxa"/>
            <w:vAlign w:val="bottom"/>
          </w:tcPr>
          <w:p>
            <w:pPr>
              <w:jc w:val="right"/>
              <w:ind w:right="41"/>
              <w:spacing w:after="0"/>
              <w:rPr>
                <w:sz w:val="20"/>
                <w:szCs w:val="20"/>
                <w:color w:val="auto"/>
              </w:rPr>
            </w:pPr>
            <w:r>
              <w:rPr>
                <w:rFonts w:ascii="Arial" w:cs="Arial" w:eastAsia="Arial" w:hAnsi="Arial"/>
                <w:sz w:val="20"/>
                <w:szCs w:val="20"/>
                <w:color w:val="auto"/>
              </w:rPr>
              <w:t>51</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80" w:type="dxa"/>
            <w:vAlign w:val="bottom"/>
            <w:gridSpan w:val="2"/>
          </w:tcPr>
          <w:p>
            <w:pPr>
              <w:spacing w:after="0"/>
              <w:rPr>
                <w:sz w:val="20"/>
                <w:szCs w:val="20"/>
                <w:color w:val="auto"/>
              </w:rPr>
            </w:pPr>
            <w:r>
              <w:rPr>
                <w:rFonts w:ascii="Arial" w:cs="Arial" w:eastAsia="Arial" w:hAnsi="Arial"/>
                <w:sz w:val="20"/>
                <w:szCs w:val="20"/>
                <w:color w:val="auto"/>
                <w:w w:val="99"/>
              </w:rPr>
              <w:t>Section 4.03. Availability</w:t>
            </w: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80" w:type="dxa"/>
            <w:vAlign w:val="bottom"/>
            <w:gridSpan w:val="2"/>
          </w:tcPr>
          <w:p>
            <w:pPr>
              <w:ind w:left="80"/>
              <w:spacing w:after="0"/>
              <w:rPr>
                <w:sz w:val="20"/>
                <w:szCs w:val="20"/>
                <w:color w:val="auto"/>
              </w:rPr>
            </w:pPr>
            <w:r>
              <w:rPr>
                <w:rFonts w:ascii="Arial" w:cs="Arial" w:eastAsia="Arial" w:hAnsi="Arial"/>
                <w:sz w:val="20"/>
                <w:szCs w:val="20"/>
                <w:color w:val="auto"/>
              </w:rPr>
              <w:t>Article V</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80" w:type="dxa"/>
            <w:vAlign w:val="bottom"/>
            <w:gridSpan w:val="4"/>
          </w:tcPr>
          <w:p>
            <w:pPr>
              <w:jc w:val="center"/>
              <w:ind w:left="181"/>
              <w:spacing w:after="0"/>
              <w:rPr>
                <w:sz w:val="20"/>
                <w:szCs w:val="20"/>
                <w:color w:val="auto"/>
              </w:rPr>
            </w:pPr>
            <w:r>
              <w:rPr>
                <w:rFonts w:ascii="Arial" w:cs="Arial" w:eastAsia="Arial" w:hAnsi="Arial"/>
                <w:sz w:val="20"/>
                <w:szCs w:val="20"/>
                <w:color w:val="auto"/>
                <w:w w:val="93"/>
              </w:rPr>
              <w:t>REPRESENTATIONS AND WARRANTIES</w:t>
            </w:r>
          </w:p>
        </w:tc>
        <w:tc>
          <w:tcPr>
            <w:tcW w:w="0" w:type="dxa"/>
            <w:vAlign w:val="bottom"/>
          </w:tcPr>
          <w:p>
            <w:pPr>
              <w:spacing w:after="0"/>
              <w:rPr>
                <w:sz w:val="1"/>
                <w:szCs w:val="1"/>
                <w:color w:val="auto"/>
              </w:rPr>
            </w:pPr>
          </w:p>
        </w:tc>
      </w:tr>
      <w:tr>
        <w:trPr>
          <w:trHeight w:val="452"/>
        </w:trPr>
        <w:tc>
          <w:tcPr>
            <w:tcW w:w="7420" w:type="dxa"/>
            <w:vAlign w:val="bottom"/>
            <w:gridSpan w:val="9"/>
          </w:tcPr>
          <w:p>
            <w:pPr>
              <w:spacing w:after="0"/>
              <w:rPr>
                <w:sz w:val="20"/>
                <w:szCs w:val="20"/>
                <w:color w:val="auto"/>
              </w:rPr>
            </w:pPr>
            <w:r>
              <w:rPr>
                <w:rFonts w:ascii="Arial" w:cs="Arial" w:eastAsia="Arial" w:hAnsi="Arial"/>
                <w:sz w:val="20"/>
                <w:szCs w:val="20"/>
                <w:color w:val="auto"/>
              </w:rPr>
              <w:t>Section 5.01. Existence, Qualification and Power; Compliance with Laws  53</w:t>
            </w:r>
          </w:p>
        </w:tc>
        <w:tc>
          <w:tcPr>
            <w:tcW w:w="0" w:type="dxa"/>
            <w:vAlign w:val="bottom"/>
          </w:tcPr>
          <w:p>
            <w:pPr>
              <w:spacing w:after="0"/>
              <w:rPr>
                <w:sz w:val="1"/>
                <w:szCs w:val="1"/>
                <w:color w:val="auto"/>
              </w:rPr>
            </w:pPr>
          </w:p>
        </w:tc>
      </w:tr>
      <w:tr>
        <w:trPr>
          <w:trHeight w:val="229"/>
        </w:trPr>
        <w:tc>
          <w:tcPr>
            <w:tcW w:w="3880" w:type="dxa"/>
            <w:vAlign w:val="bottom"/>
            <w:gridSpan w:val="6"/>
          </w:tcPr>
          <w:p>
            <w:pPr>
              <w:spacing w:after="0"/>
              <w:rPr>
                <w:sz w:val="20"/>
                <w:szCs w:val="20"/>
                <w:color w:val="auto"/>
              </w:rPr>
            </w:pPr>
            <w:r>
              <w:rPr>
                <w:rFonts w:ascii="Arial" w:cs="Arial" w:eastAsia="Arial" w:hAnsi="Arial"/>
                <w:sz w:val="20"/>
                <w:szCs w:val="20"/>
                <w:color w:val="auto"/>
                <w:w w:val="95"/>
              </w:rPr>
              <w:t>Section 5.02. Authorization; No Contravention</w:t>
            </w:r>
          </w:p>
        </w:tc>
        <w:tc>
          <w:tcPr>
            <w:tcW w:w="960" w:type="dxa"/>
            <w:vAlign w:val="bottom"/>
          </w:tcPr>
          <w:p>
            <w:pPr>
              <w:jc w:val="right"/>
              <w:ind w:right="481"/>
              <w:spacing w:after="0"/>
              <w:rPr>
                <w:sz w:val="20"/>
                <w:szCs w:val="20"/>
                <w:color w:val="auto"/>
              </w:rPr>
            </w:pPr>
            <w:r>
              <w:rPr>
                <w:rFonts w:ascii="Arial" w:cs="Arial" w:eastAsia="Arial" w:hAnsi="Arial"/>
                <w:sz w:val="20"/>
                <w:szCs w:val="20"/>
                <w:color w:val="auto"/>
              </w:rPr>
              <w:t>53</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7"/>
          </w:tcPr>
          <w:p>
            <w:pPr>
              <w:spacing w:after="0"/>
              <w:rPr>
                <w:sz w:val="20"/>
                <w:szCs w:val="20"/>
                <w:color w:val="auto"/>
              </w:rPr>
            </w:pPr>
            <w:r>
              <w:rPr>
                <w:rFonts w:ascii="Arial" w:cs="Arial" w:eastAsia="Arial" w:hAnsi="Arial"/>
                <w:sz w:val="20"/>
                <w:szCs w:val="20"/>
                <w:color w:val="auto"/>
                <w:w w:val="92"/>
              </w:rPr>
              <w:t>Section 5.03. Governmental Authorization; Other Consents</w:t>
            </w:r>
          </w:p>
        </w:tc>
        <w:tc>
          <w:tcPr>
            <w:tcW w:w="320" w:type="dxa"/>
            <w:vAlign w:val="bottom"/>
          </w:tcPr>
          <w:p>
            <w:pPr>
              <w:ind w:left="120"/>
              <w:spacing w:after="0"/>
              <w:rPr>
                <w:sz w:val="20"/>
                <w:szCs w:val="20"/>
                <w:color w:val="auto"/>
              </w:rPr>
            </w:pPr>
            <w:r>
              <w:rPr>
                <w:rFonts w:ascii="Arial" w:cs="Arial" w:eastAsia="Arial" w:hAnsi="Arial"/>
                <w:sz w:val="20"/>
                <w:szCs w:val="20"/>
                <w:color w:val="auto"/>
                <w:w w:val="80"/>
              </w:rPr>
              <w:t>53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20"/>
                <w:szCs w:val="20"/>
                <w:color w:val="auto"/>
              </w:rPr>
              <w:t>Section 5.04. Binding Effect</w:t>
            </w:r>
          </w:p>
        </w:tc>
        <w:tc>
          <w:tcPr>
            <w:tcW w:w="240" w:type="dxa"/>
            <w:vAlign w:val="bottom"/>
          </w:tcPr>
          <w:p>
            <w:pPr>
              <w:jc w:val="right"/>
              <w:spacing w:after="0"/>
              <w:rPr>
                <w:sz w:val="20"/>
                <w:szCs w:val="20"/>
                <w:color w:val="auto"/>
              </w:rPr>
            </w:pPr>
            <w:r>
              <w:rPr>
                <w:rFonts w:ascii="Arial" w:cs="Arial" w:eastAsia="Arial" w:hAnsi="Arial"/>
                <w:sz w:val="20"/>
                <w:szCs w:val="20"/>
                <w:color w:val="auto"/>
                <w:w w:val="80"/>
              </w:rPr>
              <w:t>53</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8"/>
          </w:tcPr>
          <w:p>
            <w:pPr>
              <w:spacing w:after="0"/>
              <w:rPr>
                <w:sz w:val="20"/>
                <w:szCs w:val="20"/>
                <w:color w:val="auto"/>
              </w:rPr>
            </w:pPr>
            <w:r>
              <w:rPr>
                <w:rFonts w:ascii="Arial" w:cs="Arial" w:eastAsia="Arial" w:hAnsi="Arial"/>
                <w:sz w:val="20"/>
                <w:szCs w:val="20"/>
                <w:color w:val="auto"/>
                <w:w w:val="92"/>
              </w:rPr>
              <w:t>Section 5.05. Financial Statements; No Material Adverse Effect</w:t>
            </w:r>
          </w:p>
        </w:tc>
        <w:tc>
          <w:tcPr>
            <w:tcW w:w="2260" w:type="dxa"/>
            <w:vAlign w:val="bottom"/>
          </w:tcPr>
          <w:p>
            <w:pPr>
              <w:jc w:val="right"/>
              <w:ind w:right="1821"/>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20"/>
                <w:szCs w:val="20"/>
                <w:color w:val="auto"/>
                <w:w w:val="97"/>
              </w:rPr>
              <w:t>Section 5.06. Litigation</w:t>
            </w:r>
          </w:p>
        </w:tc>
        <w:tc>
          <w:tcPr>
            <w:tcW w:w="12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Arial" w:cs="Arial" w:eastAsia="Arial" w:hAnsi="Arial"/>
                <w:sz w:val="20"/>
                <w:szCs w:val="20"/>
                <w:color w:val="auto"/>
              </w:rPr>
              <w:t>54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20"/>
                <w:szCs w:val="20"/>
                <w:color w:val="auto"/>
                <w:w w:val="91"/>
              </w:rPr>
              <w:t>Section 5.07. No Default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54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5"/>
          </w:tcPr>
          <w:p>
            <w:pPr>
              <w:spacing w:after="0"/>
              <w:rPr>
                <w:sz w:val="20"/>
                <w:szCs w:val="20"/>
                <w:color w:val="auto"/>
              </w:rPr>
            </w:pPr>
            <w:r>
              <w:rPr>
                <w:rFonts w:ascii="Arial" w:cs="Arial" w:eastAsia="Arial" w:hAnsi="Arial"/>
                <w:sz w:val="20"/>
                <w:szCs w:val="20"/>
                <w:color w:val="auto"/>
                <w:w w:val="92"/>
              </w:rPr>
              <w:t>Section 5.08. Ownership of Property; Liens</w:t>
            </w:r>
          </w:p>
        </w:tc>
        <w:tc>
          <w:tcPr>
            <w:tcW w:w="1300" w:type="dxa"/>
            <w:vAlign w:val="bottom"/>
            <w:gridSpan w:val="2"/>
          </w:tcPr>
          <w:p>
            <w:pPr>
              <w:jc w:val="right"/>
              <w:ind w:right="741"/>
              <w:spacing w:after="0"/>
              <w:rPr>
                <w:sz w:val="20"/>
                <w:szCs w:val="20"/>
                <w:color w:val="auto"/>
              </w:rPr>
            </w:pPr>
            <w:r>
              <w:rPr>
                <w:rFonts w:ascii="Arial" w:cs="Arial" w:eastAsia="Arial" w:hAnsi="Arial"/>
                <w:sz w:val="20"/>
                <w:szCs w:val="20"/>
                <w:color w:val="auto"/>
              </w:rPr>
              <w:t>54</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5"/>
          </w:tcPr>
          <w:p>
            <w:pPr>
              <w:spacing w:after="0"/>
              <w:rPr>
                <w:sz w:val="20"/>
                <w:szCs w:val="20"/>
                <w:color w:val="auto"/>
              </w:rPr>
            </w:pPr>
            <w:r>
              <w:rPr>
                <w:rFonts w:ascii="Arial" w:cs="Arial" w:eastAsia="Arial" w:hAnsi="Arial"/>
                <w:sz w:val="20"/>
                <w:szCs w:val="20"/>
                <w:color w:val="auto"/>
                <w:w w:val="97"/>
              </w:rPr>
              <w:t>Section 5.09. Environmental Compliance</w:t>
            </w:r>
          </w:p>
        </w:tc>
        <w:tc>
          <w:tcPr>
            <w:tcW w:w="340" w:type="dxa"/>
            <w:vAlign w:val="bottom"/>
          </w:tcPr>
          <w:p>
            <w:pPr>
              <w:jc w:val="right"/>
              <w:spacing w:after="0"/>
              <w:rPr>
                <w:sz w:val="20"/>
                <w:szCs w:val="20"/>
                <w:color w:val="auto"/>
              </w:rPr>
            </w:pPr>
            <w:r>
              <w:rPr>
                <w:rFonts w:ascii="Arial" w:cs="Arial" w:eastAsia="Arial" w:hAnsi="Arial"/>
                <w:sz w:val="20"/>
                <w:szCs w:val="20"/>
                <w:color w:val="auto"/>
              </w:rPr>
              <w:t>55</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20"/>
                <w:szCs w:val="20"/>
                <w:color w:val="auto"/>
                <w:w w:val="90"/>
              </w:rPr>
              <w:t>Section 5.10. [Reserved]</w:t>
            </w:r>
          </w:p>
        </w:tc>
        <w:tc>
          <w:tcPr>
            <w:tcW w:w="1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55</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20"/>
                <w:szCs w:val="20"/>
                <w:color w:val="auto"/>
              </w:rPr>
              <w:t>Section 5.11. Taxes</w:t>
            </w:r>
          </w:p>
        </w:tc>
        <w:tc>
          <w:tcPr>
            <w:tcW w:w="700" w:type="dxa"/>
            <w:vAlign w:val="bottom"/>
            <w:gridSpan w:val="2"/>
          </w:tcPr>
          <w:p>
            <w:pPr>
              <w:jc w:val="right"/>
              <w:ind w:right="361"/>
              <w:spacing w:after="0"/>
              <w:rPr>
                <w:sz w:val="20"/>
                <w:szCs w:val="20"/>
                <w:color w:val="auto"/>
              </w:rPr>
            </w:pPr>
            <w:r>
              <w:rPr>
                <w:rFonts w:ascii="Arial" w:cs="Arial" w:eastAsia="Arial" w:hAnsi="Arial"/>
                <w:sz w:val="20"/>
                <w:szCs w:val="20"/>
                <w:color w:val="auto"/>
                <w:w w:val="98"/>
              </w:rPr>
              <w:t>55</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20"/>
                <w:szCs w:val="20"/>
                <w:color w:val="auto"/>
                <w:w w:val="91"/>
              </w:rPr>
              <w:t>Section 5.12. ERISA Compliance</w:t>
            </w:r>
          </w:p>
        </w:tc>
        <w:tc>
          <w:tcPr>
            <w:tcW w:w="240" w:type="dxa"/>
            <w:vAlign w:val="bottom"/>
          </w:tcPr>
          <w:p>
            <w:pPr>
              <w:spacing w:after="0"/>
              <w:rPr>
                <w:sz w:val="19"/>
                <w:szCs w:val="19"/>
                <w:color w:val="auto"/>
              </w:rPr>
            </w:pPr>
          </w:p>
        </w:tc>
        <w:tc>
          <w:tcPr>
            <w:tcW w:w="600" w:type="dxa"/>
            <w:vAlign w:val="bottom"/>
          </w:tcPr>
          <w:p>
            <w:pPr>
              <w:jc w:val="right"/>
              <w:ind w:right="181"/>
              <w:spacing w:after="0"/>
              <w:rPr>
                <w:sz w:val="20"/>
                <w:szCs w:val="20"/>
                <w:color w:val="auto"/>
              </w:rPr>
            </w:pPr>
            <w:r>
              <w:rPr>
                <w:rFonts w:ascii="Arial" w:cs="Arial" w:eastAsia="Arial" w:hAnsi="Arial"/>
                <w:sz w:val="20"/>
                <w:szCs w:val="20"/>
                <w:color w:val="auto"/>
              </w:rPr>
              <w:t>55</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6"/>
          </w:tcPr>
          <w:p>
            <w:pPr>
              <w:spacing w:after="0"/>
              <w:rPr>
                <w:sz w:val="20"/>
                <w:szCs w:val="20"/>
                <w:color w:val="auto"/>
              </w:rPr>
            </w:pPr>
            <w:r>
              <w:rPr>
                <w:rFonts w:ascii="Arial" w:cs="Arial" w:eastAsia="Arial" w:hAnsi="Arial"/>
                <w:sz w:val="20"/>
                <w:szCs w:val="20"/>
                <w:color w:val="auto"/>
                <w:w w:val="89"/>
              </w:rPr>
              <w:t>Section 5.13. Intellectual Property, Licenses, Etc</w:t>
            </w:r>
          </w:p>
        </w:tc>
        <w:tc>
          <w:tcPr>
            <w:tcW w:w="960" w:type="dxa"/>
            <w:vAlign w:val="bottom"/>
          </w:tcPr>
          <w:p>
            <w:pPr>
              <w:jc w:val="right"/>
              <w:ind w:right="381"/>
              <w:spacing w:after="0"/>
              <w:rPr>
                <w:sz w:val="20"/>
                <w:szCs w:val="20"/>
                <w:color w:val="auto"/>
              </w:rPr>
            </w:pPr>
            <w:r>
              <w:rPr>
                <w:rFonts w:ascii="Arial" w:cs="Arial" w:eastAsia="Arial" w:hAnsi="Arial"/>
                <w:sz w:val="20"/>
                <w:szCs w:val="20"/>
                <w:color w:val="auto"/>
              </w:rPr>
              <w:t>55</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color w:val="auto"/>
                <w:w w:val="90"/>
              </w:rPr>
              <w:t>Section 5.14. Subsidiaries</w:t>
            </w:r>
          </w:p>
        </w:tc>
        <w:tc>
          <w:tcPr>
            <w:tcW w:w="580" w:type="dxa"/>
            <w:vAlign w:val="bottom"/>
          </w:tcPr>
          <w:p>
            <w:pPr>
              <w:jc w:val="right"/>
              <w:spacing w:after="0"/>
              <w:rPr>
                <w:sz w:val="20"/>
                <w:szCs w:val="20"/>
                <w:color w:val="auto"/>
              </w:rPr>
            </w:pPr>
            <w:r>
              <w:rPr>
                <w:rFonts w:ascii="Arial" w:cs="Arial" w:eastAsia="Arial" w:hAnsi="Arial"/>
                <w:sz w:val="20"/>
                <w:szCs w:val="20"/>
                <w:color w:val="auto"/>
              </w:rPr>
              <w:t>56</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7"/>
          </w:tcPr>
          <w:p>
            <w:pPr>
              <w:spacing w:after="0"/>
              <w:rPr>
                <w:sz w:val="20"/>
                <w:szCs w:val="20"/>
                <w:color w:val="auto"/>
              </w:rPr>
            </w:pPr>
            <w:r>
              <w:rPr>
                <w:rFonts w:ascii="Arial" w:cs="Arial" w:eastAsia="Arial" w:hAnsi="Arial"/>
                <w:sz w:val="20"/>
                <w:szCs w:val="20"/>
                <w:color w:val="auto"/>
                <w:w w:val="91"/>
              </w:rPr>
              <w:t>Section 5.15. Margin Regulations; Investment Company Act</w:t>
            </w:r>
          </w:p>
        </w:tc>
        <w:tc>
          <w:tcPr>
            <w:tcW w:w="2580" w:type="dxa"/>
            <w:vAlign w:val="bottom"/>
            <w:gridSpan w:val="2"/>
          </w:tcPr>
          <w:p>
            <w:pPr>
              <w:jc w:val="right"/>
              <w:ind w:right="2061"/>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20"/>
                <w:szCs w:val="20"/>
                <w:color w:val="auto"/>
                <w:w w:val="91"/>
              </w:rPr>
              <w:t>Section 5.16. Disclosure</w:t>
            </w:r>
          </w:p>
        </w:tc>
        <w:tc>
          <w:tcPr>
            <w:tcW w:w="1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56</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4"/>
          </w:tcPr>
          <w:p>
            <w:pPr>
              <w:spacing w:after="0"/>
              <w:rPr>
                <w:sz w:val="20"/>
                <w:szCs w:val="20"/>
                <w:color w:val="auto"/>
              </w:rPr>
            </w:pPr>
            <w:r>
              <w:rPr>
                <w:rFonts w:ascii="Arial" w:cs="Arial" w:eastAsia="Arial" w:hAnsi="Arial"/>
                <w:sz w:val="20"/>
                <w:szCs w:val="20"/>
                <w:color w:val="auto"/>
                <w:w w:val="90"/>
              </w:rPr>
              <w:t>Section 5.17. Compliance with Laws</w:t>
            </w:r>
          </w:p>
        </w:tc>
        <w:tc>
          <w:tcPr>
            <w:tcW w:w="600" w:type="dxa"/>
            <w:vAlign w:val="bottom"/>
          </w:tcPr>
          <w:p>
            <w:pPr>
              <w:jc w:val="right"/>
              <w:spacing w:after="0"/>
              <w:rPr>
                <w:sz w:val="20"/>
                <w:szCs w:val="20"/>
                <w:color w:val="auto"/>
              </w:rPr>
            </w:pPr>
            <w:r>
              <w:rPr>
                <w:rFonts w:ascii="Arial" w:cs="Arial" w:eastAsia="Arial" w:hAnsi="Arial"/>
                <w:sz w:val="20"/>
                <w:szCs w:val="20"/>
                <w:color w:val="auto"/>
              </w:rPr>
              <w:t>56</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20"/>
                <w:szCs w:val="20"/>
                <w:color w:val="auto"/>
              </w:rPr>
              <w:t>Section 5.18. Solvent</w:t>
            </w:r>
          </w:p>
        </w:tc>
        <w:tc>
          <w:tcPr>
            <w:tcW w:w="120" w:type="dxa"/>
            <w:vAlign w:val="bottom"/>
          </w:tcPr>
          <w:p>
            <w:pPr>
              <w:spacing w:after="0"/>
              <w:rPr>
                <w:sz w:val="19"/>
                <w:szCs w:val="19"/>
                <w:color w:val="auto"/>
              </w:rPr>
            </w:pP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57</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20"/>
                <w:szCs w:val="20"/>
                <w:color w:val="auto"/>
                <w:w w:val="98"/>
              </w:rPr>
              <w:t>Section 5.19. Licenses</w:t>
            </w:r>
          </w:p>
        </w:tc>
        <w:tc>
          <w:tcPr>
            <w:tcW w:w="120" w:type="dxa"/>
            <w:vAlign w:val="bottom"/>
          </w:tcPr>
          <w:p>
            <w:pPr>
              <w:spacing w:after="0"/>
              <w:rPr>
                <w:sz w:val="19"/>
                <w:szCs w:val="19"/>
                <w:color w:val="auto"/>
              </w:rPr>
            </w:pP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57</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20"/>
                <w:szCs w:val="20"/>
                <w:color w:val="auto"/>
                <w:w w:val="94"/>
              </w:rPr>
              <w:t>Section 5.20. Employee Matters</w:t>
            </w:r>
          </w:p>
        </w:tc>
        <w:tc>
          <w:tcPr>
            <w:tcW w:w="240" w:type="dxa"/>
            <w:vAlign w:val="bottom"/>
          </w:tcPr>
          <w:p>
            <w:pPr>
              <w:spacing w:after="0"/>
              <w:rPr>
                <w:sz w:val="19"/>
                <w:szCs w:val="19"/>
                <w:color w:val="auto"/>
              </w:rPr>
            </w:pPr>
          </w:p>
        </w:tc>
        <w:tc>
          <w:tcPr>
            <w:tcW w:w="600" w:type="dxa"/>
            <w:vAlign w:val="bottom"/>
          </w:tcPr>
          <w:p>
            <w:pPr>
              <w:jc w:val="right"/>
              <w:ind w:right="301"/>
              <w:spacing w:after="0"/>
              <w:rPr>
                <w:sz w:val="20"/>
                <w:szCs w:val="20"/>
                <w:color w:val="auto"/>
              </w:rPr>
            </w:pPr>
            <w:r>
              <w:rPr>
                <w:rFonts w:ascii="Arial" w:cs="Arial" w:eastAsia="Arial" w:hAnsi="Arial"/>
                <w:sz w:val="20"/>
                <w:szCs w:val="20"/>
                <w:color w:val="auto"/>
                <w:w w:val="80"/>
              </w:rPr>
              <w:t>57</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4"/>
          </w:tcPr>
          <w:p>
            <w:pPr>
              <w:spacing w:after="0"/>
              <w:rPr>
                <w:sz w:val="20"/>
                <w:szCs w:val="20"/>
                <w:color w:val="auto"/>
              </w:rPr>
            </w:pPr>
            <w:r>
              <w:rPr>
                <w:rFonts w:ascii="Arial" w:cs="Arial" w:eastAsia="Arial" w:hAnsi="Arial"/>
                <w:sz w:val="20"/>
                <w:szCs w:val="20"/>
                <w:color w:val="auto"/>
                <w:w w:val="89"/>
              </w:rPr>
              <w:t>Section 5.21. Insurance Subsidiaries</w:t>
            </w:r>
          </w:p>
        </w:tc>
        <w:tc>
          <w:tcPr>
            <w:tcW w:w="600" w:type="dxa"/>
            <w:vAlign w:val="bottom"/>
          </w:tcPr>
          <w:p>
            <w:pPr>
              <w:jc w:val="right"/>
              <w:spacing w:after="0"/>
              <w:rPr>
                <w:sz w:val="20"/>
                <w:szCs w:val="20"/>
                <w:color w:val="auto"/>
              </w:rPr>
            </w:pPr>
            <w:r>
              <w:rPr>
                <w:rFonts w:ascii="Arial" w:cs="Arial" w:eastAsia="Arial" w:hAnsi="Arial"/>
                <w:sz w:val="20"/>
                <w:szCs w:val="20"/>
                <w:color w:val="auto"/>
              </w:rPr>
              <w:t>57</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6"/>
          </w:tcPr>
          <w:p>
            <w:pPr>
              <w:spacing w:after="0"/>
              <w:rPr>
                <w:sz w:val="20"/>
                <w:szCs w:val="20"/>
                <w:color w:val="auto"/>
              </w:rPr>
            </w:pPr>
            <w:r>
              <w:rPr>
                <w:rFonts w:ascii="Arial" w:cs="Arial" w:eastAsia="Arial" w:hAnsi="Arial"/>
                <w:sz w:val="20"/>
                <w:szCs w:val="20"/>
                <w:color w:val="auto"/>
                <w:w w:val="96"/>
              </w:rPr>
              <w:t>Section 5.22. Taxpayer Identification Number</w:t>
            </w:r>
          </w:p>
        </w:tc>
        <w:tc>
          <w:tcPr>
            <w:tcW w:w="960" w:type="dxa"/>
            <w:vAlign w:val="bottom"/>
          </w:tcPr>
          <w:p>
            <w:pPr>
              <w:jc w:val="right"/>
              <w:ind w:right="561"/>
              <w:spacing w:after="0"/>
              <w:rPr>
                <w:sz w:val="20"/>
                <w:szCs w:val="20"/>
                <w:color w:val="auto"/>
              </w:rPr>
            </w:pPr>
            <w:r>
              <w:rPr>
                <w:rFonts w:ascii="Arial" w:cs="Arial" w:eastAsia="Arial" w:hAnsi="Arial"/>
                <w:sz w:val="20"/>
                <w:szCs w:val="20"/>
                <w:color w:val="auto"/>
              </w:rPr>
              <w:t>57</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20"/>
                <w:szCs w:val="20"/>
                <w:color w:val="auto"/>
                <w:w w:val="90"/>
              </w:rPr>
              <w:t>Section 5.23. [Reserved]</w:t>
            </w:r>
          </w:p>
        </w:tc>
        <w:tc>
          <w:tcPr>
            <w:tcW w:w="1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57</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20" w:type="dxa"/>
            <w:vAlign w:val="bottom"/>
            <w:gridSpan w:val="9"/>
          </w:tcPr>
          <w:p>
            <w:pPr>
              <w:spacing w:after="0"/>
              <w:rPr>
                <w:sz w:val="20"/>
                <w:szCs w:val="20"/>
                <w:color w:val="auto"/>
              </w:rPr>
            </w:pPr>
            <w:r>
              <w:rPr>
                <w:rFonts w:ascii="Arial" w:cs="Arial" w:eastAsia="Arial" w:hAnsi="Arial"/>
                <w:sz w:val="20"/>
                <w:szCs w:val="20"/>
                <w:color w:val="auto"/>
              </w:rPr>
              <w:t>Section 5.24. Economic Sanctions, Anti-Money Laundering and Anti-Corruption  57</w:t>
            </w:r>
          </w:p>
        </w:tc>
        <w:tc>
          <w:tcPr>
            <w:tcW w:w="0" w:type="dxa"/>
            <w:vAlign w:val="bottom"/>
          </w:tcPr>
          <w:p>
            <w:pPr>
              <w:spacing w:after="0"/>
              <w:rPr>
                <w:sz w:val="1"/>
                <w:szCs w:val="1"/>
                <w:color w:val="auto"/>
              </w:rPr>
            </w:pPr>
          </w:p>
        </w:tc>
      </w:tr>
      <w:tr>
        <w:trPr>
          <w:trHeight w:val="452"/>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jc w:val="center"/>
              <w:ind w:right="1241"/>
              <w:spacing w:after="0"/>
              <w:rPr>
                <w:sz w:val="20"/>
                <w:szCs w:val="20"/>
                <w:color w:val="auto"/>
              </w:rPr>
            </w:pPr>
            <w:r>
              <w:rPr>
                <w:rFonts w:ascii="Arial" w:cs="Arial" w:eastAsia="Arial" w:hAnsi="Arial"/>
                <w:sz w:val="20"/>
                <w:szCs w:val="20"/>
                <w:color w:val="auto"/>
                <w:w w:val="99"/>
              </w:rPr>
              <w:t>Article VI</w:t>
            </w:r>
          </w:p>
        </w:tc>
        <w:tc>
          <w:tcPr>
            <w:tcW w:w="0" w:type="dxa"/>
            <w:vAlign w:val="bottom"/>
          </w:tcPr>
          <w:p>
            <w:pPr>
              <w:spacing w:after="0"/>
              <w:rPr>
                <w:sz w:val="1"/>
                <w:szCs w:val="1"/>
                <w:color w:val="auto"/>
              </w:rPr>
            </w:pPr>
          </w:p>
        </w:tc>
      </w:tr>
      <w:tr>
        <w:trPr>
          <w:trHeight w:val="250"/>
        </w:trPr>
        <w:tc>
          <w:tcPr>
            <w:tcW w:w="2940" w:type="dxa"/>
            <w:vAlign w:val="bottom"/>
            <w:gridSpan w:val="4"/>
            <w:vMerge w:val="restart"/>
          </w:tcPr>
          <w:p>
            <w:pPr>
              <w:spacing w:after="0"/>
              <w:rPr>
                <w:sz w:val="20"/>
                <w:szCs w:val="20"/>
                <w:color w:val="auto"/>
              </w:rPr>
            </w:pPr>
            <w:r>
              <w:rPr>
                <w:rFonts w:ascii="Arial" w:cs="Arial" w:eastAsia="Arial" w:hAnsi="Arial"/>
                <w:sz w:val="20"/>
                <w:szCs w:val="20"/>
                <w:color w:val="auto"/>
                <w:w w:val="94"/>
              </w:rPr>
              <w:t>Section 6.01. Financial Statements</w:t>
            </w:r>
          </w:p>
        </w:tc>
        <w:tc>
          <w:tcPr>
            <w:tcW w:w="600" w:type="dxa"/>
            <w:vAlign w:val="bottom"/>
            <w:vMerge w:val="restart"/>
          </w:tcPr>
          <w:p>
            <w:pPr>
              <w:jc w:val="right"/>
              <w:ind w:right="101"/>
              <w:spacing w:after="0"/>
              <w:rPr>
                <w:sz w:val="20"/>
                <w:szCs w:val="20"/>
                <w:color w:val="auto"/>
              </w:rPr>
            </w:pPr>
            <w:r>
              <w:rPr>
                <w:rFonts w:ascii="Arial" w:cs="Arial" w:eastAsia="Arial" w:hAnsi="Arial"/>
                <w:sz w:val="20"/>
                <w:szCs w:val="20"/>
                <w:color w:val="auto"/>
              </w:rPr>
              <w:t>58</w:t>
            </w:r>
          </w:p>
        </w:tc>
        <w:tc>
          <w:tcPr>
            <w:tcW w:w="340" w:type="dxa"/>
            <w:vAlign w:val="bottom"/>
          </w:tcPr>
          <w:p>
            <w:pPr>
              <w:spacing w:after="0"/>
              <w:rPr>
                <w:sz w:val="21"/>
                <w:szCs w:val="21"/>
                <w:color w:val="auto"/>
              </w:rPr>
            </w:pPr>
          </w:p>
        </w:tc>
        <w:tc>
          <w:tcPr>
            <w:tcW w:w="3540" w:type="dxa"/>
            <w:vAlign w:val="bottom"/>
            <w:gridSpan w:val="3"/>
          </w:tcPr>
          <w:p>
            <w:pPr>
              <w:jc w:val="center"/>
              <w:spacing w:after="0"/>
              <w:rPr>
                <w:sz w:val="20"/>
                <w:szCs w:val="20"/>
                <w:color w:val="auto"/>
              </w:rPr>
            </w:pPr>
            <w:r>
              <w:rPr>
                <w:rFonts w:ascii="Arial" w:cs="Arial" w:eastAsia="Arial" w:hAnsi="Arial"/>
                <w:sz w:val="20"/>
                <w:szCs w:val="20"/>
                <w:color w:val="auto"/>
                <w:w w:val="97"/>
              </w:rPr>
              <w:t>AFFIRMATIVE COVENANTS</w:t>
            </w:r>
          </w:p>
        </w:tc>
        <w:tc>
          <w:tcPr>
            <w:tcW w:w="0" w:type="dxa"/>
            <w:vAlign w:val="bottom"/>
          </w:tcPr>
          <w:p>
            <w:pPr>
              <w:spacing w:after="0"/>
              <w:rPr>
                <w:sz w:val="1"/>
                <w:szCs w:val="1"/>
                <w:color w:val="auto"/>
              </w:rPr>
            </w:pPr>
          </w:p>
        </w:tc>
      </w:tr>
      <w:tr>
        <w:trPr>
          <w:trHeight w:val="209"/>
        </w:trPr>
        <w:tc>
          <w:tcPr>
            <w:tcW w:w="2940" w:type="dxa"/>
            <w:vAlign w:val="bottom"/>
            <w:gridSpan w:val="4"/>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6"/>
          </w:tcPr>
          <w:p>
            <w:pPr>
              <w:spacing w:after="0"/>
              <w:rPr>
                <w:sz w:val="20"/>
                <w:szCs w:val="20"/>
                <w:color w:val="auto"/>
              </w:rPr>
            </w:pPr>
            <w:r>
              <w:rPr>
                <w:rFonts w:ascii="Arial" w:cs="Arial" w:eastAsia="Arial" w:hAnsi="Arial"/>
                <w:sz w:val="20"/>
                <w:szCs w:val="20"/>
                <w:color w:val="auto"/>
                <w:w w:val="99"/>
              </w:rPr>
              <w:t>Section 6.02. Certificates; Other Information</w:t>
            </w:r>
          </w:p>
        </w:tc>
        <w:tc>
          <w:tcPr>
            <w:tcW w:w="960" w:type="dxa"/>
            <w:vAlign w:val="bottom"/>
          </w:tcPr>
          <w:p>
            <w:pPr>
              <w:jc w:val="right"/>
              <w:ind w:right="641"/>
              <w:spacing w:after="0"/>
              <w:rPr>
                <w:sz w:val="20"/>
                <w:szCs w:val="20"/>
                <w:color w:val="auto"/>
              </w:rPr>
            </w:pPr>
            <w:r>
              <w:rPr>
                <w:rFonts w:ascii="Arial" w:cs="Arial" w:eastAsia="Arial" w:hAnsi="Arial"/>
                <w:sz w:val="20"/>
                <w:szCs w:val="20"/>
                <w:color w:val="auto"/>
                <w:w w:val="89"/>
              </w:rPr>
              <w:t>59</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20"/>
                <w:szCs w:val="20"/>
                <w:color w:val="auto"/>
              </w:rPr>
              <w:t>Section 6.03. Notices</w:t>
            </w:r>
          </w:p>
        </w:tc>
        <w:tc>
          <w:tcPr>
            <w:tcW w:w="120" w:type="dxa"/>
            <w:vAlign w:val="bottom"/>
          </w:tcPr>
          <w:p>
            <w:pPr>
              <w:spacing w:after="0"/>
              <w:rPr>
                <w:sz w:val="19"/>
                <w:szCs w:val="19"/>
                <w:color w:val="auto"/>
              </w:rPr>
            </w:pP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61</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5"/>
          </w:tcPr>
          <w:p>
            <w:pPr>
              <w:spacing w:after="0"/>
              <w:rPr>
                <w:sz w:val="20"/>
                <w:szCs w:val="20"/>
                <w:color w:val="auto"/>
              </w:rPr>
            </w:pPr>
            <w:r>
              <w:rPr>
                <w:rFonts w:ascii="Arial" w:cs="Arial" w:eastAsia="Arial" w:hAnsi="Arial"/>
                <w:sz w:val="20"/>
                <w:szCs w:val="20"/>
                <w:color w:val="auto"/>
                <w:w w:val="90"/>
              </w:rPr>
              <w:t>Section 6.04. Preservation of Existence, Etc</w:t>
            </w:r>
          </w:p>
        </w:tc>
        <w:tc>
          <w:tcPr>
            <w:tcW w:w="1300" w:type="dxa"/>
            <w:vAlign w:val="bottom"/>
            <w:gridSpan w:val="2"/>
          </w:tcPr>
          <w:p>
            <w:pPr>
              <w:jc w:val="right"/>
              <w:ind w:right="721"/>
              <w:spacing w:after="0"/>
              <w:rPr>
                <w:sz w:val="20"/>
                <w:szCs w:val="20"/>
                <w:color w:val="auto"/>
              </w:rPr>
            </w:pPr>
            <w:r>
              <w:rPr>
                <w:rFonts w:ascii="Arial" w:cs="Arial" w:eastAsia="Arial" w:hAnsi="Arial"/>
                <w:sz w:val="20"/>
                <w:szCs w:val="20"/>
                <w:color w:val="auto"/>
              </w:rPr>
              <w:t>62</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5"/>
          </w:tcPr>
          <w:p>
            <w:pPr>
              <w:spacing w:after="0"/>
              <w:rPr>
                <w:sz w:val="20"/>
                <w:szCs w:val="20"/>
                <w:color w:val="auto"/>
              </w:rPr>
            </w:pPr>
            <w:r>
              <w:rPr>
                <w:rFonts w:ascii="Arial" w:cs="Arial" w:eastAsia="Arial" w:hAnsi="Arial"/>
                <w:sz w:val="20"/>
                <w:szCs w:val="20"/>
                <w:color w:val="auto"/>
                <w:w w:val="98"/>
              </w:rPr>
              <w:t>Section 6.05. Maintenance of Properties</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w w:val="98"/>
              </w:rPr>
              <w:t>62</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5"/>
          </w:tcPr>
          <w:p>
            <w:pPr>
              <w:spacing w:after="0"/>
              <w:rPr>
                <w:sz w:val="20"/>
                <w:szCs w:val="20"/>
                <w:color w:val="auto"/>
              </w:rPr>
            </w:pPr>
            <w:r>
              <w:rPr>
                <w:rFonts w:ascii="Arial" w:cs="Arial" w:eastAsia="Arial" w:hAnsi="Arial"/>
                <w:sz w:val="20"/>
                <w:szCs w:val="20"/>
                <w:color w:val="auto"/>
                <w:w w:val="99"/>
              </w:rPr>
              <w:t>Section 6.06. Maintenance of Insurance</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w w:val="80"/>
              </w:rPr>
              <w:t>62</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4"/>
          </w:tcPr>
          <w:p>
            <w:pPr>
              <w:spacing w:after="0"/>
              <w:rPr>
                <w:sz w:val="20"/>
                <w:szCs w:val="20"/>
                <w:color w:val="auto"/>
              </w:rPr>
            </w:pPr>
            <w:r>
              <w:rPr>
                <w:rFonts w:ascii="Arial" w:cs="Arial" w:eastAsia="Arial" w:hAnsi="Arial"/>
                <w:sz w:val="20"/>
                <w:szCs w:val="20"/>
                <w:color w:val="auto"/>
                <w:w w:val="90"/>
              </w:rPr>
              <w:t>Section 6.07. Compliance with Laws</w:t>
            </w:r>
          </w:p>
        </w:tc>
        <w:tc>
          <w:tcPr>
            <w:tcW w:w="600" w:type="dxa"/>
            <w:vAlign w:val="bottom"/>
          </w:tcPr>
          <w:p>
            <w:pPr>
              <w:jc w:val="right"/>
              <w:spacing w:after="0"/>
              <w:rPr>
                <w:sz w:val="20"/>
                <w:szCs w:val="20"/>
                <w:color w:val="auto"/>
              </w:rPr>
            </w:pPr>
            <w:r>
              <w:rPr>
                <w:rFonts w:ascii="Arial" w:cs="Arial" w:eastAsia="Arial" w:hAnsi="Arial"/>
                <w:sz w:val="20"/>
                <w:szCs w:val="20"/>
                <w:color w:val="auto"/>
              </w:rPr>
              <w:t>62</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3"/>
          </w:tcPr>
          <w:p>
            <w:pPr>
              <w:spacing w:after="0"/>
              <w:rPr>
                <w:sz w:val="20"/>
                <w:szCs w:val="20"/>
                <w:color w:val="auto"/>
              </w:rPr>
            </w:pPr>
            <w:r>
              <w:rPr>
                <w:rFonts w:ascii="Arial" w:cs="Arial" w:eastAsia="Arial" w:hAnsi="Arial"/>
                <w:sz w:val="20"/>
                <w:szCs w:val="20"/>
                <w:color w:val="auto"/>
                <w:w w:val="90"/>
              </w:rPr>
              <w:t>Section 6.08. Books and Records</w:t>
            </w:r>
          </w:p>
        </w:tc>
        <w:tc>
          <w:tcPr>
            <w:tcW w:w="240" w:type="dxa"/>
            <w:vAlign w:val="bottom"/>
          </w:tcPr>
          <w:p>
            <w:pPr>
              <w:spacing w:after="0"/>
              <w:rPr>
                <w:sz w:val="19"/>
                <w:szCs w:val="19"/>
                <w:color w:val="auto"/>
              </w:rPr>
            </w:pPr>
          </w:p>
        </w:tc>
        <w:tc>
          <w:tcPr>
            <w:tcW w:w="600" w:type="dxa"/>
            <w:vAlign w:val="bottom"/>
          </w:tcPr>
          <w:p>
            <w:pPr>
              <w:jc w:val="right"/>
              <w:ind w:right="221"/>
              <w:spacing w:after="0"/>
              <w:rPr>
                <w:sz w:val="20"/>
                <w:szCs w:val="20"/>
                <w:color w:val="auto"/>
              </w:rPr>
            </w:pPr>
            <w:r>
              <w:rPr>
                <w:rFonts w:ascii="Arial" w:cs="Arial" w:eastAsia="Arial" w:hAnsi="Arial"/>
                <w:sz w:val="20"/>
                <w:szCs w:val="20"/>
                <w:color w:val="auto"/>
              </w:rPr>
              <w:t>63</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20"/>
                <w:szCs w:val="20"/>
                <w:color w:val="auto"/>
                <w:w w:val="97"/>
              </w:rPr>
              <w:t>Section 6.09. Inspection Rights</w:t>
            </w:r>
          </w:p>
        </w:tc>
        <w:tc>
          <w:tcPr>
            <w:tcW w:w="240" w:type="dxa"/>
            <w:vAlign w:val="bottom"/>
          </w:tcPr>
          <w:p>
            <w:pPr>
              <w:spacing w:after="0"/>
              <w:rPr>
                <w:sz w:val="19"/>
                <w:szCs w:val="19"/>
                <w:color w:val="auto"/>
              </w:rPr>
            </w:pPr>
          </w:p>
        </w:tc>
        <w:tc>
          <w:tcPr>
            <w:tcW w:w="600" w:type="dxa"/>
            <w:vAlign w:val="bottom"/>
          </w:tcPr>
          <w:p>
            <w:pPr>
              <w:jc w:val="right"/>
              <w:ind w:right="321"/>
              <w:spacing w:after="0"/>
              <w:rPr>
                <w:sz w:val="20"/>
                <w:szCs w:val="20"/>
                <w:color w:val="auto"/>
              </w:rPr>
            </w:pPr>
            <w:r>
              <w:rPr>
                <w:rFonts w:ascii="Arial" w:cs="Arial" w:eastAsia="Arial" w:hAnsi="Arial"/>
                <w:sz w:val="20"/>
                <w:szCs w:val="20"/>
                <w:color w:val="auto"/>
                <w:w w:val="71"/>
              </w:rPr>
              <w:t>63</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20"/>
                <w:szCs w:val="20"/>
                <w:color w:val="auto"/>
                <w:w w:val="99"/>
              </w:rPr>
              <w:t>Section 6.10. Use of Proceeds</w:t>
            </w:r>
          </w:p>
        </w:tc>
        <w:tc>
          <w:tcPr>
            <w:tcW w:w="840" w:type="dxa"/>
            <w:vAlign w:val="bottom"/>
            <w:gridSpan w:val="2"/>
          </w:tcPr>
          <w:p>
            <w:pPr>
              <w:jc w:val="right"/>
              <w:ind w:right="421"/>
              <w:spacing w:after="0"/>
              <w:rPr>
                <w:sz w:val="20"/>
                <w:szCs w:val="20"/>
                <w:color w:val="auto"/>
              </w:rPr>
            </w:pPr>
            <w:r>
              <w:rPr>
                <w:rFonts w:ascii="Arial" w:cs="Arial" w:eastAsia="Arial" w:hAnsi="Arial"/>
                <w:sz w:val="20"/>
                <w:szCs w:val="20"/>
                <w:color w:val="auto"/>
              </w:rPr>
              <w:t>63</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20"/>
                <w:szCs w:val="20"/>
                <w:color w:val="auto"/>
                <w:w w:val="94"/>
              </w:rPr>
              <w:t>Section 6.11. Payment of Taxes</w:t>
            </w:r>
          </w:p>
        </w:tc>
        <w:tc>
          <w:tcPr>
            <w:tcW w:w="240" w:type="dxa"/>
            <w:vAlign w:val="bottom"/>
          </w:tcPr>
          <w:p>
            <w:pPr>
              <w:spacing w:after="0"/>
              <w:rPr>
                <w:sz w:val="19"/>
                <w:szCs w:val="19"/>
                <w:color w:val="auto"/>
              </w:rPr>
            </w:pPr>
          </w:p>
        </w:tc>
        <w:tc>
          <w:tcPr>
            <w:tcW w:w="600" w:type="dxa"/>
            <w:vAlign w:val="bottom"/>
          </w:tcPr>
          <w:p>
            <w:pPr>
              <w:jc w:val="right"/>
              <w:ind w:right="301"/>
              <w:spacing w:after="0"/>
              <w:rPr>
                <w:sz w:val="20"/>
                <w:szCs w:val="20"/>
                <w:color w:val="auto"/>
              </w:rPr>
            </w:pPr>
            <w:r>
              <w:rPr>
                <w:rFonts w:ascii="Arial" w:cs="Arial" w:eastAsia="Arial" w:hAnsi="Arial"/>
                <w:sz w:val="20"/>
                <w:szCs w:val="20"/>
                <w:color w:val="auto"/>
                <w:w w:val="80"/>
              </w:rPr>
              <w:t>63</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gridSpan w:val="8"/>
          </w:tcPr>
          <w:p>
            <w:pPr>
              <w:spacing w:after="0"/>
              <w:rPr>
                <w:sz w:val="20"/>
                <w:szCs w:val="20"/>
                <w:color w:val="auto"/>
              </w:rPr>
            </w:pPr>
            <w:r>
              <w:rPr>
                <w:rFonts w:ascii="Arial" w:cs="Arial" w:eastAsia="Arial" w:hAnsi="Arial"/>
                <w:sz w:val="20"/>
                <w:szCs w:val="20"/>
                <w:color w:val="auto"/>
                <w:w w:val="93"/>
              </w:rPr>
              <w:t>Section 6.12. Designation of Strategic Investment Subsidiaries</w:t>
            </w:r>
          </w:p>
        </w:tc>
        <w:tc>
          <w:tcPr>
            <w:tcW w:w="2260" w:type="dxa"/>
            <w:vAlign w:val="bottom"/>
          </w:tcPr>
          <w:p>
            <w:pPr>
              <w:jc w:val="right"/>
              <w:ind w:right="1921"/>
              <w:spacing w:after="0"/>
              <w:rPr>
                <w:sz w:val="20"/>
                <w:szCs w:val="20"/>
                <w:color w:val="auto"/>
              </w:rPr>
            </w:pPr>
            <w:r>
              <w:rPr>
                <w:rFonts w:ascii="Arial" w:cs="Arial" w:eastAsia="Arial" w:hAnsi="Arial"/>
                <w:sz w:val="20"/>
                <w:szCs w:val="20"/>
                <w:color w:val="auto"/>
                <w:w w:val="98"/>
              </w:rPr>
              <w:t>63</w:t>
            </w:r>
          </w:p>
        </w:tc>
        <w:tc>
          <w:tcPr>
            <w:tcW w:w="0" w:type="dxa"/>
            <w:vAlign w:val="bottom"/>
          </w:tcPr>
          <w:p>
            <w:pPr>
              <w:spacing w:after="0"/>
              <w:rPr>
                <w:sz w:val="1"/>
                <w:szCs w:val="1"/>
                <w:color w:val="auto"/>
              </w:rPr>
            </w:pPr>
          </w:p>
        </w:tc>
      </w:tr>
      <w:tr>
        <w:trPr>
          <w:trHeight w:val="452"/>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jc w:val="center"/>
              <w:ind w:right="1241"/>
              <w:spacing w:after="0"/>
              <w:rPr>
                <w:sz w:val="20"/>
                <w:szCs w:val="20"/>
                <w:color w:val="auto"/>
              </w:rPr>
            </w:pPr>
            <w:r>
              <w:rPr>
                <w:rFonts w:ascii="Arial" w:cs="Arial" w:eastAsia="Arial" w:hAnsi="Arial"/>
                <w:sz w:val="20"/>
                <w:szCs w:val="20"/>
                <w:color w:val="auto"/>
              </w:rPr>
              <w:t>Article VII</w:t>
            </w:r>
          </w:p>
        </w:tc>
        <w:tc>
          <w:tcPr>
            <w:tcW w:w="0" w:type="dxa"/>
            <w:vAlign w:val="bottom"/>
          </w:tcPr>
          <w:p>
            <w:pPr>
              <w:spacing w:after="0"/>
              <w:rPr>
                <w:sz w:val="1"/>
                <w:szCs w:val="1"/>
                <w:color w:val="auto"/>
              </w:rPr>
            </w:pPr>
          </w:p>
        </w:tc>
      </w:tr>
      <w:tr>
        <w:trPr>
          <w:trHeight w:val="250"/>
        </w:trPr>
        <w:tc>
          <w:tcPr>
            <w:tcW w:w="2000" w:type="dxa"/>
            <w:vAlign w:val="bottom"/>
            <w:vMerge w:val="restart"/>
          </w:tcPr>
          <w:p>
            <w:pPr>
              <w:spacing w:after="0"/>
              <w:rPr>
                <w:sz w:val="20"/>
                <w:szCs w:val="20"/>
                <w:color w:val="auto"/>
              </w:rPr>
            </w:pPr>
            <w:r>
              <w:rPr>
                <w:rFonts w:ascii="Arial" w:cs="Arial" w:eastAsia="Arial" w:hAnsi="Arial"/>
                <w:sz w:val="20"/>
                <w:szCs w:val="20"/>
                <w:color w:val="auto"/>
              </w:rPr>
              <w:t>Section 7.01. Liens</w:t>
            </w:r>
          </w:p>
        </w:tc>
        <w:tc>
          <w:tcPr>
            <w:tcW w:w="700" w:type="dxa"/>
            <w:vAlign w:val="bottom"/>
            <w:gridSpan w:val="2"/>
            <w:vMerge w:val="restart"/>
          </w:tcPr>
          <w:p>
            <w:pPr>
              <w:jc w:val="right"/>
              <w:ind w:right="381"/>
              <w:spacing w:after="0"/>
              <w:rPr>
                <w:sz w:val="20"/>
                <w:szCs w:val="20"/>
                <w:color w:val="auto"/>
              </w:rPr>
            </w:pPr>
            <w:r>
              <w:rPr>
                <w:rFonts w:ascii="Arial" w:cs="Arial" w:eastAsia="Arial" w:hAnsi="Arial"/>
                <w:sz w:val="20"/>
                <w:szCs w:val="20"/>
                <w:color w:val="auto"/>
                <w:w w:val="89"/>
              </w:rPr>
              <w:t>63</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3"/>
          </w:tcPr>
          <w:p>
            <w:pPr>
              <w:jc w:val="center"/>
              <w:spacing w:after="0"/>
              <w:rPr>
                <w:sz w:val="20"/>
                <w:szCs w:val="20"/>
                <w:color w:val="auto"/>
              </w:rPr>
            </w:pPr>
            <w:r>
              <w:rPr>
                <w:rFonts w:ascii="Arial" w:cs="Arial" w:eastAsia="Arial" w:hAnsi="Arial"/>
                <w:sz w:val="20"/>
                <w:szCs w:val="20"/>
                <w:color w:val="auto"/>
                <w:w w:val="96"/>
              </w:rPr>
              <w:t>NEGATIVE COVENANTS</w:t>
            </w:r>
          </w:p>
        </w:tc>
        <w:tc>
          <w:tcPr>
            <w:tcW w:w="0" w:type="dxa"/>
            <w:vAlign w:val="bottom"/>
          </w:tcPr>
          <w:p>
            <w:pPr>
              <w:spacing w:after="0"/>
              <w:rPr>
                <w:sz w:val="1"/>
                <w:szCs w:val="1"/>
                <w:color w:val="auto"/>
              </w:rPr>
            </w:pPr>
          </w:p>
        </w:tc>
      </w:tr>
      <w:tr>
        <w:trPr>
          <w:trHeight w:val="209"/>
        </w:trPr>
        <w:tc>
          <w:tcPr>
            <w:tcW w:w="200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gridSpan w:val="7"/>
          </w:tcPr>
          <w:p>
            <w:pPr>
              <w:spacing w:after="0"/>
              <w:rPr>
                <w:sz w:val="20"/>
                <w:szCs w:val="20"/>
                <w:color w:val="auto"/>
              </w:rPr>
            </w:pPr>
            <w:r>
              <w:rPr>
                <w:rFonts w:ascii="Arial" w:cs="Arial" w:eastAsia="Arial" w:hAnsi="Arial"/>
                <w:sz w:val="20"/>
                <w:szCs w:val="20"/>
                <w:color w:val="auto"/>
                <w:w w:val="92"/>
              </w:rPr>
              <w:t>Section 7.02. Consolidations and Mergers; Sales of Assets</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65</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color w:val="auto"/>
                <w:w w:val="91"/>
              </w:rPr>
              <w:t>Section 7.03. Investments</w:t>
            </w:r>
          </w:p>
        </w:tc>
        <w:tc>
          <w:tcPr>
            <w:tcW w:w="580" w:type="dxa"/>
            <w:vAlign w:val="bottom"/>
          </w:tcPr>
          <w:p>
            <w:pPr>
              <w:jc w:val="right"/>
              <w:spacing w:after="0"/>
              <w:rPr>
                <w:sz w:val="20"/>
                <w:szCs w:val="20"/>
                <w:color w:val="auto"/>
              </w:rPr>
            </w:pPr>
            <w:r>
              <w:rPr>
                <w:rFonts w:ascii="Arial" w:cs="Arial" w:eastAsia="Arial" w:hAnsi="Arial"/>
                <w:sz w:val="20"/>
                <w:szCs w:val="20"/>
                <w:color w:val="auto"/>
              </w:rPr>
              <w:t>66</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5"/>
          </w:tcPr>
          <w:p>
            <w:pPr>
              <w:spacing w:after="0"/>
              <w:rPr>
                <w:sz w:val="20"/>
                <w:szCs w:val="20"/>
                <w:color w:val="auto"/>
              </w:rPr>
            </w:pPr>
            <w:r>
              <w:rPr>
                <w:rFonts w:ascii="Arial" w:cs="Arial" w:eastAsia="Arial" w:hAnsi="Arial"/>
                <w:sz w:val="20"/>
                <w:szCs w:val="20"/>
                <w:color w:val="auto"/>
                <w:w w:val="97"/>
              </w:rPr>
              <w:t>Section 7.04. Limitation on Indebtedness</w:t>
            </w:r>
          </w:p>
        </w:tc>
        <w:tc>
          <w:tcPr>
            <w:tcW w:w="340" w:type="dxa"/>
            <w:vAlign w:val="bottom"/>
          </w:tcPr>
          <w:p>
            <w:pPr>
              <w:jc w:val="right"/>
              <w:spacing w:after="0"/>
              <w:rPr>
                <w:sz w:val="20"/>
                <w:szCs w:val="20"/>
                <w:color w:val="auto"/>
              </w:rPr>
            </w:pPr>
            <w:r>
              <w:rPr>
                <w:rFonts w:ascii="Arial" w:cs="Arial" w:eastAsia="Arial" w:hAnsi="Arial"/>
                <w:sz w:val="20"/>
                <w:szCs w:val="20"/>
                <w:color w:val="auto"/>
              </w:rPr>
              <w:t>67</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40" w:type="dxa"/>
            <w:vAlign w:val="bottom"/>
            <w:gridSpan w:val="5"/>
          </w:tcPr>
          <w:p>
            <w:pPr>
              <w:spacing w:after="0"/>
              <w:rPr>
                <w:sz w:val="20"/>
                <w:szCs w:val="20"/>
                <w:color w:val="auto"/>
              </w:rPr>
            </w:pPr>
            <w:r>
              <w:rPr>
                <w:rFonts w:ascii="Arial" w:cs="Arial" w:eastAsia="Arial" w:hAnsi="Arial"/>
                <w:sz w:val="20"/>
                <w:szCs w:val="20"/>
                <w:color w:val="auto"/>
                <w:w w:val="98"/>
              </w:rPr>
              <w:t>Section 7.05. Transactions with Affiliates</w:t>
            </w:r>
          </w:p>
        </w:tc>
        <w:tc>
          <w:tcPr>
            <w:tcW w:w="340" w:type="dxa"/>
            <w:vAlign w:val="bottom"/>
          </w:tcPr>
          <w:p>
            <w:pPr>
              <w:jc w:val="right"/>
              <w:spacing w:after="0"/>
              <w:rPr>
                <w:sz w:val="20"/>
                <w:szCs w:val="20"/>
                <w:color w:val="auto"/>
              </w:rPr>
            </w:pPr>
            <w:r>
              <w:rPr>
                <w:rFonts w:ascii="Arial" w:cs="Arial" w:eastAsia="Arial" w:hAnsi="Arial"/>
                <w:sz w:val="20"/>
                <w:szCs w:val="20"/>
                <w:color w:val="auto"/>
              </w:rPr>
              <w:t>68</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20"/>
                <w:szCs w:val="20"/>
                <w:color w:val="auto"/>
                <w:w w:val="92"/>
              </w:rPr>
              <w:t>Section 7.06. Restricted Payments</w:t>
            </w:r>
          </w:p>
        </w:tc>
        <w:tc>
          <w:tcPr>
            <w:tcW w:w="480" w:type="dxa"/>
            <w:vAlign w:val="bottom"/>
          </w:tcPr>
          <w:p>
            <w:pPr>
              <w:jc w:val="right"/>
              <w:spacing w:after="0"/>
              <w:rPr>
                <w:sz w:val="20"/>
                <w:szCs w:val="20"/>
                <w:color w:val="auto"/>
              </w:rPr>
            </w:pPr>
            <w:r>
              <w:rPr>
                <w:rFonts w:ascii="Arial" w:cs="Arial" w:eastAsia="Arial" w:hAnsi="Arial"/>
                <w:sz w:val="20"/>
                <w:szCs w:val="20"/>
                <w:color w:val="auto"/>
              </w:rPr>
              <w:t>68</w:t>
            </w: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w w:val="94"/>
              </w:rPr>
              <w:t>Section 7.07. Change in Business</w:t>
            </w:r>
          </w:p>
        </w:tc>
        <w:tc>
          <w:tcPr>
            <w:tcW w:w="480" w:type="dxa"/>
            <w:vAlign w:val="bottom"/>
          </w:tcPr>
          <w:p>
            <w:pPr>
              <w:jc w:val="right"/>
              <w:spacing w:after="0"/>
              <w:rPr>
                <w:sz w:val="20"/>
                <w:szCs w:val="20"/>
                <w:color w:val="auto"/>
              </w:rPr>
            </w:pPr>
            <w:r>
              <w:rPr>
                <w:rFonts w:ascii="Arial" w:cs="Arial" w:eastAsia="Arial" w:hAnsi="Arial"/>
                <w:sz w:val="20"/>
                <w:szCs w:val="20"/>
                <w:color w:val="auto"/>
              </w:rPr>
              <w:t>69</w:t>
            </w: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20"/>
                <w:szCs w:val="20"/>
                <w:color w:val="auto"/>
                <w:w w:val="92"/>
              </w:rPr>
              <w:t>Section 7.08. Accounting Changes</w:t>
            </w:r>
          </w:p>
        </w:tc>
        <w:tc>
          <w:tcPr>
            <w:tcW w:w="480" w:type="dxa"/>
            <w:vAlign w:val="bottom"/>
          </w:tcPr>
          <w:p>
            <w:pPr>
              <w:ind w:left="280"/>
              <w:spacing w:after="0"/>
              <w:rPr>
                <w:sz w:val="20"/>
                <w:szCs w:val="20"/>
                <w:color w:val="auto"/>
              </w:rPr>
            </w:pPr>
            <w:r>
              <w:rPr>
                <w:rFonts w:ascii="Arial" w:cs="Arial" w:eastAsia="Arial" w:hAnsi="Arial"/>
                <w:sz w:val="20"/>
                <w:szCs w:val="20"/>
                <w:color w:val="auto"/>
                <w:w w:val="80"/>
              </w:rPr>
              <w:t>69</w:t>
            </w: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20"/>
                <w:szCs w:val="20"/>
                <w:color w:val="auto"/>
                <w:w w:val="93"/>
              </w:rPr>
              <w:t>Section 7.09. Financial Covenants</w:t>
            </w:r>
          </w:p>
        </w:tc>
        <w:tc>
          <w:tcPr>
            <w:tcW w:w="480" w:type="dxa"/>
            <w:vAlign w:val="bottom"/>
          </w:tcPr>
          <w:p>
            <w:pPr>
              <w:jc w:val="right"/>
              <w:spacing w:after="0"/>
              <w:rPr>
                <w:sz w:val="20"/>
                <w:szCs w:val="20"/>
                <w:color w:val="auto"/>
              </w:rPr>
            </w:pPr>
            <w:r>
              <w:rPr>
                <w:rFonts w:ascii="Arial" w:cs="Arial" w:eastAsia="Arial" w:hAnsi="Arial"/>
                <w:sz w:val="20"/>
                <w:szCs w:val="20"/>
                <w:color w:val="auto"/>
              </w:rPr>
              <w:t>69</w:t>
            </w: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20"/>
                <w:szCs w:val="20"/>
                <w:color w:val="auto"/>
                <w:w w:val="89"/>
              </w:rPr>
              <w:t>Section 7.10. Restrictive Agreements, Etc</w:t>
            </w:r>
          </w:p>
        </w:tc>
        <w:tc>
          <w:tcPr>
            <w:tcW w:w="720" w:type="dxa"/>
            <w:vAlign w:val="bottom"/>
          </w:tcPr>
          <w:p>
            <w:pPr>
              <w:jc w:val="right"/>
              <w:ind w:right="101"/>
              <w:spacing w:after="0"/>
              <w:rPr>
                <w:sz w:val="20"/>
                <w:szCs w:val="20"/>
                <w:color w:val="auto"/>
              </w:rPr>
            </w:pPr>
            <w:r>
              <w:rPr>
                <w:rFonts w:ascii="Arial" w:cs="Arial" w:eastAsia="Arial" w:hAnsi="Arial"/>
                <w:sz w:val="20"/>
                <w:szCs w:val="20"/>
                <w:color w:val="auto"/>
              </w:rPr>
              <w:t>70</w:t>
            </w:r>
          </w:p>
        </w:tc>
        <w:tc>
          <w:tcPr>
            <w:tcW w:w="3320" w:type="dxa"/>
            <w:vAlign w:val="bottom"/>
          </w:tcPr>
          <w:p>
            <w:pPr>
              <w:spacing w:after="0"/>
              <w:rPr>
                <w:sz w:val="19"/>
                <w:szCs w:val="19"/>
                <w:color w:val="auto"/>
              </w:rPr>
            </w:pPr>
          </w:p>
        </w:tc>
      </w:tr>
      <w:tr>
        <w:trPr>
          <w:trHeight w:val="250"/>
        </w:trPr>
        <w:tc>
          <w:tcPr>
            <w:tcW w:w="2860" w:type="dxa"/>
            <w:vAlign w:val="bottom"/>
          </w:tcPr>
          <w:p>
            <w:pPr>
              <w:spacing w:after="0"/>
              <w:rPr>
                <w:sz w:val="20"/>
                <w:szCs w:val="20"/>
                <w:color w:val="auto"/>
              </w:rPr>
            </w:pPr>
            <w:r>
              <w:rPr>
                <w:rFonts w:ascii="Arial" w:cs="Arial" w:eastAsia="Arial" w:hAnsi="Arial"/>
                <w:sz w:val="20"/>
                <w:szCs w:val="20"/>
                <w:color w:val="auto"/>
                <w:w w:val="91"/>
              </w:rPr>
              <w:t>Section 7.11. Certain Amendments</w:t>
            </w:r>
          </w:p>
        </w:tc>
        <w:tc>
          <w:tcPr>
            <w:tcW w:w="1200" w:type="dxa"/>
            <w:vAlign w:val="bottom"/>
            <w:gridSpan w:val="2"/>
          </w:tcPr>
          <w:p>
            <w:pPr>
              <w:ind w:left="320"/>
              <w:spacing w:after="0"/>
              <w:rPr>
                <w:sz w:val="20"/>
                <w:szCs w:val="20"/>
                <w:color w:val="auto"/>
              </w:rPr>
            </w:pPr>
            <w:r>
              <w:rPr>
                <w:rFonts w:ascii="Arial" w:cs="Arial" w:eastAsia="Arial" w:hAnsi="Arial"/>
                <w:sz w:val="20"/>
                <w:szCs w:val="20"/>
                <w:color w:val="auto"/>
              </w:rPr>
              <w:t>70</w:t>
            </w:r>
          </w:p>
        </w:tc>
        <w:tc>
          <w:tcPr>
            <w:tcW w:w="3320" w:type="dxa"/>
            <w:vAlign w:val="bottom"/>
          </w:tcPr>
          <w:p>
            <w:pPr>
              <w:spacing w:after="0"/>
              <w:rPr>
                <w:sz w:val="21"/>
                <w:szCs w:val="21"/>
                <w:color w:val="auto"/>
              </w:rPr>
            </w:pPr>
          </w:p>
        </w:tc>
      </w:tr>
      <w:tr>
        <w:trPr>
          <w:trHeight w:val="452"/>
        </w:trPr>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jc w:val="center"/>
              <w:ind w:right="81"/>
              <w:spacing w:after="0"/>
              <w:rPr>
                <w:sz w:val="20"/>
                <w:szCs w:val="20"/>
                <w:color w:val="auto"/>
              </w:rPr>
            </w:pPr>
            <w:r>
              <w:rPr>
                <w:rFonts w:ascii="Arial" w:cs="Arial" w:eastAsia="Arial" w:hAnsi="Arial"/>
                <w:sz w:val="20"/>
                <w:szCs w:val="20"/>
                <w:color w:val="auto"/>
              </w:rPr>
              <w:t>Article VIII</w:t>
            </w:r>
          </w:p>
        </w:tc>
      </w:tr>
      <w:tr>
        <w:trPr>
          <w:trHeight w:val="250"/>
        </w:trPr>
        <w:tc>
          <w:tcPr>
            <w:tcW w:w="2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40" w:type="dxa"/>
            <w:vAlign w:val="bottom"/>
            <w:gridSpan w:val="2"/>
          </w:tcPr>
          <w:p>
            <w:pPr>
              <w:jc w:val="center"/>
              <w:ind w:left="441"/>
              <w:spacing w:after="0"/>
              <w:rPr>
                <w:sz w:val="20"/>
                <w:szCs w:val="20"/>
                <w:color w:val="auto"/>
              </w:rPr>
            </w:pPr>
            <w:r>
              <w:rPr>
                <w:rFonts w:ascii="Arial" w:cs="Arial" w:eastAsia="Arial" w:hAnsi="Arial"/>
                <w:sz w:val="20"/>
                <w:szCs w:val="20"/>
                <w:color w:val="auto"/>
                <w:w w:val="95"/>
              </w:rPr>
              <w:t>EVENTS OF DEFAULT AND REMEDIES</w:t>
            </w:r>
          </w:p>
        </w:tc>
      </w:tr>
      <w:tr>
        <w:trPr>
          <w:trHeight w:val="452"/>
        </w:trPr>
        <w:tc>
          <w:tcPr>
            <w:tcW w:w="2860" w:type="dxa"/>
            <w:vAlign w:val="bottom"/>
          </w:tcPr>
          <w:p>
            <w:pPr>
              <w:spacing w:after="0"/>
              <w:rPr>
                <w:sz w:val="20"/>
                <w:szCs w:val="20"/>
                <w:color w:val="auto"/>
              </w:rPr>
            </w:pPr>
            <w:r>
              <w:rPr>
                <w:rFonts w:ascii="Arial" w:cs="Arial" w:eastAsia="Arial" w:hAnsi="Arial"/>
                <w:sz w:val="20"/>
                <w:szCs w:val="20"/>
                <w:color w:val="auto"/>
              </w:rPr>
              <w:t>Section 8.01. Events of Default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70</w:t>
            </w: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9"/>
        </w:trPr>
        <w:tc>
          <w:tcPr>
            <w:tcW w:w="4060" w:type="dxa"/>
            <w:vAlign w:val="bottom"/>
            <w:gridSpan w:val="3"/>
          </w:tcPr>
          <w:p>
            <w:pPr>
              <w:spacing w:after="0"/>
              <w:rPr>
                <w:sz w:val="20"/>
                <w:szCs w:val="20"/>
                <w:color w:val="auto"/>
              </w:rPr>
            </w:pPr>
            <w:r>
              <w:rPr>
                <w:rFonts w:ascii="Arial" w:cs="Arial" w:eastAsia="Arial" w:hAnsi="Arial"/>
                <w:sz w:val="20"/>
                <w:szCs w:val="20"/>
                <w:color w:val="auto"/>
                <w:w w:val="97"/>
              </w:rPr>
              <w:t>Section 8.02. Remedies Upon Event of Default</w:t>
            </w:r>
          </w:p>
        </w:tc>
        <w:tc>
          <w:tcPr>
            <w:tcW w:w="3320" w:type="dxa"/>
            <w:vAlign w:val="bottom"/>
          </w:tcPr>
          <w:p>
            <w:pPr>
              <w:jc w:val="right"/>
              <w:ind w:right="3001"/>
              <w:spacing w:after="0"/>
              <w:rPr>
                <w:sz w:val="20"/>
                <w:szCs w:val="20"/>
                <w:color w:val="auto"/>
              </w:rPr>
            </w:pPr>
            <w:r>
              <w:rPr>
                <w:rFonts w:ascii="Arial" w:cs="Arial" w:eastAsia="Arial" w:hAnsi="Arial"/>
                <w:sz w:val="20"/>
                <w:szCs w:val="20"/>
                <w:color w:val="auto"/>
                <w:w w:val="89"/>
              </w:rPr>
              <w:t>73</w:t>
            </w:r>
          </w:p>
        </w:tc>
      </w:tr>
      <w:tr>
        <w:trPr>
          <w:trHeight w:val="250"/>
        </w:trPr>
        <w:tc>
          <w:tcPr>
            <w:tcW w:w="2860" w:type="dxa"/>
            <w:vAlign w:val="bottom"/>
          </w:tcPr>
          <w:p>
            <w:pPr>
              <w:spacing w:after="0"/>
              <w:rPr>
                <w:sz w:val="20"/>
                <w:szCs w:val="20"/>
                <w:color w:val="auto"/>
              </w:rPr>
            </w:pPr>
            <w:r>
              <w:rPr>
                <w:rFonts w:ascii="Arial" w:cs="Arial" w:eastAsia="Arial" w:hAnsi="Arial"/>
                <w:sz w:val="20"/>
                <w:szCs w:val="20"/>
                <w:color w:val="auto"/>
                <w:w w:val="93"/>
              </w:rPr>
              <w:t>Section 8.03. Application of Funds</w:t>
            </w:r>
          </w:p>
        </w:tc>
        <w:tc>
          <w:tcPr>
            <w:tcW w:w="1200" w:type="dxa"/>
            <w:vAlign w:val="bottom"/>
            <w:gridSpan w:val="2"/>
          </w:tcPr>
          <w:p>
            <w:pPr>
              <w:jc w:val="right"/>
              <w:ind w:right="581"/>
              <w:spacing w:after="0"/>
              <w:rPr>
                <w:sz w:val="20"/>
                <w:szCs w:val="20"/>
                <w:color w:val="auto"/>
              </w:rPr>
            </w:pPr>
            <w:r>
              <w:rPr>
                <w:rFonts w:ascii="Arial" w:cs="Arial" w:eastAsia="Arial" w:hAnsi="Arial"/>
                <w:sz w:val="20"/>
                <w:szCs w:val="20"/>
                <w:color w:val="auto"/>
              </w:rPr>
              <w:t>73</w:t>
            </w:r>
          </w:p>
        </w:tc>
        <w:tc>
          <w:tcPr>
            <w:tcW w:w="3320" w:type="dxa"/>
            <w:vAlign w:val="bottom"/>
          </w:tcPr>
          <w:p>
            <w:pPr>
              <w:spacing w:after="0"/>
              <w:rPr>
                <w:sz w:val="21"/>
                <w:szCs w:val="21"/>
                <w:color w:val="auto"/>
              </w:rPr>
            </w:pPr>
          </w:p>
        </w:tc>
      </w:tr>
      <w:tr>
        <w:trPr>
          <w:trHeight w:val="452"/>
        </w:trPr>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jc w:val="center"/>
              <w:ind w:right="101"/>
              <w:spacing w:after="0"/>
              <w:rPr>
                <w:sz w:val="20"/>
                <w:szCs w:val="20"/>
                <w:color w:val="auto"/>
              </w:rPr>
            </w:pPr>
            <w:r>
              <w:rPr>
                <w:rFonts w:ascii="Arial" w:cs="Arial" w:eastAsia="Arial" w:hAnsi="Arial"/>
                <w:sz w:val="20"/>
                <w:szCs w:val="20"/>
                <w:color w:val="auto"/>
                <w:w w:val="99"/>
              </w:rPr>
              <w:t>Article IX</w:t>
            </w:r>
          </w:p>
        </w:tc>
      </w:tr>
      <w:tr>
        <w:trPr>
          <w:trHeight w:val="250"/>
        </w:trPr>
        <w:tc>
          <w:tcPr>
            <w:tcW w:w="2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320" w:type="dxa"/>
            <w:vAlign w:val="bottom"/>
          </w:tcPr>
          <w:p>
            <w:pPr>
              <w:jc w:val="center"/>
              <w:ind w:right="101"/>
              <w:spacing w:after="0"/>
              <w:rPr>
                <w:sz w:val="20"/>
                <w:szCs w:val="20"/>
                <w:color w:val="auto"/>
              </w:rPr>
            </w:pPr>
            <w:r>
              <w:rPr>
                <w:rFonts w:ascii="Arial" w:cs="Arial" w:eastAsia="Arial" w:hAnsi="Arial"/>
                <w:sz w:val="20"/>
                <w:szCs w:val="20"/>
                <w:color w:val="auto"/>
                <w:w w:val="99"/>
              </w:rPr>
              <w:t>ADMINISTRATIVE AGENT</w:t>
            </w:r>
          </w:p>
        </w:tc>
      </w:tr>
      <w:tr>
        <w:trPr>
          <w:trHeight w:val="452"/>
        </w:trPr>
        <w:tc>
          <w:tcPr>
            <w:tcW w:w="3340" w:type="dxa"/>
            <w:vAlign w:val="bottom"/>
            <w:gridSpan w:val="2"/>
          </w:tcPr>
          <w:p>
            <w:pPr>
              <w:spacing w:after="0"/>
              <w:rPr>
                <w:sz w:val="20"/>
                <w:szCs w:val="20"/>
                <w:color w:val="auto"/>
              </w:rPr>
            </w:pPr>
            <w:r>
              <w:rPr>
                <w:rFonts w:ascii="Arial" w:cs="Arial" w:eastAsia="Arial" w:hAnsi="Arial"/>
                <w:sz w:val="20"/>
                <w:szCs w:val="20"/>
                <w:color w:val="auto"/>
                <w:w w:val="92"/>
              </w:rPr>
              <w:t>Section 9.01. Appointment and Authority</w:t>
            </w:r>
          </w:p>
        </w:tc>
        <w:tc>
          <w:tcPr>
            <w:tcW w:w="720" w:type="dxa"/>
            <w:vAlign w:val="bottom"/>
          </w:tcPr>
          <w:p>
            <w:pPr>
              <w:jc w:val="right"/>
              <w:ind w:right="121"/>
              <w:spacing w:after="0"/>
              <w:rPr>
                <w:sz w:val="20"/>
                <w:szCs w:val="20"/>
                <w:color w:val="auto"/>
              </w:rPr>
            </w:pPr>
            <w:r>
              <w:rPr>
                <w:rFonts w:ascii="Arial" w:cs="Arial" w:eastAsia="Arial" w:hAnsi="Arial"/>
                <w:sz w:val="20"/>
                <w:szCs w:val="20"/>
                <w:color w:val="auto"/>
              </w:rPr>
              <w:t>74</w:t>
            </w:r>
          </w:p>
        </w:tc>
        <w:tc>
          <w:tcPr>
            <w:tcW w:w="3320" w:type="dxa"/>
            <w:vAlign w:val="bottom"/>
          </w:tcPr>
          <w:p>
            <w:pPr>
              <w:spacing w:after="0"/>
              <w:rPr>
                <w:sz w:val="24"/>
                <w:szCs w:val="24"/>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20"/>
                <w:szCs w:val="20"/>
                <w:color w:val="auto"/>
                <w:w w:val="97"/>
              </w:rPr>
              <w:t>Section 9.02. Rights as a Lender</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74</w:t>
            </w: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29"/>
        </w:trPr>
        <w:tc>
          <w:tcPr>
            <w:tcW w:w="3340" w:type="dxa"/>
            <w:vAlign w:val="bottom"/>
            <w:gridSpan w:val="2"/>
          </w:tcPr>
          <w:p>
            <w:pPr>
              <w:spacing w:after="0"/>
              <w:rPr>
                <w:sz w:val="20"/>
                <w:szCs w:val="20"/>
                <w:color w:val="auto"/>
              </w:rPr>
            </w:pPr>
            <w:r>
              <w:rPr>
                <w:rFonts w:ascii="Arial" w:cs="Arial" w:eastAsia="Arial" w:hAnsi="Arial"/>
                <w:sz w:val="20"/>
                <w:szCs w:val="20"/>
                <w:color w:val="auto"/>
              </w:rPr>
              <w:t>Section 9.03. Exculpatory Provisions</w:t>
            </w:r>
          </w:p>
        </w:tc>
        <w:tc>
          <w:tcPr>
            <w:tcW w:w="720" w:type="dxa"/>
            <w:vAlign w:val="bottom"/>
          </w:tcPr>
          <w:p>
            <w:pPr>
              <w:jc w:val="right"/>
              <w:ind w:right="421"/>
              <w:spacing w:after="0"/>
              <w:rPr>
                <w:sz w:val="20"/>
                <w:szCs w:val="20"/>
                <w:color w:val="auto"/>
              </w:rPr>
            </w:pPr>
            <w:r>
              <w:rPr>
                <w:rFonts w:ascii="Arial" w:cs="Arial" w:eastAsia="Arial" w:hAnsi="Arial"/>
                <w:sz w:val="20"/>
                <w:szCs w:val="20"/>
                <w:color w:val="auto"/>
                <w:w w:val="80"/>
              </w:rPr>
              <w:t>74</w:t>
            </w:r>
          </w:p>
        </w:tc>
        <w:tc>
          <w:tcPr>
            <w:tcW w:w="3320" w:type="dxa"/>
            <w:vAlign w:val="bottom"/>
          </w:tcPr>
          <w:p>
            <w:pPr>
              <w:spacing w:after="0"/>
              <w:rPr>
                <w:sz w:val="19"/>
                <w:szCs w:val="19"/>
                <w:color w:val="auto"/>
              </w:rPr>
            </w:pPr>
          </w:p>
        </w:tc>
      </w:t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w w:val="97"/>
              </w:rPr>
              <w:t>Section 9.04. Reliance by Administrative Agent</w:t>
            </w:r>
          </w:p>
        </w:tc>
        <w:tc>
          <w:tcPr>
            <w:tcW w:w="3320" w:type="dxa"/>
            <w:vAlign w:val="bottom"/>
          </w:tcPr>
          <w:p>
            <w:pPr>
              <w:jc w:val="right"/>
              <w:ind w:right="2941"/>
              <w:spacing w:after="0"/>
              <w:rPr>
                <w:sz w:val="20"/>
                <w:szCs w:val="20"/>
                <w:color w:val="auto"/>
              </w:rPr>
            </w:pPr>
            <w:r>
              <w:rPr>
                <w:rFonts w:ascii="Arial" w:cs="Arial" w:eastAsia="Arial" w:hAnsi="Arial"/>
                <w:sz w:val="20"/>
                <w:szCs w:val="20"/>
                <w:color w:val="auto"/>
              </w:rPr>
              <w:t>75</w:t>
            </w:r>
          </w:p>
        </w:tc>
      </w:tr>
      <w:tr>
        <w:trPr>
          <w:trHeight w:val="229"/>
        </w:trPr>
        <w:tc>
          <w:tcPr>
            <w:tcW w:w="2860" w:type="dxa"/>
            <w:vAlign w:val="bottom"/>
          </w:tcPr>
          <w:p>
            <w:pPr>
              <w:spacing w:after="0"/>
              <w:rPr>
                <w:sz w:val="20"/>
                <w:szCs w:val="20"/>
                <w:color w:val="auto"/>
              </w:rPr>
            </w:pPr>
            <w:r>
              <w:rPr>
                <w:rFonts w:ascii="Arial" w:cs="Arial" w:eastAsia="Arial" w:hAnsi="Arial"/>
                <w:sz w:val="20"/>
                <w:szCs w:val="20"/>
                <w:color w:val="auto"/>
                <w:w w:val="93"/>
              </w:rPr>
              <w:t>Section 9.05. Delegation of Duties</w:t>
            </w:r>
          </w:p>
        </w:tc>
        <w:tc>
          <w:tcPr>
            <w:tcW w:w="480" w:type="dxa"/>
            <w:vAlign w:val="bottom"/>
          </w:tcPr>
          <w:p>
            <w:pPr>
              <w:ind w:left="280"/>
              <w:spacing w:after="0"/>
              <w:rPr>
                <w:sz w:val="20"/>
                <w:szCs w:val="20"/>
                <w:color w:val="auto"/>
              </w:rPr>
            </w:pPr>
            <w:r>
              <w:rPr>
                <w:rFonts w:ascii="Arial" w:cs="Arial" w:eastAsia="Arial" w:hAnsi="Arial"/>
                <w:sz w:val="20"/>
                <w:szCs w:val="20"/>
                <w:color w:val="auto"/>
                <w:w w:val="80"/>
              </w:rPr>
              <w:t>75</w:t>
            </w: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45"/>
        </w:trPr>
        <w:tc>
          <w:tcPr>
            <w:tcW w:w="4060" w:type="dxa"/>
            <w:vAlign w:val="bottom"/>
            <w:gridSpan w:val="3"/>
          </w:tcPr>
          <w:p>
            <w:pPr>
              <w:spacing w:after="0"/>
              <w:rPr>
                <w:sz w:val="20"/>
                <w:szCs w:val="20"/>
                <w:color w:val="auto"/>
              </w:rPr>
            </w:pPr>
            <w:r>
              <w:rPr>
                <w:rFonts w:ascii="Arial" w:cs="Arial" w:eastAsia="Arial" w:hAnsi="Arial"/>
                <w:sz w:val="20"/>
                <w:szCs w:val="20"/>
                <w:color w:val="auto"/>
                <w:w w:val="91"/>
              </w:rPr>
              <w:t>Section 9.06. Resignation of Administrative Agent</w:t>
            </w:r>
          </w:p>
        </w:tc>
        <w:tc>
          <w:tcPr>
            <w:tcW w:w="3320" w:type="dxa"/>
            <w:vAlign w:val="bottom"/>
          </w:tcPr>
          <w:p>
            <w:pPr>
              <w:jc w:val="right"/>
              <w:ind w:right="2761"/>
              <w:spacing w:after="0"/>
              <w:rPr>
                <w:sz w:val="20"/>
                <w:szCs w:val="20"/>
                <w:color w:val="auto"/>
              </w:rPr>
            </w:pPr>
            <w:r>
              <w:rPr>
                <w:rFonts w:ascii="Arial" w:cs="Arial" w:eastAsia="Arial" w:hAnsi="Arial"/>
                <w:sz w:val="20"/>
                <w:szCs w:val="20"/>
                <w:color w:val="auto"/>
              </w:rPr>
              <w:t>75</w:t>
            </w:r>
          </w:p>
        </w:tc>
      </w:tr>
    </w:tbl>
    <w:p>
      <w:pPr>
        <w:spacing w:after="0"/>
        <w:rPr>
          <w:sz w:val="20"/>
          <w:szCs w:val="20"/>
          <w:color w:val="auto"/>
        </w:rPr>
      </w:pPr>
      <w:r>
        <w:rPr>
          <w:rFonts w:ascii="Arial" w:cs="Arial" w:eastAsia="Arial" w:hAnsi="Arial"/>
          <w:sz w:val="18"/>
          <w:szCs w:val="18"/>
          <w:color w:val="auto"/>
        </w:rPr>
        <w:t>Section 9.07. Non-Reliance on Administrative Agent, the Arrangers and Other Lenders 76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20"/>
                <w:szCs w:val="20"/>
                <w:color w:val="auto"/>
                <w:w w:val="90"/>
              </w:rPr>
              <w:t>Section 9.08. No Other Duties, Etc</w:t>
            </w:r>
          </w:p>
        </w:tc>
        <w:tc>
          <w:tcPr>
            <w:tcW w:w="34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20"/>
                <w:szCs w:val="20"/>
                <w:color w:val="auto"/>
              </w:rPr>
              <w:t>77</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7"/>
          </w:tcPr>
          <w:p>
            <w:pPr>
              <w:spacing w:after="0"/>
              <w:rPr>
                <w:sz w:val="20"/>
                <w:szCs w:val="20"/>
                <w:color w:val="auto"/>
              </w:rPr>
            </w:pPr>
            <w:r>
              <w:rPr>
                <w:rFonts w:ascii="Arial" w:cs="Arial" w:eastAsia="Arial" w:hAnsi="Arial"/>
                <w:sz w:val="20"/>
                <w:szCs w:val="20"/>
                <w:color w:val="auto"/>
              </w:rPr>
              <w:t>Section 9.09. Administrative Agent May File Proofs of Claim   77</w:t>
            </w:r>
          </w:p>
        </w:tc>
        <w:tc>
          <w:tcPr>
            <w:tcW w:w="0" w:type="dxa"/>
            <w:vAlign w:val="bottom"/>
          </w:tcPr>
          <w:p>
            <w:pPr>
              <w:spacing w:after="0"/>
              <w:rPr>
                <w:sz w:val="1"/>
                <w:szCs w:val="1"/>
                <w:color w:val="auto"/>
              </w:rPr>
            </w:pPr>
          </w:p>
        </w:tc>
      </w:tr>
      <w:tr>
        <w:trPr>
          <w:trHeight w:val="250"/>
        </w:trPr>
        <w:tc>
          <w:tcPr>
            <w:tcW w:w="3140" w:type="dxa"/>
            <w:vAlign w:val="bottom"/>
            <w:gridSpan w:val="3"/>
          </w:tcPr>
          <w:p>
            <w:pPr>
              <w:spacing w:after="0"/>
              <w:rPr>
                <w:sz w:val="20"/>
                <w:szCs w:val="20"/>
                <w:color w:val="auto"/>
              </w:rPr>
            </w:pPr>
            <w:r>
              <w:rPr>
                <w:rFonts w:ascii="Arial" w:cs="Arial" w:eastAsia="Arial" w:hAnsi="Arial"/>
                <w:sz w:val="20"/>
                <w:szCs w:val="20"/>
                <w:color w:val="auto"/>
                <w:w w:val="96"/>
              </w:rPr>
              <w:t>Section 9.10. Certain ERISA Matters</w:t>
            </w:r>
          </w:p>
        </w:tc>
        <w:tc>
          <w:tcPr>
            <w:tcW w:w="880" w:type="dxa"/>
            <w:vAlign w:val="bottom"/>
          </w:tcPr>
          <w:p>
            <w:pPr>
              <w:jc w:val="right"/>
              <w:ind w:right="381"/>
              <w:spacing w:after="0"/>
              <w:rPr>
                <w:sz w:val="20"/>
                <w:szCs w:val="20"/>
                <w:color w:val="auto"/>
              </w:rPr>
            </w:pPr>
            <w:r>
              <w:rPr>
                <w:rFonts w:ascii="Arial" w:cs="Arial" w:eastAsia="Arial" w:hAnsi="Arial"/>
                <w:sz w:val="20"/>
                <w:szCs w:val="20"/>
                <w:color w:val="auto"/>
              </w:rPr>
              <w:t>78</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jc w:val="center"/>
              <w:ind w:right="741"/>
              <w:spacing w:after="0"/>
              <w:rPr>
                <w:sz w:val="20"/>
                <w:szCs w:val="20"/>
                <w:color w:val="auto"/>
              </w:rPr>
            </w:pPr>
            <w:r>
              <w:rPr>
                <w:rFonts w:ascii="Arial" w:cs="Arial" w:eastAsia="Arial" w:hAnsi="Arial"/>
                <w:sz w:val="20"/>
                <w:szCs w:val="20"/>
                <w:color w:val="auto"/>
                <w:w w:val="99"/>
              </w:rPr>
              <w:t>Article X</w:t>
            </w:r>
          </w:p>
        </w:tc>
        <w:tc>
          <w:tcPr>
            <w:tcW w:w="0" w:type="dxa"/>
            <w:vAlign w:val="bottom"/>
          </w:tcPr>
          <w:p>
            <w:pPr>
              <w:spacing w:after="0"/>
              <w:rPr>
                <w:sz w:val="1"/>
                <w:szCs w:val="1"/>
                <w:color w:val="auto"/>
              </w:rPr>
            </w:pPr>
          </w:p>
        </w:tc>
      </w:tr>
      <w:tr>
        <w:trPr>
          <w:trHeight w:val="250"/>
        </w:trPr>
        <w:tc>
          <w:tcPr>
            <w:tcW w:w="2800" w:type="dxa"/>
            <w:vAlign w:val="bottom"/>
            <w:gridSpan w:val="2"/>
            <w:vMerge w:val="restart"/>
          </w:tcPr>
          <w:p>
            <w:pPr>
              <w:spacing w:after="0"/>
              <w:rPr>
                <w:sz w:val="20"/>
                <w:szCs w:val="20"/>
                <w:color w:val="auto"/>
              </w:rPr>
            </w:pPr>
            <w:r>
              <w:rPr>
                <w:rFonts w:ascii="Arial" w:cs="Arial" w:eastAsia="Arial" w:hAnsi="Arial"/>
                <w:sz w:val="20"/>
                <w:szCs w:val="20"/>
                <w:color w:val="auto"/>
                <w:w w:val="95"/>
              </w:rPr>
              <w:t>Section 10.01. Amendments, Etc</w:t>
            </w:r>
          </w:p>
        </w:tc>
        <w:tc>
          <w:tcPr>
            <w:tcW w:w="1220" w:type="dxa"/>
            <w:vAlign w:val="bottom"/>
            <w:gridSpan w:val="2"/>
            <w:vMerge w:val="restart"/>
          </w:tcPr>
          <w:p>
            <w:pPr>
              <w:jc w:val="right"/>
              <w:ind w:right="721"/>
              <w:spacing w:after="0"/>
              <w:rPr>
                <w:sz w:val="20"/>
                <w:szCs w:val="20"/>
                <w:color w:val="auto"/>
              </w:rPr>
            </w:pPr>
            <w:r>
              <w:rPr>
                <w:rFonts w:ascii="Arial" w:cs="Arial" w:eastAsia="Arial" w:hAnsi="Arial"/>
                <w:sz w:val="20"/>
                <w:szCs w:val="20"/>
                <w:color w:val="auto"/>
              </w:rPr>
              <w:t>79</w:t>
            </w:r>
          </w:p>
        </w:tc>
        <w:tc>
          <w:tcPr>
            <w:tcW w:w="460" w:type="dxa"/>
            <w:vAlign w:val="bottom"/>
          </w:tcPr>
          <w:p>
            <w:pPr>
              <w:spacing w:after="0"/>
              <w:rPr>
                <w:sz w:val="21"/>
                <w:szCs w:val="21"/>
                <w:color w:val="auto"/>
              </w:rPr>
            </w:pPr>
          </w:p>
        </w:tc>
        <w:tc>
          <w:tcPr>
            <w:tcW w:w="2380" w:type="dxa"/>
            <w:vAlign w:val="bottom"/>
            <w:gridSpan w:val="2"/>
          </w:tcPr>
          <w:p>
            <w:pPr>
              <w:jc w:val="center"/>
              <w:ind w:right="1"/>
              <w:spacing w:after="0"/>
              <w:rPr>
                <w:sz w:val="20"/>
                <w:szCs w:val="20"/>
                <w:color w:val="auto"/>
              </w:rPr>
            </w:pPr>
            <w:r>
              <w:rPr>
                <w:rFonts w:ascii="Arial" w:cs="Arial" w:eastAsia="Arial" w:hAnsi="Arial"/>
                <w:sz w:val="20"/>
                <w:szCs w:val="20"/>
                <w:color w:val="auto"/>
                <w:w w:val="96"/>
              </w:rPr>
              <w:t>MISCELLANEOUS</w:t>
            </w:r>
          </w:p>
        </w:tc>
        <w:tc>
          <w:tcPr>
            <w:tcW w:w="0" w:type="dxa"/>
            <w:vAlign w:val="bottom"/>
          </w:tcPr>
          <w:p>
            <w:pPr>
              <w:spacing w:after="0"/>
              <w:rPr>
                <w:sz w:val="1"/>
                <w:szCs w:val="1"/>
                <w:color w:val="auto"/>
              </w:rPr>
            </w:pPr>
          </w:p>
        </w:tc>
      </w:tr>
      <w:tr>
        <w:trPr>
          <w:trHeight w:val="209"/>
        </w:trPr>
        <w:tc>
          <w:tcPr>
            <w:tcW w:w="280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6"/>
          </w:tcPr>
          <w:p>
            <w:pPr>
              <w:spacing w:after="0"/>
              <w:rPr>
                <w:sz w:val="20"/>
                <w:szCs w:val="20"/>
                <w:color w:val="auto"/>
              </w:rPr>
            </w:pPr>
            <w:r>
              <w:rPr>
                <w:rFonts w:ascii="Arial" w:cs="Arial" w:eastAsia="Arial" w:hAnsi="Arial"/>
                <w:sz w:val="20"/>
                <w:szCs w:val="20"/>
                <w:color w:val="auto"/>
                <w:w w:val="91"/>
              </w:rPr>
              <w:t>Section 10.02. Notices; Effectiveness; Electronic Communication</w:t>
            </w:r>
          </w:p>
        </w:tc>
        <w:tc>
          <w:tcPr>
            <w:tcW w:w="1620" w:type="dxa"/>
            <w:vAlign w:val="bottom"/>
          </w:tcPr>
          <w:p>
            <w:pPr>
              <w:jc w:val="right"/>
              <w:ind w:right="1161"/>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30"/>
        </w:trPr>
        <w:tc>
          <w:tcPr>
            <w:tcW w:w="5240" w:type="dxa"/>
            <w:vAlign w:val="bottom"/>
            <w:gridSpan w:val="6"/>
          </w:tcPr>
          <w:p>
            <w:pPr>
              <w:spacing w:after="0"/>
              <w:rPr>
                <w:sz w:val="20"/>
                <w:szCs w:val="20"/>
                <w:color w:val="auto"/>
              </w:rPr>
            </w:pPr>
            <w:r>
              <w:rPr>
                <w:rFonts w:ascii="Arial" w:cs="Arial" w:eastAsia="Arial" w:hAnsi="Arial"/>
                <w:sz w:val="20"/>
                <w:szCs w:val="20"/>
                <w:color w:val="auto"/>
                <w:w w:val="93"/>
              </w:rPr>
              <w:t>Section 10.03. No Waiver; Cumulative Remedies; Enforcement</w:t>
            </w:r>
          </w:p>
        </w:tc>
        <w:tc>
          <w:tcPr>
            <w:tcW w:w="1620" w:type="dxa"/>
            <w:vAlign w:val="bottom"/>
          </w:tcPr>
          <w:p>
            <w:pPr>
              <w:jc w:val="right"/>
              <w:ind w:right="1281"/>
              <w:spacing w:after="0"/>
              <w:rPr>
                <w:sz w:val="20"/>
                <w:szCs w:val="20"/>
                <w:color w:val="auto"/>
              </w:rPr>
            </w:pPr>
            <w:r>
              <w:rPr>
                <w:rFonts w:ascii="Arial" w:cs="Arial" w:eastAsia="Arial" w:hAnsi="Arial"/>
                <w:sz w:val="20"/>
                <w:szCs w:val="20"/>
                <w:color w:val="auto"/>
                <w:w w:val="98"/>
              </w:rPr>
              <w:t>82</w:t>
            </w:r>
          </w:p>
        </w:tc>
        <w:tc>
          <w:tcPr>
            <w:tcW w:w="0" w:type="dxa"/>
            <w:vAlign w:val="bottom"/>
          </w:tcPr>
          <w:p>
            <w:pPr>
              <w:spacing w:after="0"/>
              <w:rPr>
                <w:sz w:val="1"/>
                <w:szCs w:val="1"/>
                <w:color w:val="auto"/>
              </w:rPr>
            </w:pPr>
          </w:p>
        </w:tc>
      </w:tr>
      <w:tr>
        <w:trPr>
          <w:trHeight w:val="230"/>
        </w:trPr>
        <w:tc>
          <w:tcPr>
            <w:tcW w:w="4480" w:type="dxa"/>
            <w:vAlign w:val="bottom"/>
            <w:gridSpan w:val="5"/>
          </w:tcPr>
          <w:p>
            <w:pPr>
              <w:spacing w:after="0"/>
              <w:rPr>
                <w:sz w:val="20"/>
                <w:szCs w:val="20"/>
                <w:color w:val="auto"/>
              </w:rPr>
            </w:pPr>
            <w:r>
              <w:rPr>
                <w:rFonts w:ascii="Arial" w:cs="Arial" w:eastAsia="Arial" w:hAnsi="Arial"/>
                <w:sz w:val="20"/>
                <w:szCs w:val="20"/>
                <w:color w:val="auto"/>
                <w:w w:val="94"/>
              </w:rPr>
              <w:t>Section 10.04. Expenses; Indemnity; Damage Waiver</w:t>
            </w:r>
          </w:p>
        </w:tc>
        <w:tc>
          <w:tcPr>
            <w:tcW w:w="760" w:type="dxa"/>
            <w:vAlign w:val="bottom"/>
          </w:tcPr>
          <w:p>
            <w:pPr>
              <w:jc w:val="right"/>
              <w:ind w:right="401"/>
              <w:spacing w:after="0"/>
              <w:rPr>
                <w:sz w:val="20"/>
                <w:szCs w:val="20"/>
                <w:color w:val="auto"/>
              </w:rPr>
            </w:pPr>
            <w:r>
              <w:rPr>
                <w:rFonts w:ascii="Arial" w:cs="Arial" w:eastAsia="Arial" w:hAnsi="Arial"/>
                <w:sz w:val="20"/>
                <w:szCs w:val="20"/>
                <w:color w:val="auto"/>
              </w:rPr>
              <w:t>83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rPr>
                <w:sz w:val="20"/>
                <w:szCs w:val="20"/>
                <w:color w:val="auto"/>
              </w:rPr>
            </w:pPr>
            <w:r>
              <w:rPr>
                <w:rFonts w:ascii="Arial" w:cs="Arial" w:eastAsia="Arial" w:hAnsi="Arial"/>
                <w:sz w:val="20"/>
                <w:szCs w:val="20"/>
                <w:color w:val="auto"/>
                <w:w w:val="88"/>
              </w:rPr>
              <w:t>Section 10.05. Payments Set Aside</w:t>
            </w:r>
          </w:p>
        </w:tc>
        <w:tc>
          <w:tcPr>
            <w:tcW w:w="34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20"/>
                <w:szCs w:val="20"/>
                <w:color w:val="auto"/>
              </w:rPr>
              <w:t>84</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Arial" w:cs="Arial" w:eastAsia="Arial" w:hAnsi="Arial"/>
                <w:sz w:val="20"/>
                <w:szCs w:val="20"/>
                <w:color w:val="auto"/>
                <w:w w:val="88"/>
              </w:rPr>
              <w:t>Section 10.06. Successors and Assigns</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85</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6"/>
          </w:tcPr>
          <w:p>
            <w:pPr>
              <w:spacing w:after="0"/>
              <w:rPr>
                <w:sz w:val="20"/>
                <w:szCs w:val="20"/>
                <w:color w:val="auto"/>
              </w:rPr>
            </w:pPr>
            <w:r>
              <w:rPr>
                <w:rFonts w:ascii="Arial" w:cs="Arial" w:eastAsia="Arial" w:hAnsi="Arial"/>
                <w:sz w:val="20"/>
                <w:szCs w:val="20"/>
                <w:color w:val="auto"/>
                <w:w w:val="93"/>
              </w:rPr>
              <w:t>Section 10.07. Treatment of Certain Information; Confidentiality</w:t>
            </w:r>
          </w:p>
        </w:tc>
        <w:tc>
          <w:tcPr>
            <w:tcW w:w="1620" w:type="dxa"/>
            <w:vAlign w:val="bottom"/>
          </w:tcPr>
          <w:p>
            <w:pPr>
              <w:jc w:val="right"/>
              <w:ind w:right="12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20"/>
                <w:szCs w:val="20"/>
                <w:color w:val="auto"/>
                <w:w w:val="94"/>
              </w:rPr>
              <w:t>Section 10.08. Right of Setoff</w:t>
            </w:r>
          </w:p>
        </w:tc>
        <w:tc>
          <w:tcPr>
            <w:tcW w:w="3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89</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3"/>
          </w:tcPr>
          <w:p>
            <w:pPr>
              <w:spacing w:after="0"/>
              <w:rPr>
                <w:sz w:val="20"/>
                <w:szCs w:val="20"/>
                <w:color w:val="auto"/>
              </w:rPr>
            </w:pPr>
            <w:r>
              <w:rPr>
                <w:rFonts w:ascii="Arial" w:cs="Arial" w:eastAsia="Arial" w:hAnsi="Arial"/>
                <w:sz w:val="20"/>
                <w:szCs w:val="20"/>
                <w:color w:val="auto"/>
                <w:w w:val="92"/>
              </w:rPr>
              <w:t>Section 10.09. Interest Rate Limitation</w:t>
            </w:r>
          </w:p>
        </w:tc>
        <w:tc>
          <w:tcPr>
            <w:tcW w:w="880" w:type="dxa"/>
            <w:vAlign w:val="bottom"/>
          </w:tcPr>
          <w:p>
            <w:pPr>
              <w:jc w:val="right"/>
              <w:ind w:right="241"/>
              <w:spacing w:after="0"/>
              <w:rPr>
                <w:sz w:val="20"/>
                <w:szCs w:val="20"/>
                <w:color w:val="auto"/>
              </w:rPr>
            </w:pPr>
            <w:r>
              <w:rPr>
                <w:rFonts w:ascii="Arial" w:cs="Arial" w:eastAsia="Arial" w:hAnsi="Arial"/>
                <w:sz w:val="20"/>
                <w:szCs w:val="20"/>
                <w:color w:val="auto"/>
              </w:rPr>
              <w:t>90</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5"/>
          </w:tcPr>
          <w:p>
            <w:pPr>
              <w:spacing w:after="0"/>
              <w:rPr>
                <w:sz w:val="20"/>
                <w:szCs w:val="20"/>
                <w:color w:val="auto"/>
              </w:rPr>
            </w:pPr>
            <w:r>
              <w:rPr>
                <w:rFonts w:ascii="Arial" w:cs="Arial" w:eastAsia="Arial" w:hAnsi="Arial"/>
                <w:sz w:val="20"/>
                <w:szCs w:val="20"/>
                <w:color w:val="auto"/>
                <w:w w:val="92"/>
              </w:rPr>
              <w:t>Section 10.10. Counterparts; Integration; Effectiveness</w:t>
            </w:r>
          </w:p>
        </w:tc>
        <w:tc>
          <w:tcPr>
            <w:tcW w:w="760" w:type="dxa"/>
            <w:vAlign w:val="bottom"/>
          </w:tcPr>
          <w:p>
            <w:pPr>
              <w:jc w:val="right"/>
              <w:ind w:right="281"/>
              <w:spacing w:after="0"/>
              <w:rPr>
                <w:sz w:val="20"/>
                <w:szCs w:val="20"/>
                <w:color w:val="auto"/>
              </w:rPr>
            </w:pPr>
            <w:r>
              <w:rPr>
                <w:rFonts w:ascii="Arial" w:cs="Arial" w:eastAsia="Arial" w:hAnsi="Arial"/>
                <w:sz w:val="20"/>
                <w:szCs w:val="20"/>
                <w:color w:val="auto"/>
              </w:rPr>
              <w:t>90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6"/>
          </w:tcPr>
          <w:p>
            <w:pPr>
              <w:spacing w:after="0"/>
              <w:rPr>
                <w:sz w:val="20"/>
                <w:szCs w:val="20"/>
                <w:color w:val="auto"/>
              </w:rPr>
            </w:pPr>
            <w:r>
              <w:rPr>
                <w:rFonts w:ascii="Arial" w:cs="Arial" w:eastAsia="Arial" w:hAnsi="Arial"/>
                <w:sz w:val="20"/>
                <w:szCs w:val="20"/>
                <w:color w:val="auto"/>
                <w:w w:val="93"/>
              </w:rPr>
              <w:t>Section 10.11. Survival of Representations and Warranties   90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Section 10.12. Severability</w:t>
            </w:r>
          </w:p>
        </w:tc>
        <w:tc>
          <w:tcPr>
            <w:tcW w:w="320" w:type="dxa"/>
            <w:vAlign w:val="bottom"/>
          </w:tcPr>
          <w:p>
            <w:pPr>
              <w:jc w:val="right"/>
              <w:spacing w:after="0"/>
              <w:rPr>
                <w:sz w:val="20"/>
                <w:szCs w:val="20"/>
                <w:color w:val="auto"/>
              </w:rPr>
            </w:pPr>
            <w:r>
              <w:rPr>
                <w:rFonts w:ascii="Arial" w:cs="Arial" w:eastAsia="Arial" w:hAnsi="Arial"/>
                <w:sz w:val="20"/>
                <w:szCs w:val="20"/>
                <w:color w:val="auto"/>
              </w:rPr>
              <w:t>90</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3"/>
          </w:tcPr>
          <w:p>
            <w:pPr>
              <w:spacing w:after="0"/>
              <w:rPr>
                <w:sz w:val="20"/>
                <w:szCs w:val="20"/>
                <w:color w:val="auto"/>
              </w:rPr>
            </w:pPr>
            <w:r>
              <w:rPr>
                <w:rFonts w:ascii="Arial" w:cs="Arial" w:eastAsia="Arial" w:hAnsi="Arial"/>
                <w:sz w:val="20"/>
                <w:szCs w:val="20"/>
                <w:color w:val="auto"/>
                <w:w w:val="88"/>
              </w:rPr>
              <w:t>Section 10.13. Replacement of Lenders</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91</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20"/>
                <w:szCs w:val="20"/>
                <w:color w:val="auto"/>
                <w:w w:val="95"/>
              </w:rPr>
              <w:t>Section 10.14. Governing Law; Jurisdiction; Etc</w:t>
            </w: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91</w:t>
            </w: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20"/>
                <w:szCs w:val="20"/>
                <w:color w:val="auto"/>
                <w:w w:val="90"/>
              </w:rPr>
              <w:t>Section 10.15. Waiver of Jury Trial</w:t>
            </w:r>
          </w:p>
        </w:tc>
        <w:tc>
          <w:tcPr>
            <w:tcW w:w="340" w:type="dxa"/>
            <w:vAlign w:val="bottom"/>
          </w:tcPr>
          <w:p>
            <w:pPr>
              <w:spacing w:after="0"/>
              <w:rPr>
                <w:sz w:val="19"/>
                <w:szCs w:val="19"/>
                <w:color w:val="auto"/>
              </w:rPr>
            </w:pPr>
          </w:p>
        </w:tc>
        <w:tc>
          <w:tcPr>
            <w:tcW w:w="880" w:type="dxa"/>
            <w:vAlign w:val="bottom"/>
          </w:tcPr>
          <w:p>
            <w:pPr>
              <w:jc w:val="right"/>
              <w:ind w:right="541"/>
              <w:spacing w:after="0"/>
              <w:rPr>
                <w:sz w:val="20"/>
                <w:szCs w:val="20"/>
                <w:color w:val="auto"/>
              </w:rPr>
            </w:pPr>
            <w:r>
              <w:rPr>
                <w:rFonts w:ascii="Arial" w:cs="Arial" w:eastAsia="Arial" w:hAnsi="Arial"/>
                <w:sz w:val="20"/>
                <w:szCs w:val="20"/>
                <w:color w:val="auto"/>
                <w:w w:val="98"/>
              </w:rPr>
              <w:t>92</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5"/>
          </w:tcPr>
          <w:p>
            <w:pPr>
              <w:spacing w:after="0"/>
              <w:rPr>
                <w:sz w:val="20"/>
                <w:szCs w:val="20"/>
                <w:color w:val="auto"/>
              </w:rPr>
            </w:pPr>
            <w:r>
              <w:rPr>
                <w:rFonts w:ascii="Arial" w:cs="Arial" w:eastAsia="Arial" w:hAnsi="Arial"/>
                <w:sz w:val="20"/>
                <w:szCs w:val="20"/>
                <w:color w:val="auto"/>
                <w:w w:val="92"/>
              </w:rPr>
              <w:t>Section 10.16. No Advisory or Fiduciary Responsibility</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93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7"/>
          </w:tcPr>
          <w:p>
            <w:pPr>
              <w:spacing w:after="0"/>
              <w:rPr>
                <w:sz w:val="20"/>
                <w:szCs w:val="20"/>
                <w:color w:val="auto"/>
              </w:rPr>
            </w:pPr>
            <w:r>
              <w:rPr>
                <w:rFonts w:ascii="Arial" w:cs="Arial" w:eastAsia="Arial" w:hAnsi="Arial"/>
                <w:sz w:val="20"/>
                <w:szCs w:val="20"/>
                <w:color w:val="auto"/>
                <w:w w:val="90"/>
              </w:rPr>
              <w:t>Section 10.17. Electronic Execution of Assignments and Certain Other Documents 93</w:t>
            </w:r>
          </w:p>
        </w:tc>
        <w:tc>
          <w:tcPr>
            <w:tcW w:w="0" w:type="dxa"/>
            <w:vAlign w:val="bottom"/>
          </w:tcPr>
          <w:p>
            <w:pPr>
              <w:spacing w:after="0"/>
              <w:rPr>
                <w:sz w:val="1"/>
                <w:szCs w:val="1"/>
                <w:color w:val="auto"/>
              </w:rPr>
            </w:pPr>
          </w:p>
        </w:tc>
      </w:tr>
      <w:tr>
        <w:trPr>
          <w:trHeight w:val="245"/>
        </w:trPr>
        <w:tc>
          <w:tcPr>
            <w:tcW w:w="2800" w:type="dxa"/>
            <w:vAlign w:val="bottom"/>
            <w:gridSpan w:val="2"/>
          </w:tcPr>
          <w:p>
            <w:pPr>
              <w:spacing w:after="0"/>
              <w:rPr>
                <w:sz w:val="20"/>
                <w:szCs w:val="20"/>
                <w:color w:val="auto"/>
              </w:rPr>
            </w:pPr>
            <w:r>
              <w:rPr>
                <w:rFonts w:ascii="Arial" w:cs="Arial" w:eastAsia="Arial" w:hAnsi="Arial"/>
                <w:sz w:val="20"/>
                <w:szCs w:val="20"/>
                <w:color w:val="auto"/>
                <w:w w:val="92"/>
              </w:rPr>
              <w:t>Section 10.18. USA PATRIOT Act</w:t>
            </w:r>
          </w:p>
        </w:tc>
        <w:tc>
          <w:tcPr>
            <w:tcW w:w="34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20"/>
                <w:szCs w:val="20"/>
                <w:color w:val="auto"/>
              </w:rPr>
              <w:t>93</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Section 10.19. Acknowledgement and Consent to Bail-In of Affected Financial Institutions 94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20"/>
                <w:szCs w:val="20"/>
                <w:color w:val="auto"/>
                <w:w w:val="99"/>
              </w:rPr>
              <w:t>Section 10.20. Electronic Signatures</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94</w:t>
            </w:r>
          </w:p>
        </w:tc>
      </w:tr>
      <w:tr>
        <w:trPr>
          <w:trHeight w:val="245"/>
        </w:trPr>
        <w:tc>
          <w:tcPr>
            <w:tcW w:w="3220" w:type="dxa"/>
            <w:vAlign w:val="bottom"/>
          </w:tcPr>
          <w:p>
            <w:pPr>
              <w:spacing w:after="0"/>
              <w:rPr>
                <w:sz w:val="20"/>
                <w:szCs w:val="20"/>
                <w:color w:val="auto"/>
              </w:rPr>
            </w:pPr>
            <w:r>
              <w:rPr>
                <w:rFonts w:ascii="Arial" w:cs="Arial" w:eastAsia="Arial" w:hAnsi="Arial"/>
                <w:sz w:val="20"/>
                <w:szCs w:val="20"/>
                <w:color w:val="auto"/>
                <w:w w:val="94"/>
              </w:rPr>
              <w:t>Section 10.21. ENTIRE AGREEMENT</w:t>
            </w:r>
          </w:p>
        </w:tc>
        <w:tc>
          <w:tcPr>
            <w:tcW w:w="540" w:type="dxa"/>
            <w:vAlign w:val="bottom"/>
          </w:tcPr>
          <w:p>
            <w:pPr>
              <w:jc w:val="right"/>
              <w:spacing w:after="0"/>
              <w:rPr>
                <w:sz w:val="20"/>
                <w:szCs w:val="20"/>
                <w:color w:val="auto"/>
              </w:rPr>
            </w:pPr>
            <w:r>
              <w:rPr>
                <w:rFonts w:ascii="Arial" w:cs="Arial" w:eastAsia="Arial" w:hAnsi="Arial"/>
                <w:sz w:val="20"/>
                <w:szCs w:val="20"/>
                <w:color w:val="auto"/>
              </w:rPr>
              <w:t>95</w:t>
            </w:r>
          </w:p>
        </w:tc>
      </w:tr>
    </w:tbl>
    <w:p>
      <w:pPr>
        <w:jc w:val="center"/>
        <w:ind w:right="-46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41" w:name="page42"/>
    <w:bookmarkEnd w:id="41"/>
    <w:p>
      <w:pPr>
        <w:spacing w:after="0"/>
        <w:tabs>
          <w:tab w:leader="none" w:pos="1740" w:val="left"/>
        </w:tabs>
        <w:rPr>
          <w:sz w:val="20"/>
          <w:szCs w:val="20"/>
          <w:color w:val="auto"/>
        </w:rPr>
      </w:pPr>
      <w:r>
        <w:rPr>
          <w:rFonts w:ascii="Arial" w:cs="Arial" w:eastAsia="Arial" w:hAnsi="Arial"/>
          <w:sz w:val="16"/>
          <w:szCs w:val="16"/>
          <w:color w:val="auto"/>
        </w:rPr>
        <w:t>SIGNATURES</w:t>
      </w:r>
      <w:r>
        <w:rPr>
          <w:sz w:val="20"/>
          <w:szCs w:val="20"/>
          <w:color w:val="auto"/>
        </w:rPr>
        <w:tab/>
      </w:r>
      <w:r>
        <w:rPr>
          <w:rFonts w:ascii="Arial" w:cs="Arial" w:eastAsia="Arial" w:hAnsi="Arial"/>
          <w:sz w:val="16"/>
          <w:szCs w:val="16"/>
          <w:color w:val="auto"/>
        </w:rPr>
        <w:t>S-1</w:t>
      </w:r>
    </w:p>
    <w:p>
      <w:pPr>
        <w:sectPr>
          <w:pgSz w:w="11900" w:h="16838" w:orient="portrait"/>
          <w:cols w:equalWidth="0" w:num="1">
            <w:col w:w="10139"/>
          </w:cols>
          <w:pgMar w:left="320" w:top="13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51"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SCHEDULES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2.01 Commitments and Applicable Percentages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5.05 Supplement to Interim Financial Statements</w:t>
      </w:r>
    </w:p>
    <w:p>
      <w:pPr>
        <w:ind w:left="660"/>
        <w:spacing w:after="0"/>
        <w:rPr>
          <w:sz w:val="20"/>
          <w:szCs w:val="20"/>
          <w:color w:val="auto"/>
        </w:rPr>
      </w:pPr>
      <w:r>
        <w:rPr>
          <w:rFonts w:ascii="Arial" w:cs="Arial" w:eastAsia="Arial" w:hAnsi="Arial"/>
          <w:sz w:val="20"/>
          <w:szCs w:val="20"/>
          <w:color w:val="auto"/>
        </w:rPr>
        <w:t>5.06 Existing Litigation</w:t>
      </w:r>
    </w:p>
    <w:p>
      <w:pPr>
        <w:ind w:left="660"/>
        <w:spacing w:after="0"/>
        <w:rPr>
          <w:sz w:val="20"/>
          <w:szCs w:val="20"/>
          <w:color w:val="auto"/>
        </w:rPr>
      </w:pPr>
      <w:r>
        <w:rPr>
          <w:rFonts w:ascii="Arial" w:cs="Arial" w:eastAsia="Arial" w:hAnsi="Arial"/>
          <w:sz w:val="20"/>
          <w:szCs w:val="20"/>
          <w:color w:val="auto"/>
        </w:rPr>
        <w:t>5.12 ERISA Matters</w:t>
      </w:r>
    </w:p>
    <w:p>
      <w:pPr>
        <w:ind w:left="660"/>
        <w:spacing w:after="0"/>
        <w:rPr>
          <w:sz w:val="20"/>
          <w:szCs w:val="20"/>
          <w:color w:val="auto"/>
        </w:rPr>
      </w:pPr>
      <w:r>
        <w:rPr>
          <w:rFonts w:ascii="Arial" w:cs="Arial" w:eastAsia="Arial" w:hAnsi="Arial"/>
          <w:sz w:val="20"/>
          <w:szCs w:val="20"/>
          <w:color w:val="auto"/>
        </w:rPr>
        <w:t>5.14 Subsidiaries</w:t>
      </w:r>
    </w:p>
    <w:p>
      <w:pPr>
        <w:ind w:left="660"/>
        <w:spacing w:after="0"/>
        <w:rPr>
          <w:sz w:val="20"/>
          <w:szCs w:val="20"/>
          <w:color w:val="auto"/>
        </w:rPr>
      </w:pPr>
      <w:r>
        <w:rPr>
          <w:rFonts w:ascii="Arial" w:cs="Arial" w:eastAsia="Arial" w:hAnsi="Arial"/>
          <w:sz w:val="20"/>
          <w:szCs w:val="20"/>
          <w:color w:val="auto"/>
        </w:rPr>
        <w:t>7.01 Existing Liens</w:t>
      </w:r>
    </w:p>
    <w:p>
      <w:pPr>
        <w:ind w:left="660"/>
        <w:spacing w:after="0"/>
        <w:rPr>
          <w:sz w:val="20"/>
          <w:szCs w:val="20"/>
          <w:color w:val="auto"/>
        </w:rPr>
      </w:pPr>
      <w:r>
        <w:rPr>
          <w:rFonts w:ascii="Arial" w:cs="Arial" w:eastAsia="Arial" w:hAnsi="Arial"/>
          <w:sz w:val="20"/>
          <w:szCs w:val="20"/>
          <w:color w:val="auto"/>
        </w:rPr>
        <w:t>7.02 Consolidations and Mergers; Sales of Assets</w:t>
      </w:r>
    </w:p>
    <w:p>
      <w:pPr>
        <w:ind w:left="660"/>
        <w:spacing w:after="0"/>
        <w:rPr>
          <w:sz w:val="20"/>
          <w:szCs w:val="20"/>
          <w:color w:val="auto"/>
        </w:rPr>
      </w:pPr>
      <w:r>
        <w:rPr>
          <w:rFonts w:ascii="Arial" w:cs="Arial" w:eastAsia="Arial" w:hAnsi="Arial"/>
          <w:sz w:val="20"/>
          <w:szCs w:val="20"/>
          <w:color w:val="auto"/>
        </w:rPr>
        <w:t>7.04 Existing Indebtedness</w:t>
      </w:r>
    </w:p>
    <w:p>
      <w:pPr>
        <w:ind w:left="660"/>
        <w:spacing w:after="0"/>
        <w:rPr>
          <w:sz w:val="20"/>
          <w:szCs w:val="20"/>
          <w:color w:val="auto"/>
        </w:rPr>
      </w:pPr>
      <w:r>
        <w:rPr>
          <w:rFonts w:ascii="Arial" w:cs="Arial" w:eastAsia="Arial" w:hAnsi="Arial"/>
          <w:sz w:val="20"/>
          <w:szCs w:val="20"/>
          <w:color w:val="auto"/>
        </w:rPr>
        <w:t>7.05 Affiliate Transactions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b w:val="1"/>
          <w:bCs w:val="1"/>
          <w:i w:val="1"/>
          <w:iCs w:val="1"/>
          <w:color w:val="auto"/>
        </w:rPr>
        <w:t>Form 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Loan Notice</w:t>
      </w:r>
    </w:p>
    <w:p>
      <w:pPr>
        <w:spacing w:after="0" w:line="16" w:lineRule="exact"/>
        <w:rPr>
          <w:sz w:val="20"/>
          <w:szCs w:val="20"/>
          <w:color w:val="auto"/>
        </w:rPr>
      </w:pPr>
    </w:p>
    <w:p>
      <w:pPr>
        <w:ind w:left="660" w:right="8439" w:hanging="4"/>
        <w:spacing w:after="0" w:line="299" w:lineRule="auto"/>
        <w:tabs>
          <w:tab w:leader="none" w:pos="8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[Reserved] C Note</w:t>
      </w:r>
    </w:p>
    <w:p>
      <w:pPr>
        <w:ind w:left="660"/>
        <w:spacing w:after="0"/>
        <w:rPr>
          <w:rFonts w:ascii="Arial" w:cs="Arial" w:eastAsia="Arial" w:hAnsi="Arial"/>
          <w:sz w:val="16"/>
          <w:szCs w:val="16"/>
          <w:color w:val="auto"/>
        </w:rPr>
      </w:pPr>
      <w:r>
        <w:rPr>
          <w:rFonts w:ascii="Arial" w:cs="Arial" w:eastAsia="Arial" w:hAnsi="Arial"/>
          <w:sz w:val="20"/>
          <w:szCs w:val="20"/>
          <w:color w:val="auto"/>
        </w:rPr>
        <w:t>D [Reserved]</w:t>
      </w:r>
    </w:p>
    <w:p>
      <w:pPr>
        <w:ind w:left="660"/>
        <w:spacing w:after="0"/>
        <w:rPr>
          <w:rFonts w:ascii="Arial" w:cs="Arial" w:eastAsia="Arial" w:hAnsi="Arial"/>
          <w:sz w:val="16"/>
          <w:szCs w:val="16"/>
          <w:color w:val="auto"/>
        </w:rPr>
      </w:pPr>
      <w:r>
        <w:rPr>
          <w:rFonts w:ascii="Arial" w:cs="Arial" w:eastAsia="Arial" w:hAnsi="Arial"/>
          <w:sz w:val="20"/>
          <w:szCs w:val="20"/>
          <w:color w:val="auto"/>
        </w:rPr>
        <w:t>E Compliance Certificate</w:t>
      </w:r>
    </w:p>
    <w:p>
      <w:pPr>
        <w:jc w:val="both"/>
        <w:ind w:left="660" w:right="6819"/>
        <w:spacing w:after="0" w:line="266" w:lineRule="auto"/>
        <w:rPr>
          <w:rFonts w:ascii="Arial" w:cs="Arial" w:eastAsia="Arial" w:hAnsi="Arial"/>
          <w:sz w:val="16"/>
          <w:szCs w:val="16"/>
          <w:color w:val="auto"/>
        </w:rPr>
      </w:pPr>
      <w:r>
        <w:rPr>
          <w:rFonts w:ascii="Arial" w:cs="Arial" w:eastAsia="Arial" w:hAnsi="Arial"/>
          <w:sz w:val="18"/>
          <w:szCs w:val="18"/>
          <w:color w:val="auto"/>
        </w:rPr>
        <w:t>F-1 Assignment and Assumption F-2 Administrative Questionnaire</w:t>
      </w:r>
    </w:p>
    <w:p>
      <w:pPr>
        <w:jc w:val="both"/>
        <w:ind w:left="660" w:right="5839"/>
        <w:spacing w:after="0" w:line="266" w:lineRule="auto"/>
        <w:rPr>
          <w:rFonts w:ascii="Arial" w:cs="Arial" w:eastAsia="Arial" w:hAnsi="Arial"/>
          <w:sz w:val="16"/>
          <w:szCs w:val="16"/>
          <w:color w:val="auto"/>
        </w:rPr>
      </w:pPr>
      <w:r>
        <w:rPr>
          <w:rFonts w:ascii="Arial" w:cs="Arial" w:eastAsia="Arial" w:hAnsi="Arial"/>
          <w:sz w:val="18"/>
          <w:szCs w:val="18"/>
          <w:color w:val="auto"/>
        </w:rPr>
        <w:t>G-1 Form of U.S. Tax Compliance Certificate G-2 Form of U.S. Tax Compliance Certificate G-3 Form of U.S. Tax Compliance Certificate G-4 Form of U.S. Tax Compliance Certificate</w:t>
      </w:r>
    </w:p>
    <w:p>
      <w:pPr>
        <w:ind w:left="400"/>
        <w:spacing w:after="0"/>
        <w:rPr>
          <w:sz w:val="20"/>
          <w:szCs w:val="20"/>
          <w:color w:val="auto"/>
        </w:rPr>
      </w:pPr>
      <w:r>
        <w:rPr>
          <w:rFonts w:ascii="Arial" w:cs="Arial" w:eastAsia="Arial" w:hAnsi="Arial"/>
          <w:sz w:val="20"/>
          <w:szCs w:val="20"/>
          <w:color w:val="auto"/>
        </w:rPr>
        <w:t>H Form of Solvency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9"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TERM LOAN CREDIT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TERM LOAN CREDIT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April 22, 2020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among FIDELITY NATIONAL FINANCIAL,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and BANK OF AMERICA, N.A.</w:t>
      </w:r>
      <w:r>
        <w:rPr>
          <w:rFonts w:ascii="Arial" w:cs="Arial" w:eastAsia="Arial" w:hAnsi="Arial"/>
          <w:sz w:val="20"/>
          <w:szCs w:val="20"/>
          <w:b w:val="1"/>
          <w:bCs w:val="1"/>
          <w:color w:val="auto"/>
        </w:rPr>
        <w:t>,</w:t>
      </w:r>
      <w:r>
        <w:rPr>
          <w:rFonts w:ascii="Arial" w:cs="Arial" w:eastAsia="Arial" w:hAnsi="Arial"/>
          <w:sz w:val="20"/>
          <w:szCs w:val="20"/>
          <w:color w:val="auto"/>
        </w:rPr>
        <w:t xml:space="preserve"> as Administrative Agent.</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WHEREAS, the Borrower intends to acquire (the “</w:t>
      </w:r>
      <w:r>
        <w:rPr>
          <w:rFonts w:ascii="Arial" w:cs="Arial" w:eastAsia="Arial" w:hAnsi="Arial"/>
          <w:sz w:val="18"/>
          <w:szCs w:val="18"/>
          <w:u w:val="single" w:color="auto"/>
          <w:color w:val="auto"/>
        </w:rPr>
        <w:t>FGL Acquisition</w:t>
      </w:r>
      <w:r>
        <w:rPr>
          <w:rFonts w:ascii="Arial" w:cs="Arial" w:eastAsia="Arial" w:hAnsi="Arial"/>
          <w:sz w:val="18"/>
          <w:szCs w:val="18"/>
          <w:color w:val="auto"/>
        </w:rPr>
        <w:t>”), indirectly, FGL Holdings, a Cayman Islands exempted company (the “</w:t>
      </w:r>
      <w:r>
        <w:rPr>
          <w:rFonts w:ascii="Arial" w:cs="Arial" w:eastAsia="Arial" w:hAnsi="Arial"/>
          <w:sz w:val="18"/>
          <w:szCs w:val="18"/>
          <w:u w:val="single" w:color="auto"/>
          <w:color w:val="auto"/>
        </w:rPr>
        <w:t>Acquired Company</w:t>
      </w:r>
      <w:r>
        <w:rPr>
          <w:rFonts w:ascii="Arial" w:cs="Arial" w:eastAsia="Arial" w:hAnsi="Arial"/>
          <w:sz w:val="18"/>
          <w:szCs w:val="18"/>
          <w:color w:val="auto"/>
        </w:rPr>
        <w:t>”), in accordance with the terms of the Agreement and Plan of Merger, dated as of February 7, 2020, by and among the Borrower, F I Corp., a Cayman Islands exempted company and wholly owned subsidiary of the Borrower (“</w:t>
      </w:r>
      <w:r>
        <w:rPr>
          <w:rFonts w:ascii="Arial" w:cs="Arial" w:eastAsia="Arial" w:hAnsi="Arial"/>
          <w:sz w:val="18"/>
          <w:szCs w:val="18"/>
          <w:u w:val="single" w:color="auto"/>
          <w:color w:val="auto"/>
        </w:rPr>
        <w:t>Merger Sub I</w:t>
      </w:r>
      <w:r>
        <w:rPr>
          <w:rFonts w:ascii="Arial" w:cs="Arial" w:eastAsia="Arial" w:hAnsi="Arial"/>
          <w:sz w:val="18"/>
          <w:szCs w:val="18"/>
          <w:color w:val="auto"/>
        </w:rPr>
        <w:t>”), F</w:t>
      </w:r>
    </w:p>
    <w:p>
      <w:pPr>
        <w:spacing w:after="0" w:line="1" w:lineRule="exact"/>
        <w:rPr>
          <w:sz w:val="20"/>
          <w:szCs w:val="20"/>
          <w:color w:val="auto"/>
        </w:rPr>
      </w:pPr>
    </w:p>
    <w:p>
      <w:pPr>
        <w:ind w:right="20" w:firstLine="8"/>
        <w:spacing w:after="0" w:line="244" w:lineRule="auto"/>
        <w:tabs>
          <w:tab w:leader="none" w:pos="184"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Corp., a Cayman Islands exempted company and wholly owned subsidiary of the Borrower (“</w:t>
      </w:r>
      <w:r>
        <w:rPr>
          <w:rFonts w:ascii="Arial" w:cs="Arial" w:eastAsia="Arial" w:hAnsi="Arial"/>
          <w:sz w:val="20"/>
          <w:szCs w:val="20"/>
          <w:u w:val="single" w:color="auto"/>
          <w:color w:val="auto"/>
        </w:rPr>
        <w:t>Merger Sub II</w:t>
      </w:r>
      <w:r>
        <w:rPr>
          <w:rFonts w:ascii="Arial" w:cs="Arial" w:eastAsia="Arial" w:hAnsi="Arial"/>
          <w:sz w:val="20"/>
          <w:szCs w:val="20"/>
          <w:color w:val="auto"/>
        </w:rPr>
        <w:t>”), and the Acquired Company (including all annexes, letters, schedules and exhibits thereto, the “</w:t>
      </w:r>
      <w:r>
        <w:rPr>
          <w:rFonts w:ascii="Arial" w:cs="Arial" w:eastAsia="Arial" w:hAnsi="Arial"/>
          <w:sz w:val="20"/>
          <w:szCs w:val="20"/>
          <w:u w:val="single" w:color="auto"/>
          <w:color w:val="auto"/>
        </w:rPr>
        <w:t>Acquisition Agreement</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Borrower has requested that the Lenders extend credit in the form of term loans in an aggregate principal amount of $1,000,000,000 on the Funding Date in connection with the FGL Acquisition;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Lenders are willing to extend such credit to the Borrower on the terms and subject to the conditions set forth herein;</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covenant and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b w:val="1"/>
          <w:bCs w:val="1"/>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Company</w:t>
      </w:r>
      <w:r>
        <w:rPr>
          <w:rFonts w:ascii="Arial" w:cs="Arial" w:eastAsia="Arial" w:hAnsi="Arial"/>
          <w:sz w:val="20"/>
          <w:szCs w:val="20"/>
          <w:color w:val="auto"/>
        </w:rPr>
        <w:t>” has the meaning specified in the introductory statements to this Agreement.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Company Material Adverse Effect</w:t>
      </w:r>
      <w:r>
        <w:rPr>
          <w:rFonts w:ascii="Arial" w:cs="Arial" w:eastAsia="Arial" w:hAnsi="Arial"/>
          <w:sz w:val="20"/>
          <w:szCs w:val="20"/>
          <w:color w:val="auto"/>
        </w:rPr>
        <w:t>” has the meaning assigned to the term “Company Material Adverse Effect” in the Acquisition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any transaction or series of related transactions for the purpose of or resulting, directly or indirectly, in (a) the acquisition of all or substantially all of the assets of a Person, or of any business or division of a Person or (b) the acquisition of in excess of 50% of the Equity Interests of any Person, or otherwise causing any Person to become a Subsidiary. For the avoidance of doubt, “Acquisition” shall not include any transaction or series of related transactions between or among solely Persons that, before giving effect thereto, are the Borrower and/or one or more of its Subsidiaries.</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 Representations</w:t>
      </w:r>
      <w:r>
        <w:rPr>
          <w:rFonts w:ascii="Arial" w:cs="Arial" w:eastAsia="Arial" w:hAnsi="Arial"/>
          <w:sz w:val="18"/>
          <w:szCs w:val="18"/>
          <w:color w:val="auto"/>
        </w:rPr>
        <w:t>” means the representations relating to the Acquired Company and its Subsidiaries and its businesses in the Acquisition Agreement as are material to the interests of the Lenders, but only to the extent that the Borrower or any of its Subsidiaries has the right to terminate its obligations under the Acquisition Agreement, or to decline to consummate the FGL Acquisition pursuant to the Acquisition Agreement, as a result of a breach of such representations in the Acquisition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Closing Date</w:t>
      </w:r>
      <w:r>
        <w:rPr>
          <w:rFonts w:ascii="Arial" w:cs="Arial" w:eastAsia="Arial" w:hAnsi="Arial"/>
          <w:sz w:val="20"/>
          <w:szCs w:val="20"/>
          <w:color w:val="auto"/>
        </w:rPr>
        <w:t>” means the date on which the FGL Acquisition is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4" w:name="page45"/>
    <w:bookmarkEnd w:id="44"/>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Transactions</w:t>
      </w:r>
      <w:r>
        <w:rPr>
          <w:rFonts w:ascii="Arial" w:cs="Arial" w:eastAsia="Arial" w:hAnsi="Arial"/>
          <w:sz w:val="20"/>
          <w:szCs w:val="20"/>
          <w:color w:val="auto"/>
        </w:rPr>
        <w:t>” means, collectively, the FGL Acquisition, the payment of any related costs and expenses and the other transactions relating thereto disclosed by the Borrower to the Bookrunners prior to the Effective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10.18.</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 Without limiting the generality of the foregoing, a Person shall be deemed to be Controlled by another Person if such other Person possesses, directly or indirectly, power to vote 10% of the Voting Stock of such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Loans</w:t>
      </w:r>
      <w:r>
        <w:rPr>
          <w:rFonts w:ascii="Arial" w:cs="Arial" w:eastAsia="Arial" w:hAnsi="Arial"/>
          <w:sz w:val="20"/>
          <w:szCs w:val="20"/>
          <w:color w:val="auto"/>
        </w:rPr>
        <w:t>” means the Loans of all the Lenders.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Statement</w:t>
      </w:r>
      <w:r>
        <w:rPr>
          <w:rFonts w:ascii="Arial" w:cs="Arial" w:eastAsia="Arial" w:hAnsi="Arial"/>
          <w:sz w:val="20"/>
          <w:szCs w:val="20"/>
          <w:color w:val="auto"/>
        </w:rPr>
        <w:t>” means the annual financial statement of any insurance company as required to be filed with the Department, together with all exhibits or schedules filed therewith, prepared in conformity with SAP. References to amounts on particular exhibits, schedules, lines, pages and columns of such Annual Statements are based on the formats promulgated by the NAIC for 2019 Annual Statements for the applicable type of insurance company. If such format is changed in future years so that different information is contained in such items or they no longer exist, it is understood that the reference is to information consistent with that recorded in the referenced item in the 2019 Annual Statement of the insurance company.</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at any time, the percentage (carried out to the ninth decimal place) of (x) prior to the making of the Loan on the Funding Date, the Aggregate Commitments represented by such Lender’s Commitment at such time, subject to adjustment from time to time in accordance with this Agreement; provided that, if the commitment of each Lender to make Loans has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Aggregate Commitments have expired,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5" w:name="page46"/>
    <w:bookmarkEnd w:id="45"/>
    <w:p>
      <w:pPr>
        <w:jc w:val="both"/>
        <w:spacing w:after="0" w:line="244" w:lineRule="auto"/>
        <w:rPr>
          <w:sz w:val="20"/>
          <w:szCs w:val="20"/>
          <w:color w:val="auto"/>
        </w:rPr>
      </w:pPr>
      <w:r>
        <w:rPr>
          <w:rFonts w:ascii="Arial" w:cs="Arial" w:eastAsia="Arial" w:hAnsi="Arial"/>
          <w:sz w:val="20"/>
          <w:szCs w:val="20"/>
          <w:color w:val="auto"/>
        </w:rPr>
        <w:t xml:space="preserve">Applicable Percentage of each Lender shall be determined based on the Applicable Percentage of such Lender most recently in effect, giving effect to any subsequent assignments and (y) from and after the making of the Loan on the Funding Date, the Aggregate Loans represented by such Lender’s Loans at such time, subject to adjustment from time to time in accordance with this Agreement. The initial Applicable Percentage of each Lender is set forth opposite the name of such Lender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Lender becomes a party hereto, as applicable.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62" w:lineRule="exact"/>
        <w:rPr>
          <w:sz w:val="20"/>
          <w:szCs w:val="20"/>
          <w:color w:val="auto"/>
        </w:rPr>
      </w:pPr>
    </w:p>
    <w:tbl>
      <w:tblPr>
        <w:tblLayout w:type="fixed"/>
        <w:tblInd w:w="350" w:type="dxa"/>
        <w:tblCellMar>
          <w:top w:w="0" w:type="dxa"/>
          <w:left w:w="0" w:type="dxa"/>
          <w:bottom w:w="0" w:type="dxa"/>
          <w:right w:w="0" w:type="dxa"/>
        </w:tblCellMar>
      </w:tblPr>
      <w:tr>
        <w:trPr>
          <w:trHeight w:val="368"/>
        </w:trPr>
        <w:tc>
          <w:tcPr>
            <w:tcW w:w="1300" w:type="dxa"/>
            <w:vAlign w:val="bottom"/>
            <w:tcBorders>
              <w:top w:val="single" w:sz="8" w:color="auto"/>
              <w:left w:val="single" w:sz="8" w:color="auto"/>
              <w:right w:val="single" w:sz="8" w:color="auto"/>
            </w:tcBorders>
          </w:tcPr>
          <w:p>
            <w:pPr>
              <w:spacing w:after="0"/>
              <w:rPr>
                <w:sz w:val="24"/>
                <w:szCs w:val="24"/>
                <w:color w:val="auto"/>
              </w:rPr>
            </w:pP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Debt Ratings</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Applicable Rate for</w:t>
            </w:r>
          </w:p>
        </w:tc>
        <w:tc>
          <w:tcPr>
            <w:tcW w:w="3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tcPr>
          <w:p>
            <w:pPr>
              <w:spacing w:after="0"/>
              <w:rPr>
                <w:sz w:val="10"/>
                <w:szCs w:val="10"/>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S&amp;P/Moody’s</w:t>
            </w:r>
          </w:p>
        </w:tc>
        <w:tc>
          <w:tcPr>
            <w:tcW w:w="2460" w:type="dxa"/>
            <w:vAlign w:val="bottom"/>
            <w:tcBorders>
              <w:right w:val="single" w:sz="8" w:color="auto"/>
            </w:tcBorders>
            <w:vMerge w:val="continue"/>
          </w:tcPr>
          <w:p>
            <w:pPr>
              <w:spacing w:after="0"/>
              <w:rPr>
                <w:sz w:val="10"/>
                <w:szCs w:val="10"/>
                <w:color w:val="auto"/>
              </w:rPr>
            </w:pPr>
          </w:p>
        </w:tc>
        <w:tc>
          <w:tcPr>
            <w:tcW w:w="3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Pricing Level</w:t>
            </w:r>
          </w:p>
        </w:tc>
        <w:tc>
          <w:tcPr>
            <w:tcW w:w="3620" w:type="dxa"/>
            <w:vAlign w:val="bottom"/>
            <w:tcBorders>
              <w:right w:val="single" w:sz="8" w:color="auto"/>
            </w:tcBorders>
            <w:vMerge w:val="continue"/>
          </w:tcPr>
          <w:p>
            <w:pPr>
              <w:spacing w:after="0"/>
              <w:rPr>
                <w:sz w:val="15"/>
                <w:szCs w:val="15"/>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Eurodollar Loans</w:t>
            </w: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Applicable Rate for Base Rate Loans</w:t>
            </w:r>
          </w:p>
        </w:tc>
        <w:tc>
          <w:tcPr>
            <w:tcW w:w="0" w:type="dxa"/>
            <w:vAlign w:val="bottom"/>
          </w:tcPr>
          <w:p>
            <w:pPr>
              <w:spacing w:after="0"/>
              <w:rPr>
                <w:sz w:val="1"/>
                <w:szCs w:val="1"/>
                <w:color w:val="auto"/>
              </w:rPr>
            </w:pPr>
          </w:p>
        </w:tc>
      </w:tr>
      <w:tr>
        <w:trPr>
          <w:trHeight w:val="81"/>
        </w:trPr>
        <w:tc>
          <w:tcPr>
            <w:tcW w:w="1300" w:type="dxa"/>
            <w:vAlign w:val="bottom"/>
            <w:tcBorders>
              <w:left w:val="single" w:sz="8" w:color="auto"/>
              <w:right w:val="single" w:sz="8" w:color="auto"/>
            </w:tcBorders>
            <w:vMerge w:val="continue"/>
          </w:tcPr>
          <w:p>
            <w:pPr>
              <w:spacing w:after="0"/>
              <w:rPr>
                <w:sz w:val="7"/>
                <w:szCs w:val="7"/>
                <w:color w:val="auto"/>
              </w:rPr>
            </w:pPr>
          </w:p>
        </w:tc>
        <w:tc>
          <w:tcPr>
            <w:tcW w:w="362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3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BBB/Baa2 or higher</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2.00%</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BBB-/Baa3</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2.50%</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lower than BBB-/Baa3</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3.00%</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2.00%</w:t>
            </w: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Initially the Applicable Rate shall be determined based upon Pricing Level I. Thereafter, each change in the Applicable Rate resulting from a publicly announced change in the Debt Rating shall be effective during the period commencing on the date of the public announcement thereof and ending on the date immediately preceding the date of the next such change.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collectively, BAS, JPMorgan Chase Bank, N.A. and U.S. Bank National Association, each in its capacity as a joint lead arranger.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F-1</w:t>
      </w:r>
      <w:r>
        <w:rPr>
          <w:rFonts w:ascii="Arial" w:cs="Arial" w:eastAsia="Arial" w:hAnsi="Arial"/>
          <w:sz w:val="20"/>
          <w:szCs w:val="20"/>
          <w:color w:val="auto"/>
        </w:rPr>
        <w:t xml:space="preserve"> or any other form (including electronic documentation generated by MarkitClear or other electronic platform) approved by the Administrative Agent.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Borrower and its Subsidiaries for the fiscal year ended December 31, 2019</w:t>
      </w:r>
      <w:r>
        <w:rPr>
          <w:rFonts w:ascii="Arial" w:cs="Arial" w:eastAsia="Arial" w:hAnsi="Arial"/>
          <w:sz w:val="20"/>
          <w:szCs w:val="20"/>
          <w:b w:val="1"/>
          <w:bCs w:val="1"/>
          <w:color w:val="auto"/>
        </w:rPr>
        <w:t>,</w:t>
      </w:r>
      <w:r>
        <w:rPr>
          <w:rFonts w:ascii="Arial" w:cs="Arial" w:eastAsia="Arial" w:hAnsi="Arial"/>
          <w:sz w:val="20"/>
          <w:szCs w:val="20"/>
          <w:color w:val="auto"/>
        </w:rPr>
        <w:t xml:space="preserve"> and the related consolidated statements of income or operations, shareholders’ equity and cash flows for such fiscal year of the Borrower and its Subsidiaries, including the notes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w:t>
      </w:r>
      <w:r>
        <w:rPr>
          <w:rFonts w:ascii="Arial" w:cs="Arial" w:eastAsia="Arial" w:hAnsi="Arial"/>
          <w:sz w:val="20"/>
          <w:szCs w:val="20"/>
          <w:color w:val="auto"/>
        </w:rPr>
        <w:t>” means BofA Securities, Inc. and its successors.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plus 1/2 of 1%, (b) the rate of interest in effect for such day as publicly announced from time to time by Bank of America as its “prime rate,” and (c) the Eurodollar Rate plus 1.00%; </w:t>
      </w:r>
      <w:r>
        <w:rPr>
          <w:rFonts w:ascii="Arial" w:cs="Arial" w:eastAsia="Arial" w:hAnsi="Arial"/>
          <w:sz w:val="19"/>
          <w:szCs w:val="19"/>
          <w:u w:val="single" w:color="auto"/>
          <w:color w:val="auto"/>
        </w:rPr>
        <w:t>provided</w:t>
      </w:r>
      <w:r>
        <w:rPr>
          <w:rFonts w:ascii="Arial" w:cs="Arial" w:eastAsia="Arial" w:hAnsi="Arial"/>
          <w:sz w:val="19"/>
          <w:szCs w:val="19"/>
          <w:color w:val="auto"/>
        </w:rPr>
        <w:t>, that if Base Rate shall be less than 1.75%, such rate shall be deemed 1.75%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and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BKFS</w:t>
      </w:r>
      <w:r>
        <w:rPr>
          <w:rFonts w:ascii="Arial" w:cs="Arial" w:eastAsia="Arial" w:hAnsi="Arial"/>
          <w:sz w:val="20"/>
          <w:szCs w:val="20"/>
          <w:color w:val="auto"/>
        </w:rPr>
        <w:t>” means Black Knight Financial Services, LLC, a Delaware limited liability company.</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BKFS Spin-Off</w:t>
      </w:r>
      <w:r>
        <w:rPr>
          <w:rFonts w:ascii="Arial" w:cs="Arial" w:eastAsia="Arial" w:hAnsi="Arial"/>
          <w:sz w:val="18"/>
          <w:szCs w:val="18"/>
          <w:color w:val="auto"/>
        </w:rPr>
        <w:t>” means a series of separation transactions effected by the Borrower that will result in the contribution of the Class B common stock of BKFS beneficially owned by the Borrower and all of the Class A units of BKFS beneficially owned by the Borrower, to New BKH Corp. (“</w:t>
      </w:r>
      <w:r>
        <w:rPr>
          <w:rFonts w:ascii="Arial" w:cs="Arial" w:eastAsia="Arial" w:hAnsi="Arial"/>
          <w:sz w:val="18"/>
          <w:szCs w:val="18"/>
          <w:u w:val="single" w:color="auto"/>
          <w:color w:val="auto"/>
        </w:rPr>
        <w:t>New BKH</w:t>
      </w:r>
      <w:r>
        <w:rPr>
          <w:rFonts w:ascii="Arial" w:cs="Arial" w:eastAsia="Arial" w:hAnsi="Arial"/>
          <w:sz w:val="18"/>
          <w:szCs w:val="18"/>
          <w:color w:val="auto"/>
        </w:rPr>
        <w:t>”) and the distribution of all of the shares of New BKH pro rata to the holders of the Borrower's common stock.</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Bookrunners</w:t>
      </w:r>
      <w:r>
        <w:rPr>
          <w:rFonts w:ascii="Arial" w:cs="Arial" w:eastAsia="Arial" w:hAnsi="Arial"/>
          <w:sz w:val="20"/>
          <w:szCs w:val="20"/>
          <w:color w:val="auto"/>
        </w:rPr>
        <w:t>” means, collectively, BAS and JPMorgan Chase Bank, N.A., each in its capacity as a joint bookrunner.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7" w:name="page48"/>
    <w:bookmarkEnd w:id="4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Loans of the same Type and, in the case of Eurodollar Rate Loans, having the same Interest Period made by each of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the aggregate of all expenditures by the Borrower and its Subsidiaries during such period that, in conformity with GAAP, are or are required to be included as additions during such period to property, plant or equipment, and including capitalized software expenditures, reflected in the consolidated statement of cash flows of the Borrower and its Subsidiaries.</w:t>
      </w:r>
    </w:p>
    <w:p>
      <w:pPr>
        <w:spacing w:after="0" w:line="1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w:t>
      </w:r>
      <w:r>
        <w:rPr>
          <w:rFonts w:ascii="Arial" w:cs="Arial" w:eastAsia="Arial" w:hAnsi="Arial"/>
          <w:sz w:val="21"/>
          <w:szCs w:val="21"/>
          <w:color w:val="auto"/>
        </w:rPr>
        <w:t>, as applied to any Person,</w:t>
      </w:r>
      <w:r>
        <w:rPr>
          <w:rFonts w:ascii="Arial" w:cs="Arial" w:eastAsia="Arial" w:hAnsi="Arial"/>
          <w:sz w:val="20"/>
          <w:szCs w:val="20"/>
          <w:color w:val="auto"/>
        </w:rPr>
        <w:t xml:space="preserve"> means any lease of any property (whether real, personal or mixed) by that Person as lessee that has or would have been (i) prior to January 1, 2019, recorded as a capital lease on the balance sheet of the lessee in accordance with GAAP or (ii) on or after January 1, 2019, recorded as a financing lease on the balance sheet of the lessee in accordance with GAAP; provided that, with respect to this clause (ii), such financing lease shall only be a “Capital Lease” to the extent such financing lease would have been recorded prior to January 1, 2019 as a capitalized lease on a balance sheet of the lessee in accordance with GAAP as in effect on December 31, 2015.</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 Liabilities</w:t>
      </w:r>
      <w:r>
        <w:rPr>
          <w:rFonts w:ascii="Arial" w:cs="Arial" w:eastAsia="Arial" w:hAnsi="Arial"/>
          <w:sz w:val="20"/>
          <w:szCs w:val="20"/>
          <w:color w:val="auto"/>
        </w:rPr>
        <w:t>” means all monetary obligations of the Borrower or any of its Subsidiaries under any leasing or similar arrangement constituting a Capital Lease and, for purposes of each Loan Document, the amount of such obligations shall be the capitalized amount thereof to the extent recorded as a liability on a balance sheet (excluding the footnotes thereto) of such Person prepared in accordance with GAAP.</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means, as to any Person, the equity interests in such Person, including, without limitation, the shares of each class of capital stock in any Person that is a corporation, each class of partnership interest in any Person that is a partnership, and each class of membership interest in any Person that is a limited liability company, and any warrants or options to purchase or otherwise acquire any such equity interests.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pacing w:after="0" w:line="216" w:lineRule="exact"/>
        <w:rPr>
          <w:sz w:val="20"/>
          <w:szCs w:val="20"/>
          <w:color w:val="auto"/>
        </w:rPr>
      </w:pPr>
    </w:p>
    <w:p>
      <w:pPr>
        <w:ind w:left="660" w:firstLine="644"/>
        <w:spacing w:after="0" w:line="260" w:lineRule="auto"/>
        <w:tabs>
          <w:tab w:leader="none" w:pos="1579"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securities issued or unconditionally guaranteed by the United States government or any agency or instrumentality thereof, in each case having maturities of not more than 12 months from the date of acquisition thereof;</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6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securities issued by any state of the United States or any political subdivision of any such state or any public instrumentality thereof having maturities or interest reset period of not more than 12 months from the date of acquisition thereof and, at the time of acquisition, having a rating of at least A-2 or P-2 (or long-term ratings of at least A3 or A-) from either Rating Agency, or, with respect to municipal bonds, a rating of at least MIG 2 or VMIG 2 from Moody’s;</w:t>
      </w:r>
    </w:p>
    <w:p>
      <w:pPr>
        <w:spacing w:after="0" w:line="191" w:lineRule="exact"/>
        <w:rPr>
          <w:rFonts w:ascii="Arial" w:cs="Arial" w:eastAsia="Arial" w:hAnsi="Arial"/>
          <w:sz w:val="20"/>
          <w:szCs w:val="20"/>
          <w:color w:val="auto"/>
        </w:rPr>
      </w:pPr>
    </w:p>
    <w:p>
      <w:pPr>
        <w:ind w:left="1580" w:hanging="276"/>
        <w:spacing w:after="0"/>
        <w:tabs>
          <w:tab w:leader="none" w:pos="1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commercial paper issued by any Lender or any bank holding company owning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8" w:name="page49"/>
    <w:bookmarkEnd w:id="48"/>
    <w:p>
      <w:pPr>
        <w:jc w:val="both"/>
        <w:ind w:left="660" w:firstLine="644"/>
        <w:spacing w:after="0" w:line="291" w:lineRule="auto"/>
        <w:tabs>
          <w:tab w:leader="none" w:pos="16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paper maturing not more than 12 months after the date of creation thereof and, at the time of acquisition, having a rating of at least A-1 or P-1 from either Rating Agency and commercial paper maturing not more than 90 days after the date of creation thereof and, at the time of acquisition, having a rating of at least A-2 or P-2 from either Rating Agency;</w:t>
      </w:r>
    </w:p>
    <w:p>
      <w:pPr>
        <w:spacing w:after="0" w:line="151" w:lineRule="exact"/>
        <w:rPr>
          <w:rFonts w:ascii="Arial" w:cs="Arial" w:eastAsia="Arial" w:hAnsi="Arial"/>
          <w:sz w:val="18"/>
          <w:szCs w:val="18"/>
          <w:color w:val="auto"/>
        </w:rPr>
      </w:pPr>
    </w:p>
    <w:p>
      <w:pPr>
        <w:jc w:val="both"/>
        <w:ind w:left="660" w:firstLine="644"/>
        <w:spacing w:after="0" w:line="291" w:lineRule="auto"/>
        <w:tabs>
          <w:tab w:leader="none" w:pos="15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Eurodollar certificates of deposit or bankers’ acceptances maturing no more than one year after the date of acquisition thereof which are either issued by any Lender or any other banks having combined capital and surplus of not less than $100,000,000 (or in the case of foreign banks, the dollar equivalent thereof) or are insured by the FDIC for the full amount thereof;</w:t>
      </w:r>
    </w:p>
    <w:p>
      <w:pPr>
        <w:spacing w:after="0" w:line="151" w:lineRule="exact"/>
        <w:rPr>
          <w:rFonts w:ascii="Arial" w:cs="Arial" w:eastAsia="Arial" w:hAnsi="Arial"/>
          <w:sz w:val="18"/>
          <w:szCs w:val="18"/>
          <w:color w:val="auto"/>
        </w:rPr>
      </w:pPr>
    </w:p>
    <w:p>
      <w:pPr>
        <w:jc w:val="both"/>
        <w:ind w:left="660" w:firstLine="644"/>
        <w:spacing w:after="0" w:line="250" w:lineRule="auto"/>
        <w:tabs>
          <w:tab w:leader="none" w:pos="1558"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repurchase agreements with a term of not more than 30 days for, and secured by, underlying securities of the type without regard to maturity described in clauses (a), (b) or (e) above entered into with any bank meeting the qualifications specified in clause (e) above or securities dealers of recognized national standing; and</w:t>
      </w:r>
    </w:p>
    <w:p>
      <w:pPr>
        <w:spacing w:after="0" w:line="185" w:lineRule="exact"/>
        <w:rPr>
          <w:rFonts w:ascii="Arial" w:cs="Arial" w:eastAsia="Arial" w:hAnsi="Arial"/>
          <w:sz w:val="20"/>
          <w:szCs w:val="20"/>
          <w:color w:val="auto"/>
        </w:rPr>
      </w:pPr>
    </w:p>
    <w:p>
      <w:pPr>
        <w:ind w:left="660" w:firstLine="644"/>
        <w:spacing w:after="0" w:line="260" w:lineRule="auto"/>
        <w:tabs>
          <w:tab w:leader="none" w:pos="1588" w:val="left"/>
        </w:tabs>
        <w:numPr>
          <w:ilvl w:val="0"/>
          <w:numId w:val="14"/>
        </w:numPr>
        <w:rPr>
          <w:rFonts w:ascii="Arial" w:cs="Arial" w:eastAsia="Arial" w:hAnsi="Arial"/>
          <w:sz w:val="20"/>
          <w:szCs w:val="20"/>
          <w:color w:val="auto"/>
        </w:rPr>
      </w:pPr>
      <w:r>
        <w:rPr>
          <w:rFonts w:ascii="Arial" w:cs="Arial" w:eastAsia="Arial" w:hAnsi="Arial"/>
          <w:sz w:val="20"/>
          <w:szCs w:val="20"/>
          <w:color w:val="auto"/>
        </w:rPr>
        <w:t>shares of investment companies that are registered under the Investment Company Act of 1940 and invest solely in one or more of the types without regard to maturity of securities described in clauses (a) through (f) above.</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with respect to any Lender, the occurrence, after the later of the date of this Agreement and the date such Lender became a Lender,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and shall be deemed to have occurred if: (a) at any time Continuing Directors shall not constitute a majority of the Board of Directors of the Borrower; or (b) any Person or “</w:t>
      </w:r>
      <w:r>
        <w:rPr>
          <w:rFonts w:ascii="Arial" w:cs="Arial" w:eastAsia="Arial" w:hAnsi="Arial"/>
          <w:sz w:val="19"/>
          <w:szCs w:val="19"/>
          <w:u w:val="single" w:color="auto"/>
          <w:color w:val="auto"/>
        </w:rPr>
        <w:t>group</w:t>
      </w:r>
      <w:r>
        <w:rPr>
          <w:rFonts w:ascii="Arial" w:cs="Arial" w:eastAsia="Arial" w:hAnsi="Arial"/>
          <w:sz w:val="19"/>
          <w:szCs w:val="19"/>
          <w:color w:val="auto"/>
        </w:rPr>
        <w:t>” (within the meaning of Section 13(d) or 14(d) of the Securities Exchange Act of 1934), other than Mr. William P. Foley II or Persons Controlled by him, shall at any time have acquired direct or indirect beneficial ownership of a percentage equal to or more than 50% of the outstanding Voting Stock of the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make a Loan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on the Funding Date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with respect to permitted assignments prior to the Funding Date, in the Assignment and Assumption pursuant to which such Lender becomes a party hereto, as applicable, as such amount may be adjusted from time to time in accordance with this Agreement.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Letter</w:t>
      </w:r>
      <w:r>
        <w:rPr>
          <w:rFonts w:ascii="Arial" w:cs="Arial" w:eastAsia="Arial" w:hAnsi="Arial"/>
          <w:sz w:val="20"/>
          <w:szCs w:val="20"/>
          <w:color w:val="auto"/>
        </w:rPr>
        <w:t>” means the Commitment Letter, dated April 9, 2020, between the Borrower, the Administrative Agent and the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means (without duplication), as to any Person, any direct or indirect liability of that Person, with or without recourse, guaranteeing or intended to guarantee any Indebtedness, lease, dividend or other monetary obligation (the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including any obligation of that Person (a) to purchase, repurchase or otherwise acquire such primary obligations or any security therefor, (b)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any such primary obligation against loss in respect thereof, including indebtedness under any letter of credit issued to provide credit support on behalf of the primary obligor to the holder of the primary obligations. The amount of any Contingent Obligation shall be deemed equal to the lesser of (x) the stated or determinable amount of the primary obligation in respect of which such Contingent Obligation is made or (y) the amount of the guaranty if limited in amount or, if not stated or if indeterminable or unlimited in amount, the maximum reasonably anticipated liability in respect thereof (assuming such Person is required to perform thereunder), as determined by such Person in good faith. If the Contingent Obligation is limited to recourse against particular assets, the amount of the Contingent Obligation shall be deemed to be the lesser of the above and the fair market value of the applicable assets. Notwithstanding the foregoing, the term “</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shall not include (a) endorsements of instruments for deposit or collection in the ordinary course of business, and (b) obligations of any Insurance Subsidiary under Insurance Contracts, Reinsurance Agreements and Retrocession Agreements (but not including any of the foregoing that constitutes financial reinsurance).</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w:t>
      </w:r>
      <w:r>
        <w:rPr>
          <w:rFonts w:ascii="Arial" w:cs="Arial" w:eastAsia="Arial" w:hAnsi="Arial"/>
          <w:sz w:val="16"/>
          <w:szCs w:val="16"/>
          <w:color w:val="auto"/>
        </w:rPr>
        <w:t>” means, at any date, an individual (a) who is a member of the Board of Directors of the Borrower on the Effective Date, (b) who, as at such date, has been a member of such Board of Directors for at least the 12 preceding months (or, for the period comprising the first 12 months after the Effective Date, has been a member of the Board of Directors at least since the Effective Date), or</w:t>
      </w:r>
    </w:p>
    <w:p>
      <w:pPr>
        <w:spacing w:after="0" w:line="1" w:lineRule="exact"/>
        <w:rPr>
          <w:sz w:val="20"/>
          <w:szCs w:val="20"/>
          <w:color w:val="auto"/>
        </w:rPr>
      </w:pPr>
    </w:p>
    <w:p>
      <w:pPr>
        <w:ind w:firstLine="8"/>
        <w:spacing w:after="0" w:line="244" w:lineRule="auto"/>
        <w:tabs>
          <w:tab w:leader="none" w:pos="276" w:val="left"/>
        </w:tabs>
        <w:numPr>
          <w:ilvl w:val="0"/>
          <w:numId w:val="15"/>
        </w:numPr>
        <w:rPr>
          <w:rFonts w:ascii="Arial" w:cs="Arial" w:eastAsia="Arial" w:hAnsi="Arial"/>
          <w:sz w:val="20"/>
          <w:szCs w:val="20"/>
          <w:color w:val="auto"/>
        </w:rPr>
      </w:pPr>
      <w:r>
        <w:rPr>
          <w:rFonts w:ascii="Arial" w:cs="Arial" w:eastAsia="Arial" w:hAnsi="Arial"/>
          <w:sz w:val="20"/>
          <w:szCs w:val="20"/>
          <w:color w:val="auto"/>
        </w:rPr>
        <w:t>who has been nominated or approved to be a member of such Board of Directors by a majority of the other Continuing Directors then in office.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has the meaning specified in the definition of “</w:t>
      </w:r>
      <w:r>
        <w:rPr>
          <w:rFonts w:ascii="Arial" w:cs="Arial" w:eastAsia="Arial" w:hAnsi="Arial"/>
          <w:sz w:val="20"/>
          <w:szCs w:val="20"/>
          <w:u w:val="single" w:color="auto"/>
          <w:color w:val="auto"/>
        </w:rPr>
        <w:t>Affiliate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Convertible Indebtedness</w:t>
      </w:r>
      <w:r>
        <w:rPr>
          <w:rFonts w:ascii="Arial" w:cs="Arial" w:eastAsia="Arial" w:hAnsi="Arial"/>
          <w:sz w:val="20"/>
          <w:szCs w:val="20"/>
          <w:color w:val="auto"/>
        </w:rPr>
        <w:t>” means unsecured convertible Indebtedness of the Borrower, including such Indebtedness that is convertible (whether after the satisfaction of any one or more conditions or otherwise) into any combination of shares of Capital Stock and/or cash.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 Borrowing.</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means, as of any date of determination, the rating as determined by either S&amp;P or Moody’s (collectively, the “</w:t>
      </w:r>
      <w:r>
        <w:rPr>
          <w:rFonts w:ascii="Arial" w:cs="Arial" w:eastAsia="Arial" w:hAnsi="Arial"/>
          <w:sz w:val="20"/>
          <w:szCs w:val="20"/>
          <w:u w:val="single" w:color="auto"/>
          <w:color w:val="auto"/>
        </w:rPr>
        <w:t>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Ratings</w:t>
      </w:r>
      <w:r>
        <w:rPr>
          <w:rFonts w:ascii="Arial" w:cs="Arial" w:eastAsia="Arial" w:hAnsi="Arial"/>
          <w:sz w:val="20"/>
          <w:szCs w:val="20"/>
          <w:color w:val="auto"/>
        </w:rPr>
        <w:t>”) of the Borrower’s non-credit-enhanced, senior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9"/>
          <w:szCs w:val="19"/>
          <w:color w:val="auto"/>
        </w:rPr>
        <w:t xml:space="preserve">long-term debt (or, in the absence of such a debt rating, a comparable corporate credit or issuer rating of the Borrower as reasonably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the respective Debt Ratings issued by the foregoing rating agencies differ by one level, then the higher of such Debt Ratings shall apply (with the Debt Rating for Pricing Level I being the highest and the Debt Rating for Pricing Level III being the lowest); (b) if there is a split in Debt Ratings of more than one level, then the Pricing Level that is one level lower than the Pricing Level of the higher Debt Rating shall apply; and (c) if the Borrower has no Debt Rating from S&amp;P and no Debt Rating from Moody’s, the Applicable Rate and the Ticking Fee Rate shall each be deemed to be Pricing Level III.</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any state thereof or other applicable jurisdictions from time to time in effect and affecting the rights of creditors generally.</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an interest rate equal to (i)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 Eurodollar Rate Loan, the Default Rate shall be an interest rate equal to the interest rate (including any Applicable Rate) otherwise applicable to such Loan plus 2% per annum, in each case to the fullest extent permitted by applicable Laws.</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2.14(b)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or generally under other agreements pursuant to which it commits to extend credit,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9"/>
          <w:szCs w:val="19"/>
          <w:color w:val="auto"/>
        </w:rPr>
        <w:t xml:space="preserve">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2.14(b)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Department</w:t>
      </w:r>
      <w:r>
        <w:rPr>
          <w:rFonts w:ascii="Arial" w:cs="Arial" w:eastAsia="Arial" w:hAnsi="Arial"/>
          <w:sz w:val="20"/>
          <w:szCs w:val="20"/>
          <w:color w:val="auto"/>
        </w:rPr>
        <w:t>” means the applicable Governmental Authority of the state of domicile of an insurance company responsible for the regulation of said insurance company.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Subsidiaries</w:t>
      </w:r>
      <w:r>
        <w:rPr>
          <w:rFonts w:ascii="Arial" w:cs="Arial" w:eastAsia="Arial" w:hAnsi="Arial"/>
          <w:sz w:val="20"/>
          <w:szCs w:val="20"/>
          <w:color w:val="auto"/>
        </w:rPr>
        <w:t>” means Fidelity Asset Management, Inc., a California corporation, Fortuna Service Company, LLC, a California limited liability company, and their respective Subsidiaries.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date on which all of the conditions specified in Section 4.01 shall first be satisfied (or waived).</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Bonds</w:t>
      </w:r>
      <w:r>
        <w:rPr>
          <w:rFonts w:ascii="Arial" w:cs="Arial" w:eastAsia="Arial" w:hAnsi="Arial"/>
          <w:sz w:val="19"/>
          <w:szCs w:val="19"/>
          <w:color w:val="auto"/>
        </w:rPr>
        <w:t>” means (a) debt instruments issued by agencies or instrumentalities of the United States government other than the Department of the Treasury and (b) corporate and municipal debt instruments and corporate preferred stock which are (i) rated at least AAA by S&amp;P and Aaa by Moody’s, (ii) regularly traded on a Public Market, and (iii) not subject to any unduly burdensome federal or state securities laws or other laws which restrict or limit their sale or transfer in any material respect.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Government Securities</w:t>
      </w:r>
      <w:r>
        <w:rPr>
          <w:rFonts w:ascii="Arial" w:cs="Arial" w:eastAsia="Arial" w:hAnsi="Arial"/>
          <w:sz w:val="19"/>
          <w:szCs w:val="19"/>
          <w:color w:val="auto"/>
        </w:rPr>
        <w:t>” means obligations which are (a) issued or guaranteed by the United States government (including the Department of the Treasury), (b) regularly traded on a Public Market, and (c) not subject to any unduly burdensome federal or state securities laws or other laws which restrict or limit their sale or transfer in any material respect.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20"/>
          <w:szCs w:val="20"/>
          <w:color w:val="auto"/>
        </w:rPr>
        <w:t>licenses, agreements or governmental restrictions relating to pollution and the protection of the environment or the release of any materials into the environment, including those related to hazardous substances or wastes, human health and safety but only as it relates to exposure to Hazardous Materials or wastes, air emissions and discharges to waste or public systems.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spacing w:after="0" w:line="3" w:lineRule="exact"/>
        <w:rPr>
          <w:sz w:val="20"/>
          <w:szCs w:val="20"/>
          <w:color w:val="auto"/>
        </w:rPr>
      </w:pPr>
    </w:p>
    <w:p>
      <w:pPr>
        <w:ind w:firstLine="8"/>
        <w:spacing w:after="0" w:line="244" w:lineRule="auto"/>
        <w:tabs>
          <w:tab w:leader="none" w:pos="28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any contract, agreement or other consensual arrangement pursuant to which liability is assumed or imposed with respect to any of the foregoing.</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1" w:lineRule="exact"/>
        <w:rPr>
          <w:sz w:val="20"/>
          <w:szCs w:val="20"/>
          <w:color w:val="auto"/>
        </w:rPr>
      </w:pPr>
    </w:p>
    <w:p>
      <w:pPr>
        <w:jc w:val="both"/>
        <w:ind w:firstLine="8"/>
        <w:spacing w:after="0" w:line="270" w:lineRule="auto"/>
        <w:tabs>
          <w:tab w:leader="none" w:pos="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the imposition of a lien pursuant to Section 430(k) of the Code or Section 303(k) or 4068 or ERISA with respect to a Pension Plan.</w:t>
      </w:r>
    </w:p>
    <w:p>
      <w:pPr>
        <w:spacing w:after="0" w:line="17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16" w:lineRule="exact"/>
        <w:rPr>
          <w:sz w:val="20"/>
          <w:szCs w:val="20"/>
          <w:color w:val="auto"/>
        </w:rPr>
      </w:pPr>
    </w:p>
    <w:p>
      <w:pPr>
        <w:jc w:val="both"/>
        <w:ind w:firstLine="656"/>
        <w:spacing w:after="0" w:line="278" w:lineRule="auto"/>
        <w:tabs>
          <w:tab w:leader="none" w:pos="9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64" w:lineRule="exact"/>
        <w:rPr>
          <w:rFonts w:ascii="Arial" w:cs="Arial" w:eastAsia="Arial" w:hAnsi="Arial"/>
          <w:sz w:val="18"/>
          <w:szCs w:val="18"/>
          <w:color w:val="auto"/>
        </w:rPr>
      </w:pPr>
    </w:p>
    <w:p>
      <w:pPr>
        <w:jc w:val="both"/>
        <w:ind w:firstLine="656"/>
        <w:spacing w:after="0" w:line="316" w:lineRule="auto"/>
        <w:tabs>
          <w:tab w:leader="none" w:pos="9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or about 11:00 a.m., London time determined two Business Days prior to such date for U.S. Dollar deposits with a term of one month commencing that day;</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provided that 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 and reasonably acceptable to the Borrower; provided, further that if the Eurodollar Rate shall be less than 0.75%, such rate shall be deemed 0.75% for purposes of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 Loan</w:t>
      </w:r>
      <w:r>
        <w:rPr>
          <w:rFonts w:ascii="Arial" w:cs="Arial" w:eastAsia="Arial" w:hAnsi="Arial"/>
          <w:sz w:val="19"/>
          <w:szCs w:val="19"/>
          <w:color w:val="auto"/>
        </w:rPr>
        <w:t xml:space="preserve">” means a Loan that bears interest at a rate based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“Eurodollar Rate.”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Equity Offerings</w:t>
      </w:r>
      <w:r>
        <w:rPr>
          <w:rFonts w:ascii="Arial" w:cs="Arial" w:eastAsia="Arial" w:hAnsi="Arial"/>
          <w:sz w:val="18"/>
          <w:szCs w:val="18"/>
          <w:color w:val="auto"/>
        </w:rPr>
        <w:t>” means (i) issuances pursuant to employee and director compensation plans, employee benefit plans, employee based incentive plans or arrangements, employee stock purchase plans, dividend reinvestment plans and retirement plans or issued as compensation to officers and/or directors or upon conversion or exercise or vesting of outstanding options, restricted stock, warrants or other equity awards or pursuant to dividend re-investment programs, (ii) issuances to or by a Subsidiary of the Borrower to the Borrower or any other Subsidiary of the Borrower (including, in each case, in connection with existing joint venture arrangements), (iii) issuances of directors’ qualifying shares and/or other nominal amounts required to be held by persons other than the Borrower or its Subsidiaries under applicable law and (iv) any Equity Interests issued as consideration for the FGL Acquisition.</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 and 10.13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amounts with respect to such Taxes were payable either to such Lender’s assignor immediately before such Lender became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20"/>
          <w:szCs w:val="20"/>
          <w:color w:val="auto"/>
        </w:rPr>
        <w:t xml:space="preserve">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(d) any U.S. federal withholding Taxes imposed pursuant to FATCA.</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Fourth Amended and Restated Credit Agreement, dated as of April 27, 2017, among the Borrower, as borrower, each lender from time to time party thereto and Bank of America, N.A., as administrative agent and swing line lender.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 (b) (1) of the Code, any intergovernmental agreements implementing any of the foregoing, and any fiscal or regulatory legislation, rules or practices adopted pursuant to any of the foregoing.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5.24(c)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the Fee Letter, dated April 9, 2020, between the Borrower, the Administrative Agent and the Bookrunners.</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FGL Notes</w:t>
      </w:r>
      <w:r>
        <w:rPr>
          <w:rFonts w:ascii="Arial" w:cs="Arial" w:eastAsia="Arial" w:hAnsi="Arial"/>
          <w:sz w:val="20"/>
          <w:szCs w:val="20"/>
          <w:color w:val="auto"/>
        </w:rPr>
        <w:t>” means those certain 5.50% Senior Notes due 2025 of Fidelity &amp; Guaranty Life Holdings, Inc., a Delaware corporation and a wholly-owned subsidiary of the Acquired Company (“</w:t>
      </w:r>
      <w:r>
        <w:rPr>
          <w:rFonts w:ascii="Arial" w:cs="Arial" w:eastAsia="Arial" w:hAnsi="Arial"/>
          <w:sz w:val="20"/>
          <w:szCs w:val="20"/>
          <w:u w:val="single" w:color="auto"/>
          <w:color w:val="auto"/>
        </w:rPr>
        <w:t>FGLH</w:t>
      </w:r>
      <w:r>
        <w:rPr>
          <w:rFonts w:ascii="Arial" w:cs="Arial" w:eastAsia="Arial" w:hAnsi="Arial"/>
          <w:sz w:val="20"/>
          <w:szCs w:val="20"/>
          <w:color w:val="auto"/>
        </w:rPr>
        <w:t>”), in the original aggregate principal amount of $550,000,000, issued pursuant to an Indenture, dated as of April 20, 2018, among FGLH, the guarantors party thereto and Wells Fargo Bank, National Association, as trustee.</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Fidelity Newport</w:t>
      </w:r>
      <w:r>
        <w:rPr>
          <w:rFonts w:ascii="Arial" w:cs="Arial" w:eastAsia="Arial" w:hAnsi="Arial"/>
          <w:sz w:val="20"/>
          <w:szCs w:val="20"/>
          <w:color w:val="auto"/>
        </w:rPr>
        <w:t>” means Fidelity Newport Holdings, LLC, a Delaware corporation, which owns 100% of the Equity Interests of American Blue Ribbon Holdings, LLC, a Delaware limited liability company.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FNFV</w:t>
      </w:r>
      <w:r>
        <w:rPr>
          <w:rFonts w:ascii="Arial" w:cs="Arial" w:eastAsia="Arial" w:hAnsi="Arial"/>
          <w:sz w:val="20"/>
          <w:szCs w:val="20"/>
          <w:color w:val="auto"/>
        </w:rPr>
        <w:t>” means the entity to be formed by the Borrower that will hold the assets and liabilities attributable to the FNFV Group (as defined in the certificate of incorporation of the Borrower).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FNFV Split-Off</w:t>
      </w:r>
      <w:r>
        <w:rPr>
          <w:rFonts w:ascii="Arial" w:cs="Arial" w:eastAsia="Arial" w:hAnsi="Arial"/>
          <w:sz w:val="20"/>
          <w:szCs w:val="20"/>
          <w:color w:val="auto"/>
        </w:rPr>
        <w:t>” means the redemption by the Borrower of all of the outstanding shares of FNFV Common Stock (as defined in the certificate of incorporation of the Borrower) for outstanding shares of common stock of FNFV on a pro rata basis.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5" w:name="page56"/>
    <w:bookmarkEnd w:id="55"/>
    <w:p>
      <w:pPr>
        <w:jc w:val="both"/>
        <w:ind w:right="20"/>
        <w:spacing w:after="0" w:line="260" w:lineRule="auto"/>
        <w:rPr>
          <w:sz w:val="20"/>
          <w:szCs w:val="20"/>
          <w:color w:val="auto"/>
        </w:rPr>
      </w:pPr>
      <w:r>
        <w:rPr>
          <w:rFonts w:ascii="Arial" w:cs="Arial" w:eastAsia="Arial" w:hAnsi="Arial"/>
          <w:sz w:val="20"/>
          <w:szCs w:val="20"/>
          <w:color w:val="auto"/>
        </w:rPr>
        <w:t>jurisdiction other than that in which the Borrower is resident for tax purposes. For purposes of this definition, the United States, each State thereof and the District of Columbia shall be deemed to constitute a single jurisdiction.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xml:space="preserve">” means the date on which all conditions precedent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 which date shall be on or prior to the Outside Termination Date.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1.03</w:t>
      </w:r>
      <w:r>
        <w:rPr>
          <w:rFonts w:ascii="Arial" w:cs="Arial" w:eastAsia="Arial" w:hAnsi="Arial"/>
          <w:sz w:val="19"/>
          <w:szCs w:val="19"/>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jc w:val="both"/>
        <w:ind w:left="660" w:firstLine="644"/>
        <w:spacing w:after="0" w:line="250" w:lineRule="auto"/>
        <w:tabs>
          <w:tab w:leader="none" w:pos="1594" w:val="left"/>
        </w:tabs>
        <w:numPr>
          <w:ilvl w:val="1"/>
          <w:numId w:val="19"/>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 or incurred in connection with bankers’ acceptances, including obligations so evidenced incurred in connection with the acquisition of property, assets or businesses;</w:t>
      </w:r>
    </w:p>
    <w:p>
      <w:pPr>
        <w:spacing w:after="0" w:line="185" w:lineRule="exact"/>
        <w:rPr>
          <w:rFonts w:ascii="Arial" w:cs="Arial" w:eastAsia="Arial" w:hAnsi="Arial"/>
          <w:sz w:val="20"/>
          <w:szCs w:val="20"/>
          <w:color w:val="auto"/>
        </w:rPr>
      </w:pPr>
    </w:p>
    <w:p>
      <w:pPr>
        <w:ind w:left="660" w:firstLine="644"/>
        <w:spacing w:after="0" w:line="260" w:lineRule="auto"/>
        <w:tabs>
          <w:tab w:leader="none" w:pos="1613" w:val="left"/>
        </w:tabs>
        <w:numPr>
          <w:ilvl w:val="1"/>
          <w:numId w:val="19"/>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 guaranties, surety bonds and similar instruments;</w:t>
      </w:r>
    </w:p>
    <w:p>
      <w:pPr>
        <w:spacing w:after="0" w:line="176" w:lineRule="exact"/>
        <w:rPr>
          <w:rFonts w:ascii="Arial" w:cs="Arial" w:eastAsia="Arial" w:hAnsi="Arial"/>
          <w:sz w:val="20"/>
          <w:szCs w:val="20"/>
          <w:color w:val="auto"/>
        </w:rPr>
      </w:pPr>
    </w:p>
    <w:p>
      <w:pPr>
        <w:ind w:left="1580" w:hanging="276"/>
        <w:spacing w:after="0"/>
        <w:tabs>
          <w:tab w:leader="none" w:pos="15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5" w:lineRule="exact"/>
        <w:rPr>
          <w:rFonts w:ascii="Arial" w:cs="Arial" w:eastAsia="Arial" w:hAnsi="Arial"/>
          <w:sz w:val="20"/>
          <w:szCs w:val="20"/>
          <w:color w:val="auto"/>
        </w:rPr>
      </w:pPr>
    </w:p>
    <w:p>
      <w:pPr>
        <w:jc w:val="both"/>
        <w:ind w:left="660" w:firstLine="644"/>
        <w:spacing w:after="0" w:line="270" w:lineRule="auto"/>
        <w:tabs>
          <w:tab w:leader="none" w:pos="16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(i) any earn out obligation or purchase price adjustment until such obligation (A) becomes a liability on the statement of financial position or balance sheet (excluding the footnotes thereto) in accordance with GAAP and (B) has not been paid within 30 days after becoming due and payable, (ii) trade accounts payable and accrued expenses, including reinsurance payables, in the ordinary course of business and</w:t>
      </w:r>
    </w:p>
    <w:p>
      <w:pPr>
        <w:spacing w:after="0" w:line="2" w:lineRule="exact"/>
        <w:rPr>
          <w:rFonts w:ascii="Arial" w:cs="Arial" w:eastAsia="Arial" w:hAnsi="Arial"/>
          <w:sz w:val="18"/>
          <w:szCs w:val="18"/>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accrued pension costs, employee benefits and post-retirement healthcare obligations);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6" w:name="page57"/>
    <w:bookmarkEnd w:id="56"/>
    <w:p>
      <w:pPr>
        <w:jc w:val="both"/>
        <w:ind w:left="660" w:firstLine="644"/>
        <w:spacing w:after="0" w:line="250" w:lineRule="auto"/>
        <w:tabs>
          <w:tab w:leader="none" w:pos="161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5" w:lineRule="exact"/>
        <w:rPr>
          <w:rFonts w:ascii="Arial" w:cs="Arial" w:eastAsia="Arial" w:hAnsi="Arial"/>
          <w:sz w:val="20"/>
          <w:szCs w:val="20"/>
          <w:color w:val="auto"/>
        </w:rPr>
      </w:pPr>
    </w:p>
    <w:p>
      <w:pPr>
        <w:ind w:left="1560" w:hanging="256"/>
        <w:spacing w:after="0"/>
        <w:tabs>
          <w:tab w:leader="none" w:pos="15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principal amount of Capitalized Lease Liabilities and purchase money indebtedness;</w:t>
      </w:r>
    </w:p>
    <w:p>
      <w:pPr>
        <w:spacing w:after="0" w:line="215" w:lineRule="exact"/>
        <w:rPr>
          <w:rFonts w:ascii="Arial" w:cs="Arial" w:eastAsia="Arial" w:hAnsi="Arial"/>
          <w:sz w:val="20"/>
          <w:szCs w:val="20"/>
          <w:color w:val="auto"/>
        </w:rPr>
      </w:pPr>
    </w:p>
    <w:p>
      <w:pPr>
        <w:ind w:left="1580" w:hanging="276"/>
        <w:spacing w:after="0"/>
        <w:tabs>
          <w:tab w:leader="none" w:pos="15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Synthetic Lease Obligations;</w:t>
      </w:r>
    </w:p>
    <w:p>
      <w:pPr>
        <w:spacing w:after="0" w:line="215" w:lineRule="exact"/>
        <w:rPr>
          <w:rFonts w:ascii="Arial" w:cs="Arial" w:eastAsia="Arial" w:hAnsi="Arial"/>
          <w:sz w:val="20"/>
          <w:szCs w:val="20"/>
          <w:color w:val="auto"/>
        </w:rPr>
      </w:pPr>
    </w:p>
    <w:p>
      <w:pPr>
        <w:ind w:left="1580" w:hanging="276"/>
        <w:spacing w:after="0"/>
        <w:tabs>
          <w:tab w:leader="none" w:pos="15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obligations in respect of Redeemable Stock of such Person;</w:t>
      </w:r>
    </w:p>
    <w:p>
      <w:pPr>
        <w:spacing w:after="0" w:line="215" w:lineRule="exact"/>
        <w:rPr>
          <w:rFonts w:ascii="Arial" w:cs="Arial" w:eastAsia="Arial" w:hAnsi="Arial"/>
          <w:sz w:val="20"/>
          <w:szCs w:val="20"/>
          <w:color w:val="auto"/>
        </w:rPr>
      </w:pPr>
    </w:p>
    <w:p>
      <w:pPr>
        <w:ind w:left="1540" w:hanging="236"/>
        <w:spacing w:after="0"/>
        <w:tabs>
          <w:tab w:leader="none" w:pos="15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Receivables Facility Attributed Indebtedness; and</w:t>
      </w:r>
    </w:p>
    <w:p>
      <w:pPr>
        <w:spacing w:after="0" w:line="215" w:lineRule="exact"/>
        <w:rPr>
          <w:rFonts w:ascii="Arial" w:cs="Arial" w:eastAsia="Arial" w:hAnsi="Arial"/>
          <w:sz w:val="20"/>
          <w:szCs w:val="20"/>
          <w:color w:val="auto"/>
        </w:rPr>
      </w:pPr>
    </w:p>
    <w:p>
      <w:pPr>
        <w:ind w:left="1540" w:hanging="236"/>
        <w:spacing w:after="0"/>
        <w:tabs>
          <w:tab w:leader="none" w:pos="15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all Contingent Obligations of such Person in respect of any of the foregoing.</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all purposes hereof, the Indebtedness of any Person shall include all recourse Indebtedness of any partnership, joint venture or limited liability company in which such Person is a general partner, a joint venturer or a member and for which such Person has liability. The amount of any net obligation under any Swap Contract on any date shall be deemed to be the Swap Termination Value thereof as of such date. The amount of any Synthetic Lease Obligation as of any date shall be deemed to be the amount of Attributable Indebtedness in respect thereof as of such date. The amount of any Indebtedness which is also a Contingent Obligation shall be determined as provided in the definition of “</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If any Indebtedness is limited to recourse against particular assets, the amount of the Indebtedness shall be deemed to be the lesser of the fair market value of the applicable assets and the corresponding Indebtedness. “</w:t>
      </w:r>
      <w:r>
        <w:rPr>
          <w:rFonts w:ascii="Arial" w:cs="Arial" w:eastAsia="Arial" w:hAnsi="Arial"/>
          <w:sz w:val="18"/>
          <w:szCs w:val="18"/>
          <w:u w:val="single" w:color="auto"/>
          <w:color w:val="auto"/>
        </w:rPr>
        <w:t>Indebtedness</w:t>
      </w:r>
      <w:r>
        <w:rPr>
          <w:rFonts w:ascii="Arial" w:cs="Arial" w:eastAsia="Arial" w:hAnsi="Arial"/>
          <w:sz w:val="18"/>
          <w:szCs w:val="18"/>
          <w:color w:val="auto"/>
        </w:rPr>
        <w:t>” shall not include (i) obligations of any Insurance Subsidiary under or pursuant to Insurance Contracts, Reinsurance Agreement and Retrocession Agreements or (ii) earnout obligations in connection with any Permitted Acquisition.</w:t>
      </w:r>
    </w:p>
    <w:p>
      <w:pPr>
        <w:spacing w:after="0" w:line="17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Code</w:t>
      </w:r>
      <w:r>
        <w:rPr>
          <w:rFonts w:ascii="Arial" w:cs="Arial" w:eastAsia="Arial" w:hAnsi="Arial"/>
          <w:sz w:val="20"/>
          <w:szCs w:val="20"/>
          <w:color w:val="auto"/>
        </w:rPr>
        <w:t>” means, with respect to any insurance company, the insurance code of its state of domicile and any successor statute of similar import, together with the regulations thereunder, as amended or otherwise modified and in effect from time to time. References to sections of the Insurance Code shall be construed to also refer to successor sections.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Contract</w:t>
      </w:r>
      <w:r>
        <w:rPr>
          <w:rFonts w:ascii="Arial" w:cs="Arial" w:eastAsia="Arial" w:hAnsi="Arial"/>
          <w:sz w:val="20"/>
          <w:szCs w:val="20"/>
          <w:color w:val="auto"/>
        </w:rPr>
        <w:t>” means any insurance contract or policy issued by an Insurance Subsidiary but shall not include any Reinsurance Agreement or Retrocession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Subsidiary</w:t>
      </w:r>
      <w:r>
        <w:rPr>
          <w:rFonts w:ascii="Arial" w:cs="Arial" w:eastAsia="Arial" w:hAnsi="Arial"/>
          <w:sz w:val="20"/>
          <w:szCs w:val="20"/>
          <w:color w:val="auto"/>
        </w:rPr>
        <w:t xml:space="preserve">” means each Subsidiary of the Borrower identified as an Insurance Subsidiary (including Subsidiaries of such Subsidiary)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and each other Subsidiary (including Subsidiaries of such Subsidiary) from time to time in the insurance business as certified by the Borrower in writing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7" w:name="page58"/>
    <w:bookmarkEnd w:id="57"/>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w:t>
      </w:r>
      <w:r>
        <w:rPr>
          <w:rFonts w:ascii="Arial" w:cs="Arial" w:eastAsia="Arial" w:hAnsi="Arial"/>
          <w:sz w:val="20"/>
          <w:szCs w:val="20"/>
          <w:color w:val="auto"/>
        </w:rPr>
        <w:t>” means, for any period, the amount of interest expense of the Borrower (excluding any of its Subsidiaries) during such period determined in accordance with GAAP.</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two, three or six months thereafter, as selected by the Borrower in its Loan Notice, or such other period that is twelve months or less requested by the Borrower and consented to by all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1" w:lineRule="exact"/>
        <w:rPr>
          <w:sz w:val="20"/>
          <w:szCs w:val="20"/>
          <w:color w:val="auto"/>
        </w:rPr>
      </w:pPr>
    </w:p>
    <w:p>
      <w:pPr>
        <w:jc w:val="both"/>
        <w:ind w:left="660" w:right="20" w:firstLine="644"/>
        <w:spacing w:after="0" w:line="250" w:lineRule="auto"/>
        <w:tabs>
          <w:tab w:leader="none" w:pos="15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605"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Arial" w:cs="Arial" w:eastAsia="Arial" w:hAnsi="Arial"/>
          <w:sz w:val="20"/>
          <w:szCs w:val="20"/>
          <w:color w:val="auto"/>
        </w:rPr>
      </w:pPr>
    </w:p>
    <w:p>
      <w:pPr>
        <w:ind w:left="1660" w:hanging="356"/>
        <w:spacing w:after="0"/>
        <w:tabs>
          <w:tab w:leader="none" w:pos="1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Statements</w:t>
      </w:r>
      <w:r>
        <w:rPr>
          <w:rFonts w:ascii="Arial" w:cs="Arial" w:eastAsia="Arial" w:hAnsi="Arial"/>
          <w:sz w:val="20"/>
          <w:szCs w:val="20"/>
          <w:color w:val="auto"/>
        </w:rPr>
        <w:t>” means the quarterly financial statement of any insurance company as required to be filed with the Department, together with all exhibits or schedules filed therewith, prepared in conformity with SAP. References to amounts on particular exhibits, schedules, lines, pages and columns of such interim statements are based on the formats promulgated by the NAIC for 2019 interim statements for the applicable type of insurance company. If such format is changed in future years so that different information is contained in such terms or they no longer exist, it is understood that the reference is to information consistent with that recorded in the referenced item in the 2019 interim statement of the insurance company.</w:t>
      </w:r>
    </w:p>
    <w:p>
      <w:pPr>
        <w:spacing w:after="0" w:line="19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8" w:name="page59"/>
    <w:bookmarkEnd w:id="58"/>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Requirements</w:t>
      </w:r>
      <w:r>
        <w:rPr>
          <w:rFonts w:ascii="Arial" w:cs="Arial" w:eastAsia="Arial" w:hAnsi="Arial"/>
          <w:sz w:val="20"/>
          <w:szCs w:val="20"/>
          <w:color w:val="auto"/>
        </w:rPr>
        <w:t>” means all applicable Laws made by any Governmental Authority (including any Department) having jurisdiction over the Borrower or a Subsidiary of the Borrower.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has the meaning specified in Section 3.03(c).</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as determined by the Administrative Agent and the Borrower (in each case acting reasonably),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and the Borrower determine is reasonably necessary in connection with the administration of this Agreement).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w:t>
      </w:r>
      <w:r>
        <w:rPr>
          <w:rFonts w:ascii="Arial" w:cs="Arial" w:eastAsia="Arial" w:hAnsi="Arial"/>
          <w:sz w:val="20"/>
          <w:szCs w:val="20"/>
          <w:color w:val="auto"/>
        </w:rPr>
        <w:t>” means any license, certificate of authority, permit, franchise or other authorization which is required to be obtained from any Governmental Authority in connection with the operation, ownership or transaction of insurance business.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for security,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economic effect as any of the foregoing, but excluding any interests of a lessor under any operating leases), in each case, in the nature of security;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 operating lease in and of itself be deemed to constitute a Lien.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any loan made by any Lender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59" w:name="page60"/>
    <w:bookmarkEnd w:id="59"/>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each Note, the Fee Letter and all other documents executed and delivered by the Borrower to the Administrative Agent or any Lender in connection herewith and designated therein by the Borrower and the Administrative Agent as a “Loan Document”.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(b) a conversion of Loans from one Type to the other, or (c) a continuation of Eurodollar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the Administrative Agent and reasonably acceptable to the Borrower (including any form on an electronic platform or electronic transmission system as shall be approved by the Administrative Agent), appropriately completed and signed by a Responsible Officer of the Borrower.</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assets, liabilities (actual or contingent) or condition (financial or otherwise) of the Borrower and its Subsidiaries taken as a whole; (b) a material impairment of the ability of the Borrower to perform its obligations under any Loan Document to which it is a party; or (c) a material adverse effect upon the legality, validity, binding effect or enforceability against the Borrower of any Loan Document to which it is a party.</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Asset Sale</w:t>
      </w:r>
      <w:r>
        <w:rPr>
          <w:rFonts w:ascii="Arial" w:cs="Arial" w:eastAsia="Arial" w:hAnsi="Arial"/>
          <w:sz w:val="18"/>
          <w:szCs w:val="18"/>
          <w:color w:val="auto"/>
        </w:rPr>
        <w:t>” means any disposition by the Borrower or any Subsidiary of any property or assets, in each case outside the ordinary course of business (as reasonably determined by the Borrower), other than (i) the unwinding of hedge agreements, (ii) factoring arrangement, receivables purchase facility and/or any similar arrangements and Permitted Accounts Securitization, (iii) dispositions of receivables in connection with compromise, settlement or collection thereof, (iv) any leasing transactions, (v) sale-leaseback transactions in the ordinary course of business, (vi) sales or other dispositions of assets or property between or among the Borrower and its Subsidiaries,</w:t>
      </w:r>
    </w:p>
    <w:p>
      <w:pPr>
        <w:spacing w:after="0" w:line="4" w:lineRule="exact"/>
        <w:rPr>
          <w:sz w:val="20"/>
          <w:szCs w:val="20"/>
          <w:color w:val="auto"/>
        </w:rPr>
      </w:pPr>
    </w:p>
    <w:p>
      <w:pPr>
        <w:ind w:firstLine="8"/>
        <w:spacing w:after="0" w:line="269" w:lineRule="auto"/>
        <w:tabs>
          <w:tab w:leader="none" w:pos="402" w:val="left"/>
        </w:tabs>
        <w:numPr>
          <w:ilvl w:val="0"/>
          <w:numId w:val="23"/>
        </w:numPr>
        <w:rPr>
          <w:rFonts w:ascii="Arial" w:cs="Arial" w:eastAsia="Arial" w:hAnsi="Arial"/>
          <w:sz w:val="19"/>
          <w:szCs w:val="19"/>
          <w:color w:val="auto"/>
        </w:rPr>
      </w:pPr>
      <w:r>
        <w:rPr>
          <w:rFonts w:ascii="Arial" w:cs="Arial" w:eastAsia="Arial" w:hAnsi="Arial"/>
          <w:sz w:val="19"/>
          <w:szCs w:val="19"/>
          <w:color w:val="auto"/>
        </w:rPr>
        <w:t>sales or other dispositions of obsolete or work-out property and property no longer used or useful in the business and (viii) the sale or other disposition of cash and cash equivalents or debt investments and instruments in the ordinary course of business.</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of the type described in clause (a) of the definition thereof incurred by the Borrower or any Subsidiary, other than (i) intercompany Indebtedness between or among the Borrower and/or any Subsidiary, (ii) ordinary-course purchase money Indebtedness, facility and equipment financings, and Indebtedness issued in connection with tenant leases (including sale-leasebacks), Capital Leases and similar obligations, (iii) borrowings under the Borrower’s or any of its Subsidiaries’ existing credit facilities (including the Existing Credit Agreement) and any refinancing thereof (but not to exceed the principal or face amount thereof (together with accrued interest, fees and premiums (if any) thereon and fees and expenses associated with such refinancing)), (iv) hedging and cash management arrangements, (v) ordinary course working capital facilities, letter of credit, factoring, surety bonds, local lines of credit and/or overdraft facilities and (vi) issuances of commercial paper and refinancings thereof (but not to exceed the principal or face amount thereof (together with accrued interest, fees and premiums (if any) thereon and fees and expenses associated with such refinancing)).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Insurance Subsidiary</w:t>
      </w:r>
      <w:r>
        <w:rPr>
          <w:rFonts w:ascii="Arial" w:cs="Arial" w:eastAsia="Arial" w:hAnsi="Arial"/>
          <w:sz w:val="20"/>
          <w:szCs w:val="20"/>
          <w:color w:val="auto"/>
        </w:rPr>
        <w:t>” means a Material Subsidiary that is also an Insurance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0" w:name="page61"/>
    <w:bookmarkEnd w:id="60"/>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at any time, (a) each Subsidiary of the Borrower identified as a Material Subsidiary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and (b) each other Subsidiary having (on a consolidated basis with its Subsidiaries) at such time either (i) total (gross) revenues for the Test Period in excess of 5% of the total (gross) revenues of the Borrower and its Subsidiaries for such Test Period or (ii) total assets, as of the last day of the preceding fiscal quarter, having a net book value in excess of 5% of the total assets of the Borrower and its Subsidiaries as of such day, in each case, based upon the Borrower’s most recent annual or quarterly financial statements delivered to the Administrative Agent under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April 21, 2021;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NAIC</w:t>
      </w:r>
      <w:r>
        <w:rPr>
          <w:rFonts w:ascii="Arial" w:cs="Arial" w:eastAsia="Arial" w:hAnsi="Arial"/>
          <w:sz w:val="19"/>
          <w:szCs w:val="19"/>
          <w:color w:val="auto"/>
        </w:rPr>
        <w:t>” means the National Association of Insurance Commissioners or any successor thereto, or in absence of the National Association of Insurance Commissioners or such successor, any other association, agency or other organization performing advisory, coordination or other like functions among insurance departments, insurance commissioners and similar Governmental Authorities of the various states of the United States toward the promotion of uniformity in the practices of such Governmental Authorities.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Disposition Proceeds</w:t>
      </w:r>
      <w:r>
        <w:rPr>
          <w:rFonts w:ascii="Arial" w:cs="Arial" w:eastAsia="Arial" w:hAnsi="Arial"/>
          <w:sz w:val="18"/>
          <w:szCs w:val="18"/>
          <w:color w:val="auto"/>
        </w:rPr>
        <w:t>” means, as to any disposition by a Person, proceeds in cash as and when received by such Person, net of</w:t>
      </w:r>
    </w:p>
    <w:p>
      <w:pPr>
        <w:spacing w:after="0" w:line="39" w:lineRule="exact"/>
        <w:rPr>
          <w:sz w:val="20"/>
          <w:szCs w:val="20"/>
          <w:color w:val="auto"/>
        </w:rPr>
      </w:pPr>
    </w:p>
    <w:p>
      <w:pPr>
        <w:jc w:val="both"/>
        <w:ind w:firstLine="8"/>
        <w:spacing w:after="0" w:line="306" w:lineRule="auto"/>
        <w:tabs>
          <w:tab w:leader="none" w:pos="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direct costs and expenses (including attorneys’ fees, investment banking fees, survey costs, title insurance premiums, and related search and recording charges, transfer taxes, deed or mortgage recording taxes, other customary expenses and brokerage, consultant and other customary fees) relating to such disposition excluding amounts payable to such Person or any Affiliate of such Person, (b) the amount of all taxes paid or reasonably estimated to be payable by such Person in connection therewith, but including the excess, if any, of the estimated taxes payable in connection with such disposition over the actual amount of taxes paid, immediately after the payment of such taxes,</w:t>
      </w:r>
    </w:p>
    <w:p>
      <w:pPr>
        <w:spacing w:after="0" w:line="1" w:lineRule="exact"/>
        <w:rPr>
          <w:rFonts w:ascii="Arial" w:cs="Arial" w:eastAsia="Arial" w:hAnsi="Arial"/>
          <w:sz w:val="16"/>
          <w:szCs w:val="16"/>
          <w:color w:val="auto"/>
        </w:rPr>
      </w:pPr>
    </w:p>
    <w:p>
      <w:pPr>
        <w:jc w:val="both"/>
        <w:ind w:firstLine="8"/>
        <w:spacing w:after="0" w:line="271"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required to be applied to repay principal, interest and prepayment premiums and penalties on Indebtedness secured by a Lien on the asset which is the subject of such disposition, (d) in the case of a disposition of a Person, payments required to be made to holders of minority interest in such Person as a result of such disposition and (e) the amount of any reasonable reserve established in accordance with GAAP (i) in respect of adjustments in the sale price of the asset which is the subject of such disposition and (ii) against any liabilities (other than any taxes deducted pursuant to clause (b) above) associated with the assets sold or disposed of and retained by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subsequent reduction of such reserve (other than in connection with a payment in respect of any such liability) shall be deemed to be Net Disposition Proceeds realized on the date of such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1" w:name="page62"/>
    <w:bookmarkEnd w:id="6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(x) the sale of any capital stock or other Equity Interest by the Borrower or any Subsidiary or (y) the incurrence of any Indebtedness, the excess of (i) the sum of the cash and cash equivalents received in connection with such sale or incurrence, as applicable, over (ii) the taxes, investment banking fees, underwriting discounts, commissions, costs and other out-of-pocket fees and expenses and other customary expenses, incurred in connection with such sale or incurrence.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Income</w:t>
      </w:r>
      <w:r>
        <w:rPr>
          <w:rFonts w:ascii="Arial" w:cs="Arial" w:eastAsia="Arial" w:hAnsi="Arial"/>
          <w:sz w:val="19"/>
          <w:szCs w:val="19"/>
          <w:color w:val="auto"/>
        </w:rPr>
        <w:t xml:space="preserve">” means, for any period, (a) for the Borrower’s Subsidiaries which are non-Insurance Subsidiaries, the net income of such non-Insurance Subsidiaries from continuing operations before extraordinary items (excluding from the calculation of net income gains and losses from dispositions of assets) for that period and (b) for purposes of </w:t>
      </w:r>
      <w:r>
        <w:rPr>
          <w:rFonts w:ascii="Arial" w:cs="Arial" w:eastAsia="Arial" w:hAnsi="Arial"/>
          <w:sz w:val="19"/>
          <w:szCs w:val="19"/>
          <w:u w:val="single" w:color="auto"/>
          <w:color w:val="auto"/>
        </w:rPr>
        <w:t>Section 7.09(a)</w:t>
      </w:r>
      <w:r>
        <w:rPr>
          <w:rFonts w:ascii="Arial" w:cs="Arial" w:eastAsia="Arial" w:hAnsi="Arial"/>
          <w:sz w:val="19"/>
          <w:szCs w:val="19"/>
          <w:color w:val="auto"/>
        </w:rPr>
        <w:t>, the net income of the Borrower and its Subsidiaries from continuing operations before extraordinary items (excluding from the calculation of net income (x) gains and losses from dispositions of assets and (y) any net income attributable to any noncontrolling interest for that period.</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Worth</w:t>
      </w:r>
      <w:r>
        <w:rPr>
          <w:rFonts w:ascii="Arial" w:cs="Arial" w:eastAsia="Arial" w:hAnsi="Arial"/>
          <w:sz w:val="20"/>
          <w:szCs w:val="20"/>
          <w:color w:val="auto"/>
        </w:rPr>
        <w:t>” means, at any time, the sum of all amounts (without duplication) which, in accordance with GAAP, would be included in the Borrower’s total equity (excluding, for purposes of Section 7.09(a) only, the Net Worth attributable to any noncontrolling interest) as required to be reported in the Borrower’s then most recent consolidated balance sheet required to be delivered to the Administrative Agent pursuant to this Agreement.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Worth Adjustment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7.09(a)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Worth Level</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7.09(a)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Worth Test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7.09(a)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(i) that does not approve any consent, waiver or amendment that (A) requires the approval of all Lenders or all affected Lenders in accordance with the terms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(B) has been approved by the Required Lenders or (ii) that prohibits an Acquisition by the Borrower or a Subsidiary by the exercise of clause (c) of the definition of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Acquisition</w:t>
      </w:r>
      <w:r>
        <w:rPr>
          <w:rFonts w:ascii="Arial" w:cs="Arial" w:eastAsia="Arial" w:hAnsi="Arial"/>
          <w:sz w:val="20"/>
          <w:szCs w:val="20"/>
          <w:color w:val="auto"/>
        </w:rPr>
        <w:t>”, which Acquisition would otherwise be a Permitted Acquisition.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Debt</w:t>
      </w:r>
      <w:r>
        <w:rPr>
          <w:rFonts w:ascii="Arial" w:cs="Arial" w:eastAsia="Arial" w:hAnsi="Arial"/>
          <w:sz w:val="18"/>
          <w:szCs w:val="18"/>
          <w:color w:val="auto"/>
        </w:rPr>
        <w:t>” means, with respect to the Borrower or any of its Subsidiaries, Indebtedness of the Borrower or any of its Subsidiaries for which the owner of such Indebtedness has no recourse, directly or indirectly, to the Borrower or any of its Subsidiaries for the principal, premium, if any, and interest on such Indebtedness, except (i) pursuant to mortgages, deeds of trust or security interests in respect of specific land or equipment or other real or personal property interests of the Borrower or any of its Subsidiaries, and the proceeds thereof and (ii) recourse of any Person for any such Indebtedness for fraud, misrepresentation, misapplication of cash, waste, environmental claims and liabilities, prohibited transfers, violations of single purposes entity covenants and other circumstances customarily excluded from exculpation provisions and/or included in separate guaranty or indemnification agreements in non-recourse financings.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made by the Borrower in favor of a Lender evidencing Loans made by such Lender,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2" w:name="page63"/>
    <w:bookmarkEnd w:id="62"/>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 Guarantee</w:t>
      </w:r>
      <w:r>
        <w:rPr>
          <w:rFonts w:ascii="Arial" w:cs="Arial" w:eastAsia="Arial" w:hAnsi="Arial"/>
          <w:sz w:val="20"/>
          <w:szCs w:val="20"/>
          <w:color w:val="auto"/>
        </w:rPr>
        <w:t>” means the guarantee by the Borrower of the FGL Notes pursuant to a supplemental indenture (the “</w:t>
      </w:r>
      <w:r>
        <w:rPr>
          <w:rFonts w:ascii="Arial" w:cs="Arial" w:eastAsia="Arial" w:hAnsi="Arial"/>
          <w:sz w:val="20"/>
          <w:szCs w:val="20"/>
          <w:u w:val="single" w:color="auto"/>
          <w:color w:val="auto"/>
        </w:rPr>
        <w:t>Supplemental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Indenture</w:t>
      </w:r>
      <w:r>
        <w:rPr>
          <w:rFonts w:ascii="Arial" w:cs="Arial" w:eastAsia="Arial" w:hAnsi="Arial"/>
          <w:sz w:val="20"/>
          <w:szCs w:val="20"/>
          <w:color w:val="auto"/>
        </w:rPr>
        <w:t>”) dated on or about the Acquisition Closing Date.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and monetary obligations of, the Borrower to any Lender, the Administrative Agent, any Indemnitee or any Affiliate of any Lender arising under any Loan Document, whether direct or indirect (including those acquired by assumption), absolute or contingent, due or to become due, now existing or hereafter arising,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Off-Balance Sheet Liabilities</w:t>
      </w:r>
      <w:r>
        <w:rPr>
          <w:rFonts w:ascii="Arial" w:cs="Arial" w:eastAsia="Arial" w:hAnsi="Arial"/>
          <w:sz w:val="18"/>
          <w:szCs w:val="18"/>
          <w:color w:val="auto"/>
        </w:rPr>
        <w:t>” means, with respect to any Person as of any date of determination thereof, without duplication and to the extent not included as a liability on the consolidated balance sheet of such Person and its Subsidiaries in accordance with GAAP: (a) with respect to any asset securitization transaction (including any accounts receivable purchase facility) any payment, recourse, repurchase, hold harmless, indemnity or similar obligation of such Person or any of its Subsidiaries in respect of assets transferred or payments made in respect thereof, other than limited recourse provisions that are customary for transactions of such type and that neither (i) have the effect of limiting the loss or credit risk of such purchasers or transferees with respect to payment or performance by the obligors of the assets so transferred, based on creditworthiness issues, nor (ii) impair the characterization of the transaction as a true sale under applicable Laws (including Debtor Relief Laws); (b) the monetary obligations under any financing lease or so-called “synthetic”, tax retention or off-balance sheet lease transaction which, upon the application of any Debtor Relief Law to such Person or any of its Subsidiaries, would be characterized as indebtedness; (c) the monetary obligations under any sale and leaseback transaction which does not create a liability on the consolidated balance sheet of such Person and its Subsidiaries; or (d) any other monetary obligation arising with respect to any other transaction which (i) upon the application of any Debtor Relief Law to such Person or any of its Subsidiaries, would be characterized as indebtedness and is not so characterized prior to such application or (ii) is the functional equivalent of or takes the place of borrowing but which does not constitute a liability on the consolidated balance sheet of such Person and its Subsidiaries (for purposes of this clause (d), any transaction structured to provide tax deductibility as interest expense of any dividend, coupon or other periodic payment will be deemed to be the functional equivalent of a borrowing).</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3" w:name="page64"/>
    <w:bookmarkEnd w:id="63"/>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Sections 3.06</w:t>
      </w:r>
      <w:r>
        <w:rPr>
          <w:rFonts w:ascii="Arial" w:cs="Arial" w:eastAsia="Arial" w:hAnsi="Arial"/>
          <w:sz w:val="19"/>
          <w:szCs w:val="19"/>
          <w:color w:val="auto"/>
        </w:rPr>
        <w:t xml:space="preserve"> and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4634865</wp:posOffset>
            </wp:positionH>
            <wp:positionV relativeFrom="paragraph">
              <wp:posOffset>-39370</wp:posOffset>
            </wp:positionV>
            <wp:extent cx="314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Termination Date</w:t>
      </w:r>
      <w:r>
        <w:rPr>
          <w:rFonts w:ascii="Arial" w:cs="Arial" w:eastAsia="Arial" w:hAnsi="Arial"/>
          <w:sz w:val="20"/>
          <w:szCs w:val="20"/>
          <w:color w:val="auto"/>
        </w:rPr>
        <w:t>” means the Outside Termination Date (as defined in the Acquisition Agreement (as in effect on the date hereof), including after giving effect to any extension thereof contemplated by Section 8.01(f) of the Acquisition Agreement (as in effect on the date 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or “</w:t>
      </w:r>
      <w:r>
        <w:rPr>
          <w:rFonts w:ascii="Arial" w:cs="Arial" w:eastAsia="Arial" w:hAnsi="Arial"/>
          <w:sz w:val="20"/>
          <w:szCs w:val="20"/>
          <w:u w:val="single" w:color="auto"/>
          <w:color w:val="auto"/>
        </w:rPr>
        <w:t>Outstandings</w:t>
      </w:r>
      <w:r>
        <w:rPr>
          <w:rFonts w:ascii="Arial" w:cs="Arial" w:eastAsia="Arial" w:hAnsi="Arial"/>
          <w:sz w:val="20"/>
          <w:szCs w:val="20"/>
          <w:color w:val="auto"/>
        </w:rPr>
        <w:t>” means, on any date, the aggregate outstanding principal amount of Loans after giving effect to any borrowings and prepayments or repayments of Loans, as the case may be, occurring on such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Accounts Securitization</w:t>
      </w:r>
      <w:r>
        <w:rPr>
          <w:rFonts w:ascii="Arial" w:cs="Arial" w:eastAsia="Arial" w:hAnsi="Arial"/>
          <w:sz w:val="18"/>
          <w:szCs w:val="18"/>
          <w:color w:val="auto"/>
        </w:rPr>
        <w:t>” means, with respect to the Borrower and its Subsidiaries, any pledge, sale, transfer, contribution, conveyance or other disposition to a Securitization Vehicle of (a) accounts, chattel paper, instruments or general intangibles (each as defined in the UCC) arising in connection with the sale of goods or the rendering of services by such Person, including, without limitation, the related rights to any finance, interest, late payment charges or similar charges (such items, the “</w:t>
      </w:r>
      <w:r>
        <w:rPr>
          <w:rFonts w:ascii="Arial" w:cs="Arial" w:eastAsia="Arial" w:hAnsi="Arial"/>
          <w:sz w:val="18"/>
          <w:szCs w:val="18"/>
          <w:u w:val="single" w:color="auto"/>
          <w:color w:val="auto"/>
        </w:rPr>
        <w:t>Receivables</w:t>
      </w:r>
      <w:r>
        <w:rPr>
          <w:rFonts w:ascii="Arial" w:cs="Arial" w:eastAsia="Arial" w:hAnsi="Arial"/>
          <w:sz w:val="18"/>
          <w:szCs w:val="18"/>
          <w:color w:val="auto"/>
        </w:rPr>
        <w:t>”), (b) such Person’s interest in the inventory or goods the sale of which by such Person gave rise to such Receivable (but only to the extent such inventory or goods consists of returned or repossessed inventory or goods, if any), (c) all other guaranties, letters of credit, insurance and security interests or liens purporting to secure or support payment of such Receivable, (d) all insurance contracts, service contracts, books and records associated with such Receivable, (e) any lockbox, post office box or similar deposit account related solely to the accounts being transferred, (f) cash collections and cash proceeds of such Receivable and (g) any proceeds of the foregoing (all such items referenced in clauses (a) through (g), the “</w:t>
      </w:r>
      <w:r>
        <w:rPr>
          <w:rFonts w:ascii="Arial" w:cs="Arial" w:eastAsia="Arial" w:hAnsi="Arial"/>
          <w:sz w:val="18"/>
          <w:szCs w:val="18"/>
          <w:u w:val="single" w:color="auto"/>
          <w:color w:val="auto"/>
        </w:rPr>
        <w:t>Transferred Assets</w:t>
      </w:r>
      <w:r>
        <w:rPr>
          <w:rFonts w:ascii="Arial" w:cs="Arial" w:eastAsia="Arial" w:hAnsi="Arial"/>
          <w:sz w:val="18"/>
          <w:szCs w:val="18"/>
          <w:color w:val="auto"/>
        </w:rPr>
        <w:t xml:space="preserve">”) which such sale, transfer, contribution, conveyance or other disposition is funded by the Securitization Vehicle in whole or in part by borrowings or the issuance of instruments or securities that are paid principally from the cash derived from such Transferred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gross proceeds available to the Borrower or any Subsidiary in connection with all such transactions shall not at the time of incurrence thereof exceed the greater of (i)</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9"/>
          <w:szCs w:val="19"/>
          <w:color w:val="auto"/>
        </w:rPr>
        <w:t xml:space="preserve">$100,000,000 and (ii) 3% of Net Worth as of the end of the immediately preceding fiscal quarter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sale, transfer, contribution, conveyance or other disposition and any Indebtedness arising from such sale, transfer, contribution, conveyance or other disposition shall be without recourse to the Borrower or any of its Subsidiaries except with respect to (A) reductions in the balance of such Receivable as a result of any defective or rejected goods or set off by the obligor of such Receivable transferred by such Person, or (B) breaches of representations or warranties by such Person in any agreement, document or instrument executed by such Person in connection with such pledge, sale, transfer, contribution, conveyance or disposition.</w:t>
      </w:r>
    </w:p>
    <w:p>
      <w:pPr>
        <w:spacing w:after="0" w:line="17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at any time of determination, any Acquisition by the Borrower or any of its Subsidiaries with respect to which each of the following requirements are met:</w:t>
      </w:r>
    </w:p>
    <w:p>
      <w:pPr>
        <w:spacing w:after="0" w:line="177" w:lineRule="exact"/>
        <w:rPr>
          <w:sz w:val="20"/>
          <w:szCs w:val="20"/>
          <w:color w:val="auto"/>
        </w:rPr>
      </w:pPr>
    </w:p>
    <w:p>
      <w:pPr>
        <w:ind w:left="660" w:firstLine="644"/>
        <w:spacing w:after="0" w:line="260" w:lineRule="auto"/>
        <w:tabs>
          <w:tab w:leader="none" w:pos="1587" w:val="left"/>
        </w:tabs>
        <w:numPr>
          <w:ilvl w:val="0"/>
          <w:numId w:val="26"/>
        </w:numPr>
        <w:rPr>
          <w:rFonts w:ascii="Arial" w:cs="Arial" w:eastAsia="Arial" w:hAnsi="Arial"/>
          <w:sz w:val="20"/>
          <w:szCs w:val="20"/>
          <w:color w:val="auto"/>
        </w:rPr>
      </w:pPr>
      <w:r>
        <w:rPr>
          <w:rFonts w:ascii="Arial" w:cs="Arial" w:eastAsia="Arial" w:hAnsi="Arial"/>
          <w:sz w:val="20"/>
          <w:szCs w:val="20"/>
          <w:color w:val="auto"/>
        </w:rPr>
        <w:t>such Acquisition has been approved and recommended by the board of directors or general partner (or similar entity) of the Person to be acquired or which owns the assets of the Person be acquired;</w:t>
      </w:r>
    </w:p>
    <w:p>
      <w:pPr>
        <w:spacing w:after="0" w:line="176" w:lineRule="exact"/>
        <w:rPr>
          <w:rFonts w:ascii="Arial" w:cs="Arial" w:eastAsia="Arial" w:hAnsi="Arial"/>
          <w:sz w:val="20"/>
          <w:szCs w:val="20"/>
          <w:color w:val="auto"/>
        </w:rPr>
      </w:pPr>
    </w:p>
    <w:p>
      <w:pPr>
        <w:ind w:left="1580" w:hanging="276"/>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time of such Acquisition, no Event of Default shall have occurred and be continuing or would result therefrom; and</w:t>
      </w:r>
    </w:p>
    <w:p>
      <w:pPr>
        <w:spacing w:after="0" w:line="238" w:lineRule="exact"/>
        <w:rPr>
          <w:rFonts w:ascii="Arial" w:cs="Arial" w:eastAsia="Arial" w:hAnsi="Arial"/>
          <w:sz w:val="18"/>
          <w:szCs w:val="18"/>
          <w:color w:val="auto"/>
        </w:rPr>
      </w:pPr>
    </w:p>
    <w:p>
      <w:pPr>
        <w:jc w:val="both"/>
        <w:ind w:left="660" w:firstLine="644"/>
        <w:spacing w:after="0" w:line="250" w:lineRule="auto"/>
        <w:tabs>
          <w:tab w:leader="none" w:pos="1591"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business of the Person or assets to be acquired is in the real estate or title insurance business or is in an industry or business to which making a loan would not violate one or more lending policies of any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Lender’s policies are uniformly administered and applied to all corporate borrowers by such Lender.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Debentures</w:t>
      </w:r>
      <w:r>
        <w:rPr>
          <w:rFonts w:ascii="Arial" w:cs="Arial" w:eastAsia="Arial" w:hAnsi="Arial"/>
          <w:sz w:val="18"/>
          <w:szCs w:val="18"/>
          <w:color w:val="auto"/>
        </w:rPr>
        <w:t>” means (a) those certain 5.50% Notes Due September 2022, of the Borrower in original aggregate principal amount of $400,000,000, issued pursuant to that certain Indenture, dated as of December 8, 2005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the Borrower and The Bank of New York Mellon Trust Company, N.A. (and related agreements and instruments), as amended by that certain First Supplemental Indenture, dated as of January 6, 2006 (the “</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and that certain Second Supplemental Indenture, dated as of May 5, 2010 (the “</w:t>
      </w:r>
      <w:r>
        <w:rPr>
          <w:rFonts w:ascii="Arial" w:cs="Arial" w:eastAsia="Arial" w:hAnsi="Arial"/>
          <w:sz w:val="18"/>
          <w:szCs w:val="18"/>
          <w:u w:val="single" w:color="auto"/>
          <w:color w:val="auto"/>
        </w:rPr>
        <w:t>Second Supplemental Indenture</w:t>
      </w:r>
      <w:r>
        <w:rPr>
          <w:rFonts w:ascii="Arial" w:cs="Arial" w:eastAsia="Arial" w:hAnsi="Arial"/>
          <w:sz w:val="18"/>
          <w:szCs w:val="18"/>
          <w:color w:val="auto"/>
        </w:rPr>
        <w:t>”), and (b) those certain 4.50% Notes Due August 2028, of the Borrower in original aggregate principal amount of $450,000,000, issued pursuant to the Base Indenture, as amended by the First Supplemental Indenture, the Second Supplemental Indenture and that certain Fourth Supplemental Indenture, dated as of April 13, 2018.</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Market</w:t>
      </w:r>
      <w:r>
        <w:rPr>
          <w:rFonts w:ascii="Arial" w:cs="Arial" w:eastAsia="Arial" w:hAnsi="Arial"/>
          <w:sz w:val="20"/>
          <w:szCs w:val="20"/>
          <w:color w:val="auto"/>
        </w:rPr>
        <w:t>” shall mean a nationally recognized United States public exchange or other market reasonably acceptable to the Administrative Agent on which securities, debt instruments and/or mutual funds are regularly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Agency</w:t>
      </w:r>
      <w:r>
        <w:rPr>
          <w:rFonts w:ascii="Arial" w:cs="Arial" w:eastAsia="Arial" w:hAnsi="Arial"/>
          <w:sz w:val="20"/>
          <w:szCs w:val="20"/>
          <w:color w:val="auto"/>
        </w:rPr>
        <w:t>” means S&amp;P or Moody’s, collectively, the “</w:t>
      </w:r>
      <w:r>
        <w:rPr>
          <w:rFonts w:ascii="Arial" w:cs="Arial" w:eastAsia="Arial" w:hAnsi="Arial"/>
          <w:sz w:val="20"/>
          <w:szCs w:val="20"/>
          <w:u w:val="single" w:color="auto"/>
          <w:color w:val="auto"/>
        </w:rPr>
        <w:t>Rating Agencies</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has the meaning specified in the definition of “</w:t>
      </w:r>
      <w:r>
        <w:rPr>
          <w:rFonts w:ascii="Arial" w:cs="Arial" w:eastAsia="Arial" w:hAnsi="Arial"/>
          <w:sz w:val="20"/>
          <w:szCs w:val="20"/>
          <w:u w:val="single" w:color="auto"/>
          <w:color w:val="auto"/>
        </w:rPr>
        <w:t>Permitted Accounts Securitization</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Facility Attributed Indebtedness</w:t>
      </w:r>
      <w:r>
        <w:rPr>
          <w:rFonts w:ascii="Arial" w:cs="Arial" w:eastAsia="Arial" w:hAnsi="Arial"/>
          <w:sz w:val="20"/>
          <w:szCs w:val="20"/>
          <w:color w:val="auto"/>
        </w:rPr>
        <w:t>” means the amount of recourse obligations outstanding under a receivables purchase facility on any date of determination.</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or any other recipient of any payment to be made by or on account of any obligation of the Borrower hereunder.</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Redeemable Stock</w:t>
      </w:r>
      <w:r>
        <w:rPr>
          <w:rFonts w:ascii="Arial" w:cs="Arial" w:eastAsia="Arial" w:hAnsi="Arial"/>
          <w:sz w:val="19"/>
          <w:szCs w:val="19"/>
          <w:color w:val="auto"/>
        </w:rPr>
        <w:t>” means any Equity Interests of the Borrower or any of its Subsidiaries which prior to June 27, 2022 is or may be (a) mandatorily redeemable, (b) redeemable at the option of the holder thereof or (c) convertible into Indebtedness.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Reinsurance Agreement</w:t>
      </w:r>
      <w:r>
        <w:rPr>
          <w:rFonts w:ascii="Arial" w:cs="Arial" w:eastAsia="Arial" w:hAnsi="Arial"/>
          <w:sz w:val="20"/>
          <w:szCs w:val="20"/>
          <w:color w:val="auto"/>
        </w:rPr>
        <w:t>” means any agreement, contract, treaty or other arrangement whereby one or more insurers, as reinsurers, assume liabilities of one or more insurance or reinsurance companies.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administrators, managers and advisors of such Person and of such Person’s Affiliates.</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with respect to a Borrowing, conversion or continuation of Loans, a Loan Notice.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Loans or unused Commitments representing more than 50% of the Aggregate Loans or unused Aggregate Commitments, as applicable, of all Lenders at such time. The Commitments and Loans of any Defaulting Lender shall be disregarded in determining Required Lenders at any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executive vice presidents, chief financial officer, treasurer, controller, secretary or assistant secretary of the Borrower and,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6" w:name="page67"/>
    <w:bookmarkEnd w:id="66"/>
    <w:p>
      <w:pPr>
        <w:jc w:val="both"/>
        <w:ind w:right="20"/>
        <w:spacing w:after="0" w:line="250" w:lineRule="auto"/>
        <w:rPr>
          <w:sz w:val="20"/>
          <w:szCs w:val="20"/>
          <w:color w:val="auto"/>
        </w:rPr>
      </w:pPr>
      <w:r>
        <w:rPr>
          <w:rFonts w:ascii="Arial" w:cs="Arial" w:eastAsia="Arial" w:hAnsi="Arial"/>
          <w:sz w:val="20"/>
          <w:szCs w:val="20"/>
          <w:color w:val="auto"/>
        </w:rPr>
        <w:t>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Retrocession Agreement</w:t>
      </w:r>
      <w:r>
        <w:rPr>
          <w:rFonts w:ascii="Arial" w:cs="Arial" w:eastAsia="Arial" w:hAnsi="Arial"/>
          <w:sz w:val="20"/>
          <w:szCs w:val="20"/>
          <w:color w:val="auto"/>
        </w:rPr>
        <w:t>” means any agreement, contract, treaty or other arrangement whereby one or more insurers or reinsurers, as retrocessionaires, assume liabilities of reinsurers under a Reinsurance Agreement or other retrocessionaires under another Retrocession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5.24(a)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SAP</w:t>
      </w:r>
      <w:r>
        <w:rPr>
          <w:rFonts w:ascii="Arial" w:cs="Arial" w:eastAsia="Arial" w:hAnsi="Arial"/>
          <w:sz w:val="20"/>
          <w:szCs w:val="20"/>
          <w:color w:val="auto"/>
        </w:rPr>
        <w:t>” means, as to any insurance company, the statutory accounting practices prescribed or permitted by the Department, or in the event that the Department fails to prescribe or address such practices, NAIC guidelines.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has the meaning specified in Section 3.03(c).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Vehicle</w:t>
      </w:r>
      <w:r>
        <w:rPr>
          <w:rFonts w:ascii="Arial" w:cs="Arial" w:eastAsia="Arial" w:hAnsi="Arial"/>
          <w:sz w:val="19"/>
          <w:szCs w:val="19"/>
          <w:color w:val="auto"/>
        </w:rPr>
        <w:t>” means one or more special purpose vehicles that are, directly or indirectly, wholly-owned Subsidiaries of the Borrower and are Persons organized for the limited purpose of entering into a Permitted Accounts Securitization and whose structure is designed to insulate such vehicle from the credit risk of the Borrower and its other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w:t>
      </w:r>
      <w:r>
        <w:rPr>
          <w:rFonts w:ascii="Arial" w:cs="Arial" w:eastAsia="Arial" w:hAnsi="Arial"/>
          <w:sz w:val="20"/>
          <w:szCs w:val="20"/>
          <w:color w:val="auto"/>
        </w:rPr>
        <w:t>” means each of the BKFS Spin-Off and the FNFV Split-Off.</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SOFR-Based Rate</w:t>
      </w:r>
      <w:r>
        <w:rPr>
          <w:rFonts w:ascii="Arial" w:cs="Arial" w:eastAsia="Arial" w:hAnsi="Arial"/>
          <w:sz w:val="20"/>
          <w:szCs w:val="20"/>
          <w:color w:val="auto"/>
        </w:rPr>
        <w:t>” means SOFR or Term SOFR.</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at any time, that (a) the sum of the debt (including contingent liabilities) of such Person does not exceed the fair value of the assets (on a going concern basis) of such Person, (b) the capital of such Person is not unreasonably small in relation to the business of such Person; and (c) such Person does not intend to incur, or believe that they will incur, debts (including current obligations and contingent liabilities) beyond their ability to pay such debt as they mature in the ordinary course of business. For the purposes hereof, the amount of any contingent liability at any time will be computed as the amount that, in light of all of the facts and circumstances existing at such time, represents the amount that can reasonably be expected to become an actual or matured liability.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Financial Statements</w:t>
      </w:r>
      <w:r>
        <w:rPr>
          <w:rFonts w:ascii="Arial" w:cs="Arial" w:eastAsia="Arial" w:hAnsi="Arial"/>
          <w:sz w:val="20"/>
          <w:szCs w:val="20"/>
          <w:color w:val="auto"/>
        </w:rPr>
        <w:t>” means, collectively, (a) audited consolidated balance sheets of each of the Borrower and the Acquired Company and related consolidated statements of income or operations, shareholders’ equity and cash flows, for each of the three most recently completed fiscal years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9"/>
          <w:szCs w:val="19"/>
          <w:color w:val="auto"/>
        </w:rPr>
        <w:t>ended at least 90 days before the Acquisition Closing Date, including, an unqualified audit report thereon; (b) unaudited consolidated balance sheets of each of the Borrower and the Acquired Company and related consolidated statements of income or operations, shareholders’ equity and cash flows for each subsequent fiscal quarter ended at least 45 days prior to the Funding Date and for the elapsed interim period following the last completed fiscal year and for the comparable periods of the prior fiscal year (the “</w:t>
      </w: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and (c) a pro forma consolidated balance sheet of the Borrower as of December 31, 2019 and the related statement of income or operations of the Borrower for the fiscal year then ended, in each case after giving effect to the Acquisition Transactions (the “</w:t>
      </w:r>
      <w:r>
        <w:rPr>
          <w:rFonts w:ascii="Arial" w:cs="Arial" w:eastAsia="Arial" w:hAnsi="Arial"/>
          <w:sz w:val="19"/>
          <w:szCs w:val="19"/>
          <w:u w:val="single" w:color="auto"/>
          <w:color w:val="auto"/>
        </w:rPr>
        <w:t>Pro Forma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Statements</w:t>
      </w:r>
      <w:r>
        <w:rPr>
          <w:rFonts w:ascii="Arial" w:cs="Arial" w:eastAsia="Arial" w:hAnsi="Arial"/>
          <w:sz w:val="19"/>
          <w:szCs w:val="19"/>
          <w:color w:val="auto"/>
        </w:rPr>
        <w:t>”), all of which financial statements shall be prepared in accordance with generally accepted accounting principles in the United States and meet the requirements of Regulation S-X under the Securities Act of 1933 (the “</w:t>
      </w:r>
      <w:r>
        <w:rPr>
          <w:rFonts w:ascii="Arial" w:cs="Arial" w:eastAsia="Arial" w:hAnsi="Arial"/>
          <w:sz w:val="19"/>
          <w:szCs w:val="19"/>
          <w:u w:val="single" w:color="auto"/>
          <w:color w:val="auto"/>
        </w:rPr>
        <w:t>Securities Act</w:t>
      </w:r>
      <w:r>
        <w:rPr>
          <w:rFonts w:ascii="Arial" w:cs="Arial" w:eastAsia="Arial" w:hAnsi="Arial"/>
          <w:sz w:val="19"/>
          <w:szCs w:val="19"/>
          <w:color w:val="auto"/>
        </w:rPr>
        <w:t xml:space="preserve">”), as amended and all other accounting rules and regulations of the SEC promulgated thereunder applicable to a registration statement under the Securities Act on Form S-3;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financial statements of the Acquired Company and Pro Forma Financial Statements shall only be provided to the extent required by Rule 3-05 and Article 11 of Regulation S-X.</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Indebtedness</w:t>
      </w:r>
      <w:r>
        <w:rPr>
          <w:rFonts w:ascii="Arial" w:cs="Arial" w:eastAsia="Arial" w:hAnsi="Arial"/>
          <w:sz w:val="20"/>
          <w:szCs w:val="20"/>
          <w:color w:val="auto"/>
        </w:rPr>
        <w:t>” means the Existing Credit Agreement and the Public Indentures.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xml:space="preserve">” means the representations and warranties set forth in </w:t>
      </w:r>
      <w:r>
        <w:rPr>
          <w:rFonts w:ascii="Arial" w:cs="Arial" w:eastAsia="Arial" w:hAnsi="Arial"/>
          <w:sz w:val="20"/>
          <w:szCs w:val="20"/>
          <w:u w:val="single" w:color="auto"/>
          <w:color w:val="auto"/>
        </w:rPr>
        <w:t>Sections 5.01(a)</w:t>
      </w:r>
      <w:r>
        <w:rPr>
          <w:rFonts w:ascii="Arial" w:cs="Arial" w:eastAsia="Arial" w:hAnsi="Arial"/>
          <w:sz w:val="20"/>
          <w:szCs w:val="20"/>
          <w:color w:val="auto"/>
        </w:rPr>
        <w:t xml:space="preserve"> (as it relates to the Borrower only) and </w:t>
      </w:r>
      <w:r>
        <w:rPr>
          <w:rFonts w:ascii="Arial" w:cs="Arial" w:eastAsia="Arial" w:hAnsi="Arial"/>
          <w:sz w:val="20"/>
          <w:szCs w:val="20"/>
          <w:u w:val="single" w:color="auto"/>
          <w:color w:val="auto"/>
        </w:rPr>
        <w:t>(b)(ii)</w:t>
      </w:r>
      <w:r>
        <w:rPr>
          <w:rFonts w:ascii="Arial" w:cs="Arial" w:eastAsia="Arial" w:hAnsi="Arial"/>
          <w:sz w:val="20"/>
          <w:szCs w:val="20"/>
          <w:color w:val="auto"/>
        </w:rPr>
        <w:t xml:space="preserve"> (as it relates to the Borrower only), </w:t>
      </w:r>
      <w:r>
        <w:rPr>
          <w:rFonts w:ascii="Arial" w:cs="Arial" w:eastAsia="Arial" w:hAnsi="Arial"/>
          <w:sz w:val="20"/>
          <w:szCs w:val="20"/>
          <w:u w:val="single" w:color="auto"/>
          <w:color w:val="auto"/>
        </w:rPr>
        <w:t>5.02(a)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(b)(i)(x)</w:t>
      </w:r>
      <w:r>
        <w:rPr>
          <w:rFonts w:ascii="Arial" w:cs="Arial" w:eastAsia="Arial" w:hAnsi="Arial"/>
          <w:sz w:val="20"/>
          <w:szCs w:val="20"/>
          <w:color w:val="auto"/>
        </w:rPr>
        <w:t xml:space="preserve">, </w:t>
      </w:r>
      <w:r>
        <w:rPr>
          <w:rFonts w:ascii="Arial" w:cs="Arial" w:eastAsia="Arial" w:hAnsi="Arial"/>
          <w:sz w:val="20"/>
          <w:szCs w:val="20"/>
          <w:u w:val="single" w:color="auto"/>
          <w:color w:val="auto"/>
        </w:rPr>
        <w:t>5.04</w:t>
      </w:r>
      <w:r>
        <w:rPr>
          <w:rFonts w:ascii="Arial" w:cs="Arial" w:eastAsia="Arial" w:hAnsi="Arial"/>
          <w:sz w:val="20"/>
          <w:szCs w:val="20"/>
          <w:color w:val="auto"/>
        </w:rPr>
        <w:t xml:space="preserve">, </w:t>
      </w:r>
      <w:r>
        <w:rPr>
          <w:rFonts w:ascii="Arial" w:cs="Arial" w:eastAsia="Arial" w:hAnsi="Arial"/>
          <w:sz w:val="20"/>
          <w:szCs w:val="20"/>
          <w:u w:val="single" w:color="auto"/>
          <w:color w:val="auto"/>
        </w:rPr>
        <w:t>5.15</w:t>
      </w:r>
      <w:r>
        <w:rPr>
          <w:rFonts w:ascii="Arial" w:cs="Arial" w:eastAsia="Arial" w:hAnsi="Arial"/>
          <w:sz w:val="20"/>
          <w:szCs w:val="20"/>
          <w:color w:val="auto"/>
        </w:rPr>
        <w:t xml:space="preserve">, </w:t>
      </w:r>
      <w:r>
        <w:rPr>
          <w:rFonts w:ascii="Arial" w:cs="Arial" w:eastAsia="Arial" w:hAnsi="Arial"/>
          <w:sz w:val="20"/>
          <w:szCs w:val="20"/>
          <w:u w:val="single" w:color="auto"/>
          <w:color w:val="auto"/>
        </w:rPr>
        <w:t>5.18</w:t>
      </w:r>
      <w:r>
        <w:rPr>
          <w:rFonts w:ascii="Arial" w:cs="Arial" w:eastAsia="Arial" w:hAnsi="Arial"/>
          <w:sz w:val="20"/>
          <w:szCs w:val="20"/>
          <w:color w:val="auto"/>
        </w:rPr>
        <w:t xml:space="preserve"> (determined on a pro forma basis after giving effect to the Acquisition Transactions) and </w:t>
      </w:r>
      <w:r>
        <w:rPr>
          <w:rFonts w:ascii="Arial" w:cs="Arial" w:eastAsia="Arial" w:hAnsi="Arial"/>
          <w:sz w:val="20"/>
          <w:szCs w:val="20"/>
          <w:u w:val="single" w:color="auto"/>
          <w:color w:val="auto"/>
        </w:rPr>
        <w:t>5.24(b)</w:t>
      </w:r>
      <w:r>
        <w:rPr>
          <w:rFonts w:ascii="Arial" w:cs="Arial" w:eastAsia="Arial" w:hAnsi="Arial"/>
          <w:sz w:val="20"/>
          <w:szCs w:val="20"/>
          <w:color w:val="auto"/>
        </w:rPr>
        <w:t xml:space="preserve"> (solely with respect to Sanctions administered by OFAC).</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Strategic Investment Subsidiaries</w:t>
      </w:r>
      <w:r>
        <w:rPr>
          <w:rFonts w:ascii="Arial" w:cs="Arial" w:eastAsia="Arial" w:hAnsi="Arial"/>
          <w:sz w:val="18"/>
          <w:szCs w:val="18"/>
          <w:color w:val="auto"/>
        </w:rPr>
        <w:t xml:space="preserve">” means any Person in which the Borrower or any Subsidiary (a) owns a minority Investment on the Effective Date or (b) acquires a minority Investment after the Effective Date, in each case at such time as such Person becomes a Subsidiary and, subject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solely for so long as such Person continues to be a Subsidiary. Notwithstanding any provision of this Agreement or any other Loan Document to the contrary, (i) the only representations and warranties made herein with respect to the Subsidiaries of the Borrower that shall apply to the Strategic Investment Subsidiaries and their respective Subsidiaries are the representations and warranties made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(ii) the only covenants made herein with respect to the Subsidiaries of the Borrower in </w:t>
      </w:r>
      <w:r>
        <w:rPr>
          <w:rFonts w:ascii="Arial" w:cs="Arial" w:eastAsia="Arial" w:hAnsi="Arial"/>
          <w:sz w:val="18"/>
          <w:szCs w:val="18"/>
          <w:u w:val="single" w:color="auto"/>
          <w:color w:val="auto"/>
        </w:rPr>
        <w:t>Articles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VII</w:t>
      </w:r>
      <w:r>
        <w:rPr>
          <w:rFonts w:ascii="Arial" w:cs="Arial" w:eastAsia="Arial" w:hAnsi="Arial"/>
          <w:sz w:val="18"/>
          <w:szCs w:val="18"/>
          <w:color w:val="auto"/>
        </w:rPr>
        <w:t xml:space="preserve"> that shall apply to the Strategic Investment Subsidiaries and their respective Subsidiaries are the covenants made in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(iii) each reference to “Subsidiary” in the Events of Default specified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(x)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(y) in </w:t>
      </w:r>
      <w:r>
        <w:rPr>
          <w:rFonts w:ascii="Arial" w:cs="Arial" w:eastAsia="Arial" w:hAnsi="Arial"/>
          <w:sz w:val="18"/>
          <w:szCs w:val="18"/>
          <w:u w:val="single" w:color="auto"/>
          <w:color w:val="auto"/>
        </w:rPr>
        <w:t>Sections 8.01(b)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8.01(c)</w:t>
      </w:r>
      <w:r>
        <w:rPr>
          <w:rFonts w:ascii="Arial" w:cs="Arial" w:eastAsia="Arial" w:hAnsi="Arial"/>
          <w:sz w:val="18"/>
          <w:szCs w:val="18"/>
          <w:color w:val="auto"/>
        </w:rPr>
        <w:t xml:space="preserve"> as each relates to the performance by a Strategic Investment Subsidiary of the covenants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and (z)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8.01(d)</w:t>
      </w:r>
      <w:r>
        <w:rPr>
          <w:rFonts w:ascii="Arial" w:cs="Arial" w:eastAsia="Arial" w:hAnsi="Arial"/>
          <w:sz w:val="18"/>
          <w:szCs w:val="18"/>
          <w:color w:val="auto"/>
        </w:rPr>
        <w:t xml:space="preserve"> as it relates to the representations and warranties made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5.14</w:t>
      </w:r>
      <w:r>
        <w:rPr>
          <w:rFonts w:ascii="Arial" w:cs="Arial" w:eastAsia="Arial" w:hAnsi="Arial"/>
          <w:sz w:val="18"/>
          <w:szCs w:val="18"/>
          <w:color w:val="auto"/>
        </w:rPr>
        <w:t>) shall not refer to any Strategic Investment Subsidiary or any of its Subsidiaries.</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Subject Transaction</w:t>
      </w:r>
      <w:r>
        <w:rPr>
          <w:rFonts w:ascii="Arial" w:cs="Arial" w:eastAsia="Arial" w:hAnsi="Arial"/>
          <w:sz w:val="20"/>
          <w:szCs w:val="20"/>
          <w:color w:val="auto"/>
        </w:rPr>
        <w:t>” means, (a) any Permitted Acquisition or any other Acquisition, in each case that is permitted by this Agreement, (b) any disposition of all or substantially all of the assets or Capital Stock of any Subsidiary (or any business unit, line of business or division of the Borrower or any Subsidiary) not prohibited by this Agreement, (c) any incurrence of Indebtedness (other than revolving Indebtedness), (d) any repayment of Indebtedness, (e) any issuance of Capital Stock and/or (f) any other event that by the terms of the Loan Documents requires pro forma compliance with a test or covenant hereunder or requires such test or covenant to be calculated on a pro forma basis.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any Person of which more than 50% of the Voting Stock, or other Equity Interests (in the case of Persons other than corporations), is owned or controlled directly or indirectly by the Person, or one or more of the Subsidiaries of the Person, or a combination thereof.</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Unless the context otherwise clearly requires, references herein to a “</w:t>
      </w:r>
      <w:r>
        <w:rPr>
          <w:rFonts w:ascii="Arial" w:cs="Arial" w:eastAsia="Arial" w:hAnsi="Arial"/>
          <w:sz w:val="20"/>
          <w:szCs w:val="20"/>
          <w:u w:val="single" w:color="auto"/>
          <w:color w:val="auto"/>
        </w:rPr>
        <w:t>Subsidiary</w:t>
      </w:r>
      <w:r>
        <w:rPr>
          <w:rFonts w:ascii="Arial" w:cs="Arial" w:eastAsia="Arial" w:hAnsi="Arial"/>
          <w:sz w:val="20"/>
          <w:szCs w:val="20"/>
          <w:color w:val="auto"/>
        </w:rPr>
        <w:t>” refer to a Subsidiary of the Borrower.</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Sufficient Liquidity</w:t>
      </w:r>
      <w:r>
        <w:rPr>
          <w:rFonts w:ascii="Arial" w:cs="Arial" w:eastAsia="Arial" w:hAnsi="Arial"/>
          <w:sz w:val="20"/>
          <w:szCs w:val="20"/>
          <w:color w:val="auto"/>
        </w:rPr>
        <w:t>” means cash and Cash Equivalents (including, without limitation, availability under this Agreement), Eligible Bonds and Eligible Government Securities in an aggregate amount equal to or greater than the principal amount of any Convertible Indebtedness that is surrendered for conversion or required to be prepaid, to the extent cash is payable in respect of the applicable conversion or prepayment.</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1" w:lineRule="exact"/>
        <w:rPr>
          <w:sz w:val="20"/>
          <w:szCs w:val="20"/>
          <w:color w:val="auto"/>
        </w:rPr>
      </w:pPr>
    </w:p>
    <w:p>
      <w:pPr>
        <w:jc w:val="both"/>
        <w:ind w:firstLine="8"/>
        <w:spacing w:after="0" w:line="241" w:lineRule="auto"/>
        <w:tabs>
          <w:tab w:leader="none" w:pos="287"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w:t>
      </w:r>
    </w:p>
    <w:p>
      <w:pPr>
        <w:spacing w:after="0" w:line="194"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market value(s) for such Swap Contracts, as determined based upon one or more mid</w:t>
      </w:r>
      <w:r>
        <w:rPr>
          <w:rFonts w:ascii="MS PGothic" w:cs="MS PGothic" w:eastAsia="MS PGothic" w:hAnsi="MS PGothic"/>
          <w:sz w:val="20"/>
          <w:szCs w:val="20"/>
          <w:color w:val="auto"/>
        </w:rPr>
        <w:t>‑</w:t>
      </w:r>
      <w:r>
        <w:rPr>
          <w:rFonts w:ascii="Arial" w:cs="Arial" w:eastAsia="Arial" w:hAnsi="Arial"/>
          <w:sz w:val="20"/>
          <w:szCs w:val="20"/>
          <w:color w:val="auto"/>
        </w:rPr>
        <w:t>market or other readily available quotations provided by any recognized dealer in such Swap Contracts (which may include a Lender or any Affiliate of a Lender).</w:t>
      </w:r>
    </w:p>
    <w:p>
      <w:pPr>
        <w:spacing w:after="0" w:line="196"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w:t>
      </w:r>
      <w:r>
        <w:rPr>
          <w:rFonts w:ascii="MS PGothic" w:cs="MS PGothic" w:eastAsia="MS PGothic" w:hAnsi="MS PGothic"/>
          <w:sz w:val="20"/>
          <w:szCs w:val="20"/>
          <w:color w:val="auto"/>
        </w:rPr>
        <w:t>‑</w:t>
      </w:r>
      <w:r>
        <w:rPr>
          <w:rFonts w:ascii="Arial" w:cs="Arial" w:eastAsia="Arial" w:hAnsi="Arial"/>
          <w:sz w:val="20"/>
          <w:szCs w:val="20"/>
          <w:color w:val="auto"/>
        </w:rPr>
        <w:t>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xml:space="preserve">” has the meaning specified in the lead-in to </w:t>
      </w:r>
      <w:r>
        <w:rPr>
          <w:rFonts w:ascii="Arial" w:cs="Arial" w:eastAsia="Arial" w:hAnsi="Arial"/>
          <w:sz w:val="20"/>
          <w:szCs w:val="20"/>
          <w:u w:val="single" w:color="auto"/>
          <w:color w:val="auto"/>
        </w:rPr>
        <w:t>Article VI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any period that is approximately (as reasonably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9" w:name="page70"/>
    <w:bookmarkEnd w:id="69"/>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for any determination under this Agreement, (a) for any Person which becomes a Subsidiary pursuant to an Acquisition, (i) during the fiscal year of the Borrower during which such Acquisition is consummated, the period beginning on the first day of such fiscal year and ending on the last day of the fiscal quarter of the Borrower then last ended and (ii) at all times after the end of the fiscal year of the Borrower during which such Acquisition is consummated, the four consecutive fiscal quarters of the Borrower then last ended and (b) for the Borrower and any other Subsidiary, the four consecutive fiscal quarters of the Borrower then last ended.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Ticking Fee Rate</w:t>
      </w:r>
      <w:r>
        <w:rPr>
          <w:rFonts w:ascii="Arial" w:cs="Arial" w:eastAsia="Arial" w:hAnsi="Arial"/>
          <w:sz w:val="18"/>
          <w:szCs w:val="18"/>
          <w:color w:val="auto"/>
        </w:rPr>
        <w:t>” means, from time to time, the following percentages per annum, based upon the Debt Rating as set forth below:</w:t>
      </w:r>
    </w:p>
    <w:p>
      <w:pPr>
        <w:spacing w:after="0" w:line="262" w:lineRule="exact"/>
        <w:rPr>
          <w:sz w:val="20"/>
          <w:szCs w:val="20"/>
          <w:color w:val="auto"/>
        </w:rPr>
      </w:pPr>
    </w:p>
    <w:tbl>
      <w:tblPr>
        <w:tblLayout w:type="fixed"/>
        <w:tblInd w:w="630" w:type="dxa"/>
        <w:tblCellMar>
          <w:top w:w="0" w:type="dxa"/>
          <w:left w:w="0" w:type="dxa"/>
          <w:bottom w:w="0" w:type="dxa"/>
          <w:right w:w="0" w:type="dxa"/>
        </w:tblCellMar>
      </w:tblPr>
      <w:tr>
        <w:trPr>
          <w:trHeight w:val="369"/>
        </w:trPr>
        <w:tc>
          <w:tcPr>
            <w:tcW w:w="1320" w:type="dxa"/>
            <w:vAlign w:val="bottom"/>
            <w:tcBorders>
              <w:top w:val="single" w:sz="8" w:color="auto"/>
              <w:left w:val="single" w:sz="8" w:color="auto"/>
              <w:right w:val="single" w:sz="8" w:color="auto"/>
            </w:tcBorders>
          </w:tcPr>
          <w:p>
            <w:pPr>
              <w:spacing w:after="0"/>
              <w:rPr>
                <w:sz w:val="24"/>
                <w:szCs w:val="24"/>
                <w:color w:val="auto"/>
              </w:rPr>
            </w:pPr>
          </w:p>
        </w:tc>
        <w:tc>
          <w:tcPr>
            <w:tcW w:w="4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Debt Ratings</w:t>
            </w:r>
          </w:p>
        </w:tc>
        <w:tc>
          <w:tcPr>
            <w:tcW w:w="38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Pricing Level</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S&amp;P/Moody’s</w:t>
            </w:r>
          </w:p>
        </w:tc>
        <w:tc>
          <w:tcPr>
            <w:tcW w:w="3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0"/>
              </w:rPr>
              <w:t>Ticking Fee</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right w:val="single" w:sz="8" w:color="auto"/>
            </w:tcBorders>
            <w:vMerge w:val="continue"/>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BBB/Baa2 or higher</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0.375%</w:t>
            </w:r>
          </w:p>
        </w:tc>
        <w:tc>
          <w:tcPr>
            <w:tcW w:w="0" w:type="dxa"/>
            <w:vAlign w:val="bottom"/>
          </w:tcPr>
          <w:p>
            <w:pPr>
              <w:spacing w:after="0"/>
              <w:rPr>
                <w:sz w:val="1"/>
                <w:szCs w:val="1"/>
                <w:color w:val="auto"/>
              </w:rPr>
            </w:pPr>
          </w:p>
        </w:tc>
      </w:tr>
      <w:tr>
        <w:trPr>
          <w:trHeight w:val="23"/>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BBB-/Baa3</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0.500%</w:t>
            </w:r>
          </w:p>
        </w:tc>
        <w:tc>
          <w:tcPr>
            <w:tcW w:w="0" w:type="dxa"/>
            <w:vAlign w:val="bottom"/>
          </w:tcPr>
          <w:p>
            <w:pPr>
              <w:spacing w:after="0"/>
              <w:rPr>
                <w:sz w:val="1"/>
                <w:szCs w:val="1"/>
                <w:color w:val="auto"/>
              </w:rPr>
            </w:pPr>
          </w:p>
        </w:tc>
      </w:tr>
      <w:tr>
        <w:trPr>
          <w:trHeight w:val="23"/>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lower than BBB-/Baa3</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0.625%</w:t>
            </w:r>
          </w:p>
        </w:tc>
        <w:tc>
          <w:tcPr>
            <w:tcW w:w="0" w:type="dxa"/>
            <w:vAlign w:val="bottom"/>
          </w:tcPr>
          <w:p>
            <w:pPr>
              <w:spacing w:after="0"/>
              <w:rPr>
                <w:sz w:val="1"/>
                <w:szCs w:val="1"/>
                <w:color w:val="auto"/>
              </w:rPr>
            </w:pPr>
          </w:p>
        </w:tc>
      </w:tr>
      <w:tr>
        <w:trPr>
          <w:trHeight w:val="23"/>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Initially the Ticking Fee Rate shall be determined based upon Pricing Level I. Thereafter, each change in the Ticking Fee Rate resulting from a publicly announced change in the Debt Rating shall be effective during the period commencing on the date of the public announcement thereof and ending on the date immediately preceding the date of the next such 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Capitalization</w:t>
      </w:r>
      <w:r>
        <w:rPr>
          <w:rFonts w:ascii="Arial" w:cs="Arial" w:eastAsia="Arial" w:hAnsi="Arial"/>
          <w:sz w:val="20"/>
          <w:szCs w:val="20"/>
          <w:color w:val="auto"/>
        </w:rPr>
        <w:t>” means, at any time, the sum of Net Worth and Total Debt.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Debt</w:t>
      </w:r>
      <w:r>
        <w:rPr>
          <w:rFonts w:ascii="Arial" w:cs="Arial" w:eastAsia="Arial" w:hAnsi="Arial"/>
          <w:sz w:val="18"/>
          <w:szCs w:val="18"/>
          <w:color w:val="auto"/>
        </w:rPr>
        <w:t>” means, at any time, (a) with respect to the Borrower and its Subsidiaries (including, for the avoidance of doubt, any Strategic Investment Subsidiary and its Subsidiaries at the time of determination) Indebtedness, as reported on the consolidated balance sheet (excluding the footnotes thereto) of the Borrower prepared in accordance with GAAP (and excluding, for the avoidance of doubt, intercompany Indebtedness among the Borrower and its Subsidiaries), minus (b) Non-Recourse Debt of the Designated Subsidiaries.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Debt to Total Capitalization Ratio</w:t>
      </w:r>
      <w:r>
        <w:rPr>
          <w:rFonts w:ascii="Arial" w:cs="Arial" w:eastAsia="Arial" w:hAnsi="Arial"/>
          <w:sz w:val="20"/>
          <w:szCs w:val="20"/>
          <w:color w:val="auto"/>
        </w:rPr>
        <w:t>” means, at any time, the ratio of Total Debt to Total Capitalization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(a) the execution, delivery and performance by the Borrower of the Loan Documents to which it is a party and the Borrowing of Loans hereunder on the Funding Date, (b) the Acquisition Transactions, (c) the effectiveness of the Notes Guarantee and (d) the payment of any costs, fees and expenses related to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Assets</w:t>
      </w:r>
      <w:r>
        <w:rPr>
          <w:rFonts w:ascii="Arial" w:cs="Arial" w:eastAsia="Arial" w:hAnsi="Arial"/>
          <w:sz w:val="20"/>
          <w:szCs w:val="20"/>
          <w:color w:val="auto"/>
        </w:rPr>
        <w:t>” has the meaning specified in the definition of “</w:t>
      </w:r>
      <w:r>
        <w:rPr>
          <w:rFonts w:ascii="Arial" w:cs="Arial" w:eastAsia="Arial" w:hAnsi="Arial"/>
          <w:sz w:val="20"/>
          <w:szCs w:val="20"/>
          <w:u w:val="single" w:color="auto"/>
          <w:color w:val="auto"/>
        </w:rPr>
        <w:t>Permitted Accounts Securitization</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of New York.</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means the excess of a Pension Plan's benefit liabilities under Section 4001(a)(16) of ERISA, over the current value of that Pension Plan's assets as of the most recent valuation date with respect to which a valuation is available at the time of determination, determined in accordance with the assumptions used for funding the Pension Plan pursuant to Section 412 of the Code for the applicable plan year.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shares of such Person’s Equity Interests having the right to vote for the election of directors or other governing body of such Person under ordinary circumstances.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any Person in which (other than directors’ qualifying Equity Interests required by Law) 100% of the Voting Stock and 100% of the Equity Interests of every other class, in each case, at the time as of which any determination is being made, is owned, beneficially and of record, by the Borrower, or by one or more of the other Wholly-Owned Subsidiaries, or both.</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4" w:lineRule="exact"/>
        <w:rPr>
          <w:sz w:val="20"/>
          <w:szCs w:val="20"/>
          <w:color w:val="auto"/>
        </w:rPr>
      </w:pPr>
    </w:p>
    <w:p>
      <w:pPr>
        <w:jc w:val="both"/>
        <w:ind w:right="20" w:firstLine="579"/>
        <w:spacing w:after="0" w:line="267"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b w:val="1"/>
          <w:bCs w:val="1"/>
          <w:color w:val="auto"/>
        </w:rPr>
        <w:t>Other Interpretive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196" w:lineRule="exact"/>
        <w:rPr>
          <w:sz w:val="20"/>
          <w:szCs w:val="20"/>
          <w:color w:val="auto"/>
        </w:rPr>
      </w:pPr>
    </w:p>
    <w:p>
      <w:pPr>
        <w:jc w:val="both"/>
        <w:ind w:left="660" w:firstLine="806"/>
        <w:spacing w:after="0" w:line="250" w:lineRule="auto"/>
        <w:tabs>
          <w:tab w:leader="none" w:pos="19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71" w:name="page72"/>
    <w:bookmarkEnd w:id="71"/>
    <w:p>
      <w:pPr>
        <w:jc w:val="both"/>
        <w:spacing w:after="0" w:line="255" w:lineRule="auto"/>
        <w:rPr>
          <w:sz w:val="20"/>
          <w:szCs w:val="20"/>
          <w:color w:val="auto"/>
        </w:rPr>
      </w:pPr>
      <w:r>
        <w:rPr>
          <w:rFonts w:ascii="Arial" w:cs="Arial" w:eastAsia="Arial" w:hAnsi="Arial"/>
          <w:sz w:val="19"/>
          <w:szCs w:val="19"/>
          <w:color w:val="auto"/>
        </w:rPr>
        <w:t>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209" w:lineRule="exact"/>
        <w:rPr>
          <w:sz w:val="20"/>
          <w:szCs w:val="20"/>
          <w:color w:val="auto"/>
        </w:rPr>
      </w:pPr>
    </w:p>
    <w:p>
      <w:pPr>
        <w:ind w:left="660" w:firstLine="806"/>
        <w:spacing w:after="0" w:line="287" w:lineRule="auto"/>
        <w:tabs>
          <w:tab w:leader="none" w:pos="1945"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9" w:lineRule="exact"/>
        <w:rPr>
          <w:rFonts w:ascii="Arial" w:cs="Arial" w:eastAsia="Arial" w:hAnsi="Arial"/>
          <w:sz w:val="19"/>
          <w:szCs w:val="19"/>
          <w:color w:val="auto"/>
        </w:rPr>
      </w:pPr>
    </w:p>
    <w:p>
      <w:pPr>
        <w:ind w:left="660" w:firstLine="806"/>
        <w:spacing w:after="0" w:line="260" w:lineRule="auto"/>
        <w:tabs>
          <w:tab w:leader="none" w:pos="1945"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203" w:lineRule="exact"/>
        <w:rPr>
          <w:rFonts w:ascii="Arial" w:cs="Arial" w:eastAsia="Arial" w:hAnsi="Arial"/>
          <w:sz w:val="20"/>
          <w:szCs w:val="20"/>
          <w:color w:val="auto"/>
        </w:rPr>
      </w:pPr>
    </w:p>
    <w:p>
      <w:pPr>
        <w:jc w:val="both"/>
        <w:ind w:left="660" w:firstLine="806"/>
        <w:spacing w:after="0" w:line="291" w:lineRule="auto"/>
        <w:tabs>
          <w:tab w:leader="none" w:pos="19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 breach of a financial covenant contained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be deemed to have occurred as of any date of determination thereof by the Administrative Agent or as of the last day of any specified measuring period, regardless of when the financial statements reflecting such breach are delivered to the Administrative Agent and the Lenders</w:t>
      </w:r>
    </w:p>
    <w:p>
      <w:pPr>
        <w:spacing w:after="0" w:line="178" w:lineRule="exact"/>
        <w:rPr>
          <w:rFonts w:ascii="Arial" w:cs="Arial" w:eastAsia="Arial" w:hAnsi="Arial"/>
          <w:sz w:val="18"/>
          <w:szCs w:val="18"/>
          <w:color w:val="auto"/>
        </w:rPr>
      </w:pPr>
    </w:p>
    <w:p>
      <w:pPr>
        <w:jc w:val="both"/>
        <w:ind w:left="660" w:firstLine="806"/>
        <w:spacing w:after="0" w:line="278" w:lineRule="auto"/>
        <w:tabs>
          <w:tab w:leader="none" w:pos="19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all purposes hereunder and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b w:val="1"/>
          <w:bCs w:val="1"/>
          <w:color w:val="auto"/>
        </w:rPr>
        <w:t>Accounting Terms</w:t>
      </w:r>
      <w:r>
        <w:rPr>
          <w:rFonts w:ascii="Arial" w:cs="Arial" w:eastAsia="Arial" w:hAnsi="Arial"/>
          <w:sz w:val="20"/>
          <w:szCs w:val="20"/>
          <w:color w:val="auto"/>
        </w:rPr>
        <w:t>.</w:t>
      </w:r>
    </w:p>
    <w:p>
      <w:pPr>
        <w:spacing w:after="0" w:line="249" w:lineRule="exact"/>
        <w:rPr>
          <w:sz w:val="20"/>
          <w:szCs w:val="20"/>
          <w:color w:val="auto"/>
        </w:rPr>
      </w:pPr>
    </w:p>
    <w:p>
      <w:pPr>
        <w:jc w:val="both"/>
        <w:ind w:left="660" w:firstLine="806"/>
        <w:spacing w:after="0" w:line="255" w:lineRule="auto"/>
        <w:tabs>
          <w:tab w:leader="none" w:pos="194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or SAP, as applicable, applied on a consistent basis, as in effect from time to time, applied in a manner consistent with that used in preparing the Audited Financial Statements and the December 31, 2016 Annual Statements, as the case may be,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changes authorized or required by GAAP (but subject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1.03</w:t>
      </w:r>
      <w:r>
        <w:rPr>
          <w:rFonts w:ascii="Arial" w:cs="Arial" w:eastAsia="Arial" w:hAnsi="Arial"/>
          <w:sz w:val="19"/>
          <w:szCs w:val="19"/>
          <w:color w:val="auto"/>
        </w:rPr>
        <w:t>), and except as otherwise specifically prescribed herein.</w:t>
      </w:r>
    </w:p>
    <w:p>
      <w:pPr>
        <w:ind w:right="20" w:firstLine="818"/>
        <w:spacing w:after="0" w:line="244" w:lineRule="auto"/>
        <w:tabs>
          <w:tab w:leader="none" w:pos="1284"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Changes in GAAP</w:t>
      </w:r>
      <w:r>
        <w:rPr>
          <w:rFonts w:ascii="Arial" w:cs="Arial" w:eastAsia="Arial" w:hAnsi="Arial"/>
          <w:sz w:val="20"/>
          <w:szCs w:val="20"/>
          <w:color w:val="auto"/>
        </w:rPr>
        <w:t>. If at any time any change in GAAP or SAP or any change in accounting treatment or practices required or authorized by any Governmental Authority,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72" w:name="page73"/>
    <w:bookmarkEnd w:id="72"/>
    <w:p>
      <w:pPr>
        <w:jc w:val="both"/>
        <w:spacing w:after="0" w:line="273" w:lineRule="auto"/>
        <w:rPr>
          <w:sz w:val="20"/>
          <w:szCs w:val="20"/>
          <w:color w:val="auto"/>
        </w:rPr>
      </w:pPr>
      <w:r>
        <w:rPr>
          <w:rFonts w:ascii="Arial" w:cs="Arial" w:eastAsia="Arial" w:hAnsi="Arial"/>
          <w:sz w:val="18"/>
          <w:szCs w:val="18"/>
          <w:color w:val="auto"/>
        </w:rPr>
        <w:t xml:space="preserve">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or SAP or required by any Governmental Authority, as applicable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or SAP, as applicable, without giving effect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or SAP or required by any Governmental Authority, as applicable.</w:t>
      </w:r>
    </w:p>
    <w:p>
      <w:pPr>
        <w:spacing w:after="0" w:line="195" w:lineRule="exact"/>
        <w:rPr>
          <w:sz w:val="20"/>
          <w:szCs w:val="20"/>
          <w:color w:val="auto"/>
        </w:rPr>
      </w:pPr>
    </w:p>
    <w:p>
      <w:pPr>
        <w:jc w:val="both"/>
        <w:ind w:left="660" w:firstLine="806"/>
        <w:spacing w:after="0" w:line="257" w:lineRule="auto"/>
        <w:tabs>
          <w:tab w:leader="none" w:pos="194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(including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or in the definition of “Capital Leases”), in the event of an accounting change requiring any leases that would not previously have been capitalized in conformity with GAAP on December 31, 2015 to be capitalized, only those leases (assuming for purposes hereof that such leases were in existence on December 31, 2015) that would constitute Capital Leases in conformity with GAAP on December 31, 2015 shall be considered Capital Leases, and all calculations and deliverables under this Agreement or any other Loan Document shall be made or delivered, as applicable, in accordance therewith. (in each case, other than with respect to the financial statements required to be delivered hereunder).</w:t>
      </w:r>
    </w:p>
    <w:p>
      <w:pPr>
        <w:spacing w:after="0" w:line="206" w:lineRule="exact"/>
        <w:rPr>
          <w:sz w:val="20"/>
          <w:szCs w:val="20"/>
          <w:color w:val="auto"/>
        </w:rPr>
      </w:pPr>
    </w:p>
    <w:p>
      <w:pPr>
        <w:jc w:val="both"/>
        <w:ind w:firstLine="436"/>
        <w:spacing w:after="0" w:line="260"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b w:val="1"/>
          <w:bCs w:val="1"/>
          <w:color w:val="auto"/>
        </w:rPr>
        <w:t>Rounding</w:t>
      </w:r>
      <w:r>
        <w:rPr>
          <w:rFonts w:ascii="Arial" w:cs="Arial" w:eastAsia="Arial" w:hAnsi="Arial"/>
          <w:sz w:val="19"/>
          <w:szCs w:val="19"/>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and shall exclude the financial results of any Person which, solely due to ASC 810 requires the Borrower to consolidate in its financial statements, but only to the extent that the owners of such Person’s Indebtedness have no recourse, directly or indirectly, to the Borrower or any of its Subsidiaries for the principal, premium, if any, and interest on such Indebtedness.</w:t>
      </w:r>
    </w:p>
    <w:p>
      <w:pPr>
        <w:spacing w:after="0" w:line="200" w:lineRule="exact"/>
        <w:rPr>
          <w:sz w:val="20"/>
          <w:szCs w:val="20"/>
          <w:color w:val="auto"/>
        </w:rPr>
      </w:pPr>
    </w:p>
    <w:p>
      <w:pPr>
        <w:jc w:val="both"/>
        <w:ind w:firstLine="396"/>
        <w:spacing w:after="0" w:line="267"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b w:val="1"/>
          <w:bCs w:val="1"/>
          <w:color w:val="auto"/>
        </w:rPr>
        <w:t>Times of Day</w:t>
      </w:r>
      <w:r>
        <w:rPr>
          <w:rFonts w:ascii="Arial" w:cs="Arial" w:eastAsia="Arial" w:hAnsi="Arial"/>
          <w:sz w:val="20"/>
          <w:szCs w:val="20"/>
          <w:color w:val="auto"/>
        </w:rPr>
        <w:t>. Unless otherwise specified, all references herein to times of day shall be references to Central time (daylight or standard, as applicable).</w:t>
      </w:r>
    </w:p>
    <w:p>
      <w:pPr>
        <w:spacing w:after="0" w:line="19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b w:val="1"/>
          <w:bCs w:val="1"/>
          <w:color w:val="auto"/>
        </w:rPr>
        <w:t>Timing of Payment of Performance</w:t>
      </w:r>
      <w:r>
        <w:rPr>
          <w:rFonts w:ascii="Arial" w:cs="Arial" w:eastAsia="Arial" w:hAnsi="Arial"/>
          <w:sz w:val="19"/>
          <w:szCs w:val="19"/>
          <w:color w:val="auto"/>
        </w:rPr>
        <w:t>. When payment of any obligation or the performance of any covenant, duty or obligation is stated to be due or performance required on a day which is not a Business Day, the date of such payment (other than as described in the definition of “Interest Period” or “Maturity Date”) or performance shall extend to the immediately succeeding Business Day, and, in the case of any payment accruing interest, interest thereon shall be payable for the period of such extension.</w:t>
      </w:r>
    </w:p>
    <w:p>
      <w:pPr>
        <w:spacing w:after="0" w:line="196"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b w:val="1"/>
          <w:bCs w:val="1"/>
          <w:color w:val="auto"/>
        </w:rPr>
        <w:t>Certain Calculations and Tests</w:t>
      </w:r>
      <w:r>
        <w:rPr>
          <w:rFonts w:ascii="Arial" w:cs="Arial" w:eastAsia="Arial" w:hAnsi="Arial"/>
          <w:sz w:val="18"/>
          <w:szCs w:val="18"/>
          <w:color w:val="auto"/>
        </w:rPr>
        <w:t>. Notwithstanding anything to the contrary herein, if since the end of the most recent fiscal quarter of the Borrower and on or prior to the date of any required calculation of any financial ratio or test (x) any Subject Transaction has occurred or (y) any Person that subsequently became a Subsidiary or was merged, amalgamated or consolidated with or into the Borrower or any of its Subsidiaries or any joint venture since the end of such fiscal quarter has consummated any Subject Transaction, then, in each case, any applicable financial ratio or test shall be calculated on a pro forma basis for such fiscal quarter as if such Subject Transaction had occurred at the beginning of the applicable fiscal quarter; it being understood, that solely for purposes of calculating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20"/>
          <w:szCs w:val="20"/>
          <w:color w:val="auto"/>
        </w:rPr>
        <w:t xml:space="preserve">compliance with </w:t>
      </w:r>
      <w:r>
        <w:rPr>
          <w:rFonts w:ascii="Arial" w:cs="Arial" w:eastAsia="Arial" w:hAnsi="Arial"/>
          <w:sz w:val="20"/>
          <w:szCs w:val="20"/>
          <w:u w:val="single" w:color="auto"/>
          <w:color w:val="auto"/>
        </w:rPr>
        <w:t>Section 7.09</w:t>
      </w:r>
      <w:r>
        <w:rPr>
          <w:rFonts w:ascii="Arial" w:cs="Arial" w:eastAsia="Arial" w:hAnsi="Arial"/>
          <w:sz w:val="20"/>
          <w:szCs w:val="20"/>
          <w:color w:val="auto"/>
        </w:rPr>
        <w:t>, the date of the required calculation shall be the last day of the applicable fiscal quarter, and no Subject Transaction occurring thereafter shall be taken into account.</w:t>
      </w:r>
    </w:p>
    <w:p>
      <w:pPr>
        <w:spacing w:after="0" w:line="198"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b w:val="1"/>
          <w:bCs w:val="1"/>
          <w:color w:val="auto"/>
        </w:rPr>
        <w:t>Interest 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COMMITMENTS AND CREDIT EXTENSIONS</w:t>
      </w:r>
    </w:p>
    <w:p>
      <w:pPr>
        <w:spacing w:after="0" w:line="221" w:lineRule="exact"/>
        <w:rPr>
          <w:sz w:val="20"/>
          <w:szCs w:val="20"/>
          <w:color w:val="auto"/>
        </w:rPr>
      </w:pPr>
    </w:p>
    <w:p>
      <w:pPr>
        <w:jc w:val="both"/>
        <w:ind w:firstLine="517"/>
        <w:spacing w:after="0" w:line="248"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b w:val="1"/>
          <w:bCs w:val="1"/>
          <w:color w:val="auto"/>
        </w:rPr>
        <w:t>Loans</w:t>
      </w:r>
      <w:r>
        <w:rPr>
          <w:rFonts w:ascii="Arial" w:cs="Arial" w:eastAsia="Arial" w:hAnsi="Arial"/>
          <w:sz w:val="20"/>
          <w:szCs w:val="20"/>
          <w:color w:val="auto"/>
        </w:rPr>
        <w:t>. Subject to the terms and conditions set forth herein, each Lender severally agrees to make a single Loan to the Borrower on the Funding Date in an aggregate amount not to exceed the amount of such Lender’s Commitment. Any Loans that are prepaid under Section 2.04 or repaid under Section 2.06 may not be reborrowed. The Loans may be Base Rate Loans or Eurodollar Rate Loans, as further provided herein.</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b w:val="1"/>
          <w:bCs w:val="1"/>
          <w:color w:val="auto"/>
        </w:rPr>
        <w:t>Borrowing, Conversions and Continuations of Loans</w:t>
      </w:r>
      <w:r>
        <w:rPr>
          <w:rFonts w:ascii="Arial" w:cs="Arial" w:eastAsia="Arial" w:hAnsi="Arial"/>
          <w:sz w:val="20"/>
          <w:szCs w:val="20"/>
          <w:color w:val="auto"/>
        </w:rPr>
        <w:t>.</w:t>
      </w:r>
    </w:p>
    <w:p>
      <w:pPr>
        <w:spacing w:after="0" w:line="249" w:lineRule="exact"/>
        <w:rPr>
          <w:sz w:val="20"/>
          <w:szCs w:val="20"/>
          <w:color w:val="auto"/>
        </w:rPr>
      </w:pPr>
    </w:p>
    <w:p>
      <w:pPr>
        <w:jc w:val="both"/>
        <w:ind w:left="660" w:firstLine="806"/>
        <w:spacing w:after="0" w:line="267" w:lineRule="auto"/>
        <w:tabs>
          <w:tab w:leader="none" w:pos="19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Each Loan shall be made as part of the Borrowing on the Funding Date consisting of Loans made by the Lenders ratably in accordance with their respective Applicable Percentages.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The Borrowing, each conversion of Loans from one Type to the other, and each continuation of Eurodollar Rate Loans shall be made upon the Borrower’s irrevocable notice to the Administrative Agent, which may be given by telephone. Each Loan Notice must be received by the Administrative Agent not later than 11:00 a.m. (i) three Business Days prior to the requested date of any such Borrowing of, conversion to or continuation of Eurodollar Rate Loans or of any conversion of Eurodollar Rate Loans to Base Rate Loans, and (ii) on the requested date of any such Borrowing of Base Rate Loans. Each telephonic notice by the Borrower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$3,000,000 or a whole multiple of $1,000,000 in excess thereof. Each Borrowing of or conversion to Base Rate Loans shall be in a principal amount of $1,000,000 or a whole multiple of $1,000,000 in excess thereof. Each Loan Notice shall specify (i) whether the Borrower is requesting a Borrowing, a conversion of Loans from one Type to the other, or a continuation of Eurodollar Rate Loans,</w:t>
      </w:r>
    </w:p>
    <w:p>
      <w:pPr>
        <w:spacing w:after="0" w:line="5" w:lineRule="exact"/>
        <w:rPr>
          <w:rFonts w:ascii="Arial" w:cs="Arial" w:eastAsia="Arial" w:hAnsi="Arial"/>
          <w:sz w:val="18"/>
          <w:szCs w:val="18"/>
          <w:color w:val="auto"/>
        </w:rPr>
      </w:pPr>
    </w:p>
    <w:p>
      <w:pPr>
        <w:jc w:val="both"/>
        <w:ind w:left="660" w:hanging="4"/>
        <w:spacing w:after="0" w:line="254" w:lineRule="auto"/>
        <w:tabs>
          <w:tab w:leader="none" w:pos="95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requested date of the Borrowing, conversion or continuation, as the case may be (which shall be a Business Day, and, which in the case of the initial Borrowing, shall be the Funding Date),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4" w:name="page75"/>
    <w:bookmarkEnd w:id="74"/>
    <w:p>
      <w:pPr>
        <w:spacing w:after="0" w:line="182" w:lineRule="exact"/>
        <w:rPr>
          <w:sz w:val="20"/>
          <w:szCs w:val="20"/>
          <w:color w:val="auto"/>
        </w:rPr>
      </w:pPr>
    </w:p>
    <w:p>
      <w:pPr>
        <w:jc w:val="both"/>
        <w:ind w:left="260" w:firstLine="806"/>
        <w:spacing w:after="0" w:line="272" w:lineRule="auto"/>
        <w:tabs>
          <w:tab w:leader="none" w:pos="15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97" w:lineRule="exact"/>
        <w:rPr>
          <w:rFonts w:ascii="Arial" w:cs="Arial" w:eastAsia="Arial" w:hAnsi="Arial"/>
          <w:sz w:val="18"/>
          <w:szCs w:val="18"/>
          <w:color w:val="auto"/>
        </w:rPr>
      </w:pPr>
    </w:p>
    <w:p>
      <w:pPr>
        <w:jc w:val="both"/>
        <w:ind w:left="260" w:firstLine="806"/>
        <w:spacing w:after="0" w:line="250" w:lineRule="auto"/>
        <w:tabs>
          <w:tab w:leader="none" w:pos="1546"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an Event of Default, no Loans may be requested as, converted to or continued as Eurodollar Rate Loans without the consent of the Required Lenders.</w:t>
      </w:r>
    </w:p>
    <w:p>
      <w:pPr>
        <w:spacing w:after="0" w:line="212" w:lineRule="exact"/>
        <w:rPr>
          <w:rFonts w:ascii="Arial" w:cs="Arial" w:eastAsia="Arial" w:hAnsi="Arial"/>
          <w:sz w:val="20"/>
          <w:szCs w:val="20"/>
          <w:color w:val="auto"/>
        </w:rPr>
      </w:pPr>
    </w:p>
    <w:p>
      <w:pPr>
        <w:jc w:val="both"/>
        <w:ind w:left="260" w:firstLine="806"/>
        <w:spacing w:after="0" w:line="260" w:lineRule="auto"/>
        <w:tabs>
          <w:tab w:leader="none" w:pos="15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 and the Lenders of the interest rate applicable to any Interest Period for Eurodollar Rate Loans upon determination of such interest rate. The determination of the Eurodollar Rate by the Administrative Agent shall be conclusive in the absence of manifest error.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207" w:lineRule="exact"/>
        <w:rPr>
          <w:rFonts w:ascii="Arial" w:cs="Arial" w:eastAsia="Arial" w:hAnsi="Arial"/>
          <w:sz w:val="19"/>
          <w:szCs w:val="19"/>
          <w:color w:val="auto"/>
        </w:rPr>
      </w:pPr>
    </w:p>
    <w:p>
      <w:pPr>
        <w:ind w:left="260" w:right="20" w:firstLine="806"/>
        <w:spacing w:after="0" w:line="287" w:lineRule="auto"/>
        <w:tabs>
          <w:tab w:leader="none" w:pos="1546" w:val="left"/>
        </w:tabs>
        <w:numPr>
          <w:ilvl w:val="0"/>
          <w:numId w:val="35"/>
        </w:numPr>
        <w:rPr>
          <w:rFonts w:ascii="Arial" w:cs="Arial" w:eastAsia="Arial" w:hAnsi="Arial"/>
          <w:sz w:val="19"/>
          <w:szCs w:val="19"/>
          <w:color w:val="auto"/>
        </w:rPr>
      </w:pPr>
      <w:r>
        <w:rPr>
          <w:rFonts w:ascii="Arial" w:cs="Arial" w:eastAsia="Arial" w:hAnsi="Arial"/>
          <w:sz w:val="19"/>
          <w:szCs w:val="19"/>
          <w:color w:val="auto"/>
        </w:rPr>
        <w:t>After giving effect to all Borrowings, all conversions of Loans from one Type to the other, and all continuations of Loans as the same Type, there shall not be more than five Interest Periods in effect with respect to Loans.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Section 2.03. [Reserved.]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b w:val="1"/>
          <w:bCs w:val="1"/>
          <w:color w:val="auto"/>
        </w:rPr>
        <w:t>Prepayments.</w:t>
      </w:r>
    </w:p>
    <w:p>
      <w:pPr>
        <w:spacing w:after="0" w:line="249" w:lineRule="exact"/>
        <w:rPr>
          <w:sz w:val="20"/>
          <w:szCs w:val="20"/>
          <w:color w:val="auto"/>
        </w:rPr>
      </w:pPr>
    </w:p>
    <w:p>
      <w:pPr>
        <w:ind w:left="260" w:right="60" w:firstLine="806"/>
        <w:spacing w:after="0" w:line="269" w:lineRule="auto"/>
        <w:tabs>
          <w:tab w:leader="none" w:pos="15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upon notice to the Administrative Agent (which notice may, at the Borrower’s election, be conditioned upon the effectiveness of other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compensate each Lender for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suffered as a result of the revocation of any conditional notice), at any time or from time to time 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Administrative Agent not later than 11:00 a.m. (A) three Business Days prior to any date of prepayment of Eurodollar Rate Loans and (B) on the date of prepayment of Base Rate Loans; (ii) any prepayment of Eurodollar Rate Loans shall be in a principal amount of $5,000,000 or a whole multiple of $1,000,000 in excess thereof; and (iii) any prepayment of Base Rate Loans shall be in a principal amount of $3,000,000 or a whole multiple of $1,000,000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subject to the satisfaction of any conditions specified therein, make such prepayment and the payment amount specified in such notice shall be due and payable on the date specified therein. Any prepayment of a Eurodollar Rate Loan</w:t>
      </w:r>
    </w:p>
    <w:p>
      <w:pPr>
        <w:spacing w:after="0" w:line="262"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233045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1440" w:right="339" w:bottom="1440" w:gutter="0" w:footer="0" w:header="0"/>
        </w:sectPr>
      </w:pPr>
    </w:p>
    <w:bookmarkStart w:id="75" w:name="page76"/>
    <w:bookmarkEnd w:id="75"/>
    <w:p>
      <w:pPr>
        <w:ind w:right="140"/>
        <w:spacing w:after="0" w:line="250" w:lineRule="auto"/>
        <w:rPr>
          <w:sz w:val="20"/>
          <w:szCs w:val="20"/>
          <w:color w:val="auto"/>
        </w:rPr>
      </w:pPr>
      <w:r>
        <w:rPr>
          <w:rFonts w:ascii="Arial" w:cs="Arial" w:eastAsia="Arial" w:hAnsi="Arial"/>
          <w:sz w:val="20"/>
          <w:szCs w:val="20"/>
          <w:color w:val="auto"/>
        </w:rPr>
        <w:t xml:space="preserve">shall be accompanied by all accrued interest on the amount prepaid, together with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2.14</w:t>
      </w:r>
      <w:r>
        <w:rPr>
          <w:rFonts w:ascii="Arial" w:cs="Arial" w:eastAsia="Arial" w:hAnsi="Arial"/>
          <w:sz w:val="20"/>
          <w:szCs w:val="20"/>
          <w:color w:val="auto"/>
        </w:rPr>
        <w:t>, each such prepayment shall be applied to the Loans of the Lenders in accordance with their respective Applicable Percentages.</w:t>
      </w:r>
    </w:p>
    <w:p>
      <w:pPr>
        <w:spacing w:after="0" w:line="213" w:lineRule="exact"/>
        <w:rPr>
          <w:sz w:val="20"/>
          <w:szCs w:val="20"/>
          <w:color w:val="auto"/>
        </w:rPr>
      </w:pPr>
    </w:p>
    <w:p>
      <w:pPr>
        <w:ind w:left="1940" w:hanging="474"/>
        <w:spacing w:after="0"/>
        <w:tabs>
          <w:tab w:leader="none" w:pos="194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580" w:firstLine="780"/>
        <w:spacing w:after="0" w:line="276" w:lineRule="auto"/>
        <w:tabs>
          <w:tab w:leader="none" w:pos="19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event of any Material Asset Sale which results in the receipt by the Borrower or any Subsidiary (other than any regulated Subsidiary, except to the extent any Net Disposition Proceeds received by such regulated Subsidiary are actually distributed by such Person to the Borrower) of Net Disposition Proceeds, the Borrower shall prepay on or prior to the date which is three (3) Business Days after the receipt of such Net Disposition Proceeds, an aggregate principal amount of Loans in an amount equal to 100% of the Net Disposition Proceeds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prepayment shall be required pursuant to this </w:t>
      </w:r>
      <w:r>
        <w:rPr>
          <w:rFonts w:ascii="Arial" w:cs="Arial" w:eastAsia="Arial" w:hAnsi="Arial"/>
          <w:sz w:val="18"/>
          <w:szCs w:val="18"/>
          <w:u w:val="single" w:color="auto"/>
          <w:color w:val="auto"/>
        </w:rPr>
        <w:t>Section 2.04(b)(i)</w:t>
      </w:r>
      <w:r>
        <w:rPr>
          <w:rFonts w:ascii="Arial" w:cs="Arial" w:eastAsia="Arial" w:hAnsi="Arial"/>
          <w:sz w:val="18"/>
          <w:szCs w:val="18"/>
          <w:color w:val="auto"/>
        </w:rPr>
        <w:t xml:space="preserve"> unless Net Disposition Proceeds received from all Material Asset Sales exceed $25,000,000 in the aggregate.</w:t>
      </w:r>
    </w:p>
    <w:p>
      <w:pPr>
        <w:spacing w:after="0" w:line="191" w:lineRule="exact"/>
        <w:rPr>
          <w:rFonts w:ascii="Arial" w:cs="Arial" w:eastAsia="Arial" w:hAnsi="Arial"/>
          <w:sz w:val="18"/>
          <w:szCs w:val="18"/>
          <w:color w:val="auto"/>
        </w:rPr>
      </w:pPr>
    </w:p>
    <w:p>
      <w:pPr>
        <w:jc w:val="both"/>
        <w:ind w:left="580" w:firstLine="725"/>
        <w:spacing w:after="0" w:line="278" w:lineRule="auto"/>
        <w:tabs>
          <w:tab w:leader="none" w:pos="19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If the Borrower or any Subsidiary incurs any Material Indebtedness or issues any Equity Interests (other than pursuant to Excluded Equity Offerings), the Borrower shall prepay an aggregate principal amount of Loans in an amount equal to 100% of all Net Cash Proceeds received therefrom on or prior to the date that is three (3) Business Days after the receipt of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prepayment shall be required pursuant to this </w:t>
      </w:r>
      <w:r>
        <w:rPr>
          <w:rFonts w:ascii="Arial" w:cs="Arial" w:eastAsia="Arial" w:hAnsi="Arial"/>
          <w:sz w:val="18"/>
          <w:szCs w:val="18"/>
          <w:u w:val="single" w:color="auto"/>
          <w:color w:val="auto"/>
        </w:rPr>
        <w:t>Section 2.04(b)(ii)</w:t>
      </w:r>
      <w:r>
        <w:rPr>
          <w:rFonts w:ascii="Arial" w:cs="Arial" w:eastAsia="Arial" w:hAnsi="Arial"/>
          <w:sz w:val="18"/>
          <w:szCs w:val="18"/>
          <w:color w:val="auto"/>
        </w:rPr>
        <w:t xml:space="preserve"> unless Net Cash Proceeds received from all incurrences of Material Indebtedness and issuances of Equity Interests exceed $25,000,000 in the aggregate.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b w:val="1"/>
          <w:bCs w:val="1"/>
          <w:color w:val="auto"/>
        </w:rPr>
        <w:t>Termination or Reduction of Commitments.</w:t>
      </w:r>
    </w:p>
    <w:p>
      <w:pPr>
        <w:spacing w:after="0" w:line="249" w:lineRule="exact"/>
        <w:rPr>
          <w:sz w:val="20"/>
          <w:szCs w:val="20"/>
          <w:color w:val="auto"/>
        </w:rPr>
      </w:pPr>
    </w:p>
    <w:p>
      <w:pPr>
        <w:jc w:val="both"/>
        <w:ind w:firstLine="818"/>
        <w:spacing w:after="0" w:line="272" w:lineRule="auto"/>
        <w:tabs>
          <w:tab w:leader="none" w:pos="128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at any time prior to the Funding Date, upon notice to the Administrative Agent (which notice may, at the Borrower’s election, be conditioned upon the effectiveness of other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compensate each Lender for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suffered as a result of the revocation of any conditional notice), terminate or permanently reduce the Aggregate Commitments; provided that any such notice (which may be in electronic form) shall be received by the Administrative Agent not later than 11:00 a.m. three Business Days prior to the date of termination or reduction, (ii) any such partial reduction shall be in an aggregate amount of $10,000,000 or any whole multiple of $1,000,000 in excess thereof. The Administrative Agent will promptly notify the Lenders of any such notice of termination or reduction of the Aggregate Commitments. Any reduction of the Aggregate Commitments shall be applied to the Commitment of each Lender, ratably, according to its Applicable Percentage. All fees accrued until the effective date of any termination of the Aggregate Commitments shall be paid on the effective date of such termination.</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580" w:firstLine="780"/>
        <w:spacing w:after="0" w:line="247" w:lineRule="auto"/>
        <w:tabs>
          <w:tab w:leader="none" w:pos="1957"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Commitment of each Lender shall automatically terminate on the earliest of (x) the Funding Date (after giving effect to the Borrowing), (y) the Outside Termination Date and (z) the Maturity Date.</w:t>
      </w:r>
    </w:p>
    <w:p>
      <w:pPr>
        <w:spacing w:after="0" w:line="1" w:lineRule="exact"/>
        <w:rPr>
          <w:rFonts w:ascii="Arial" w:cs="Arial" w:eastAsia="Arial" w:hAnsi="Arial"/>
          <w:sz w:val="20"/>
          <w:szCs w:val="20"/>
          <w:color w:val="auto"/>
        </w:rPr>
      </w:pPr>
    </w:p>
    <w:p>
      <w:pPr>
        <w:jc w:val="both"/>
        <w:ind w:left="580" w:firstLine="725"/>
        <w:spacing w:after="0" w:line="257" w:lineRule="auto"/>
        <w:tabs>
          <w:tab w:leader="none" w:pos="1957" w:val="left"/>
        </w:tabs>
        <w:numPr>
          <w:ilvl w:val="1"/>
          <w:numId w:val="39"/>
        </w:numPr>
        <w:rPr>
          <w:rFonts w:ascii="Arial" w:cs="Arial" w:eastAsia="Arial" w:hAnsi="Arial"/>
          <w:sz w:val="19"/>
          <w:szCs w:val="19"/>
          <w:color w:val="auto"/>
        </w:rPr>
      </w:pPr>
      <w:r>
        <w:rPr>
          <w:rFonts w:ascii="Arial" w:cs="Arial" w:eastAsia="Arial" w:hAnsi="Arial"/>
          <w:sz w:val="19"/>
          <w:szCs w:val="19"/>
          <w:color w:val="auto"/>
        </w:rPr>
        <w:t>In the event of any Material Asset Sale which results in the receipt by the Borrower or any Subsidiary (other than any regulated Subsidiary, except to the extent any Net Disposition Proceeds received by such regulated Subsidiary are actually distributed by such Person to the Borrower) of Net Disposition Proceeds, the Borrower shall reduce the Commitments of the Lenders on a ratable basis substantially concurrently with the receipt of such Net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76" w:name="page77"/>
    <w:bookmarkEnd w:id="76"/>
    <w:p>
      <w:pPr>
        <w:jc w:val="both"/>
        <w:ind w:left="580"/>
        <w:spacing w:after="0" w:line="250" w:lineRule="auto"/>
        <w:rPr>
          <w:sz w:val="20"/>
          <w:szCs w:val="20"/>
          <w:color w:val="auto"/>
        </w:rPr>
      </w:pPr>
      <w:r>
        <w:rPr>
          <w:rFonts w:ascii="Arial" w:cs="Arial" w:eastAsia="Arial" w:hAnsi="Arial"/>
          <w:sz w:val="20"/>
          <w:szCs w:val="20"/>
          <w:color w:val="auto"/>
        </w:rPr>
        <w:t xml:space="preserve">Proceeds, in an aggregate amount equal to 100% of the Net Disposition Proceeds received;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reduction shall be required pursuant to this Section 2.05(b)(ii) unless and to the extent the Net Disposition Proceeds received from all Material Asset Sales exceed $25,000,000 in the aggregate.</w:t>
      </w:r>
    </w:p>
    <w:p>
      <w:pPr>
        <w:spacing w:after="0" w:line="213" w:lineRule="exact"/>
        <w:rPr>
          <w:sz w:val="20"/>
          <w:szCs w:val="20"/>
          <w:color w:val="auto"/>
        </w:rPr>
      </w:pPr>
    </w:p>
    <w:p>
      <w:pPr>
        <w:jc w:val="both"/>
        <w:ind w:left="580" w:firstLine="670"/>
        <w:spacing w:after="0" w:line="278" w:lineRule="auto"/>
        <w:tabs>
          <w:tab w:leader="none" w:pos="19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the Borrower or any Subsidiary incurs any Material Indebtedness or issues any Equity Interests (other than pursuant to Excluded Equity Offerings), the Borrower shall reduce the Commitments of the Lenders on a ratable basis in an amount equal to 100% of all Net Cash Proceeds received therefrom substantially concurrently with the receipt of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reduction shall be required pursuant to this Section 2.05(b)(iii) unless and to the extent the Net Cash Proceeds received from all incurrences of Material Indebtedness and issuances of Equity Interests exceed $25,000,000 in the aggregate.</w:t>
      </w:r>
    </w:p>
    <w:p>
      <w:pPr>
        <w:spacing w:after="0" w:line="186" w:lineRule="exact"/>
        <w:rPr>
          <w:sz w:val="20"/>
          <w:szCs w:val="20"/>
          <w:color w:val="auto"/>
        </w:rPr>
      </w:pPr>
    </w:p>
    <w:p>
      <w:pPr>
        <w:ind w:firstLine="477"/>
        <w:spacing w:after="0" w:line="267"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b w:val="1"/>
          <w:bCs w:val="1"/>
          <w:color w:val="auto"/>
        </w:rPr>
        <w:t>Repayment of Loans.</w:t>
      </w:r>
      <w:r>
        <w:rPr>
          <w:rFonts w:ascii="Arial" w:cs="Arial" w:eastAsia="Arial" w:hAnsi="Arial"/>
          <w:sz w:val="20"/>
          <w:szCs w:val="20"/>
          <w:color w:val="auto"/>
        </w:rPr>
        <w:t xml:space="preserve"> The Borrower shall repay to the Lenders on the Maturity Date the aggregate principal amount of Loans outstanding on such date.</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b w:val="1"/>
          <w:bCs w:val="1"/>
          <w:color w:val="auto"/>
        </w:rPr>
        <w:t>Interest.</w:t>
      </w:r>
    </w:p>
    <w:p>
      <w:pPr>
        <w:spacing w:after="0" w:line="249" w:lineRule="exact"/>
        <w:rPr>
          <w:sz w:val="20"/>
          <w:szCs w:val="20"/>
          <w:color w:val="auto"/>
        </w:rPr>
      </w:pPr>
    </w:p>
    <w:p>
      <w:pPr>
        <w:jc w:val="both"/>
        <w:ind w:firstLine="818"/>
        <w:spacing w:after="0" w:line="246" w:lineRule="auto"/>
        <w:tabs>
          <w:tab w:leader="none" w:pos="1286"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(i) each Eurodollar Rate Loan shall bear interest on the outstanding principal amount thereof for each Interest Period at a rate per annum equal to the Eurodollar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218" w:lineRule="exact"/>
        <w:rPr>
          <w:rFonts w:ascii="Arial" w:cs="Arial" w:eastAsia="Arial" w:hAnsi="Arial"/>
          <w:sz w:val="20"/>
          <w:szCs w:val="20"/>
          <w:color w:val="auto"/>
        </w:rPr>
      </w:pPr>
    </w:p>
    <w:p>
      <w:pPr>
        <w:jc w:val="both"/>
        <w:ind w:firstLine="818"/>
        <w:spacing w:after="0" w:line="272" w:lineRule="auto"/>
        <w:tabs>
          <w:tab w:leader="none" w:pos="13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jc w:val="both"/>
        <w:ind w:left="580" w:firstLine="725"/>
        <w:spacing w:after="0" w:line="239" w:lineRule="auto"/>
        <w:tabs>
          <w:tab w:leader="none" w:pos="1957" w:val="left"/>
        </w:tabs>
        <w:numPr>
          <w:ilvl w:val="1"/>
          <w:numId w:val="41"/>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 w:lineRule="exact"/>
        <w:rPr>
          <w:rFonts w:ascii="Arial" w:cs="Arial" w:eastAsia="Arial" w:hAnsi="Arial"/>
          <w:sz w:val="20"/>
          <w:szCs w:val="20"/>
          <w:color w:val="auto"/>
        </w:rPr>
      </w:pPr>
    </w:p>
    <w:p>
      <w:pPr>
        <w:jc w:val="both"/>
        <w:ind w:left="580" w:firstLine="670"/>
        <w:spacing w:after="0" w:line="252" w:lineRule="auto"/>
        <w:tabs>
          <w:tab w:leader="none" w:pos="1957"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Upon the request of the Required Lenders, while any Event of Default exists (other than as set forth in </w:t>
      </w:r>
      <w:r>
        <w:rPr>
          <w:rFonts w:ascii="Arial" w:cs="Arial" w:eastAsia="Arial" w:hAnsi="Arial"/>
          <w:sz w:val="19"/>
          <w:szCs w:val="19"/>
          <w:u w:val="single" w:color="auto"/>
          <w:color w:val="auto"/>
        </w:rPr>
        <w:t>clauses (b)(i)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ind w:left="1960" w:hanging="699"/>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w:t>
      </w:r>
    </w:p>
    <w:p>
      <w:pPr>
        <w:spacing w:after="0" w:line="2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20"/>
          <w:szCs w:val="20"/>
          <w:color w:val="auto"/>
        </w:rPr>
        <w:t>upon demand.</w:t>
      </w:r>
    </w:p>
    <w:p>
      <w:pPr>
        <w:spacing w:after="0" w:line="226" w:lineRule="exact"/>
        <w:rPr>
          <w:rFonts w:ascii="Arial" w:cs="Arial" w:eastAsia="Arial" w:hAnsi="Arial"/>
          <w:sz w:val="18"/>
          <w:szCs w:val="18"/>
          <w:color w:val="auto"/>
        </w:rPr>
      </w:pPr>
    </w:p>
    <w:p>
      <w:pPr>
        <w:jc w:val="both"/>
        <w:ind w:firstLine="818"/>
        <w:spacing w:after="0" w:line="250" w:lineRule="auto"/>
        <w:tabs>
          <w:tab w:leader="none" w:pos="128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77" w:name="page78"/>
    <w:bookmarkEnd w:id="77"/>
    <w:p>
      <w:pPr>
        <w:ind w:left="400"/>
        <w:spacing w:after="0"/>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b w:val="1"/>
          <w:bCs w:val="1"/>
          <w:color w:val="auto"/>
        </w:rPr>
        <w:t>Fees</w:t>
      </w:r>
      <w:r>
        <w:rPr>
          <w:rFonts w:ascii="Arial" w:cs="Arial" w:eastAsia="Arial" w:hAnsi="Arial"/>
          <w:sz w:val="20"/>
          <w:szCs w:val="20"/>
          <w:color w:val="auto"/>
        </w:rPr>
        <w:t>.</w:t>
      </w:r>
    </w:p>
    <w:p>
      <w:pPr>
        <w:spacing w:after="0" w:line="249" w:lineRule="exact"/>
        <w:rPr>
          <w:sz w:val="20"/>
          <w:szCs w:val="20"/>
          <w:color w:val="auto"/>
        </w:rPr>
      </w:pPr>
    </w:p>
    <w:p>
      <w:pPr>
        <w:jc w:val="both"/>
        <w:ind w:firstLine="818"/>
        <w:spacing w:after="0" w:line="282" w:lineRule="auto"/>
        <w:tabs>
          <w:tab w:leader="none" w:pos="128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Ticking Fee</w:t>
      </w:r>
      <w:r>
        <w:rPr>
          <w:rFonts w:ascii="Arial" w:cs="Arial" w:eastAsia="Arial" w:hAnsi="Arial"/>
          <w:sz w:val="18"/>
          <w:szCs w:val="18"/>
          <w:color w:val="auto"/>
        </w:rPr>
        <w:t>. The Borrower shall pay a ticking fee (the “</w:t>
      </w:r>
      <w:r>
        <w:rPr>
          <w:rFonts w:ascii="Arial" w:cs="Arial" w:eastAsia="Arial" w:hAnsi="Arial"/>
          <w:sz w:val="18"/>
          <w:szCs w:val="18"/>
          <w:u w:val="single" w:color="auto"/>
          <w:color w:val="auto"/>
        </w:rPr>
        <w:t>Ticking Fee</w:t>
      </w:r>
      <w:r>
        <w:rPr>
          <w:rFonts w:ascii="Arial" w:cs="Arial" w:eastAsia="Arial" w:hAnsi="Arial"/>
          <w:sz w:val="18"/>
          <w:szCs w:val="18"/>
          <w:color w:val="auto"/>
        </w:rPr>
        <w:t xml:space="preserve">”) to the Administrative Agent for the account of each Lender, which shall accrue daily at a rate per annum equal to the applicable Ticking Fee Rate on the actual daily unused portion of the Commitment of such Lender during the period from and including the Effective Date to but excluding the date such Commitment terminates. Ticking Fees shall be payable quarterly in arrears, and upon the date the Commitments are terminated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818"/>
        <w:spacing w:after="0" w:line="250" w:lineRule="auto"/>
        <w:tabs>
          <w:tab w:leader="none" w:pos="1284"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The Borrower shall pay to the Bookrunners and the Administrative Agent for their own respective accounts and the accounts of the Lenders fees in the amounts and at the times specified in the Fee Letter. Such fees shall be fully earned when paid and shall not be refundable for any reason whatsoever.</w:t>
      </w:r>
    </w:p>
    <w:p>
      <w:pPr>
        <w:spacing w:after="0" w:line="207" w:lineRule="exact"/>
        <w:rPr>
          <w:sz w:val="20"/>
          <w:szCs w:val="20"/>
          <w:color w:val="auto"/>
        </w:rPr>
      </w:pPr>
    </w:p>
    <w:p>
      <w:pPr>
        <w:jc w:val="both"/>
        <w:ind w:firstLine="624"/>
        <w:spacing w:after="0" w:line="243"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b w:val="1"/>
          <w:bCs w:val="1"/>
          <w:color w:val="auto"/>
        </w:rPr>
        <w:t>Computation of Interest and Fees</w:t>
      </w:r>
      <w:r>
        <w:rPr>
          <w:rFonts w:ascii="Arial" w:cs="Arial" w:eastAsia="Arial" w:hAnsi="Arial"/>
          <w:sz w:val="20"/>
          <w:szCs w:val="20"/>
          <w:color w:val="auto"/>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Loan that is repaid on the same day on which it is made shall, subject to </w:t>
      </w:r>
      <w:r>
        <w:rPr>
          <w:rFonts w:ascii="Arial" w:cs="Arial" w:eastAsia="Arial" w:hAnsi="Arial"/>
          <w:sz w:val="20"/>
          <w:szCs w:val="20"/>
          <w:u w:val="single" w:color="auto"/>
          <w:color w:val="auto"/>
        </w:rPr>
        <w:t>Section 2.11(a)</w:t>
      </w:r>
      <w:r>
        <w:rPr>
          <w:rFonts w:ascii="Arial" w:cs="Arial" w:eastAsia="Arial" w:hAnsi="Arial"/>
          <w:sz w:val="20"/>
          <w:szCs w:val="20"/>
          <w:color w:val="auto"/>
        </w:rPr>
        <w:t>, bear interest for one day. Each determination by the Administrative Agent of an interest rate or fee hereunder shall be conclusive and binding for all purposes, absent manifest error.</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b w:val="1"/>
          <w:bCs w:val="1"/>
          <w:color w:val="auto"/>
        </w:rPr>
        <w:t>Evidence of Debt</w:t>
      </w:r>
      <w:r>
        <w:rPr>
          <w:rFonts w:ascii="Arial" w:cs="Arial" w:eastAsia="Arial" w:hAnsi="Arial"/>
          <w:sz w:val="20"/>
          <w:szCs w:val="20"/>
          <w:color w:val="auto"/>
        </w:rPr>
        <w:t>.</w:t>
      </w:r>
    </w:p>
    <w:p>
      <w:pPr>
        <w:spacing w:after="0" w:line="249" w:lineRule="exact"/>
        <w:rPr>
          <w:sz w:val="20"/>
          <w:szCs w:val="20"/>
          <w:color w:val="auto"/>
        </w:rPr>
      </w:pPr>
    </w:p>
    <w:p>
      <w:pPr>
        <w:jc w:val="both"/>
        <w:ind w:firstLine="818"/>
        <w:spacing w:after="0" w:line="269" w:lineRule="auto"/>
        <w:tabs>
          <w:tab w:leader="none" w:pos="12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Credit Extensions made by each Lender shall be evidenced by one or more accounts or records maintained by such Lender and by the Administrative Agent in the ordinary course of business. The Administrative Agent shall maintain the Register in accordance with </w:t>
      </w:r>
      <w:r>
        <w:rPr>
          <w:rFonts w:ascii="Arial" w:cs="Arial" w:eastAsia="Arial" w:hAnsi="Arial"/>
          <w:sz w:val="18"/>
          <w:szCs w:val="18"/>
          <w:u w:val="single" w:color="auto"/>
          <w:color w:val="auto"/>
        </w:rPr>
        <w:t>Section 10.06(c)</w:t>
      </w:r>
      <w:r>
        <w:rPr>
          <w:rFonts w:ascii="Arial" w:cs="Arial" w:eastAsia="Arial" w:hAnsi="Arial"/>
          <w:sz w:val="18"/>
          <w:szCs w:val="18"/>
          <w:color w:val="auto"/>
        </w:rPr>
        <w:t>.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 it being understood and agreed that such Lender (and/or its applicable permitted assign) shall be required to return such Note to the Borrower upon the occurrence of the Termination Date (or as promptly thereafter as practicable) and upon the request of the Borrower. If any Lender loses the original copy of its Note, it shall, at the request of the Borrower, execute an affidavit of loss containing an indemnification provision reasonably satisfactory to the Borrower.</w:t>
      </w:r>
    </w:p>
    <w:p>
      <w:pPr>
        <w:spacing w:after="0" w:line="208" w:lineRule="exact"/>
        <w:rPr>
          <w:rFonts w:ascii="Arial" w:cs="Arial" w:eastAsia="Arial" w:hAnsi="Arial"/>
          <w:sz w:val="18"/>
          <w:szCs w:val="18"/>
          <w:color w:val="auto"/>
        </w:rPr>
      </w:pPr>
    </w:p>
    <w:p>
      <w:pPr>
        <w:ind w:left="1300" w:hanging="482"/>
        <w:spacing w:after="0"/>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8" w:name="page79"/>
    <w:bookmarkEnd w:id="78"/>
    <w:p>
      <w:pPr>
        <w:ind w:left="40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b w:val="1"/>
          <w:bCs w:val="1"/>
          <w:color w:val="auto"/>
        </w:rPr>
        <w:t>Payments Generally; Administrative Agent’s Clawback</w:t>
      </w:r>
      <w:r>
        <w:rPr>
          <w:rFonts w:ascii="Arial" w:cs="Arial" w:eastAsia="Arial" w:hAnsi="Arial"/>
          <w:sz w:val="20"/>
          <w:szCs w:val="20"/>
          <w:color w:val="auto"/>
        </w:rPr>
        <w:t>.</w:t>
      </w:r>
    </w:p>
    <w:p>
      <w:pPr>
        <w:spacing w:after="0" w:line="249" w:lineRule="exact"/>
        <w:rPr>
          <w:sz w:val="20"/>
          <w:szCs w:val="20"/>
          <w:color w:val="auto"/>
        </w:rPr>
      </w:pPr>
    </w:p>
    <w:p>
      <w:pPr>
        <w:jc w:val="both"/>
        <w:ind w:firstLine="818"/>
        <w:spacing w:after="0" w:line="272" w:lineRule="auto"/>
        <w:tabs>
          <w:tab w:leader="none" w:pos="128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7" w:lineRule="exact"/>
        <w:rPr>
          <w:rFonts w:ascii="Arial" w:cs="Arial" w:eastAsia="Arial" w:hAnsi="Arial"/>
          <w:sz w:val="18"/>
          <w:szCs w:val="18"/>
          <w:color w:val="auto"/>
        </w:rPr>
      </w:pPr>
    </w:p>
    <w:p>
      <w:pPr>
        <w:jc w:val="both"/>
        <w:ind w:firstLine="818"/>
        <w:spacing w:after="0" w:line="307" w:lineRule="auto"/>
        <w:tabs>
          <w:tab w:leader="none" w:pos="1284"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w:t>
      </w:r>
    </w:p>
    <w:p>
      <w:pPr>
        <w:spacing w:after="0" w:line="181" w:lineRule="exact"/>
        <w:rPr>
          <w:rFonts w:ascii="Arial" w:cs="Arial" w:eastAsia="Arial" w:hAnsi="Arial"/>
          <w:sz w:val="16"/>
          <w:szCs w:val="16"/>
          <w:color w:val="auto"/>
        </w:rPr>
      </w:pPr>
    </w:p>
    <w:p>
      <w:pPr>
        <w:jc w:val="both"/>
        <w:ind w:firstLine="8"/>
        <w:spacing w:after="0"/>
        <w:tabs>
          <w:tab w:leader="none" w:pos="324"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24" w:lineRule="exact"/>
        <w:rPr>
          <w:rFonts w:ascii="Arial" w:cs="Arial" w:eastAsia="Arial" w:hAnsi="Arial"/>
          <w:sz w:val="20"/>
          <w:szCs w:val="20"/>
          <w:color w:val="auto"/>
        </w:rPr>
      </w:pPr>
    </w:p>
    <w:p>
      <w:pPr>
        <w:jc w:val="both"/>
        <w:ind w:left="580" w:firstLine="725"/>
        <w:spacing w:after="0" w:line="257" w:lineRule="auto"/>
        <w:tabs>
          <w:tab w:leader="none" w:pos="1957" w:val="left"/>
        </w:tabs>
        <w:numPr>
          <w:ilvl w:val="2"/>
          <w:numId w:val="45"/>
        </w:numPr>
        <w:rPr>
          <w:rFonts w:ascii="Arial" w:cs="Arial" w:eastAsia="Arial" w:hAnsi="Arial"/>
          <w:sz w:val="19"/>
          <w:szCs w:val="19"/>
          <w:color w:val="auto"/>
        </w:rPr>
      </w:pPr>
      <w:r>
        <w:rPr>
          <w:rFonts w:ascii="Arial" w:cs="Arial" w:eastAsia="Arial" w:hAnsi="Arial"/>
          <w:sz w:val="19"/>
          <w:szCs w:val="19"/>
          <w:u w:val="single" w:color="auto"/>
          <w:color w:val="auto"/>
        </w:rPr>
        <w:t>Payments by Borrower; Presumptions by Administrative Agent</w:t>
      </w:r>
      <w:r>
        <w:rPr>
          <w:rFonts w:ascii="Arial" w:cs="Arial" w:eastAsia="Arial" w:hAnsi="Arial"/>
          <w:sz w:val="19"/>
          <w:szCs w:val="19"/>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9" w:name="page80"/>
    <w:bookmarkEnd w:id="79"/>
    <w:p>
      <w:pPr>
        <w:ind w:left="580"/>
        <w:spacing w:after="0"/>
        <w:rPr>
          <w:sz w:val="20"/>
          <w:szCs w:val="20"/>
          <w:color w:val="auto"/>
        </w:rPr>
      </w:pPr>
      <w:r>
        <w:rPr>
          <w:rFonts w:ascii="Arial" w:cs="Arial" w:eastAsia="Arial" w:hAnsi="Arial"/>
          <w:sz w:val="18"/>
          <w:szCs w:val="18"/>
          <w:color w:val="auto"/>
        </w:rPr>
        <w:t>Funds Rate and a rate determined by the Administrative Agent in accordance with banking industry rules on interbank compensation.</w:t>
      </w:r>
    </w:p>
    <w:p>
      <w:pPr>
        <w:spacing w:after="0" w:line="26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177" w:lineRule="exact"/>
        <w:rPr>
          <w:sz w:val="20"/>
          <w:szCs w:val="20"/>
          <w:color w:val="auto"/>
        </w:rPr>
      </w:pPr>
    </w:p>
    <w:p>
      <w:pPr>
        <w:jc w:val="both"/>
        <w:ind w:firstLine="575"/>
        <w:spacing w:after="0" w:line="244" w:lineRule="auto"/>
        <w:tabs>
          <w:tab w:leader="none" w:pos="128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221" w:lineRule="exact"/>
        <w:rPr>
          <w:rFonts w:ascii="Arial" w:cs="Arial" w:eastAsia="Arial" w:hAnsi="Arial"/>
          <w:sz w:val="20"/>
          <w:szCs w:val="20"/>
          <w:color w:val="auto"/>
        </w:rPr>
      </w:pPr>
    </w:p>
    <w:p>
      <w:pPr>
        <w:jc w:val="both"/>
        <w:ind w:firstLine="575"/>
        <w:spacing w:after="0" w:line="282" w:lineRule="auto"/>
        <w:tabs>
          <w:tab w:leader="none" w:pos="128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575"/>
        <w:spacing w:after="0" w:line="250" w:lineRule="auto"/>
        <w:tabs>
          <w:tab w:leader="none" w:pos="128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7" w:lineRule="exact"/>
        <w:rPr>
          <w:sz w:val="20"/>
          <w:szCs w:val="20"/>
          <w:color w:val="auto"/>
        </w:rPr>
      </w:pPr>
    </w:p>
    <w:p>
      <w:pPr>
        <w:jc w:val="both"/>
        <w:ind w:firstLine="516"/>
        <w:spacing w:after="0" w:line="259"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b w:val="1"/>
          <w:bCs w:val="1"/>
          <w:color w:val="auto"/>
        </w:rPr>
        <w:t>Sharing of Payments by Lenders</w:t>
      </w:r>
      <w:r>
        <w:rPr>
          <w:rFonts w:ascii="Arial" w:cs="Arial" w:eastAsia="Arial" w:hAnsi="Arial"/>
          <w:sz w:val="19"/>
          <w:szCs w:val="19"/>
          <w:color w:val="auto"/>
        </w:rPr>
        <w:t>. If any Lender shall, by exercising any right of setoff or counterclaim or otherwise, obtain payment in respect of any principal of or interest on any of the Loans made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205" w:lineRule="exact"/>
        <w:rPr>
          <w:sz w:val="20"/>
          <w:szCs w:val="20"/>
          <w:color w:val="auto"/>
        </w:rPr>
      </w:pPr>
    </w:p>
    <w:p>
      <w:pPr>
        <w:ind w:left="580" w:firstLine="967"/>
        <w:spacing w:after="0" w:line="287" w:lineRule="auto"/>
        <w:tabs>
          <w:tab w:leader="none" w:pos="1947"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9" w:lineRule="exact"/>
        <w:rPr>
          <w:rFonts w:ascii="Arial" w:cs="Arial" w:eastAsia="Arial" w:hAnsi="Arial"/>
          <w:sz w:val="19"/>
          <w:szCs w:val="19"/>
          <w:color w:val="auto"/>
        </w:rPr>
      </w:pPr>
    </w:p>
    <w:p>
      <w:pPr>
        <w:jc w:val="both"/>
        <w:ind w:left="580" w:firstLine="967"/>
        <w:spacing w:after="0" w:line="244" w:lineRule="auto"/>
        <w:tabs>
          <w:tab w:leader="none" w:pos="194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Subsidiary thereof (as to which the provisions of this Section shall apply).</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b w:val="1"/>
          <w:bCs w:val="1"/>
          <w:color w:val="auto"/>
        </w:rPr>
        <w:t>[Reserved].</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b w:val="1"/>
          <w:bCs w:val="1"/>
          <w:color w:val="auto"/>
        </w:rPr>
        <w:t>Defaulting Lenders.</w:t>
      </w:r>
    </w:p>
    <w:p>
      <w:pPr>
        <w:spacing w:after="0" w:line="249" w:lineRule="exact"/>
        <w:rPr>
          <w:sz w:val="20"/>
          <w:szCs w:val="20"/>
          <w:color w:val="auto"/>
        </w:rPr>
      </w:pPr>
    </w:p>
    <w:p>
      <w:pPr>
        <w:jc w:val="both"/>
        <w:ind w:firstLine="818"/>
        <w:spacing w:after="0" w:line="250" w:lineRule="auto"/>
        <w:tabs>
          <w:tab w:leader="none" w:pos="1286"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212" w:lineRule="exact"/>
        <w:rPr>
          <w:rFonts w:ascii="Arial" w:cs="Arial" w:eastAsia="Arial" w:hAnsi="Arial"/>
          <w:sz w:val="20"/>
          <w:szCs w:val="20"/>
          <w:color w:val="auto"/>
        </w:rPr>
      </w:pPr>
    </w:p>
    <w:p>
      <w:pPr>
        <w:ind w:left="580" w:firstLine="780"/>
        <w:spacing w:after="0" w:line="316" w:lineRule="auto"/>
        <w:tabs>
          <w:tab w:leader="none" w:pos="1957"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jc w:val="both"/>
        <w:ind w:left="580" w:firstLine="725"/>
        <w:spacing w:after="0" w:line="268" w:lineRule="auto"/>
        <w:tabs>
          <w:tab w:leader="none" w:pos="1957"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(but in no event later than five Business Days after receipt)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reasonably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deposit account and released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to the payment of any amounts owing to the Lenders as a result of any judgment of a court of competent jurisdiction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so long as no Default or Event of Default exists, to the payment of any amounts owing to the Borrower as a result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without giving effect to </w:t>
      </w:r>
      <w:r>
        <w:rPr>
          <w:rFonts w:ascii="Arial" w:cs="Arial" w:eastAsia="Arial" w:hAnsi="Arial"/>
          <w:sz w:val="18"/>
          <w:szCs w:val="18"/>
          <w:u w:val="single" w:color="auto"/>
          <w:color w:val="auto"/>
        </w:rPr>
        <w:t>Section 2.14(a)(iv)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pursuant to this </w:t>
      </w:r>
      <w:r>
        <w:rPr>
          <w:rFonts w:ascii="Arial" w:cs="Arial" w:eastAsia="Arial" w:hAnsi="Arial"/>
          <w:sz w:val="18"/>
          <w:szCs w:val="18"/>
          <w:u w:val="single" w:color="auto"/>
          <w:color w:val="auto"/>
        </w:rPr>
        <w:t>Section 2.14(a)(ii)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80" w:firstLine="670"/>
        <w:spacing w:after="0" w:line="260" w:lineRule="auto"/>
        <w:tabs>
          <w:tab w:leader="none" w:pos="1957"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 xml:space="preserve">. Fees (including any Ticking Fees) on the Commitment of any Defaulting Lender shall cease to accrue for any period during which such Lender is a Defaulting Lender pursuant to </w:t>
      </w:r>
      <w:r>
        <w:rPr>
          <w:rFonts w:ascii="Arial" w:cs="Arial" w:eastAsia="Arial" w:hAnsi="Arial"/>
          <w:sz w:val="20"/>
          <w:szCs w:val="20"/>
          <w:u w:val="single" w:color="auto"/>
          <w:color w:val="auto"/>
        </w:rPr>
        <w:t>Section 2.08(a)</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jc w:val="both"/>
        <w:ind w:firstLine="818"/>
        <w:spacing w:after="0" w:line="246" w:lineRule="auto"/>
        <w:tabs>
          <w:tab w:leader="none" w:pos="128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9"/>
          <w:szCs w:val="19"/>
          <w:color w:val="auto"/>
        </w:rPr>
        <w:t xml:space="preserve">Lenders or take such other actions as the Administrative Agent may determine to be necessary to cause the Loans to be held on a pro rata basis by the Lenders in accordance with their Applicable Percentages (without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b w:val="1"/>
          <w:bCs w:val="1"/>
          <w:color w:val="auto"/>
        </w:rPr>
        <w:t>Taxes</w:t>
      </w:r>
      <w:r>
        <w:rPr>
          <w:rFonts w:ascii="Arial" w:cs="Arial" w:eastAsia="Arial" w:hAnsi="Arial"/>
          <w:sz w:val="20"/>
          <w:szCs w:val="20"/>
          <w:color w:val="auto"/>
        </w:rPr>
        <w:t>.</w:t>
      </w:r>
    </w:p>
    <w:p>
      <w:pPr>
        <w:spacing w:after="0" w:line="249" w:lineRule="exact"/>
        <w:rPr>
          <w:sz w:val="20"/>
          <w:szCs w:val="20"/>
          <w:color w:val="auto"/>
        </w:rPr>
      </w:pPr>
    </w:p>
    <w:p>
      <w:pPr>
        <w:ind w:left="1300" w:hanging="482"/>
        <w:spacing w:after="0"/>
        <w:tabs>
          <w:tab w:leader="none" w:pos="130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580" w:firstLine="780"/>
        <w:spacing w:after="0" w:line="278" w:lineRule="auto"/>
        <w:tabs>
          <w:tab w:leader="none" w:pos="19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or the Borrower)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subsection (e) below.</w:t>
      </w:r>
    </w:p>
    <w:p>
      <w:pPr>
        <w:spacing w:after="0" w:line="191" w:lineRule="exact"/>
        <w:rPr>
          <w:rFonts w:ascii="Arial" w:cs="Arial" w:eastAsia="Arial" w:hAnsi="Arial"/>
          <w:sz w:val="18"/>
          <w:szCs w:val="18"/>
          <w:color w:val="auto"/>
        </w:rPr>
      </w:pPr>
    </w:p>
    <w:p>
      <w:pPr>
        <w:jc w:val="both"/>
        <w:ind w:left="580" w:firstLine="725"/>
        <w:spacing w:after="0" w:line="272" w:lineRule="auto"/>
        <w:tabs>
          <w:tab w:leader="none" w:pos="19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Borrower or the Administrative Agent shall be required by U.S. federal Law to withhold or deduct any Taxes, including both U.S. federal backup withholding and withholding taxes, from any payment, then (A) the Borrower or the Administrative Agent, as the case may be, shall withhold or make such deductions as are determined by it to be required based upon the information and documentation it has received pursuant to subsection (e) below, (B) the Borrower or the Administrative Agent, as the case may be, shall timely pay the full amount withheld or deducted to the relevant Governmental Authority in accordance with U.S. federal Law, and (C) to the extent that the withholding or deduction is made on account of Indemnified Taxes, the sum payable by the Borrower shall be increased as necessary so that after any required withholding or the making of all required deductions (including withholdings and deductions applicable to additional sums payable under this Section 3.01) the applicable Recipient receives an amount equal to the sum it would have received had no such withholding or deduction been made.</w:t>
      </w:r>
    </w:p>
    <w:p>
      <w:pPr>
        <w:spacing w:after="0" w:line="197" w:lineRule="exact"/>
        <w:rPr>
          <w:rFonts w:ascii="Arial" w:cs="Arial" w:eastAsia="Arial" w:hAnsi="Arial"/>
          <w:sz w:val="18"/>
          <w:szCs w:val="18"/>
          <w:color w:val="auto"/>
        </w:rPr>
      </w:pPr>
    </w:p>
    <w:p>
      <w:pPr>
        <w:jc w:val="both"/>
        <w:ind w:left="580" w:firstLine="670"/>
        <w:spacing w:after="0" w:line="272" w:lineRule="auto"/>
        <w:tabs>
          <w:tab w:leader="none" w:pos="19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Borrower or the Administrative Agent shall be required by any applicable Laws other than U.S. federal Law to withhold or deduct any Taxes from any payment, then (A) the Borrower or the Administrative Agent, as required by such Laws, shall withhold or make such deductions as are determined by it to be required based upon the information and documentation it has received pursuant to subsection (e) 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withholdings and deductions applicable to additional sums payable under this Section 3.01) the applicable Recipient receives an amount equal to the sum it would have received had no such withholding or deduction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2" w:name="page83"/>
    <w:bookmarkEnd w:id="82"/>
    <w:p>
      <w:pPr>
        <w:jc w:val="both"/>
        <w:ind w:firstLine="818"/>
        <w:spacing w:after="0" w:line="250" w:lineRule="auto"/>
        <w:tabs>
          <w:tab w:leader="none" w:pos="128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Borrower shall timely pay to the relevant Governmental Authority in accordance with applicable Law, or at the option of the Administrative Agent timely reimburse it for the payment of, any Other Taxes.</w:t>
      </w:r>
    </w:p>
    <w:p>
      <w:pPr>
        <w:spacing w:after="0" w:line="212" w:lineRule="exact"/>
        <w:rPr>
          <w:rFonts w:ascii="Arial" w:cs="Arial" w:eastAsia="Arial" w:hAnsi="Arial"/>
          <w:sz w:val="20"/>
          <w:szCs w:val="20"/>
          <w:color w:val="auto"/>
        </w:rPr>
      </w:pPr>
    </w:p>
    <w:p>
      <w:pPr>
        <w:jc w:val="both"/>
        <w:ind w:firstLine="818"/>
        <w:spacing w:after="0" w:line="271" w:lineRule="auto"/>
        <w:tabs>
          <w:tab w:leader="none" w:pos="128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xml:space="preserve">. (i) The Borrower shall, and does hereby, indemnify each Recipient, and shall make payment in respect thereof within 30 days after demand therefor accompanied by the certificate described below in this clause (c)(i),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showing the calculation of the amount owed in reasonable detail,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demand therefor, for any amount which a Lender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200" w:lineRule="exact"/>
        <w:rPr>
          <w:rFonts w:ascii="Arial" w:cs="Arial" w:eastAsia="Arial" w:hAnsi="Arial"/>
          <w:sz w:val="18"/>
          <w:szCs w:val="18"/>
          <w:color w:val="auto"/>
        </w:rPr>
      </w:pPr>
    </w:p>
    <w:p>
      <w:pPr>
        <w:jc w:val="both"/>
        <w:ind w:left="580" w:firstLine="725"/>
        <w:spacing w:after="0" w:line="270" w:lineRule="auto"/>
        <w:tabs>
          <w:tab w:leader="none" w:pos="19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or expanding any obligation of the Borrower to do so), (y) the Administrative Agent and the Borrower,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Borrower, as the case may be,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firstLine="818"/>
        <w:spacing w:after="0" w:line="260" w:lineRule="auto"/>
        <w:tabs>
          <w:tab w:leader="none" w:pos="128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07" w:lineRule="exact"/>
        <w:rPr>
          <w:rFonts w:ascii="Arial" w:cs="Arial" w:eastAsia="Arial" w:hAnsi="Arial"/>
          <w:sz w:val="19"/>
          <w:szCs w:val="19"/>
          <w:color w:val="auto"/>
        </w:rPr>
      </w:pPr>
    </w:p>
    <w:p>
      <w:pPr>
        <w:ind w:left="1300" w:hanging="482"/>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p>
    <w:p>
      <w:pPr>
        <w:spacing w:after="0" w:line="15" w:lineRule="exact"/>
        <w:rPr>
          <w:rFonts w:ascii="Arial" w:cs="Arial" w:eastAsia="Arial" w:hAnsi="Arial"/>
          <w:sz w:val="20"/>
          <w:szCs w:val="20"/>
          <w:color w:val="auto"/>
        </w:rPr>
      </w:pPr>
    </w:p>
    <w:p>
      <w:pPr>
        <w:ind w:left="580" w:right="20" w:firstLine="780"/>
        <w:spacing w:after="0" w:line="244" w:lineRule="auto"/>
        <w:tabs>
          <w:tab w:leader="none" w:pos="1957"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Lender that is entitled to an exemption from or reduction of withholding Tax with respect to payments made under any Loan Document shall deliver to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3" w:name="page84"/>
    <w:bookmarkEnd w:id="83"/>
    <w:p>
      <w:pPr>
        <w:jc w:val="both"/>
        <w:spacing w:after="0" w:line="255" w:lineRule="auto"/>
        <w:rPr>
          <w:sz w:val="20"/>
          <w:szCs w:val="20"/>
          <w:color w:val="auto"/>
        </w:rPr>
      </w:pPr>
      <w:r>
        <w:rPr>
          <w:rFonts w:ascii="Arial" w:cs="Arial" w:eastAsia="Arial" w:hAnsi="Arial"/>
          <w:sz w:val="19"/>
          <w:szCs w:val="19"/>
          <w:color w:val="auto"/>
        </w:rPr>
        <w:t xml:space="preserve">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7" w:lineRule="exact"/>
        <w:rPr>
          <w:sz w:val="20"/>
          <w:szCs w:val="20"/>
          <w:color w:val="auto"/>
        </w:rPr>
      </w:pPr>
    </w:p>
    <w:p>
      <w:pPr>
        <w:ind w:left="1380" w:hanging="655"/>
        <w:spacing w:after="0"/>
        <w:tabs>
          <w:tab w:leader="none" w:pos="13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43" w:lineRule="exact"/>
        <w:rPr>
          <w:sz w:val="20"/>
          <w:szCs w:val="20"/>
          <w:color w:val="auto"/>
        </w:rPr>
      </w:pPr>
    </w:p>
    <w:p>
      <w:pPr>
        <w:jc w:val="both"/>
        <w:ind w:left="760" w:firstLine="1013"/>
        <w:spacing w:after="0" w:line="243" w:lineRule="auto"/>
        <w:rPr>
          <w:sz w:val="20"/>
          <w:szCs w:val="20"/>
          <w:color w:val="auto"/>
        </w:rPr>
      </w:pPr>
      <w:r>
        <w:rPr>
          <w:rFonts w:ascii="Arial" w:cs="Arial" w:eastAsia="Arial" w:hAnsi="Arial"/>
          <w:sz w:val="20"/>
          <w:szCs w:val="20"/>
          <w:color w:val="auto"/>
        </w:rPr>
        <w:t>(1)any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3" w:lineRule="exact"/>
        <w:rPr>
          <w:sz w:val="20"/>
          <w:szCs w:val="20"/>
          <w:color w:val="auto"/>
        </w:rPr>
      </w:pPr>
    </w:p>
    <w:p>
      <w:pPr>
        <w:jc w:val="both"/>
        <w:ind w:left="760" w:firstLine="1013"/>
        <w:spacing w:after="0" w:line="257" w:lineRule="auto"/>
        <w:rPr>
          <w:sz w:val="20"/>
          <w:szCs w:val="20"/>
          <w:color w:val="auto"/>
        </w:rPr>
      </w:pPr>
      <w:r>
        <w:rPr>
          <w:rFonts w:ascii="Arial" w:cs="Arial" w:eastAsia="Arial" w:hAnsi="Arial"/>
          <w:sz w:val="19"/>
          <w:szCs w:val="19"/>
          <w:color w:val="auto"/>
        </w:rPr>
        <w:t>(2)any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9" w:lineRule="exact"/>
        <w:rPr>
          <w:sz w:val="20"/>
          <w:szCs w:val="20"/>
          <w:color w:val="auto"/>
        </w:rPr>
      </w:pPr>
    </w:p>
    <w:p>
      <w:pPr>
        <w:jc w:val="both"/>
        <w:ind w:left="1380" w:firstLine="640"/>
        <w:spacing w:after="0" w:line="276" w:lineRule="auto"/>
        <w:tabs>
          <w:tab w:leader="none" w:pos="26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1" w:lineRule="exact"/>
        <w:rPr>
          <w:rFonts w:ascii="Arial" w:cs="Arial" w:eastAsia="Arial" w:hAnsi="Arial"/>
          <w:sz w:val="18"/>
          <w:szCs w:val="18"/>
          <w:color w:val="auto"/>
        </w:rPr>
      </w:pPr>
    </w:p>
    <w:p>
      <w:pPr>
        <w:ind w:left="2660" w:hanging="640"/>
        <w:spacing w:after="0"/>
        <w:tabs>
          <w:tab w:leader="none" w:pos="2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42" w:lineRule="exact"/>
        <w:rPr>
          <w:rFonts w:ascii="Arial" w:cs="Arial" w:eastAsia="Arial" w:hAnsi="Arial"/>
          <w:sz w:val="20"/>
          <w:szCs w:val="20"/>
          <w:color w:val="auto"/>
        </w:rPr>
      </w:pPr>
    </w:p>
    <w:p>
      <w:pPr>
        <w:jc w:val="both"/>
        <w:ind w:left="1380" w:firstLine="640"/>
        <w:spacing w:after="0" w:line="233" w:lineRule="exact"/>
        <w:tabs>
          <w:tab w:leader="none" w:pos="2666"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871(h)(3)(B)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originals of IRS Form W</w:t>
      </w:r>
      <w:r>
        <w:rPr>
          <w:rFonts w:ascii="MS PGothic" w:cs="MS PGothic" w:eastAsia="MS PGothic" w:hAnsi="MS PGothic"/>
          <w:sz w:val="20"/>
          <w:szCs w:val="20"/>
          <w:color w:val="auto"/>
        </w:rPr>
        <w:t>‑</w:t>
      </w:r>
      <w:r>
        <w:rPr>
          <w:rFonts w:ascii="Arial" w:cs="Arial" w:eastAsia="Arial" w:hAnsi="Arial"/>
          <w:sz w:val="20"/>
          <w:szCs w:val="20"/>
          <w:color w:val="auto"/>
        </w:rPr>
        <w:t>8BEN or IRS Form W-8BEN-E;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233045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1135" w:right="339" w:bottom="1440" w:gutter="0" w:footer="0" w:header="0"/>
        </w:sectPr>
      </w:pPr>
    </w:p>
    <w:bookmarkStart w:id="84" w:name="page85"/>
    <w:bookmarkEnd w:id="84"/>
    <w:p>
      <w:pPr>
        <w:jc w:val="both"/>
        <w:ind w:left="1960" w:firstLine="640"/>
        <w:spacing w:after="0" w:line="232" w:lineRule="exact"/>
        <w:tabs>
          <w:tab w:leader="none" w:pos="3244" w:val="left"/>
        </w:tabs>
        <w:numPr>
          <w:ilvl w:val="0"/>
          <w:numId w:val="54"/>
        </w:numPr>
        <w:rPr>
          <w:rFonts w:ascii="Arial" w:cs="Arial" w:eastAsia="Arial" w:hAnsi="Arial"/>
          <w:sz w:val="20"/>
          <w:szCs w:val="20"/>
          <w:color w:val="auto"/>
        </w:rPr>
      </w:pPr>
      <w:r>
        <w:rPr>
          <w:rFonts w:ascii="Arial" w:cs="Arial" w:eastAsia="Arial" w:hAnsi="Arial"/>
          <w:sz w:val="20"/>
          <w:szCs w:val="20"/>
          <w:color w:val="auto"/>
        </w:rPr>
        <w:t>to the extent a Foreign Lender is not the beneficial owner, executed originals of IRS Form W-8IMY, accompanied by IRS Form W</w:t>
      </w:r>
      <w:r>
        <w:rPr>
          <w:rFonts w:ascii="MS PGothic" w:cs="MS PGothic" w:eastAsia="MS PGothic" w:hAnsi="MS PGothic"/>
          <w:sz w:val="20"/>
          <w:szCs w:val="20"/>
          <w:color w:val="auto"/>
        </w:rPr>
        <w:t>‑</w:t>
      </w:r>
      <w:r>
        <w:rPr>
          <w:rFonts w:ascii="Arial" w:cs="Arial" w:eastAsia="Arial" w:hAnsi="Arial"/>
          <w:sz w:val="20"/>
          <w:szCs w:val="20"/>
          <w:color w:val="auto"/>
        </w:rPr>
        <w:t xml:space="preserve">8ECI, IRS Form W-8BEN, IRS Form W-8BEN-E, a U.S. Tax Compliance Certificate substantially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G-3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G-4</w:t>
      </w:r>
      <w:r>
        <w:rPr>
          <w:rFonts w:ascii="Arial" w:cs="Arial" w:eastAsia="Arial" w:hAnsi="Arial"/>
          <w:sz w:val="20"/>
          <w:szCs w:val="20"/>
          <w:color w:val="auto"/>
        </w:rPr>
        <w:t xml:space="preserve"> on behalf of each such direct and indirect partner;</w:t>
      </w:r>
    </w:p>
    <w:p>
      <w:pPr>
        <w:spacing w:after="0" w:line="226" w:lineRule="exact"/>
        <w:rPr>
          <w:sz w:val="20"/>
          <w:szCs w:val="20"/>
          <w:color w:val="auto"/>
        </w:rPr>
      </w:pPr>
    </w:p>
    <w:p>
      <w:pPr>
        <w:jc w:val="both"/>
        <w:ind w:left="1340" w:firstLine="1013"/>
        <w:spacing w:after="0" w:line="257" w:lineRule="auto"/>
        <w:rPr>
          <w:sz w:val="20"/>
          <w:szCs w:val="20"/>
          <w:color w:val="auto"/>
        </w:rPr>
      </w:pPr>
      <w:r>
        <w:rPr>
          <w:rFonts w:ascii="Arial" w:cs="Arial" w:eastAsia="Arial" w:hAnsi="Arial"/>
          <w:sz w:val="19"/>
          <w:szCs w:val="19"/>
          <w:color w:val="auto"/>
        </w:rPr>
        <w:t>(3)any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12" w:lineRule="exact"/>
        <w:rPr>
          <w:sz w:val="20"/>
          <w:szCs w:val="20"/>
          <w:color w:val="auto"/>
        </w:rPr>
      </w:pPr>
    </w:p>
    <w:p>
      <w:pPr>
        <w:jc w:val="both"/>
        <w:ind w:left="1340" w:firstLine="1013"/>
        <w:spacing w:after="0" w:line="269" w:lineRule="auto"/>
        <w:rPr>
          <w:sz w:val="20"/>
          <w:szCs w:val="20"/>
          <w:color w:val="auto"/>
        </w:rPr>
      </w:pPr>
      <w:r>
        <w:rPr>
          <w:rFonts w:ascii="Arial" w:cs="Arial" w:eastAsia="Arial" w:hAnsi="Arial"/>
          <w:sz w:val="18"/>
          <w:szCs w:val="18"/>
          <w:color w:val="auto"/>
        </w:rPr>
        <w:t>(4)if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w:t>
      </w:r>
    </w:p>
    <w:p>
      <w:pPr>
        <w:spacing w:after="0" w:line="4" w:lineRule="exact"/>
        <w:rPr>
          <w:sz w:val="20"/>
          <w:szCs w:val="20"/>
          <w:color w:val="auto"/>
        </w:rPr>
      </w:pPr>
    </w:p>
    <w:p>
      <w:pPr>
        <w:jc w:val="both"/>
        <w:ind w:left="1340"/>
        <w:spacing w:after="0"/>
        <w:rPr>
          <w:sz w:val="20"/>
          <w:szCs w:val="20"/>
          <w:color w:val="auto"/>
        </w:rPr>
      </w:pPr>
      <w:r>
        <w:rPr>
          <w:rFonts w:ascii="Arial" w:cs="Arial" w:eastAsia="Arial" w:hAnsi="Arial"/>
          <w:sz w:val="20"/>
          <w:szCs w:val="20"/>
          <w:color w:val="auto"/>
        </w:rPr>
        <w:t>(3)(C)(i)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25" w:lineRule="exact"/>
        <w:rPr>
          <w:sz w:val="20"/>
          <w:szCs w:val="20"/>
          <w:color w:val="auto"/>
        </w:rPr>
      </w:pPr>
    </w:p>
    <w:p>
      <w:pPr>
        <w:jc w:val="both"/>
        <w:ind w:left="580" w:firstLine="670"/>
        <w:spacing w:after="0" w:line="250" w:lineRule="auto"/>
        <w:tabs>
          <w:tab w:leader="none" w:pos="1957"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12" w:lineRule="exact"/>
        <w:rPr>
          <w:rFonts w:ascii="Arial" w:cs="Arial" w:eastAsia="Arial" w:hAnsi="Arial"/>
          <w:sz w:val="20"/>
          <w:szCs w:val="20"/>
          <w:color w:val="auto"/>
        </w:rPr>
      </w:pPr>
    </w:p>
    <w:p>
      <w:pPr>
        <w:jc w:val="both"/>
        <w:ind w:firstLine="818"/>
        <w:spacing w:after="0" w:line="276" w:lineRule="auto"/>
        <w:tabs>
          <w:tab w:leader="none" w:pos="129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5" w:name="page86"/>
    <w:bookmarkEnd w:id="85"/>
    <w:p>
      <w:pPr>
        <w:jc w:val="both"/>
        <w:spacing w:after="0" w:line="254" w:lineRule="auto"/>
        <w:rPr>
          <w:sz w:val="20"/>
          <w:szCs w:val="20"/>
          <w:color w:val="auto"/>
        </w:rPr>
      </w:pPr>
      <w:r>
        <w:rPr>
          <w:rFonts w:ascii="Arial" w:cs="Arial" w:eastAsia="Arial" w:hAnsi="Arial"/>
          <w:sz w:val="19"/>
          <w:szCs w:val="19"/>
          <w:color w:val="auto"/>
        </w:rPr>
        <w:t xml:space="preserve">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the Borrower or any other Person.</w:t>
      </w:r>
    </w:p>
    <w:p>
      <w:pPr>
        <w:jc w:val="both"/>
        <w:ind w:firstLine="818"/>
        <w:spacing w:after="0" w:line="241" w:lineRule="auto"/>
        <w:tabs>
          <w:tab w:leader="none" w:pos="128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222" w:lineRule="exact"/>
        <w:rPr>
          <w:rFonts w:ascii="Arial" w:cs="Arial" w:eastAsia="Arial" w:hAnsi="Arial"/>
          <w:sz w:val="20"/>
          <w:szCs w:val="20"/>
          <w:color w:val="auto"/>
        </w:rPr>
      </w:pPr>
    </w:p>
    <w:p>
      <w:pPr>
        <w:ind w:left="1300" w:hanging="482"/>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“applicable Law” includes FATCA.</w:t>
      </w:r>
    </w:p>
    <w:p>
      <w:pPr>
        <w:spacing w:after="0" w:line="237"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color w:val="auto"/>
        </w:rPr>
        <w:t>Illegality</w:t>
      </w:r>
      <w:r>
        <w:rPr>
          <w:rFonts w:ascii="Arial" w:cs="Arial" w:eastAsia="Arial" w:hAnsi="Arial"/>
          <w:sz w:val="18"/>
          <w:szCs w:val="18"/>
          <w:color w:val="auto"/>
        </w:rPr>
        <w:t>. If any Lender determines that any Law has made it unlawful, or that any Governmental Authority has asserted that it is unlawful, for any Lender or its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(and each Lender hereby agrees to provide such notice promptly after any such circumstances ceasing to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and the Borrower are advised in writing by such Lender that it is no longer illegal for such Lender to determine or charge interest rates based upon the Eurodollar Rate (and each Lender hereby agrees to provide such notice promptly after any such illegality ceasing to exist). Upon any such prepayment or conversion, the Borrower shall also pay accrued interest on the amount so prepaid or converted.</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b w:val="1"/>
          <w:bCs w:val="1"/>
          <w:color w:val="auto"/>
        </w:rPr>
        <w:t>Inability to Determine Rates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6" w:name="page87"/>
    <w:bookmarkEnd w:id="86"/>
    <w:p>
      <w:pPr>
        <w:jc w:val="both"/>
        <w:ind w:firstLine="818"/>
        <w:spacing w:after="0" w:line="269" w:lineRule="auto"/>
        <w:tabs>
          <w:tab w:leader="none" w:pos="12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Administrative Agent or the Required Lenders determine that for any reason (i) in connection with any request for a Eurodollar Rate Loan or a conversion to or continuation thereof that (a) Dollar deposits are not being offered to banks in the London interbank eurodollar market for the applicable amount and Interest Period of such Eurodollar Rate Loan or (b)(x) adequate and reasonable means do not exist for determining the Eurodollar Rate for any requested Interest Period with respect to a proposed Eurodollar Rate Loan or in connection with an existing or proposed Base Rate Loan and (y) the circumstances described in Section 3.03(c)(i) do not apply (in each case with respect to this clause (i), “</w:t>
      </w:r>
      <w:r>
        <w:rPr>
          <w:rFonts w:ascii="Arial" w:cs="Arial" w:eastAsia="Arial" w:hAnsi="Arial"/>
          <w:sz w:val="18"/>
          <w:szCs w:val="18"/>
          <w:u w:val="single" w:color="auto"/>
          <w:color w:val="auto"/>
        </w:rPr>
        <w:t>Impacted Loans</w:t>
      </w:r>
      <w:r>
        <w:rPr>
          <w:rFonts w:ascii="Arial" w:cs="Arial" w:eastAsia="Arial" w:hAnsi="Arial"/>
          <w:sz w:val="18"/>
          <w:szCs w:val="18"/>
          <w:color w:val="auto"/>
        </w:rPr>
        <w:t>”), or (ii) the Eurodollar Rate for any requested Interest Period with respect to a proposed Eurodollar Rate Loan does not adequately and fairly reflect the cost to such Lenders of funding such Loan, in each case of the foregoing clauses (i) and (ii),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205" w:lineRule="exact"/>
        <w:rPr>
          <w:rFonts w:ascii="Arial" w:cs="Arial" w:eastAsia="Arial" w:hAnsi="Arial"/>
          <w:sz w:val="18"/>
          <w:szCs w:val="18"/>
          <w:color w:val="auto"/>
        </w:rPr>
      </w:pPr>
    </w:p>
    <w:p>
      <w:pPr>
        <w:ind w:left="1300" w:hanging="482"/>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the foregoing, if the Administrative Agent has made the determination described in clause (i) of Section</w:t>
      </w:r>
    </w:p>
    <w:p>
      <w:pPr>
        <w:spacing w:after="0" w:line="3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3.03(a), the Administrative Agent, in consultation with the Borrower and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first sentence of Section 3.03(a), (ii) 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97" w:lineRule="exact"/>
        <w:rPr>
          <w:sz w:val="20"/>
          <w:szCs w:val="20"/>
          <w:color w:val="auto"/>
        </w:rPr>
      </w:pPr>
    </w:p>
    <w:p>
      <w:pPr>
        <w:ind w:right="180" w:firstLine="818"/>
        <w:spacing w:after="0" w:line="246" w:lineRule="auto"/>
        <w:tabs>
          <w:tab w:leader="none" w:pos="1286"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218" w:lineRule="exact"/>
        <w:rPr>
          <w:rFonts w:ascii="Arial" w:cs="Arial" w:eastAsia="Arial" w:hAnsi="Arial"/>
          <w:sz w:val="20"/>
          <w:szCs w:val="20"/>
          <w:color w:val="auto"/>
        </w:rPr>
      </w:pPr>
    </w:p>
    <w:p>
      <w:pPr>
        <w:jc w:val="both"/>
        <w:ind w:left="660" w:firstLine="644"/>
        <w:spacing w:after="0" w:line="250" w:lineRule="auto"/>
        <w:tabs>
          <w:tab w:leader="none" w:pos="1946" w:val="left"/>
        </w:tabs>
        <w:numPr>
          <w:ilvl w:val="1"/>
          <w:numId w:val="59"/>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212" w:lineRule="exact"/>
        <w:rPr>
          <w:rFonts w:ascii="Arial" w:cs="Arial" w:eastAsia="Arial" w:hAnsi="Arial"/>
          <w:sz w:val="20"/>
          <w:szCs w:val="20"/>
          <w:color w:val="auto"/>
        </w:rPr>
      </w:pPr>
    </w:p>
    <w:p>
      <w:pPr>
        <w:jc w:val="both"/>
        <w:ind w:left="660" w:firstLine="644"/>
        <w:spacing w:after="0" w:line="246" w:lineRule="auto"/>
        <w:tabs>
          <w:tab w:leader="none" w:pos="1944"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provided that, at the time of such statement, there is no successor administrator that is reasonably satisfactory to the Administrative Agent that will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20"/>
          <w:szCs w:val="20"/>
          <w:color w:val="auto"/>
        </w:rPr>
        <w:t>continue to provide LIBOR after such specific date (such specific date, the “</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or</w:t>
      </w:r>
    </w:p>
    <w:p>
      <w:pPr>
        <w:spacing w:after="0" w:line="243" w:lineRule="exact"/>
        <w:rPr>
          <w:sz w:val="20"/>
          <w:szCs w:val="20"/>
          <w:color w:val="auto"/>
        </w:rPr>
      </w:pPr>
    </w:p>
    <w:p>
      <w:pPr>
        <w:ind w:left="660" w:firstLine="644"/>
        <w:spacing w:after="0" w:line="316" w:lineRule="auto"/>
        <w:tabs>
          <w:tab w:leader="none" w:pos="19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syndicated loans currently being executed, or that include language similar to that contained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are being executed or amended (as applicable) to incorporate or adopt a new benchmark interest rate to replace LIBOR,</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then, reasonably promptly after such determination by the Administrative Agent or receipt by the Administrative Agent of such notice, as applicable, the Administrative Agent and the Borrower may, without the consent of any Lender or any other Person, amend this Agreement solely for the purpose of replacing LIBOR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with (x) one or more SOFR-Based Rates or (y) another alternate benchmark rate giving due consideration to any selection or recommendation of a replacement rate or the mechanism for determining such a rate by the Relevant Governmental Body and/or any evolving or then existing convention for similar U.S. dollar denominated syndicated credit facilities for such alternative benchmarks and, in each case, including any mathematical or other adjustments to such benchmark (which may be a positive or negative value or zero) that has been selected by the Administrative Agent and the Borrower, giving due consideration to any selection or recommendation of a spread adjustment, or method for calculating or determining such spread adjustment by the Relevant Governmental Body and/or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Arial" w:cs="Arial" w:eastAsia="Arial" w:hAnsi="Arial"/>
          <w:sz w:val="18"/>
          <w:szCs w:val="18"/>
          <w:u w:val="single" w:color="auto"/>
          <w:color w:val="auto"/>
        </w:rPr>
        <w:t>Adjustment</w:t>
      </w:r>
      <w:r>
        <w:rPr>
          <w:rFonts w:ascii="Arial" w:cs="Arial" w:eastAsia="Arial" w:hAnsi="Arial"/>
          <w:sz w:val="18"/>
          <w:szCs w:val="18"/>
          <w:color w:val="auto"/>
        </w:rPr>
        <w:t>;” and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clause (x), object to the Adjustment; or (B) in the case of an amendment to replace LIBOR with a rate described in clause (y), object to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in the case of clauses (A) and (B), the Required Lenders shall not be entitled to object to any SOFR-Based Rate contained in any such amendment. Such LIBOR Successor 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(subject to the foregoing clause (y)) in the amount specified therein.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0.75%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9"/>
          <w:szCs w:val="19"/>
          <w:color w:val="auto"/>
        </w:rPr>
        <w:t>In connection with the implementation of a LIBOR Successor Rate, the Administrative Agent, in consultation with the Borrower,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Rate Conforming Changes to the Lenders and the Borrower reasonably promptly after such amendment becomes effective.</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b w:val="1"/>
          <w:bCs w:val="1"/>
          <w:color w:val="auto"/>
        </w:rPr>
        <w:t>Increased Costs; Reserves on Eurodollar Rate Loans</w:t>
      </w:r>
      <w:r>
        <w:rPr>
          <w:rFonts w:ascii="Arial" w:cs="Arial" w:eastAsia="Arial" w:hAnsi="Arial"/>
          <w:sz w:val="20"/>
          <w:szCs w:val="20"/>
          <w:color w:val="auto"/>
        </w:rPr>
        <w:t>.</w:t>
      </w:r>
    </w:p>
    <w:p>
      <w:pPr>
        <w:spacing w:after="0" w:line="249" w:lineRule="exact"/>
        <w:rPr>
          <w:sz w:val="20"/>
          <w:szCs w:val="20"/>
          <w:color w:val="auto"/>
        </w:rPr>
      </w:pPr>
    </w:p>
    <w:p>
      <w:pPr>
        <w:ind w:left="1300" w:hanging="482"/>
        <w:spacing w:after="0"/>
        <w:tabs>
          <w:tab w:leader="none" w:pos="13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42" w:lineRule="exact"/>
        <w:rPr>
          <w:rFonts w:ascii="Arial" w:cs="Arial" w:eastAsia="Arial" w:hAnsi="Arial"/>
          <w:sz w:val="20"/>
          <w:szCs w:val="20"/>
          <w:color w:val="auto"/>
        </w:rPr>
      </w:pPr>
    </w:p>
    <w:p>
      <w:pPr>
        <w:jc w:val="both"/>
        <w:ind w:left="580" w:firstLine="780"/>
        <w:spacing w:after="0" w:line="250" w:lineRule="auto"/>
        <w:tabs>
          <w:tab w:leader="none" w:pos="1957"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left="580" w:firstLine="725"/>
        <w:spacing w:after="0" w:line="250" w:lineRule="auto"/>
        <w:tabs>
          <w:tab w:leader="none" w:pos="1957" w:val="left"/>
        </w:tabs>
        <w:numPr>
          <w:ilvl w:val="1"/>
          <w:numId w:val="61"/>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12" w:lineRule="exact"/>
        <w:rPr>
          <w:rFonts w:ascii="Arial" w:cs="Arial" w:eastAsia="Arial" w:hAnsi="Arial"/>
          <w:sz w:val="20"/>
          <w:szCs w:val="20"/>
          <w:color w:val="auto"/>
        </w:rPr>
      </w:pPr>
    </w:p>
    <w:p>
      <w:pPr>
        <w:ind w:left="580" w:right="20" w:firstLine="670"/>
        <w:spacing w:after="0" w:line="260" w:lineRule="auto"/>
        <w:tabs>
          <w:tab w:leader="none" w:pos="1957" w:val="left"/>
        </w:tabs>
        <w:numPr>
          <w:ilvl w:val="1"/>
          <w:numId w:val="61"/>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Eurodollar Rate Loans made by such Lender;</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converting to, continuing or maintaining any Loan the interest on which is determined by reference to the Eurodollar Rate (or of maintaining its obligation to make any such Loan) (or, in the case of clause (ii), any Loan), or to reduce the amount of any sum received or receivable by such Lender hereunder (whether of principal, interest or any other amount) then, within 30 days after a receipt of a request of such Lender accompanied by the certificate described in clause (c) below, the Borrower will pay to such Lender such additional amount or amounts as will compensate such Lender for such additional costs incurred or reduction suffered;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 Lender shall make a demand for payment hereunder unless such Lender is also making demand for payment on similarly situated borrowers.</w:t>
      </w:r>
    </w:p>
    <w:p>
      <w:pPr>
        <w:spacing w:after="0" w:line="185" w:lineRule="exact"/>
        <w:rPr>
          <w:sz w:val="20"/>
          <w:szCs w:val="20"/>
          <w:color w:val="auto"/>
        </w:rPr>
      </w:pPr>
    </w:p>
    <w:p>
      <w:pPr>
        <w:jc w:val="both"/>
        <w:ind w:firstLine="818"/>
        <w:spacing w:after="0" w:line="273" w:lineRule="auto"/>
        <w:tabs>
          <w:tab w:leader="none" w:pos="128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make a demand for payment hereunder unless such Lender is also making demand for payment on similarly situated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89" w:name="page90"/>
    <w:bookmarkEnd w:id="89"/>
    <w:p>
      <w:pPr>
        <w:jc w:val="both"/>
        <w:ind w:firstLine="818"/>
        <w:spacing w:after="0" w:line="243" w:lineRule="auto"/>
        <w:tabs>
          <w:tab w:leader="none" w:pos="1286"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xml:space="preserve">. Any request or demand for payment under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shall be accompanied by a certificate of the relevant Lender (i) (A) setting forth in reasonable detail the computation of the amount or amounts necessary to compensate such Lender or its holding company, as the case may be, as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and (B) certifying that such Lender is also generally making demand for payment on similarly situated borrowers and (ii) delivered to the Borrower. Any such certificate shall be conclusive absent manifest error. The Borrower shall pay such Lender the amount shown as due on any such certificate within 30 days after receipt thereof.</w:t>
      </w:r>
    </w:p>
    <w:p>
      <w:pPr>
        <w:spacing w:after="0" w:line="222" w:lineRule="exact"/>
        <w:rPr>
          <w:rFonts w:ascii="Arial" w:cs="Arial" w:eastAsia="Arial" w:hAnsi="Arial"/>
          <w:sz w:val="20"/>
          <w:szCs w:val="20"/>
          <w:color w:val="auto"/>
        </w:rPr>
      </w:pPr>
    </w:p>
    <w:p>
      <w:pPr>
        <w:jc w:val="both"/>
        <w:ind w:firstLine="818"/>
        <w:spacing w:after="0" w:line="276" w:lineRule="auto"/>
        <w:tabs>
          <w:tab w:leader="none" w:pos="128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the foregoing provisions of this Section for any increased costs incurred or reductions suffered more than 120 days prior to the date that such Lender notifies the Borrower of the Change in Law giving rise to such increased costs or reductions and of such Lender’s demand for compensation therefor (except that, if the Change in Law giving rise to such increased costs or reductions is retroactive, then the 120-day period referred to above shall be extended to include the period of retroactive effect thereof).</w:t>
      </w:r>
    </w:p>
    <w:p>
      <w:pPr>
        <w:spacing w:after="0" w:line="191" w:lineRule="exact"/>
        <w:rPr>
          <w:rFonts w:ascii="Arial" w:cs="Arial" w:eastAsia="Arial" w:hAnsi="Arial"/>
          <w:sz w:val="18"/>
          <w:szCs w:val="18"/>
          <w:color w:val="auto"/>
        </w:rPr>
      </w:pPr>
    </w:p>
    <w:p>
      <w:pPr>
        <w:jc w:val="both"/>
        <w:ind w:firstLine="818"/>
        <w:spacing w:after="0" w:line="274" w:lineRule="auto"/>
        <w:tabs>
          <w:tab w:leader="none" w:pos="128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15 days’ prior notice (with a copy to the Administrative Agent) of such additional interest from such Lender. If a Lender fails to give notice 15 days prior to the relevant Interest Payment Date, such additional interest shall be due and payable 15 days from receipt of such notice.</w:t>
      </w:r>
    </w:p>
    <w:p>
      <w:pPr>
        <w:spacing w:after="0" w:line="189"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b w:val="1"/>
          <w:bCs w:val="1"/>
          <w:color w:val="auto"/>
        </w:rPr>
        <w:t>Compensation for Losses</w:t>
      </w:r>
      <w:r>
        <w:rPr>
          <w:rFonts w:ascii="Arial" w:cs="Arial" w:eastAsia="Arial" w:hAnsi="Arial"/>
          <w:sz w:val="19"/>
          <w:szCs w:val="19"/>
          <w:color w:val="auto"/>
        </w:rPr>
        <w:t>. Upon demand of any Lender (with a copy to the Administrative Agent) from time to time, setting forth in reasonable detail the amount payable to such Lender, the Borrower shall promptly compensate such Lender for and hold such Lender harmless from any actual out-of-pocket loss, cost or expense incurred by it as a result of:</w:t>
      </w:r>
    </w:p>
    <w:p>
      <w:pPr>
        <w:spacing w:after="0" w:line="195" w:lineRule="exact"/>
        <w:rPr>
          <w:sz w:val="20"/>
          <w:szCs w:val="20"/>
          <w:color w:val="auto"/>
        </w:rPr>
      </w:pPr>
    </w:p>
    <w:p>
      <w:pPr>
        <w:jc w:val="both"/>
        <w:ind w:firstLine="818"/>
        <w:spacing w:after="0" w:line="257" w:lineRule="auto"/>
        <w:tabs>
          <w:tab w:leader="none" w:pos="128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any continuation, conversion, payment or prepayment of any Loan other than a Base Rate Loan on a day other than the last day of the Interest Period for such Loan (whether voluntary, mandatory, automatic, by reason of acceleration, or otherwise but excluding any payment or prepayment as a result of a Lender’s failure to make a payment pursuant to </w:t>
      </w:r>
      <w:r>
        <w:rPr>
          <w:rFonts w:ascii="Arial" w:cs="Arial" w:eastAsia="Arial" w:hAnsi="Arial"/>
          <w:sz w:val="19"/>
          <w:szCs w:val="19"/>
          <w:u w:val="single" w:color="auto"/>
          <w:color w:val="auto"/>
        </w:rPr>
        <w:t>Section 2.11(b)(i)</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firstLine="818"/>
        <w:spacing w:after="0" w:line="239" w:lineRule="auto"/>
        <w:tabs>
          <w:tab w:leader="none" w:pos="1284"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ind w:firstLine="818"/>
        <w:spacing w:after="0" w:line="244" w:lineRule="auto"/>
        <w:tabs>
          <w:tab w:leader="none" w:pos="1286"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cost or expense (excluding loss of anticipated profits)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0" w:name="page91"/>
    <w:bookmarkEnd w:id="90"/>
    <w:p>
      <w:pPr>
        <w:jc w:val="both"/>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b w:val="1"/>
          <w:bCs w:val="1"/>
          <w:color w:val="auto"/>
        </w:rPr>
        <w:t>Mitigation Obligations; Replacement of Lenders.</w:t>
      </w:r>
    </w:p>
    <w:p>
      <w:pPr>
        <w:spacing w:after="0" w:line="249" w:lineRule="exact"/>
        <w:rPr>
          <w:sz w:val="20"/>
          <w:szCs w:val="20"/>
          <w:color w:val="auto"/>
        </w:rPr>
      </w:pPr>
    </w:p>
    <w:p>
      <w:pPr>
        <w:jc w:val="both"/>
        <w:ind w:firstLine="818"/>
        <w:spacing w:after="0" w:line="256" w:lineRule="auto"/>
        <w:tabs>
          <w:tab w:leader="none" w:pos="128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to any unreimbursed cost or expense and would not otherwise be materially disadvantageous to such Lender. The Borrower hereby agrees to pay all reasonable costs and expenses incurred by any Lender in connection with any such designation or assignment.</w:t>
      </w:r>
    </w:p>
    <w:p>
      <w:pPr>
        <w:spacing w:after="0" w:line="211" w:lineRule="exact"/>
        <w:rPr>
          <w:rFonts w:ascii="Arial" w:cs="Arial" w:eastAsia="Arial" w:hAnsi="Arial"/>
          <w:sz w:val="19"/>
          <w:szCs w:val="19"/>
          <w:color w:val="auto"/>
        </w:rPr>
      </w:pPr>
    </w:p>
    <w:p>
      <w:pPr>
        <w:jc w:val="both"/>
        <w:ind w:firstLine="818"/>
        <w:spacing w:after="0" w:line="263" w:lineRule="auto"/>
        <w:tabs>
          <w:tab w:leader="none" w:pos="128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invokes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the Borrower may replace such Lender in accordance with </w:t>
      </w:r>
      <w:r>
        <w:rPr>
          <w:rFonts w:ascii="Arial" w:cs="Arial" w:eastAsia="Arial" w:hAnsi="Arial"/>
          <w:sz w:val="19"/>
          <w:szCs w:val="19"/>
          <w:u w:val="single" w:color="auto"/>
          <w:color w:val="auto"/>
        </w:rPr>
        <w:t>Section 10.13</w:t>
      </w:r>
      <w:r>
        <w:rPr>
          <w:rFonts w:ascii="Arial" w:cs="Arial" w:eastAsia="Arial" w:hAnsi="Arial"/>
          <w:sz w:val="19"/>
          <w:szCs w:val="19"/>
          <w:color w:val="auto"/>
        </w:rPr>
        <w:t>.</w:t>
      </w:r>
    </w:p>
    <w:p>
      <w:pPr>
        <w:spacing w:after="0" w:line="197" w:lineRule="exact"/>
        <w:rPr>
          <w:sz w:val="20"/>
          <w:szCs w:val="20"/>
          <w:color w:val="auto"/>
        </w:rPr>
      </w:pPr>
    </w:p>
    <w:p>
      <w:pPr>
        <w:ind w:firstLine="504"/>
        <w:spacing w:after="0" w:line="267"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b w:val="1"/>
          <w:bCs w:val="1"/>
          <w:color w:val="auto"/>
        </w:rPr>
        <w:t>Survival</w:t>
      </w:r>
      <w:r>
        <w:rPr>
          <w:rFonts w:ascii="Arial" w:cs="Arial" w:eastAsia="Arial" w:hAnsi="Arial"/>
          <w:sz w:val="20"/>
          <w:szCs w:val="20"/>
          <w:color w:val="auto"/>
        </w:rPr>
        <w:t>. All of the parties’ obligations under this Article III shall survive termination of the Aggregate Commitments, repayment of all other Obligations hereunder, and resignation of the Administrative Agent.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PRECEDENT TO CREDIT EXTENSIONS</w:t>
      </w:r>
    </w:p>
    <w:p>
      <w:pPr>
        <w:spacing w:after="0" w:line="221" w:lineRule="exact"/>
        <w:rPr>
          <w:sz w:val="20"/>
          <w:szCs w:val="20"/>
          <w:color w:val="auto"/>
        </w:rPr>
      </w:pPr>
    </w:p>
    <w:p>
      <w:pPr>
        <w:ind w:firstLine="463"/>
        <w:spacing w:after="0" w:line="267"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b w:val="1"/>
          <w:bCs w:val="1"/>
          <w:color w:val="auto"/>
        </w:rPr>
        <w:t>Conditions to Effective Date</w:t>
      </w:r>
      <w:r>
        <w:rPr>
          <w:rFonts w:ascii="Arial" w:cs="Arial" w:eastAsia="Arial" w:hAnsi="Arial"/>
          <w:sz w:val="20"/>
          <w:szCs w:val="20"/>
          <w:color w:val="auto"/>
        </w:rPr>
        <w:t>. The occurrence of the Effective Date is subject to satisfaction of the following conditions precedent:</w:t>
      </w:r>
    </w:p>
    <w:p>
      <w:pPr>
        <w:spacing w:after="0" w:line="196" w:lineRule="exact"/>
        <w:rPr>
          <w:sz w:val="20"/>
          <w:szCs w:val="20"/>
          <w:color w:val="auto"/>
        </w:rPr>
      </w:pPr>
    </w:p>
    <w:p>
      <w:pPr>
        <w:ind w:left="1300" w:hanging="482"/>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w:t>
      </w:r>
    </w:p>
    <w:p>
      <w:pPr>
        <w:spacing w:after="0" w:line="242" w:lineRule="exact"/>
        <w:rPr>
          <w:rFonts w:ascii="Arial" w:cs="Arial" w:eastAsia="Arial" w:hAnsi="Arial"/>
          <w:sz w:val="20"/>
          <w:szCs w:val="20"/>
          <w:color w:val="auto"/>
        </w:rPr>
      </w:pPr>
    </w:p>
    <w:p>
      <w:pPr>
        <w:ind w:left="580" w:firstLine="780"/>
        <w:spacing w:after="0" w:line="260" w:lineRule="auto"/>
        <w:tabs>
          <w:tab w:leader="none" w:pos="1957" w:val="left"/>
        </w:tabs>
        <w:numPr>
          <w:ilvl w:val="1"/>
          <w:numId w:val="66"/>
        </w:numPr>
        <w:rPr>
          <w:rFonts w:ascii="Arial" w:cs="Arial" w:eastAsia="Arial" w:hAnsi="Arial"/>
          <w:sz w:val="20"/>
          <w:szCs w:val="20"/>
          <w:color w:val="auto"/>
        </w:rPr>
      </w:pPr>
      <w:r>
        <w:rPr>
          <w:rFonts w:ascii="Arial" w:cs="Arial" w:eastAsia="Arial" w:hAnsi="Arial"/>
          <w:sz w:val="20"/>
          <w:szCs w:val="20"/>
          <w:color w:val="auto"/>
        </w:rPr>
        <w:t>duly executed counterparts of this Agreement that, when taken together, bear the signatures of the Borrower, each Lender and the Administrative Agent;</w:t>
      </w:r>
    </w:p>
    <w:p>
      <w:pPr>
        <w:spacing w:after="0" w:line="203" w:lineRule="exact"/>
        <w:rPr>
          <w:rFonts w:ascii="Arial" w:cs="Arial" w:eastAsia="Arial" w:hAnsi="Arial"/>
          <w:sz w:val="20"/>
          <w:szCs w:val="20"/>
          <w:color w:val="auto"/>
        </w:rPr>
      </w:pPr>
    </w:p>
    <w:p>
      <w:pPr>
        <w:ind w:left="580" w:firstLine="725"/>
        <w:spacing w:after="0" w:line="260" w:lineRule="auto"/>
        <w:tabs>
          <w:tab w:leader="none" w:pos="1957" w:val="left"/>
        </w:tabs>
        <w:numPr>
          <w:ilvl w:val="1"/>
          <w:numId w:val="66"/>
        </w:numPr>
        <w:rPr>
          <w:rFonts w:ascii="Arial" w:cs="Arial" w:eastAsia="Arial" w:hAnsi="Arial"/>
          <w:sz w:val="20"/>
          <w:szCs w:val="20"/>
          <w:color w:val="auto"/>
        </w:rPr>
      </w:pPr>
      <w:r>
        <w:rPr>
          <w:rFonts w:ascii="Arial" w:cs="Arial" w:eastAsia="Arial" w:hAnsi="Arial"/>
          <w:sz w:val="20"/>
          <w:szCs w:val="20"/>
          <w:color w:val="auto"/>
        </w:rPr>
        <w:t>a Note executed by the Borrower in favor of each Lender requesting a Note at least three Business Days in advance of the Effective Date;</w:t>
      </w:r>
    </w:p>
    <w:p>
      <w:pPr>
        <w:spacing w:after="0" w:line="203" w:lineRule="exact"/>
        <w:rPr>
          <w:rFonts w:ascii="Arial" w:cs="Arial" w:eastAsia="Arial" w:hAnsi="Arial"/>
          <w:sz w:val="20"/>
          <w:szCs w:val="20"/>
          <w:color w:val="auto"/>
        </w:rPr>
      </w:pPr>
    </w:p>
    <w:p>
      <w:pPr>
        <w:jc w:val="both"/>
        <w:ind w:left="580" w:firstLine="670"/>
        <w:spacing w:after="0" w:line="246" w:lineRule="auto"/>
        <w:tabs>
          <w:tab w:leader="none" w:pos="1957" w:val="left"/>
        </w:tabs>
        <w:numPr>
          <w:ilvl w:val="1"/>
          <w:numId w:val="66"/>
        </w:numPr>
        <w:rPr>
          <w:rFonts w:ascii="Arial" w:cs="Arial" w:eastAsia="Arial" w:hAnsi="Arial"/>
          <w:sz w:val="20"/>
          <w:szCs w:val="20"/>
          <w:color w:val="auto"/>
        </w:rPr>
      </w:pPr>
      <w:r>
        <w:rPr>
          <w:rFonts w:ascii="Arial" w:cs="Arial" w:eastAsia="Arial" w:hAnsi="Arial"/>
          <w:sz w:val="20"/>
          <w:szCs w:val="20"/>
          <w:color w:val="auto"/>
        </w:rPr>
        <w:t>a closing certificate executed by a Responsible Officer of the Borrower as of or about the Effective Date, certifying as to (x) the charter and bylaws of the Borrower and (y) (a) the resolutions or other corporate action of the Borrower authorizing the execution and performance of, and (b) the incumbency and specimen signature of each officer of the Borrower executing, this Agreement and the other Loan Documents to which the Borrower is a party;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91" w:name="page92"/>
    <w:bookmarkEnd w:id="91"/>
    <w:p>
      <w:pPr>
        <w:ind w:left="580" w:firstLine="681"/>
        <w:spacing w:after="0" w:line="260" w:lineRule="auto"/>
        <w:tabs>
          <w:tab w:leader="none" w:pos="1957" w:val="left"/>
        </w:tabs>
        <w:numPr>
          <w:ilvl w:val="1"/>
          <w:numId w:val="67"/>
        </w:numPr>
        <w:rPr>
          <w:rFonts w:ascii="Arial" w:cs="Arial" w:eastAsia="Arial" w:hAnsi="Arial"/>
          <w:sz w:val="20"/>
          <w:szCs w:val="20"/>
          <w:color w:val="auto"/>
        </w:rPr>
      </w:pPr>
      <w:r>
        <w:rPr>
          <w:rFonts w:ascii="Arial" w:cs="Arial" w:eastAsia="Arial" w:hAnsi="Arial"/>
          <w:sz w:val="20"/>
          <w:szCs w:val="20"/>
          <w:color w:val="auto"/>
        </w:rPr>
        <w:t>a certificate of good standing with respect to the Borrower from the Secretary of State of the State of the Borrower’s organization (to the extent relevant and available in the jurisdiction of organization of the Borrower);</w:t>
      </w:r>
    </w:p>
    <w:p>
      <w:pPr>
        <w:spacing w:after="0" w:line="203" w:lineRule="exact"/>
        <w:rPr>
          <w:rFonts w:ascii="Arial" w:cs="Arial" w:eastAsia="Arial" w:hAnsi="Arial"/>
          <w:sz w:val="20"/>
          <w:szCs w:val="20"/>
          <w:color w:val="auto"/>
        </w:rPr>
      </w:pPr>
    </w:p>
    <w:p>
      <w:pPr>
        <w:jc w:val="both"/>
        <w:ind w:left="580" w:firstLine="736"/>
        <w:spacing w:after="0" w:line="250" w:lineRule="auto"/>
        <w:tabs>
          <w:tab w:leader="none" w:pos="1957" w:val="left"/>
        </w:tabs>
        <w:numPr>
          <w:ilvl w:val="1"/>
          <w:numId w:val="67"/>
        </w:numPr>
        <w:rPr>
          <w:rFonts w:ascii="Arial" w:cs="Arial" w:eastAsia="Arial" w:hAnsi="Arial"/>
          <w:sz w:val="20"/>
          <w:szCs w:val="20"/>
          <w:color w:val="auto"/>
        </w:rPr>
      </w:pPr>
      <w:r>
        <w:rPr>
          <w:rFonts w:ascii="Arial" w:cs="Arial" w:eastAsia="Arial" w:hAnsi="Arial"/>
          <w:sz w:val="20"/>
          <w:szCs w:val="20"/>
          <w:color w:val="auto"/>
        </w:rPr>
        <w:t>a favorable opinion of Weil, Gotshal &amp; Manges LLP, counsel to the Borrower, addressed to the Administrative Agent and each Lender, as to matters concerning the Borrower and the Loan Documents (including enforceability of the Loan Documents under New York law);</w:t>
      </w:r>
    </w:p>
    <w:p>
      <w:pPr>
        <w:spacing w:after="0" w:line="212" w:lineRule="exact"/>
        <w:rPr>
          <w:rFonts w:ascii="Arial" w:cs="Arial" w:eastAsia="Arial" w:hAnsi="Arial"/>
          <w:sz w:val="20"/>
          <w:szCs w:val="20"/>
          <w:color w:val="auto"/>
        </w:rPr>
      </w:pPr>
    </w:p>
    <w:p>
      <w:pPr>
        <w:jc w:val="both"/>
        <w:ind w:left="580" w:firstLine="681"/>
        <w:spacing w:after="0" w:line="244" w:lineRule="auto"/>
        <w:tabs>
          <w:tab w:leader="none" w:pos="1957" w:val="left"/>
        </w:tabs>
        <w:numPr>
          <w:ilvl w:val="1"/>
          <w:numId w:val="67"/>
        </w:numPr>
        <w:rPr>
          <w:rFonts w:ascii="Arial" w:cs="Arial" w:eastAsia="Arial" w:hAnsi="Arial"/>
          <w:sz w:val="20"/>
          <w:szCs w:val="20"/>
          <w:color w:val="auto"/>
        </w:rPr>
      </w:pPr>
      <w:r>
        <w:rPr>
          <w:rFonts w:ascii="Arial" w:cs="Arial" w:eastAsia="Arial" w:hAnsi="Arial"/>
          <w:sz w:val="20"/>
          <w:szCs w:val="20"/>
          <w:color w:val="auto"/>
        </w:rPr>
        <w:t>(x) to the extent reasonably requested by the Administrative Agent (or by any Lender through the Administrative Agent), documentation and other information that are required by regulatory authorities under applicable “know-your-customer” rules and regulations, including the Act, at least two Business Days prior to the Effective Date and (y) to the extent the Borrower qualifies as a “legal entity customer” under the Beneficial Ownership Regulation, a Beneficial Ownership Certification in relation to the Borrower; and</w:t>
      </w:r>
    </w:p>
    <w:p>
      <w:pPr>
        <w:spacing w:after="0" w:line="221" w:lineRule="exact"/>
        <w:rPr>
          <w:rFonts w:ascii="Arial" w:cs="Arial" w:eastAsia="Arial" w:hAnsi="Arial"/>
          <w:sz w:val="20"/>
          <w:szCs w:val="20"/>
          <w:color w:val="auto"/>
        </w:rPr>
      </w:pPr>
    </w:p>
    <w:p>
      <w:pPr>
        <w:ind w:left="580" w:firstLine="626"/>
        <w:spacing w:after="0" w:line="260" w:lineRule="auto"/>
        <w:tabs>
          <w:tab w:leader="none" w:pos="1957"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a closing certificate executed by a Responsible Officer of the Borrower as of or about the Effective Date, certifying as to </w:t>
      </w:r>
      <w:r>
        <w:rPr>
          <w:rFonts w:ascii="Arial" w:cs="Arial" w:eastAsia="Arial" w:hAnsi="Arial"/>
          <w:sz w:val="20"/>
          <w:szCs w:val="20"/>
          <w:u w:val="single" w:color="auto"/>
          <w:color w:val="auto"/>
        </w:rPr>
        <w:t>Sections 4.01(e)</w:t>
      </w:r>
      <w:r>
        <w:rPr>
          <w:rFonts w:ascii="Arial" w:cs="Arial" w:eastAsia="Arial" w:hAnsi="Arial"/>
          <w:sz w:val="20"/>
          <w:szCs w:val="20"/>
          <w:color w:val="auto"/>
        </w:rPr>
        <w:t xml:space="preserve"> and 4.01(f).</w:t>
      </w:r>
    </w:p>
    <w:p>
      <w:pPr>
        <w:spacing w:after="0" w:line="203" w:lineRule="exact"/>
        <w:rPr>
          <w:rFonts w:ascii="Arial" w:cs="Arial" w:eastAsia="Arial" w:hAnsi="Arial"/>
          <w:sz w:val="20"/>
          <w:szCs w:val="20"/>
          <w:color w:val="auto"/>
        </w:rPr>
      </w:pPr>
    </w:p>
    <w:p>
      <w:pPr>
        <w:jc w:val="both"/>
        <w:ind w:firstLine="818"/>
        <w:spacing w:after="0" w:line="274" w:lineRule="auto"/>
        <w:tabs>
          <w:tab w:leader="none" w:pos="12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Borrower shall have paid (i) to the Arrangers for their own account any fees due and required to be paid to the Arrangers as separately agreed among the Borrower and the Arrangers on or before the Effective Date, (ii) to the Administrative Agent, for the account of each Lender holding a Commitment on the Effective Date, an upfront commitment fee payable on such Lender’s Commitments as of the Effective Date in an amount separately agreed with the Administrative Agent and (iii) subject to the limitations set forth in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to the extent invoiced at least three Business Days prior to the Effective Date, the reasonable out-of-pocket expenses of the Administrative Agent and Arrangers in connection with this Agreement, including the reasonable and documented out-of-pocket fees and expenses of one counsel (including any local counsel) for the Administrative Agent and the Arrangers, taken as a whole.</w:t>
      </w:r>
    </w:p>
    <w:p>
      <w:pPr>
        <w:spacing w:after="0" w:line="195" w:lineRule="exact"/>
        <w:rPr>
          <w:rFonts w:ascii="Arial" w:cs="Arial" w:eastAsia="Arial" w:hAnsi="Arial"/>
          <w:sz w:val="18"/>
          <w:szCs w:val="18"/>
          <w:color w:val="auto"/>
        </w:rPr>
      </w:pPr>
    </w:p>
    <w:p>
      <w:pPr>
        <w:ind w:left="1300" w:hanging="482"/>
        <w:spacing w:after="0"/>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1300" w:hanging="482"/>
        <w:spacing w:after="0"/>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818"/>
        <w:spacing w:after="0" w:line="246" w:lineRule="auto"/>
        <w:tabs>
          <w:tab w:leader="none" w:pos="1286"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or any other Loan Document, or which are contained in any document furnished at any time under or in connection herewith or therewith, shall be true and correct in all material respects on and as of the Effective Date, except to the extent that such representations and warranties specifically refer to an earlier date, in which case they shall be true and correct as of such earlier date</w:t>
      </w:r>
      <w:r>
        <w:rPr>
          <w:rFonts w:ascii="Arial" w:cs="Arial" w:eastAsia="Arial" w:hAnsi="Arial"/>
          <w:sz w:val="20"/>
          <w:szCs w:val="20"/>
          <w:u w:val="single" w:color="auto"/>
          <w:color w:val="auto"/>
        </w:rPr>
        <w:t>.</w:t>
      </w:r>
    </w:p>
    <w:p>
      <w:pPr>
        <w:spacing w:after="0" w:line="218" w:lineRule="exact"/>
        <w:rPr>
          <w:rFonts w:ascii="Arial" w:cs="Arial" w:eastAsia="Arial" w:hAnsi="Arial"/>
          <w:sz w:val="20"/>
          <w:szCs w:val="20"/>
          <w:color w:val="auto"/>
        </w:rPr>
      </w:pPr>
    </w:p>
    <w:p>
      <w:pPr>
        <w:ind w:left="1300" w:hanging="482"/>
        <w:spacing w:after="0"/>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Default shall exist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-2826385</wp:posOffset>
            </wp:positionV>
            <wp:extent cx="3765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76555" cy="8890"/>
                    </a:xfrm>
                    <a:prstGeom prst="rect">
                      <a:avLst/>
                    </a:prstGeom>
                    <a:noFill/>
                  </pic:spPr>
                </pic:pic>
              </a:graphicData>
            </a:graphic>
          </wp:anchor>
        </w:drawing>
      </w:r>
    </w:p>
    <w:p>
      <w:pPr>
        <w:spacing w:after="0" w:line="217" w:lineRule="exact"/>
        <w:rPr>
          <w:sz w:val="20"/>
          <w:szCs w:val="20"/>
          <w:color w:val="auto"/>
        </w:rPr>
      </w:pPr>
    </w:p>
    <w:p>
      <w:pPr>
        <w:ind w:firstLine="612"/>
        <w:spacing w:after="0" w:line="267"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b w:val="1"/>
          <w:bCs w:val="1"/>
          <w:color w:val="auto"/>
        </w:rPr>
        <w:t>Conditions to Funding Date</w:t>
      </w:r>
      <w:r>
        <w:rPr>
          <w:rFonts w:ascii="Arial" w:cs="Arial" w:eastAsia="Arial" w:hAnsi="Arial"/>
          <w:sz w:val="20"/>
          <w:szCs w:val="20"/>
          <w:color w:val="auto"/>
        </w:rPr>
        <w:t>. The obligation of each Lender to make Loans on the Funding Date is subject to the following conditions precedent:</w:t>
      </w:r>
    </w:p>
    <w:p>
      <w:pPr>
        <w:spacing w:after="0" w:line="196" w:lineRule="exact"/>
        <w:rPr>
          <w:sz w:val="20"/>
          <w:szCs w:val="20"/>
          <w:color w:val="auto"/>
        </w:rPr>
      </w:pPr>
    </w:p>
    <w:p>
      <w:pPr>
        <w:jc w:val="both"/>
        <w:ind w:firstLine="818"/>
        <w:spacing w:after="0" w:line="250" w:lineRule="auto"/>
        <w:tabs>
          <w:tab w:leader="none" w:pos="128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Acquisition Agreement Representations and the Specified Representations shall be true and correct in all material respects on and as of the Funding Date or, in the case of the Acquisition Agreement Representations, such other date specified in the Acquisition Agreement.</w:t>
      </w:r>
    </w:p>
    <w:p>
      <w:pPr>
        <w:spacing w:after="0" w:line="212" w:lineRule="exact"/>
        <w:rPr>
          <w:rFonts w:ascii="Arial" w:cs="Arial" w:eastAsia="Arial" w:hAnsi="Arial"/>
          <w:sz w:val="20"/>
          <w:szCs w:val="20"/>
          <w:color w:val="auto"/>
        </w:rPr>
      </w:pPr>
    </w:p>
    <w:p>
      <w:pPr>
        <w:ind w:left="1300" w:hanging="482"/>
        <w:spacing w:after="0"/>
        <w:tabs>
          <w:tab w:leader="none" w:pos="13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have received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2" w:name="page93"/>
    <w:bookmarkEnd w:id="92"/>
    <w:p>
      <w:pPr>
        <w:ind w:left="1940" w:hanging="636"/>
        <w:spacing w:after="0"/>
        <w:tabs>
          <w:tab w:leader="none" w:pos="19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a Loan Notice in accordance with the requirements hereof requesting the Loans on the Funding Date;</w:t>
      </w:r>
    </w:p>
    <w:p>
      <w:pPr>
        <w:spacing w:after="0" w:line="242" w:lineRule="exact"/>
        <w:rPr>
          <w:rFonts w:ascii="Arial" w:cs="Arial" w:eastAsia="Arial" w:hAnsi="Arial"/>
          <w:sz w:val="20"/>
          <w:szCs w:val="20"/>
          <w:color w:val="auto"/>
        </w:rPr>
      </w:pPr>
    </w:p>
    <w:p>
      <w:pPr>
        <w:ind w:left="660" w:right="20" w:firstLine="644"/>
        <w:spacing w:after="0" w:line="260" w:lineRule="auto"/>
        <w:tabs>
          <w:tab w:leader="none" w:pos="1944"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a certificate from the chief financial officer or other Responsible Officer of the Borrower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dated as of the Funding Date and certifying to the matters set forth therein;</w:t>
      </w:r>
    </w:p>
    <w:p>
      <w:pPr>
        <w:spacing w:after="0" w:line="203" w:lineRule="exact"/>
        <w:rPr>
          <w:rFonts w:ascii="Arial" w:cs="Arial" w:eastAsia="Arial" w:hAnsi="Arial"/>
          <w:sz w:val="20"/>
          <w:szCs w:val="20"/>
          <w:color w:val="auto"/>
        </w:rPr>
      </w:pPr>
    </w:p>
    <w:p>
      <w:pPr>
        <w:ind w:left="660" w:firstLine="644"/>
        <w:spacing w:after="0" w:line="260" w:lineRule="auto"/>
        <w:tabs>
          <w:tab w:leader="none" w:pos="1946" w:val="left"/>
        </w:tabs>
        <w:numPr>
          <w:ilvl w:val="1"/>
          <w:numId w:val="70"/>
        </w:numPr>
        <w:rPr>
          <w:rFonts w:ascii="Arial" w:cs="Arial" w:eastAsia="Arial" w:hAnsi="Arial"/>
          <w:sz w:val="20"/>
          <w:szCs w:val="20"/>
          <w:color w:val="auto"/>
        </w:rPr>
      </w:pPr>
      <w:r>
        <w:rPr>
          <w:rFonts w:ascii="Arial" w:cs="Arial" w:eastAsia="Arial" w:hAnsi="Arial"/>
          <w:sz w:val="20"/>
          <w:szCs w:val="20"/>
          <w:color w:val="auto"/>
        </w:rPr>
        <w:t>a certificate executed by a Responsible Officer of the Borrower as of the Funding Date certifying that the Acquisition has been consummated; and</w:t>
      </w:r>
    </w:p>
    <w:p>
      <w:pPr>
        <w:spacing w:after="0" w:line="203" w:lineRule="exact"/>
        <w:rPr>
          <w:rFonts w:ascii="Arial" w:cs="Arial" w:eastAsia="Arial" w:hAnsi="Arial"/>
          <w:sz w:val="20"/>
          <w:szCs w:val="20"/>
          <w:color w:val="auto"/>
        </w:rPr>
      </w:pPr>
    </w:p>
    <w:p>
      <w:pPr>
        <w:ind w:left="1940" w:hanging="636"/>
        <w:spacing w:after="0"/>
        <w:tabs>
          <w:tab w:leader="none" w:pos="19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an executed copy of the Supplemental Indenture evidencing the Notes Guarantee.</w:t>
      </w:r>
    </w:p>
    <w:p>
      <w:pPr>
        <w:spacing w:after="0" w:line="242" w:lineRule="exact"/>
        <w:rPr>
          <w:rFonts w:ascii="Arial" w:cs="Arial" w:eastAsia="Arial" w:hAnsi="Arial"/>
          <w:sz w:val="20"/>
          <w:szCs w:val="20"/>
          <w:color w:val="auto"/>
        </w:rPr>
      </w:pPr>
    </w:p>
    <w:p>
      <w:pPr>
        <w:jc w:val="both"/>
        <w:ind w:firstLine="818"/>
        <w:spacing w:after="0" w:line="291" w:lineRule="auto"/>
        <w:tabs>
          <w:tab w:leader="none" w:pos="12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FGL Acquisition shall have been, or shall concurrently with the Borrowing be, consummated in accordance with the terms of the Acquisition Agreement, without giving effect to any alteration, amendment, change, supplement, waiver or consent thereto or thereunder by the Borrower in a manner that is materially adverse to the Lenders and the Arrangers, unless consented to by the Arrangers.</w:t>
      </w:r>
    </w:p>
    <w:p>
      <w:pPr>
        <w:spacing w:after="0" w:line="178" w:lineRule="exact"/>
        <w:rPr>
          <w:rFonts w:ascii="Arial" w:cs="Arial" w:eastAsia="Arial" w:hAnsi="Arial"/>
          <w:sz w:val="18"/>
          <w:szCs w:val="18"/>
          <w:color w:val="auto"/>
        </w:rPr>
      </w:pPr>
    </w:p>
    <w:p>
      <w:pPr>
        <w:jc w:val="both"/>
        <w:ind w:firstLine="818"/>
        <w:spacing w:after="0" w:line="250" w:lineRule="auto"/>
        <w:tabs>
          <w:tab w:leader="none" w:pos="1284"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The Arrangers shall have received the Specified Financial Statements (it being understood and agreed that the Borrower’s and the Acquired Company’s public filing of any financial statements set forth in the definition thereof with the SEC shall satisfy the requirements of this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with respect thereto).</w:t>
      </w:r>
    </w:p>
    <w:p>
      <w:pPr>
        <w:spacing w:after="0" w:line="212" w:lineRule="exact"/>
        <w:rPr>
          <w:rFonts w:ascii="Arial" w:cs="Arial" w:eastAsia="Arial" w:hAnsi="Arial"/>
          <w:sz w:val="20"/>
          <w:szCs w:val="20"/>
          <w:color w:val="auto"/>
        </w:rPr>
      </w:pPr>
    </w:p>
    <w:p>
      <w:pPr>
        <w:jc w:val="both"/>
        <w:ind w:firstLine="818"/>
        <w:spacing w:after="0" w:line="243" w:lineRule="auto"/>
        <w:tabs>
          <w:tab w:leader="none" w:pos="1284" w:val="left"/>
        </w:tabs>
        <w:numPr>
          <w:ilvl w:val="0"/>
          <w:numId w:val="71"/>
        </w:numPr>
        <w:rPr>
          <w:rFonts w:ascii="Arial" w:cs="Arial" w:eastAsia="Arial" w:hAnsi="Arial"/>
          <w:sz w:val="20"/>
          <w:szCs w:val="20"/>
          <w:color w:val="auto"/>
        </w:rPr>
      </w:pPr>
      <w:r>
        <w:rPr>
          <w:rFonts w:ascii="Arial" w:cs="Arial" w:eastAsia="Arial" w:hAnsi="Arial"/>
          <w:sz w:val="20"/>
          <w:szCs w:val="20"/>
          <w:color w:val="auto"/>
        </w:rPr>
        <w:t>(x) All fees required to be paid to the Administrative Agent, the Arrangers and the Lenders by the Borrower on or before the Funding Date in connection with the Transactions shall have been paid, including to the Administrative Agent, for the account of each Lender holding Loans on the Funding Date, an upfront funding fee payable on the principal amount of the Loans funded by such Lender on the Funding Date in an amount separately agreed with the Administrative Agent and (y) all expenses required to be paid or reimbursed to the Administrative Agent and the Arrangers shall have been paid or reimbursed to the extent, in the case of this subclause (y), invoiced at least two (2) Business Days in advance of the Funding Date, which fees and expenses may if mutually agreed by the Borrower and the Arrangers be paid from the proceeds of the Loans.</w:t>
      </w:r>
    </w:p>
    <w:p>
      <w:pPr>
        <w:spacing w:after="0" w:line="219" w:lineRule="exact"/>
        <w:rPr>
          <w:rFonts w:ascii="Arial" w:cs="Arial" w:eastAsia="Arial" w:hAnsi="Arial"/>
          <w:sz w:val="20"/>
          <w:szCs w:val="20"/>
          <w:color w:val="auto"/>
        </w:rPr>
      </w:pPr>
    </w:p>
    <w:p>
      <w:pPr>
        <w:ind w:firstLine="818"/>
        <w:spacing w:after="0" w:line="260" w:lineRule="auto"/>
        <w:tabs>
          <w:tab w:leader="none" w:pos="13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Except as contemplated by, or as disclosed in, the Acquisition Agreement, since December 31, 2018, there shall have been no Acquired Company Material Adverse Effect.</w:t>
      </w:r>
    </w:p>
    <w:p>
      <w:pPr>
        <w:spacing w:after="0" w:line="203" w:lineRule="exact"/>
        <w:rPr>
          <w:rFonts w:ascii="Arial" w:cs="Arial" w:eastAsia="Arial" w:hAnsi="Arial"/>
          <w:sz w:val="20"/>
          <w:szCs w:val="20"/>
          <w:color w:val="auto"/>
        </w:rPr>
      </w:pPr>
    </w:p>
    <w:p>
      <w:pPr>
        <w:ind w:firstLine="818"/>
        <w:spacing w:after="0" w:line="260" w:lineRule="auto"/>
        <w:tabs>
          <w:tab w:leader="none" w:pos="1336"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under Sections 8.01(a), 8.01(f) or 8.01(b) (solely with respect to Sections 7.01 and 7.02 (as it relates to fundamental changes)).</w:t>
      </w:r>
    </w:p>
    <w:p>
      <w:pPr>
        <w:spacing w:after="0" w:line="203" w:lineRule="exact"/>
        <w:rPr>
          <w:rFonts w:ascii="Arial" w:cs="Arial" w:eastAsia="Arial" w:hAnsi="Arial"/>
          <w:sz w:val="20"/>
          <w:szCs w:val="20"/>
          <w:color w:val="auto"/>
        </w:rPr>
      </w:pPr>
    </w:p>
    <w:p>
      <w:pPr>
        <w:ind w:left="1300" w:hanging="482"/>
        <w:spacing w:after="0"/>
        <w:tabs>
          <w:tab w:leader="none" w:pos="1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Effective Date shall have occurred.</w:t>
      </w:r>
    </w:p>
    <w:p>
      <w:pPr>
        <w:spacing w:after="0" w:line="243" w:lineRule="exact"/>
        <w:rPr>
          <w:sz w:val="20"/>
          <w:szCs w:val="20"/>
          <w:color w:val="auto"/>
        </w:rPr>
      </w:pPr>
    </w:p>
    <w:p>
      <w:pPr>
        <w:jc w:val="both"/>
        <w:ind w:right="20" w:firstLine="810"/>
        <w:spacing w:after="0" w:line="260" w:lineRule="auto"/>
        <w:rPr>
          <w:sz w:val="20"/>
          <w:szCs w:val="20"/>
          <w:color w:val="auto"/>
        </w:rPr>
      </w:pPr>
      <w:r>
        <w:rPr>
          <w:rFonts w:ascii="Arial" w:cs="Arial" w:eastAsia="Arial" w:hAnsi="Arial"/>
          <w:sz w:val="20"/>
          <w:szCs w:val="20"/>
          <w:color w:val="auto"/>
        </w:rPr>
        <w:t xml:space="preserve">The Loan Notice submitted by the Borrower shall be deemed to be a representation and warranty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w:t>
      </w:r>
      <w:r>
        <w:rPr>
          <w:rFonts w:ascii="Arial" w:cs="Arial" w:eastAsia="Arial" w:hAnsi="Arial"/>
          <w:sz w:val="20"/>
          <w:szCs w:val="20"/>
          <w:color w:val="auto"/>
        </w:rPr>
        <w:t>) have been satisfied on and as of the date of the Borrowing.</w:t>
      </w:r>
    </w:p>
    <w:p>
      <w:pPr>
        <w:spacing w:after="0" w:line="171" w:lineRule="exact"/>
        <w:rPr>
          <w:sz w:val="20"/>
          <w:szCs w:val="20"/>
          <w:color w:val="auto"/>
        </w:rPr>
      </w:pPr>
    </w:p>
    <w:p>
      <w:pPr>
        <w:jc w:val="both"/>
        <w:ind w:firstLine="810"/>
        <w:spacing w:after="0" w:line="248"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b w:val="1"/>
          <w:bCs w:val="1"/>
          <w:color w:val="auto"/>
        </w:rPr>
        <w:t>Availability</w:t>
      </w:r>
      <w:r>
        <w:rPr>
          <w:rFonts w:ascii="Arial" w:cs="Arial" w:eastAsia="Arial" w:hAnsi="Arial"/>
          <w:sz w:val="20"/>
          <w:szCs w:val="20"/>
          <w:color w:val="auto"/>
        </w:rPr>
        <w:t>. During the period from and including the Effective Date to and including the Funding Date, and notwithstanding (i) that any representation made on the Effective Date was incorrect, (ii) any failure by the Borrower to comply with the affirmative covenants, negative covenants and financial covenants or the existence of any Default or Event of Default (subject to the second proviso below), (iii) any provision to the contrary herein, in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3" w:name="page94"/>
    <w:bookmarkEnd w:id="93"/>
    <w:p>
      <w:pPr>
        <w:jc w:val="both"/>
        <w:spacing w:after="0" w:line="269" w:lineRule="auto"/>
        <w:rPr>
          <w:sz w:val="20"/>
          <w:szCs w:val="20"/>
          <w:color w:val="auto"/>
        </w:rPr>
      </w:pPr>
      <w:r>
        <w:rPr>
          <w:rFonts w:ascii="Arial" w:cs="Arial" w:eastAsia="Arial" w:hAnsi="Arial"/>
          <w:sz w:val="18"/>
          <w:szCs w:val="18"/>
          <w:color w:val="auto"/>
        </w:rPr>
        <w:t>otherwise or (iv) that any condition to the occurrence of the Effective Date may subsequently be determined not to have been satisfied, neither the Administrative Agent nor any Lender shall be entitled to (1) cancel any of its Commitments or other obligations under this Agreement, (2) rescind, terminate or cancel this Agreement or any other Loan Document or exercise any right or remedy or make or enforce any claim it may have under the Loan Documents, related Notes, the Commitment Letter or the Fee Letter or otherwise to the extent doing so would prevent, limit or delay the making of its Loans hereunder, (3) refuse to make its Loan on the Funding Date or (4) exercise any right of set-off or counterclaim in respect of its Loans thereunder to the extent to do so would prevent, limit or delay the making of its such Loan; provided that, in each case, the applicable conditions precedent to the making of such Loans set forth in Section 4.02 have been satisfied (other than the condition set forth in Section 4.02(h) to the extent the circumstances in clause (iv) above has occurred); provided, further, that with respect to clauses (1) through (4) above, the foregoing shall not apply if an Event of Default under Sections 8.01(a), 8.01(b) (solely with respect to Sections 7.01 and 7.02 (as it relates to fundamental changes)), or 8.01(f) has occurred and is continuing. For the avoidance of doubt, (a) the rights and remedies of the Lenders and the Administrative Agent shall not be limited in the event that any such condition to the Funding Date set forth in Section 4.02 is not satisfied on the Funding Date and (b) from the Funding Date after giving effect to the funding on such date, all of the rights, remedies and entitlements of the Administrative Agent and the Lenders shall be available notwithstanding that such rights were not available prior to such time as a result of the foregoing.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warrants to the Administrative Agent and the Lenders that:</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b w:val="1"/>
          <w:bCs w:val="1"/>
          <w:color w:val="auto"/>
        </w:rPr>
        <w:t>Existence, Qualification and Power; Compliance with Laws</w:t>
      </w:r>
      <w:r>
        <w:rPr>
          <w:rFonts w:ascii="Arial" w:cs="Arial" w:eastAsia="Arial" w:hAnsi="Arial"/>
          <w:sz w:val="18"/>
          <w:szCs w:val="18"/>
          <w:color w:val="auto"/>
        </w:rPr>
        <w:t>. The Borrower and each of its Material Subsidiaries (a) is</w:t>
      </w:r>
    </w:p>
    <w:p>
      <w:pPr>
        <w:spacing w:after="0" w:line="45" w:lineRule="exact"/>
        <w:rPr>
          <w:sz w:val="20"/>
          <w:szCs w:val="20"/>
          <w:color w:val="auto"/>
        </w:rPr>
      </w:pPr>
    </w:p>
    <w:p>
      <w:pPr>
        <w:jc w:val="both"/>
        <w:ind w:firstLine="8"/>
        <w:spacing w:after="0" w:line="266" w:lineRule="auto"/>
        <w:tabs>
          <w:tab w:leader="none" w:pos="2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duly organized or formed, validly existing and (ii) in good standing, in each case, under the Laws of the jurisdiction of its incorporation or organization, (b) has all requisite power and authority and all requisite governmental licenses, authorizations, consents and approvals to</w:t>
      </w:r>
    </w:p>
    <w:p>
      <w:pPr>
        <w:jc w:val="both"/>
        <w:ind w:firstLine="8"/>
        <w:spacing w:after="0"/>
        <w:tabs>
          <w:tab w:leader="none" w:pos="251"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(other than </w:t>
      </w:r>
      <w:r>
        <w:rPr>
          <w:rFonts w:ascii="Arial" w:cs="Arial" w:eastAsia="Arial" w:hAnsi="Arial"/>
          <w:sz w:val="20"/>
          <w:szCs w:val="20"/>
          <w:u w:val="single" w:color="auto"/>
          <w:color w:val="auto"/>
        </w:rPr>
        <w:t>clauses (a)(i)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clause (b)(ii)</w:t>
      </w:r>
      <w:r>
        <w:rPr>
          <w:rFonts w:ascii="Arial" w:cs="Arial" w:eastAsia="Arial" w:hAnsi="Arial"/>
          <w:sz w:val="20"/>
          <w:szCs w:val="20"/>
          <w:color w:val="auto"/>
        </w:rPr>
        <w:t>, in each case, with respect to the Borrower), to the extent that failure to do so could not reasonably be expected to have a Material Adverse Effect.</w:t>
      </w:r>
    </w:p>
    <w:p>
      <w:pPr>
        <w:spacing w:after="0" w:line="219" w:lineRule="exact"/>
        <w:rPr>
          <w:sz w:val="20"/>
          <w:szCs w:val="20"/>
          <w:color w:val="auto"/>
        </w:rPr>
      </w:pPr>
    </w:p>
    <w:p>
      <w:pPr>
        <w:jc w:val="both"/>
        <w:ind w:firstLine="423"/>
        <w:spacing w:after="0" w:line="271"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b w:val="1"/>
          <w:bCs w:val="1"/>
          <w:color w:val="auto"/>
        </w:rPr>
        <w:t>Authorization; No Contravention</w:t>
      </w:r>
      <w:r>
        <w:rPr>
          <w:rFonts w:ascii="Arial" w:cs="Arial" w:eastAsia="Arial" w:hAnsi="Arial"/>
          <w:sz w:val="18"/>
          <w:szCs w:val="18"/>
          <w:color w:val="auto"/>
        </w:rPr>
        <w:t>. The execution, delivery and performance by the Borrower of each Loan Document to which it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(i) any (x) Specified Indebtedness or (y) any other material Contractual Obligation to which such Person is a party or (ii) any order, injunction, writ or decree of any Governmental Authority or any arbitral award to which such Person or its property is subject; or</w:t>
      </w:r>
    </w:p>
    <w:p>
      <w:pPr>
        <w:spacing w:after="0" w:line="1" w:lineRule="exact"/>
        <w:rPr>
          <w:sz w:val="20"/>
          <w:szCs w:val="20"/>
          <w:color w:val="auto"/>
        </w:rPr>
      </w:pPr>
    </w:p>
    <w:p>
      <w:pPr>
        <w:ind w:right="20" w:firstLine="8"/>
        <w:spacing w:after="0" w:line="244" w:lineRule="auto"/>
        <w:tabs>
          <w:tab w:leader="none" w:pos="2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violate any Law, except (other than with respect to </w:t>
      </w:r>
      <w:r>
        <w:rPr>
          <w:rFonts w:ascii="Arial" w:cs="Arial" w:eastAsia="Arial" w:hAnsi="Arial"/>
          <w:sz w:val="20"/>
          <w:szCs w:val="20"/>
          <w:u w:val="single" w:color="auto"/>
          <w:color w:val="auto"/>
        </w:rPr>
        <w:t>clause (a)</w:t>
      </w:r>
      <w:r>
        <w:rPr>
          <w:rFonts w:ascii="Arial" w:cs="Arial" w:eastAsia="Arial" w:hAnsi="Arial"/>
          <w:sz w:val="20"/>
          <w:szCs w:val="20"/>
          <w:color w:val="auto"/>
        </w:rPr>
        <w:t>), to the extent such violation could not reasonably be expected to have a Material Adverse Effect.</w:t>
      </w:r>
    </w:p>
    <w:p>
      <w:pPr>
        <w:spacing w:after="0" w:line="212"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b w:val="1"/>
          <w:bCs w:val="1"/>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the Borrower of this Agreement or any other Loan Document, other than (a)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4" w:name="page95"/>
    <w:bookmarkEnd w:id="94"/>
    <w:p>
      <w:pPr>
        <w:jc w:val="both"/>
        <w:spacing w:after="0" w:line="260" w:lineRule="auto"/>
        <w:rPr>
          <w:sz w:val="20"/>
          <w:szCs w:val="20"/>
          <w:color w:val="auto"/>
        </w:rPr>
      </w:pPr>
      <w:r>
        <w:rPr>
          <w:rFonts w:ascii="Arial" w:cs="Arial" w:eastAsia="Arial" w:hAnsi="Arial"/>
          <w:sz w:val="20"/>
          <w:szCs w:val="20"/>
          <w:color w:val="auto"/>
        </w:rPr>
        <w:t>that have been obtained and are in full force and effect, (b) those the failure of which could not reasonably be expected to have a Material Adverse Effect and (c) with respect to execution, SEC filings.</w:t>
      </w:r>
    </w:p>
    <w:p>
      <w:pPr>
        <w:spacing w:after="0" w:line="19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has been, and each other Loan Document, when delivered hereunder, will have been, duly executed and delivered by the Borrower that is a party thereto. This Agreement constitutes, and each other Loan Document when so delivered will constitute, a legal, valid and binding obligation of the Borrower that is a party thereto, enforceable against the Borrower in accordance with its terms, except as enforceability may be limited by Debtor Relief Laws and general equitable principles.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b w:val="1"/>
          <w:bCs w:val="1"/>
          <w:color w:val="auto"/>
        </w:rPr>
        <w:t>Financial Statements; No Material Adverse Effect.</w:t>
      </w:r>
    </w:p>
    <w:p>
      <w:pPr>
        <w:spacing w:after="0" w:line="249" w:lineRule="exact"/>
        <w:rPr>
          <w:sz w:val="20"/>
          <w:szCs w:val="20"/>
          <w:color w:val="auto"/>
        </w:rPr>
      </w:pPr>
    </w:p>
    <w:p>
      <w:pPr>
        <w:jc w:val="both"/>
        <w:ind w:firstLine="818"/>
        <w:spacing w:after="0" w:line="256" w:lineRule="auto"/>
        <w:tabs>
          <w:tab w:leader="none" w:pos="1286"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required to be shown by GAAP, direct or contingent, of the Borrower and its Subsidiaries as of the date thereof, including liabilities for taxes, material commitments, Indebtedness and Contingent Obligations. </w:t>
      </w:r>
      <w:r>
        <w:rPr>
          <w:rFonts w:ascii="Arial" w:cs="Arial" w:eastAsia="Arial" w:hAnsi="Arial"/>
          <w:sz w:val="19"/>
          <w:szCs w:val="19"/>
          <w:u w:val="single" w:color="auto"/>
          <w:color w:val="auto"/>
        </w:rPr>
        <w:t>Schedule 5.05</w:t>
      </w:r>
      <w:r>
        <w:rPr>
          <w:rFonts w:ascii="Arial" w:cs="Arial" w:eastAsia="Arial" w:hAnsi="Arial"/>
          <w:sz w:val="19"/>
          <w:szCs w:val="19"/>
          <w:color w:val="auto"/>
        </w:rPr>
        <w:t xml:space="preserve"> sets forth all material indebtedness and other material liabilities, direct or contingent, of the Borrower and its consolidated Subsidiaries not reflected on the December 31, 2019 audited financial statements referred to above, incurred after the date of such financial statements but prior to the Effective Date, including liabilities for material commitments, Indebtedness and Contingent Obligations.</w:t>
      </w:r>
    </w:p>
    <w:p>
      <w:pPr>
        <w:spacing w:after="0" w:line="211" w:lineRule="exact"/>
        <w:rPr>
          <w:rFonts w:ascii="Arial" w:cs="Arial" w:eastAsia="Arial" w:hAnsi="Arial"/>
          <w:sz w:val="19"/>
          <w:szCs w:val="19"/>
          <w:color w:val="auto"/>
        </w:rPr>
      </w:pPr>
    </w:p>
    <w:p>
      <w:pPr>
        <w:ind w:left="1300" w:hanging="482"/>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818"/>
        <w:spacing w:after="0" w:line="278" w:lineRule="auto"/>
        <w:tabs>
          <w:tab w:leader="none" w:pos="12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December 31, 2019 Annual Statement of each Insurance Subsidiary (i) were prepared in accordance with SAP consistently applied through the periods covered thereby, except as otherwise expressly noted therein; (ii) fairly present the financial condition of each Insurance Subsidiary as of the date thereof and their results of operations for the period covered thereby; and (iii) show all material indebtedness and other liabilities required to be shown by SAP, direct or contingent, of each Insurance Subsidiary as of the date of such financial statements, including liabilities for taxes, material commitments, Indebtedness and Contingent Obligations.</w:t>
      </w:r>
    </w:p>
    <w:p>
      <w:pPr>
        <w:spacing w:after="0" w:line="191" w:lineRule="exact"/>
        <w:rPr>
          <w:rFonts w:ascii="Arial" w:cs="Arial" w:eastAsia="Arial" w:hAnsi="Arial"/>
          <w:sz w:val="18"/>
          <w:szCs w:val="18"/>
          <w:color w:val="auto"/>
        </w:rPr>
      </w:pPr>
    </w:p>
    <w:p>
      <w:pPr>
        <w:ind w:right="20" w:firstLine="818"/>
        <w:spacing w:after="0" w:line="260" w:lineRule="auto"/>
        <w:tabs>
          <w:tab w:leader="none" w:pos="1284" w:val="left"/>
        </w:tabs>
        <w:numPr>
          <w:ilvl w:val="0"/>
          <w:numId w:val="75"/>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203" w:lineRule="exact"/>
        <w:rPr>
          <w:rFonts w:ascii="Arial" w:cs="Arial" w:eastAsia="Arial" w:hAnsi="Arial"/>
          <w:sz w:val="20"/>
          <w:szCs w:val="20"/>
          <w:color w:val="auto"/>
        </w:rPr>
      </w:pPr>
    </w:p>
    <w:p>
      <w:pPr>
        <w:ind w:firstLine="818"/>
        <w:spacing w:after="0" w:line="260" w:lineRule="auto"/>
        <w:tabs>
          <w:tab w:leader="none" w:pos="1286"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Neither the Borrower nor any of its Subsidiaries has any Off-Balance Sheet Liabilities except those permitted pursuant to </w:t>
      </w:r>
      <w:r>
        <w:rPr>
          <w:rFonts w:ascii="Arial" w:cs="Arial" w:eastAsia="Arial" w:hAnsi="Arial"/>
          <w:sz w:val="20"/>
          <w:szCs w:val="20"/>
          <w:u w:val="single" w:color="auto"/>
          <w:color w:val="auto"/>
        </w:rPr>
        <w:t>Section 7.04(o)</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7.04(p)</w:t>
      </w:r>
      <w:r>
        <w:rPr>
          <w:rFonts w:ascii="Arial" w:cs="Arial" w:eastAsia="Arial" w:hAnsi="Arial"/>
          <w:sz w:val="20"/>
          <w:szCs w:val="20"/>
          <w:color w:val="auto"/>
        </w:rPr>
        <w:t>.</w:t>
      </w:r>
    </w:p>
    <w:p>
      <w:pPr>
        <w:spacing w:after="0" w:line="198" w:lineRule="exact"/>
        <w:rPr>
          <w:sz w:val="20"/>
          <w:szCs w:val="20"/>
          <w:color w:val="auto"/>
        </w:rPr>
      </w:pPr>
    </w:p>
    <w:p>
      <w:pPr>
        <w:jc w:val="both"/>
        <w:ind w:firstLine="544"/>
        <w:spacing w:after="0" w:line="260"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b w:val="1"/>
          <w:bCs w:val="1"/>
          <w:color w:val="auto"/>
        </w:rPr>
        <w:t>Litigation</w:t>
      </w:r>
      <w:r>
        <w:rPr>
          <w:rFonts w:ascii="Arial" w:cs="Arial" w:eastAsia="Arial" w:hAnsi="Arial"/>
          <w:sz w:val="19"/>
          <w:szCs w:val="19"/>
          <w:color w:val="auto"/>
        </w:rPr>
        <w:t xml:space="preserve">. Except (a) for liabilities of Insurance Subsidiaries under Insurance Contracts, Reinsurance Agreement and Retrocession Agreements and (b) as set forth in </w:t>
      </w:r>
      <w:r>
        <w:rPr>
          <w:rFonts w:ascii="Arial" w:cs="Arial" w:eastAsia="Arial" w:hAnsi="Arial"/>
          <w:sz w:val="19"/>
          <w:szCs w:val="19"/>
          <w:u w:val="single" w:color="auto"/>
          <w:color w:val="auto"/>
        </w:rPr>
        <w:t>Schedule 5.06</w:t>
      </w:r>
      <w:r>
        <w:rPr>
          <w:rFonts w:ascii="Arial" w:cs="Arial" w:eastAsia="Arial" w:hAnsi="Arial"/>
          <w:sz w:val="19"/>
          <w:szCs w:val="19"/>
          <w:color w:val="auto"/>
        </w:rPr>
        <w:t>, there are no actions, suits or proceedings pending or, to the knowledge of a Responsible Officer of the Borrower, threatened in writing, at Law, in equity, in arbitration or before any Governmental Authority, by or against the Borrower or any of its Subsidiaries or against any of their respective properties or revenues that (i) purport to affect or pertain to this Agreement or any other Loan Document, or any of the transactions contemplated hereby, or (ii) either individually or in the aggregate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5" w:name="page96"/>
    <w:bookmarkEnd w:id="95"/>
    <w:p>
      <w:pPr>
        <w:jc w:val="both"/>
        <w:ind w:firstLine="409"/>
        <w:spacing w:after="0" w:line="29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b w:val="1"/>
          <w:bCs w:val="1"/>
          <w:color w:val="auto"/>
        </w:rPr>
        <w:t>No Default</w:t>
      </w:r>
      <w:r>
        <w:rPr>
          <w:rFonts w:ascii="Arial" w:cs="Arial" w:eastAsia="Arial" w:hAnsi="Arial"/>
          <w:sz w:val="18"/>
          <w:szCs w:val="18"/>
          <w:color w:val="auto"/>
        </w:rPr>
        <w:t>. Neither the Borrower nor any Subsidiary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b w:val="1"/>
          <w:bCs w:val="1"/>
          <w:color w:val="auto"/>
        </w:rPr>
        <w:t>Ownership of Property; Liens</w:t>
      </w:r>
      <w:r>
        <w:rPr>
          <w:rFonts w:ascii="Arial" w:cs="Arial" w:eastAsia="Arial" w:hAnsi="Arial"/>
          <w:sz w:val="20"/>
          <w:szCs w:val="20"/>
          <w:color w:val="auto"/>
        </w:rPr>
        <w:t>. Each of the Borrower and each Subsidiary has good record and indefeasible title to, or valid leasehold interests in, their respective real properties, except for such defects in title as could not, individually or in the aggregate, reasonably be expected to have a Material Adverse Effect.</w:t>
      </w:r>
    </w:p>
    <w:p>
      <w:pPr>
        <w:spacing w:after="0" w:line="204" w:lineRule="exact"/>
        <w:rPr>
          <w:sz w:val="20"/>
          <w:szCs w:val="20"/>
          <w:color w:val="auto"/>
        </w:rPr>
      </w:pPr>
    </w:p>
    <w:p>
      <w:pPr>
        <w:jc w:val="both"/>
        <w:ind w:firstLine="463"/>
        <w:spacing w:after="0" w:line="253"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b w:val="1"/>
          <w:bCs w:val="1"/>
          <w:color w:val="auto"/>
        </w:rPr>
        <w:t>Environmental Compliance</w:t>
      </w:r>
      <w:r>
        <w:rPr>
          <w:rFonts w:ascii="Arial" w:cs="Arial" w:eastAsia="Arial" w:hAnsi="Arial"/>
          <w:sz w:val="20"/>
          <w:szCs w:val="20"/>
          <w:color w:val="auto"/>
        </w:rPr>
        <w:t>. The Borrower and its Subsidiaries have complied with all Environmental Laws, except for any Environmental Laws the non-compliance therewith could not, individually or in the aggregate, reasonably be expected to have a Material Adverse Effect.</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Section 5.10 [</w:t>
      </w: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43" w:lineRule="exact"/>
        <w:rPr>
          <w:sz w:val="20"/>
          <w:szCs w:val="20"/>
          <w:color w:val="auto"/>
        </w:rPr>
      </w:pPr>
    </w:p>
    <w:p>
      <w:pPr>
        <w:jc w:val="both"/>
        <w:ind w:firstLine="436"/>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b w:val="1"/>
          <w:bCs w:val="1"/>
          <w:color w:val="auto"/>
        </w:rPr>
        <w:t>Taxes</w:t>
      </w:r>
      <w:r>
        <w:rPr>
          <w:rFonts w:ascii="Arial" w:cs="Arial" w:eastAsia="Arial" w:hAnsi="Arial"/>
          <w:sz w:val="18"/>
          <w:szCs w:val="18"/>
          <w:color w:val="auto"/>
        </w:rPr>
        <w:t>. The Borrower and its Subsidiaries have filed all U.S. federal, state and other Tax returns and reports required to be filed, and have paid or made provision for payment of all U.S. federal, state and other Taxes levied or imposed upon them or their properties, income or assets otherwise due and payable, except (a) those which are being contested in good faith by appropriate proceedings diligently conducted and for which adequate reserves have been provided in accordance with GAAP or SAP, as applicable, or (b) to the extent the failure to do so could not reasonably be expected to result in a Material Adverse Effect. There is no proposed Tax assessment against the Borrower or any Subsidiary that would be reasonably likely to have a Material Adverse Effect.</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b w:val="1"/>
          <w:bCs w:val="1"/>
          <w:color w:val="auto"/>
        </w:rPr>
        <w:t>ERISA Compliance</w:t>
      </w:r>
      <w:r>
        <w:rPr>
          <w:rFonts w:ascii="Arial" w:cs="Arial" w:eastAsia="Arial" w:hAnsi="Arial"/>
          <w:sz w:val="20"/>
          <w:szCs w:val="20"/>
          <w:color w:val="auto"/>
        </w:rPr>
        <w:t xml:space="preserve">. Except as specifically disclosed in </w:t>
      </w:r>
      <w:r>
        <w:rPr>
          <w:rFonts w:ascii="Arial" w:cs="Arial" w:eastAsia="Arial" w:hAnsi="Arial"/>
          <w:sz w:val="20"/>
          <w:szCs w:val="20"/>
          <w:u w:val="single" w:color="auto"/>
          <w:color w:val="auto"/>
        </w:rPr>
        <w:t>Schedule 5.12</w:t>
      </w:r>
      <w:r>
        <w:rPr>
          <w:rFonts w:ascii="Arial" w:cs="Arial" w:eastAsia="Arial" w:hAnsi="Arial"/>
          <w:sz w:val="20"/>
          <w:szCs w:val="20"/>
          <w:color w:val="auto"/>
        </w:rPr>
        <w:t>:</w:t>
      </w:r>
    </w:p>
    <w:p>
      <w:pPr>
        <w:spacing w:after="0" w:line="249" w:lineRule="exact"/>
        <w:rPr>
          <w:sz w:val="20"/>
          <w:szCs w:val="20"/>
          <w:color w:val="auto"/>
        </w:rPr>
      </w:pPr>
    </w:p>
    <w:p>
      <w:pPr>
        <w:jc w:val="both"/>
        <w:ind w:firstLine="818"/>
        <w:spacing w:after="0" w:line="273" w:lineRule="auto"/>
        <w:tabs>
          <w:tab w:leader="none" w:pos="12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Federal or state laws, except where noncompliance could not reasonably be expected to have a Material Adverse Effect.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except where failure to do so could not reasonably be expected to have a Material Adverse Effect. To the best knowledge of the Borrower, nothing has occurred that would prevent or cause the loss of such tax-qualified status, except where loss of such status could not reasonably be expected to have a Material Adverse Effect.</w:t>
      </w:r>
    </w:p>
    <w:p>
      <w:pPr>
        <w:spacing w:after="0" w:line="195" w:lineRule="exact"/>
        <w:rPr>
          <w:rFonts w:ascii="Arial" w:cs="Arial" w:eastAsia="Arial" w:hAnsi="Arial"/>
          <w:sz w:val="18"/>
          <w:szCs w:val="18"/>
          <w:color w:val="auto"/>
        </w:rPr>
      </w:pPr>
    </w:p>
    <w:p>
      <w:pPr>
        <w:jc w:val="both"/>
        <w:ind w:firstLine="818"/>
        <w:spacing w:after="0" w:line="246" w:lineRule="auto"/>
        <w:tabs>
          <w:tab w:leader="none" w:pos="1284"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18" w:lineRule="exact"/>
        <w:rPr>
          <w:rFonts w:ascii="Arial" w:cs="Arial" w:eastAsia="Arial" w:hAnsi="Arial"/>
          <w:sz w:val="20"/>
          <w:szCs w:val="20"/>
          <w:color w:val="auto"/>
        </w:rPr>
      </w:pPr>
    </w:p>
    <w:p>
      <w:pPr>
        <w:jc w:val="both"/>
        <w:ind w:firstLine="818"/>
        <w:spacing w:after="0" w:line="263" w:lineRule="auto"/>
        <w:tabs>
          <w:tab w:leader="none" w:pos="1286" w:val="left"/>
        </w:tabs>
        <w:numPr>
          <w:ilvl w:val="0"/>
          <w:numId w:val="76"/>
        </w:numPr>
        <w:rPr>
          <w:rFonts w:ascii="Arial" w:cs="Arial" w:eastAsia="Arial" w:hAnsi="Arial"/>
          <w:sz w:val="19"/>
          <w:szCs w:val="19"/>
          <w:color w:val="auto"/>
        </w:rPr>
      </w:pPr>
      <w:r>
        <w:rPr>
          <w:rFonts w:ascii="Arial" w:cs="Arial" w:eastAsia="Arial" w:hAnsi="Arial"/>
          <w:sz w:val="19"/>
          <w:szCs w:val="19"/>
          <w:color w:val="auto"/>
        </w:rPr>
        <w:t>(i) No ERISA Event has occurred or is reasonably expected to occur; (ii) the Borrower and each ERISA Affiliate has met all applicable requirements under the Pension Funding Rules in respect of each Pension Plan, and no waiver of the minimum funding standards under the Pension Funding Rules has been applied for or obtained; (iii) no Pension Plan has any Unfunded Pension Liability; (iv) neither the Borrower nor any ERISA Affiliate has incurred, or reasonably expects to incur, any liability under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96" w:name="page97"/>
    <w:bookmarkEnd w:id="96"/>
    <w:p>
      <w:pPr>
        <w:jc w:val="both"/>
        <w:spacing w:after="0" w:line="278" w:lineRule="auto"/>
        <w:rPr>
          <w:sz w:val="20"/>
          <w:szCs w:val="20"/>
          <w:color w:val="auto"/>
        </w:rPr>
      </w:pPr>
      <w:r>
        <w:rPr>
          <w:rFonts w:ascii="Arial" w:cs="Arial" w:eastAsia="Arial" w:hAnsi="Arial"/>
          <w:sz w:val="18"/>
          <w:szCs w:val="18"/>
          <w:color w:val="auto"/>
        </w:rPr>
        <w:t>Title IV of ERISA with respect to any Pension Plan (other than premiums due and not delinquent under Section 4007 of ERISA); (v)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(vi) neither the Borrower nor any ERISA Affiliate has engaged in a transaction that could be subject to Section 4069 or 4212(c) of ERISA, except, in each case, that would not reasonably be expected to have a Material Adverse Effect.</w:t>
      </w:r>
    </w:p>
    <w:p>
      <w:pPr>
        <w:spacing w:after="0" w:line="186" w:lineRule="exact"/>
        <w:rPr>
          <w:sz w:val="20"/>
          <w:szCs w:val="20"/>
          <w:color w:val="auto"/>
        </w:rPr>
      </w:pPr>
    </w:p>
    <w:p>
      <w:pPr>
        <w:jc w:val="both"/>
        <w:ind w:firstLine="409"/>
        <w:spacing w:after="0" w:line="265"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b w:val="1"/>
          <w:bCs w:val="1"/>
          <w:color w:val="auto"/>
        </w:rPr>
        <w:t>Intellectual Property, Licenses, Etc.</w:t>
      </w:r>
      <w:r>
        <w:rPr>
          <w:rFonts w:ascii="Arial" w:cs="Arial" w:eastAsia="Arial" w:hAnsi="Arial"/>
          <w:sz w:val="19"/>
          <w:szCs w:val="19"/>
          <w:color w:val="auto"/>
        </w:rPr>
        <w:t xml:space="preserve"> The Borrower and each of its Subsidiaries own or are licensed or otherwise have the right to use all of the patents, trademarks, service marks, trade names, copyrights, licenses and other rights that are used by the Borrower or such Subsidiary in connection with the operation of their respective businesses, without conflict with the rights of any other Person, except where the failure to have any such rights could not reasonably be expected to have a Material Adverse Effect.</w:t>
      </w:r>
    </w:p>
    <w:p>
      <w:pPr>
        <w:spacing w:after="0" w:line="196" w:lineRule="exact"/>
        <w:rPr>
          <w:sz w:val="20"/>
          <w:szCs w:val="20"/>
          <w:color w:val="auto"/>
        </w:rPr>
      </w:pPr>
    </w:p>
    <w:p>
      <w:pPr>
        <w:jc w:val="both"/>
        <w:ind w:firstLine="517"/>
        <w:spacing w:after="0" w:line="255"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b w:val="1"/>
          <w:bCs w:val="1"/>
          <w:color w:val="auto"/>
        </w:rPr>
        <w:t>Subsidiaries</w:t>
      </w:r>
      <w:r>
        <w:rPr>
          <w:rFonts w:ascii="Arial" w:cs="Arial" w:eastAsia="Arial" w:hAnsi="Arial"/>
          <w:sz w:val="19"/>
          <w:szCs w:val="19"/>
          <w:color w:val="auto"/>
        </w:rPr>
        <w:t xml:space="preserve">. The Borrower has no Subsidiaries other than those specifically disclosed on </w:t>
      </w:r>
      <w:r>
        <w:rPr>
          <w:rFonts w:ascii="Arial" w:cs="Arial" w:eastAsia="Arial" w:hAnsi="Arial"/>
          <w:sz w:val="19"/>
          <w:szCs w:val="19"/>
          <w:u w:val="single" w:color="auto"/>
          <w:color w:val="auto"/>
        </w:rPr>
        <w:t>Schedule 5.14</w:t>
      </w:r>
      <w:r>
        <w:rPr>
          <w:rFonts w:ascii="Arial" w:cs="Arial" w:eastAsia="Arial" w:hAnsi="Arial"/>
          <w:sz w:val="19"/>
          <w:szCs w:val="19"/>
          <w:color w:val="auto"/>
        </w:rPr>
        <w:t xml:space="preserve"> and, after the Effective Date, those permitted in accordance with </w:t>
      </w:r>
      <w:r>
        <w:rPr>
          <w:rFonts w:ascii="Arial" w:cs="Arial" w:eastAsia="Arial" w:hAnsi="Arial"/>
          <w:sz w:val="19"/>
          <w:szCs w:val="19"/>
          <w:u w:val="single" w:color="auto"/>
          <w:color w:val="auto"/>
        </w:rPr>
        <w:t>Section 7.03</w:t>
      </w:r>
      <w:r>
        <w:rPr>
          <w:rFonts w:ascii="Arial" w:cs="Arial" w:eastAsia="Arial" w:hAnsi="Arial"/>
          <w:sz w:val="19"/>
          <w:szCs w:val="19"/>
          <w:color w:val="auto"/>
        </w:rPr>
        <w:t>, and there are no restrictions on the Borrower or any of its Material Subsidiaries (excluding any Strategic Investment Subsidiary and its Subsidiaries) which prohibit or otherwise restrict (i) the ability of the Borrower or any of its Material Subsidiaries to grant any Liens on any of their respective assets, other than (A) with respect to assets subject to Capital Leases or purchase money security interests and those which are licensed or sublicensed to Borrower or any of its Material Subsidiaries and (B) restrictions under contracts to which Subsidiaries are party which became Subsidiaries pursuant to an Acquisition, which contracts and restrictions were in effect prior to such Acquisition or (ii) the transfer of cash or other assets from any Material Subsidiary to the Borrower, other than, in the case of each of the foregoing clauses (i) and (ii), prohibitions or restrictions existing under or by reason of any Loan Document, the Public Debentures (but only to the extent such Public Debentures require that the holders thereof be granted a pari-passu Lien if a Lien is granted to another Person), Legal Requirements, customary non-assignment provisions in contracts entered into in the ordinary course of business, Department policies and practices that restrict the ability of Insurance Subsidiaries to grant Liens on, pledge or transfer assets and restrictions that may arise as a result of any covenants or other restrictions in agreements permitted hereunder.</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b w:val="1"/>
          <w:bCs w:val="1"/>
          <w:color w:val="auto"/>
        </w:rPr>
        <w:t>Margin Regulations; Investment Company Act</w:t>
      </w:r>
      <w:r>
        <w:rPr>
          <w:rFonts w:ascii="Arial" w:cs="Arial" w:eastAsia="Arial" w:hAnsi="Arial"/>
          <w:sz w:val="20"/>
          <w:szCs w:val="20"/>
          <w:color w:val="auto"/>
        </w:rPr>
        <w:t>.</w:t>
      </w:r>
    </w:p>
    <w:p>
      <w:pPr>
        <w:spacing w:after="0" w:line="249" w:lineRule="exact"/>
        <w:rPr>
          <w:sz w:val="20"/>
          <w:szCs w:val="20"/>
          <w:color w:val="auto"/>
        </w:rPr>
      </w:pPr>
    </w:p>
    <w:p>
      <w:pPr>
        <w:jc w:val="both"/>
        <w:ind w:firstLine="818"/>
        <w:spacing w:after="0" w:line="278" w:lineRule="auto"/>
        <w:tabs>
          <w:tab w:leader="none" w:pos="1286"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Neither the Borrower nor any of its Subsidiaries is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Credit Extensions hereunder will be used for “purchasing” or “carrying” “margin stock” as so defined or for any purpose which violates, or which would be inconsistent with, the provisions of Regulations U or X of such Board of Governors.</w:t>
      </w:r>
    </w:p>
    <w:p>
      <w:pPr>
        <w:spacing w:after="0" w:line="191" w:lineRule="exact"/>
        <w:rPr>
          <w:rFonts w:ascii="Arial" w:cs="Arial" w:eastAsia="Arial" w:hAnsi="Arial"/>
          <w:sz w:val="18"/>
          <w:szCs w:val="18"/>
          <w:color w:val="auto"/>
        </w:rPr>
      </w:pPr>
    </w:p>
    <w:p>
      <w:pPr>
        <w:ind w:firstLine="818"/>
        <w:spacing w:after="0" w:line="260" w:lineRule="auto"/>
        <w:tabs>
          <w:tab w:leader="none" w:pos="1284" w:val="left"/>
        </w:tabs>
        <w:numPr>
          <w:ilvl w:val="0"/>
          <w:numId w:val="77"/>
        </w:numPr>
        <w:rPr>
          <w:rFonts w:ascii="Arial" w:cs="Arial" w:eastAsia="Arial" w:hAnsi="Arial"/>
          <w:sz w:val="20"/>
          <w:szCs w:val="20"/>
          <w:color w:val="auto"/>
        </w:rPr>
      </w:pPr>
      <w:r>
        <w:rPr>
          <w:rFonts w:ascii="Arial" w:cs="Arial" w:eastAsia="Arial" w:hAnsi="Arial"/>
          <w:sz w:val="20"/>
          <w:szCs w:val="20"/>
          <w:color w:val="auto"/>
        </w:rPr>
        <w:t>Neither the Borrower nor any of its Subsidiaries is or is required to be registered as an “investment company” under the Investment Company Act of 1940.</w:t>
      </w:r>
    </w:p>
    <w:p>
      <w:pPr>
        <w:spacing w:after="0" w:line="198" w:lineRule="exact"/>
        <w:rPr>
          <w:sz w:val="20"/>
          <w:szCs w:val="20"/>
          <w:color w:val="auto"/>
        </w:rPr>
      </w:pPr>
    </w:p>
    <w:p>
      <w:pPr>
        <w:jc w:val="both"/>
        <w:ind w:firstLine="423"/>
        <w:spacing w:after="0" w:line="272"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b w:val="1"/>
          <w:bCs w:val="1"/>
          <w:color w:val="auto"/>
        </w:rPr>
        <w:t>Disclosure</w:t>
      </w:r>
      <w:r>
        <w:rPr>
          <w:rFonts w:ascii="Arial" w:cs="Arial" w:eastAsia="Arial" w:hAnsi="Arial"/>
          <w:sz w:val="19"/>
          <w:szCs w:val="19"/>
          <w:color w:val="auto"/>
        </w:rPr>
        <w:t>. No written report, financial statement, certificate or other factual information (other than financial projections, other forward-looking information and information of a general economic or industry-specific nature) furnished by or on behalf of the Borrower to the Administrative Agent or any Lender in connection with the transactions contemplated hereby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7" w:name="page98"/>
    <w:bookmarkEnd w:id="97"/>
    <w:p>
      <w:pPr>
        <w:jc w:val="both"/>
        <w:ind w:right="20"/>
        <w:spacing w:after="0" w:line="250" w:lineRule="auto"/>
        <w:rPr>
          <w:sz w:val="20"/>
          <w:szCs w:val="20"/>
          <w:color w:val="auto"/>
        </w:rPr>
      </w:pPr>
      <w:r>
        <w:rPr>
          <w:rFonts w:ascii="Arial" w:cs="Arial" w:eastAsia="Arial" w:hAnsi="Arial"/>
          <w:sz w:val="20"/>
          <w:szCs w:val="20"/>
          <w:color w:val="auto"/>
        </w:rPr>
        <w:t>negotiation of this Agreement or delivered 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on the date when made.</w:t>
      </w:r>
    </w:p>
    <w:p>
      <w:pPr>
        <w:spacing w:after="0" w:line="207" w:lineRule="exact"/>
        <w:rPr>
          <w:sz w:val="20"/>
          <w:szCs w:val="20"/>
          <w:color w:val="auto"/>
        </w:rPr>
      </w:pPr>
    </w:p>
    <w:p>
      <w:pPr>
        <w:jc w:val="both"/>
        <w:ind w:firstLine="544"/>
        <w:spacing w:after="0" w:line="278"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b w:val="1"/>
          <w:bCs w:val="1"/>
          <w:color w:val="auto"/>
        </w:rPr>
        <w:t>Compliance with Laws</w:t>
      </w:r>
      <w:r>
        <w:rPr>
          <w:rFonts w:ascii="Arial" w:cs="Arial" w:eastAsia="Arial" w:hAnsi="Arial"/>
          <w:sz w:val="18"/>
          <w:szCs w:val="18"/>
          <w:color w:val="auto"/>
        </w:rPr>
        <w:t>. The Borrower and each of its Subsidiaries is in compliance in all material respects with the requirements of all Laws and all orders, writs, injunctions and decrees applicable to it or to its properties, except in such instances in which</w:t>
      </w:r>
    </w:p>
    <w:p>
      <w:pPr>
        <w:spacing w:after="0" w:line="1" w:lineRule="exact"/>
        <w:rPr>
          <w:sz w:val="20"/>
          <w:szCs w:val="20"/>
          <w:color w:val="auto"/>
        </w:rPr>
      </w:pPr>
    </w:p>
    <w:p>
      <w:pPr>
        <w:jc w:val="both"/>
        <w:ind w:firstLine="8"/>
        <w:spacing w:after="0" w:line="241" w:lineRule="auto"/>
        <w:tabs>
          <w:tab w:leader="none" w:pos="302" w:val="left"/>
        </w:tabs>
        <w:numPr>
          <w:ilvl w:val="0"/>
          <w:numId w:val="78"/>
        </w:numPr>
        <w:rPr>
          <w:rFonts w:ascii="Arial" w:cs="Arial" w:eastAsia="Arial" w:hAnsi="Arial"/>
          <w:sz w:val="20"/>
          <w:szCs w:val="20"/>
          <w:color w:val="auto"/>
        </w:rPr>
      </w:pPr>
      <w:r>
        <w:rPr>
          <w:rFonts w:ascii="Arial" w:cs="Arial" w:eastAsia="Arial" w:hAnsi="Arial"/>
          <w:sz w:val="20"/>
          <w:szCs w:val="20"/>
          <w:color w:val="auto"/>
        </w:rPr>
        <w:t>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b w:val="1"/>
          <w:bCs w:val="1"/>
          <w:color w:val="auto"/>
        </w:rPr>
        <w:t>Solvent</w:t>
      </w:r>
      <w:r>
        <w:rPr>
          <w:rFonts w:ascii="Arial" w:cs="Arial" w:eastAsia="Arial" w:hAnsi="Arial"/>
          <w:sz w:val="20"/>
          <w:szCs w:val="20"/>
          <w:color w:val="auto"/>
        </w:rPr>
        <w:t>. The Borrower and its Subsidiaries are on a consolidated basis, Solvent.</w:t>
      </w:r>
    </w:p>
    <w:p>
      <w:pPr>
        <w:spacing w:after="0" w:line="243"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b w:val="1"/>
          <w:bCs w:val="1"/>
          <w:color w:val="auto"/>
        </w:rPr>
        <w:t>Licenses</w:t>
      </w:r>
      <w:r>
        <w:rPr>
          <w:rFonts w:ascii="Arial" w:cs="Arial" w:eastAsia="Arial" w:hAnsi="Arial"/>
          <w:sz w:val="20"/>
          <w:szCs w:val="20"/>
          <w:color w:val="auto"/>
        </w:rPr>
        <w:t>. No License, the loss of which could reasonably be expected to have a Material Adverse Effect, is the subject of a proceeding for suspension or revocation which is reasonably likely to result in a suspension or revocation. To the knowledge of the Responsible Officers of the Borrower, there is no sustainable basis for such suspension or revocation of any License, the loss of which could reasonably be expected to have a Material Adverse Effect.</w:t>
      </w:r>
    </w:p>
    <w:p>
      <w:pPr>
        <w:spacing w:after="0" w:line="210"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b w:val="1"/>
          <w:bCs w:val="1"/>
          <w:color w:val="auto"/>
        </w:rPr>
        <w:t>Employee Matters</w:t>
      </w:r>
      <w:r>
        <w:rPr>
          <w:rFonts w:ascii="Arial" w:cs="Arial" w:eastAsia="Arial" w:hAnsi="Arial"/>
          <w:sz w:val="18"/>
          <w:szCs w:val="18"/>
          <w:color w:val="auto"/>
        </w:rPr>
        <w:t>. There are no strikes, work stoppages, election or decertification petitions or proceedings, unfair labor charges, equal employment opportunity proceedings, wage payment or material unemployment compensation proceedings, material workers’ compensation proceedings or other material labor/employee related controversies pending or, to the knowledge of the Responsible Officers of the Borrower, threatened between the Borrower or any of its Subsidiaries and any of their respective employees, other than employee grievances and other proceedings which could not in the aggregate reasonably be expected to have a Material Adverse Effect.</w:t>
      </w:r>
    </w:p>
    <w:p>
      <w:pPr>
        <w:spacing w:after="0" w:line="183" w:lineRule="exact"/>
        <w:rPr>
          <w:sz w:val="20"/>
          <w:szCs w:val="20"/>
          <w:color w:val="auto"/>
        </w:rPr>
      </w:pPr>
    </w:p>
    <w:p>
      <w:pPr>
        <w:jc w:val="both"/>
        <w:ind w:firstLine="409"/>
        <w:spacing w:after="0" w:line="272" w:lineRule="auto"/>
        <w:rPr>
          <w:sz w:val="20"/>
          <w:szCs w:val="20"/>
          <w:color w:val="auto"/>
        </w:rPr>
      </w:pPr>
      <w:r>
        <w:rPr>
          <w:rFonts w:ascii="Arial" w:cs="Arial" w:eastAsia="Arial" w:hAnsi="Arial"/>
          <w:sz w:val="19"/>
          <w:szCs w:val="19"/>
          <w:color w:val="auto"/>
        </w:rPr>
        <w:t xml:space="preserve">Section 5.21 </w:t>
      </w:r>
      <w:r>
        <w:rPr>
          <w:rFonts w:ascii="Arial" w:cs="Arial" w:eastAsia="Arial" w:hAnsi="Arial"/>
          <w:sz w:val="19"/>
          <w:szCs w:val="19"/>
          <w:b w:val="1"/>
          <w:bCs w:val="1"/>
          <w:color w:val="auto"/>
        </w:rPr>
        <w:t>Insurance Subsidiaries</w:t>
      </w:r>
      <w:r>
        <w:rPr>
          <w:rFonts w:ascii="Arial" w:cs="Arial" w:eastAsia="Arial" w:hAnsi="Arial"/>
          <w:sz w:val="19"/>
          <w:szCs w:val="19"/>
          <w:color w:val="auto"/>
        </w:rPr>
        <w:t>. All of the Annual Statements and Interim Statements, together with any other financial or similar statements of the Material Insurance Subsidiaries provided to the Administrative Agent, are prepared in accordance with SAP and present fairly in accordance with SAP the financial position of such Material Insurance Subsidiary for the period then ended.</w:t>
      </w:r>
    </w:p>
    <w:p>
      <w:pPr>
        <w:spacing w:after="0" w:line="189"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20"/>
          <w:szCs w:val="20"/>
          <w:color w:val="auto"/>
        </w:rPr>
        <w:t xml:space="preserve">Section 5.22 </w:t>
      </w:r>
      <w:r>
        <w:rPr>
          <w:rFonts w:ascii="Arial" w:cs="Arial" w:eastAsia="Arial" w:hAnsi="Arial"/>
          <w:sz w:val="20"/>
          <w:szCs w:val="20"/>
          <w:b w:val="1"/>
          <w:bCs w:val="1"/>
          <w:color w:val="auto"/>
        </w:rPr>
        <w:t>Taxpayer Identification Number</w:t>
      </w:r>
      <w:r>
        <w:rPr>
          <w:rFonts w:ascii="Arial" w:cs="Arial" w:eastAsia="Arial" w:hAnsi="Arial"/>
          <w:sz w:val="20"/>
          <w:szCs w:val="20"/>
          <w:color w:val="auto"/>
        </w:rPr>
        <w:t xml:space="preserve">. The Borrower’s true and correct U.S. taxpayer identification number is set forth on </w:t>
      </w:r>
      <w:r>
        <w:rPr>
          <w:rFonts w:ascii="Arial" w:cs="Arial" w:eastAsia="Arial" w:hAnsi="Arial"/>
          <w:sz w:val="20"/>
          <w:szCs w:val="20"/>
          <w:u w:val="single" w:color="auto"/>
          <w:color w:val="auto"/>
        </w:rPr>
        <w:t>Schedule 10.02.</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5.23 </w:t>
      </w: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4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 xml:space="preserve">Section 5.24 </w:t>
      </w:r>
      <w:r>
        <w:rPr>
          <w:rFonts w:ascii="Arial" w:cs="Arial" w:eastAsia="Arial" w:hAnsi="Arial"/>
          <w:sz w:val="19"/>
          <w:szCs w:val="19"/>
          <w:b w:val="1"/>
          <w:bCs w:val="1"/>
          <w:color w:val="auto"/>
        </w:rPr>
        <w:t>Economic Sanctions, Anti-Money Laundering and Anti-Corruption</w:t>
      </w:r>
      <w:r>
        <w:rPr>
          <w:rFonts w:ascii="Arial" w:cs="Arial" w:eastAsia="Arial" w:hAnsi="Arial"/>
          <w:sz w:val="19"/>
          <w:szCs w:val="19"/>
          <w:color w:val="auto"/>
        </w:rPr>
        <w:t>. (a) None of the Borrower or any of its Subsidiaries nor, to the knowledge of the Borrower, any director, officer, employee or controlled Affiliate of the Borrower or any of its Subsidiaries is a Person that is, or is owned or controlled by Persons that are: (i) the subject of any sanctions administered or enforced by the U.S. Department of the Treasury’s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or the U.S. State Department, the United Nations Security Council, the European Union or Her Majesty’s Treasury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 located, organized or resident in a country or territory that is, or whose government is, the subject of Sanctions (including, as of the date of this Agreement, Crimea, Cuba, Iran, North Korea and Syria). The Borrower, its Subsidiaries and, to the knowledge of the Borrower, their respective directors, officers, employees and agents are and have been in compliance in all material respects with all applicable Sanctions.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8" w:name="page99"/>
    <w:bookmarkEnd w:id="98"/>
    <w:p>
      <w:pPr>
        <w:jc w:val="both"/>
        <w:ind w:firstLine="656"/>
        <w:spacing w:after="0" w:line="243" w:lineRule="auto"/>
        <w:tabs>
          <w:tab w:leader="none" w:pos="1284"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Borrower will not, directly or, to the Borrower’s knowledge, indirectly, use the proceeds of the Loans, or lend, contribute or otherwise make available such proceeds to any subsidiary, joint venture partner or other Person to fund any activities or business of or with any Person, or in any country or territory, that, at the time of such funding, is, or whose government is, the subject of Sanctions.</w:t>
      </w:r>
    </w:p>
    <w:p>
      <w:pPr>
        <w:spacing w:after="0" w:line="2" w:lineRule="exact"/>
        <w:rPr>
          <w:rFonts w:ascii="Arial" w:cs="Arial" w:eastAsia="Arial" w:hAnsi="Arial"/>
          <w:sz w:val="20"/>
          <w:szCs w:val="20"/>
          <w:color w:val="auto"/>
        </w:rPr>
      </w:pPr>
    </w:p>
    <w:p>
      <w:pPr>
        <w:jc w:val="both"/>
        <w:ind w:firstLine="656"/>
        <w:spacing w:after="0" w:line="271" w:lineRule="auto"/>
        <w:tabs>
          <w:tab w:leader="none" w:pos="9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the Borrower or any of its Subsidiaries nor, to the knowledge of the Borrower, any director, officer, employee or agent of the Borrower or any of its Subsidiaries has taken any action, directly or indirectly, that would result in a material violation by such persons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or any other applicable anti-corruption law. No part of the proceeds of the Loans will be used, directly or to the Borrower’s knowledge, indirectly, for any payments to any governmental official or employee, political party, official of a political party, candidate for political office, or anyone else acting in an official capacity in violation of the FCPA or any other anti-corruption law. The Borrower and its Subsidiaries are in compliance, in all material respects, with the Act and all other applicable anti-money laundering and counter-terrorist financing laws and regulations.</w:t>
      </w:r>
    </w:p>
    <w:p>
      <w:pPr>
        <w:spacing w:after="0" w:line="170" w:lineRule="exact"/>
        <w:rPr>
          <w:rFonts w:ascii="Arial" w:cs="Arial" w:eastAsia="Arial" w:hAnsi="Arial"/>
          <w:sz w:val="18"/>
          <w:szCs w:val="18"/>
          <w:color w:val="auto"/>
        </w:rPr>
      </w:pPr>
    </w:p>
    <w:p>
      <w:pPr>
        <w:ind w:right="20" w:firstLine="656"/>
        <w:spacing w:after="0" w:line="260" w:lineRule="auto"/>
        <w:tabs>
          <w:tab w:leader="none" w:pos="939"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Borrower and its Subsidiaries have instituted and maintain policies and procedures designed to ensure compliance with all applicable Sanctions, anti-corruption laws and anti-money laundering laws and regulations.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Until the date no Lender shall have any Commitment hereunder or any Loan or other Obligation hereunder (other than any indemnity or similar contingent obligation not then accrued for which no claim has been made by the Administrative Agent or any Lender) that remains unpaid or unsatisfied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the Borrower agrees with the Administrative Agent and the Lenders that: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b w:val="1"/>
          <w:bCs w:val="1"/>
          <w:color w:val="auto"/>
        </w:rPr>
        <w:t>Financial Statements</w:t>
      </w:r>
      <w:r>
        <w:rPr>
          <w:rFonts w:ascii="Arial" w:cs="Arial" w:eastAsia="Arial" w:hAnsi="Arial"/>
          <w:sz w:val="20"/>
          <w:szCs w:val="20"/>
          <w:color w:val="auto"/>
        </w:rPr>
        <w:t>. The Borrower shall deliver to the Administrative Agent:</w:t>
      </w:r>
    </w:p>
    <w:p>
      <w:pPr>
        <w:spacing w:after="0" w:line="249" w:lineRule="exact"/>
        <w:rPr>
          <w:sz w:val="20"/>
          <w:szCs w:val="20"/>
          <w:color w:val="auto"/>
        </w:rPr>
      </w:pPr>
    </w:p>
    <w:p>
      <w:pPr>
        <w:jc w:val="both"/>
        <w:ind w:firstLine="818"/>
        <w:spacing w:after="0" w:line="257" w:lineRule="auto"/>
        <w:tabs>
          <w:tab w:leader="none" w:pos="1286" w:val="left"/>
        </w:tabs>
        <w:numPr>
          <w:ilvl w:val="0"/>
          <w:numId w:val="80"/>
        </w:numPr>
        <w:rPr>
          <w:rFonts w:ascii="Arial" w:cs="Arial" w:eastAsia="Arial" w:hAnsi="Arial"/>
          <w:sz w:val="19"/>
          <w:szCs w:val="19"/>
          <w:color w:val="auto"/>
        </w:rPr>
      </w:pPr>
      <w:r>
        <w:rPr>
          <w:rFonts w:ascii="Arial" w:cs="Arial" w:eastAsia="Arial" w:hAnsi="Arial"/>
          <w:sz w:val="19"/>
          <w:szCs w:val="19"/>
          <w:color w:val="auto"/>
        </w:rPr>
        <w:t>as soon as available, but not later than 105 days after the end of each fiscal year, a copy of the audited consolidated balance sheet of the Borrower and its Subsidiaries as at the end of such year and the related consolidated statements of income or operations, shareholders’ equity and cash flows for such year, setting forth in each case in comparative form the figures for the previous fiscal year, and accompanied by a report and opinion of a registered public accounting firm of nationally recognized standing reasonably acceptable to the Required Lenders, which report and opinion shall be prepared in accordance with generally accepted auditing standards and applicable securities laws and shall not be subject to any “going concern” or like qualification or exception or, except as to entities or businesses subject to Permitted Acquisitions only, any qualification or exception as to the scope of such audit;</w:t>
      </w:r>
    </w:p>
    <w:p>
      <w:pPr>
        <w:spacing w:after="0" w:line="211" w:lineRule="exact"/>
        <w:rPr>
          <w:rFonts w:ascii="Arial" w:cs="Arial" w:eastAsia="Arial" w:hAnsi="Arial"/>
          <w:sz w:val="19"/>
          <w:szCs w:val="19"/>
          <w:color w:val="auto"/>
        </w:rPr>
      </w:pPr>
    </w:p>
    <w:p>
      <w:pPr>
        <w:jc w:val="both"/>
        <w:ind w:firstLine="818"/>
        <w:spacing w:after="0" w:line="243" w:lineRule="auto"/>
        <w:tabs>
          <w:tab w:leader="none" w:pos="1284"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soon as available, but not later than 60 days after the end of each of the first three fiscal quarters of each fiscal year, a copy of the unaudited consolidated balance sheet of the Borrower and its Subsidiaries as of the end of such quarter and the related consolidated statements of income, shareholders’ equity and cash flows for the period commencing on the first day and ending on the last day of such quarter, and certified by a Responsible Officer as fairly presenting, in accordance with GAAP (except for the absence of footnotes and subject to ordinary, good faith year-end audit adjustments), the financial position and the results of operations of the Borrower and the Subsidiaries as of the date thereof;</w:t>
      </w:r>
    </w:p>
    <w:p>
      <w:pPr>
        <w:spacing w:after="0" w:line="222" w:lineRule="exact"/>
        <w:rPr>
          <w:rFonts w:ascii="Arial" w:cs="Arial" w:eastAsia="Arial" w:hAnsi="Arial"/>
          <w:sz w:val="20"/>
          <w:szCs w:val="20"/>
          <w:color w:val="auto"/>
        </w:rPr>
      </w:pPr>
    </w:p>
    <w:p>
      <w:pPr>
        <w:ind w:firstLine="818"/>
        <w:spacing w:after="0" w:line="260" w:lineRule="auto"/>
        <w:tabs>
          <w:tab w:leader="none" w:pos="1286"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soon as available, but not later than 105 days after the end of each fiscal year, a copy of the Annual Statement of each Material Insurance Subsidiary for such fiscal year prepared in accordance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0"/>
          <w:szCs w:val="20"/>
          <w:color w:val="auto"/>
        </w:rPr>
        <w:t>with SAP and accompanied by the certification of the chief financial officer or treasurer of such Material Insurance Subsidiary that such Annual Statement presents fairly in accordance with SAP the financial position of such Material Insurance Subsidiary for the period then ended;</w:t>
      </w:r>
    </w:p>
    <w:p>
      <w:pPr>
        <w:spacing w:after="0" w:line="213" w:lineRule="exact"/>
        <w:rPr>
          <w:sz w:val="20"/>
          <w:szCs w:val="20"/>
          <w:color w:val="auto"/>
        </w:rPr>
      </w:pPr>
    </w:p>
    <w:p>
      <w:pPr>
        <w:jc w:val="both"/>
        <w:ind w:firstLine="818"/>
        <w:spacing w:after="0" w:line="282" w:lineRule="auto"/>
        <w:tabs>
          <w:tab w:leader="none" w:pos="128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soon as possible, but no later than 60 days after the end of each of the first three fiscal quarters of each fiscal year, a copy of the quarterly Interim Statement of each Material Insurance Subsidiary for each such fiscal quarter, all prepared in accordance with SAP and accompanied by the certification of the chief financial officer or treasurer of such Insurance Subsidiary that all such quarterly statements present fairly in accordance with SAP the financial position of such Insurance Subsidiary for the period then ended; and</w:t>
      </w:r>
    </w:p>
    <w:p>
      <w:pPr>
        <w:spacing w:after="0" w:line="188" w:lineRule="exact"/>
        <w:rPr>
          <w:rFonts w:ascii="Arial" w:cs="Arial" w:eastAsia="Arial" w:hAnsi="Arial"/>
          <w:sz w:val="18"/>
          <w:szCs w:val="18"/>
          <w:color w:val="auto"/>
        </w:rPr>
      </w:pPr>
    </w:p>
    <w:p>
      <w:pPr>
        <w:jc w:val="both"/>
        <w:ind w:firstLine="818"/>
        <w:spacing w:after="0" w:line="291" w:lineRule="auto"/>
        <w:tabs>
          <w:tab w:leader="none" w:pos="12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within 105 days after the close of each fiscal year, a copy of each Material Insurance Subsidiary’s “Statement of Actuarial Opinion” which is provided to the Department (or equivalent information should the Department no longer require such a statement) as to the adequacy of loss reserves of such Material Insurance Subsidiary, which opinion shall be in the format prescribed by the Insurance Code.</w:t>
      </w:r>
    </w:p>
    <w:p>
      <w:pPr>
        <w:spacing w:after="0" w:line="173" w:lineRule="exact"/>
        <w:rPr>
          <w:sz w:val="20"/>
          <w:szCs w:val="20"/>
          <w:color w:val="auto"/>
        </w:rPr>
      </w:pPr>
    </w:p>
    <w:p>
      <w:pPr>
        <w:ind w:firstLine="463"/>
        <w:spacing w:after="0" w:line="267"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b w:val="1"/>
          <w:bCs w:val="1"/>
          <w:color w:val="auto"/>
        </w:rPr>
        <w:t>Certificates; Other Information</w:t>
      </w:r>
      <w:r>
        <w:rPr>
          <w:rFonts w:ascii="Arial" w:cs="Arial" w:eastAsia="Arial" w:hAnsi="Arial"/>
          <w:sz w:val="20"/>
          <w:szCs w:val="20"/>
          <w:color w:val="auto"/>
        </w:rPr>
        <w:t>. The Borrower shall deliver to the Administrative Agent in form and detail reasonably satisfactory to the Administrative Agent:</w:t>
      </w:r>
    </w:p>
    <w:p>
      <w:pPr>
        <w:spacing w:after="0" w:line="196" w:lineRule="exact"/>
        <w:rPr>
          <w:sz w:val="20"/>
          <w:szCs w:val="20"/>
          <w:color w:val="auto"/>
        </w:rPr>
      </w:pPr>
    </w:p>
    <w:p>
      <w:pPr>
        <w:ind w:firstLine="818"/>
        <w:spacing w:after="0" w:line="247" w:lineRule="auto"/>
        <w:tabs>
          <w:tab w:leader="none" w:pos="1286"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Compliance Certificate executed by a Responsible Officer;</w:t>
      </w:r>
    </w:p>
    <w:p>
      <w:pPr>
        <w:spacing w:after="0" w:line="1" w:lineRule="exact"/>
        <w:rPr>
          <w:rFonts w:ascii="Arial" w:cs="Arial" w:eastAsia="Arial" w:hAnsi="Arial"/>
          <w:sz w:val="20"/>
          <w:szCs w:val="20"/>
          <w:color w:val="auto"/>
        </w:rPr>
      </w:pPr>
    </w:p>
    <w:p>
      <w:pPr>
        <w:ind w:firstLine="818"/>
        <w:spacing w:after="0" w:line="239" w:lineRule="auto"/>
        <w:tabs>
          <w:tab w:leader="none" w:pos="1284"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promptly, copies of all financial statements and material reports that the Borrower or any of its Material Subsidiaries sends or may make to, or file with, any applicable Department;</w:t>
      </w:r>
    </w:p>
    <w:p>
      <w:pPr>
        <w:ind w:left="1300" w:hanging="482"/>
        <w:spacing w:after="0"/>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following certificates and other information:</w:t>
      </w:r>
    </w:p>
    <w:p>
      <w:pPr>
        <w:spacing w:after="0" w:line="226" w:lineRule="exact"/>
        <w:rPr>
          <w:rFonts w:ascii="Arial" w:cs="Arial" w:eastAsia="Arial" w:hAnsi="Arial"/>
          <w:sz w:val="20"/>
          <w:szCs w:val="20"/>
          <w:color w:val="auto"/>
        </w:rPr>
      </w:pPr>
    </w:p>
    <w:p>
      <w:pPr>
        <w:jc w:val="both"/>
        <w:ind w:left="580" w:firstLine="780"/>
        <w:spacing w:after="0" w:line="276" w:lineRule="auto"/>
        <w:tabs>
          <w:tab w:leader="none" w:pos="19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promptly upon request by the Administrative Agent on behalf of any Lender, (A) a copy of any final financial examination reports or market conduct examination reports issued by a Governmental Authority with respect to any Material Subsidiary of the Borrower (and the Borrower, should it at any time engage or become involved in the business of insurance), relating to the insurance business of each Material Subsidiary or, if applicable, the Borrower (when, and if, prepared) and (B) a copy of any interim report;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Subsidiary or, if applicable, the Borrower shall not have to deliver any interim report requested by a Lender hereunder if a final report is issued and delivered to the Administrative Agent within 90 days of such interim report;</w:t>
      </w:r>
    </w:p>
    <w:p>
      <w:pPr>
        <w:spacing w:after="0" w:line="191" w:lineRule="exact"/>
        <w:rPr>
          <w:rFonts w:ascii="Arial" w:cs="Arial" w:eastAsia="Arial" w:hAnsi="Arial"/>
          <w:sz w:val="18"/>
          <w:szCs w:val="18"/>
          <w:color w:val="auto"/>
        </w:rPr>
      </w:pPr>
    </w:p>
    <w:p>
      <w:pPr>
        <w:jc w:val="both"/>
        <w:ind w:left="580" w:firstLine="725"/>
        <w:spacing w:after="0" w:line="243" w:lineRule="auto"/>
        <w:tabs>
          <w:tab w:leader="none" w:pos="1957" w:val="left"/>
        </w:tabs>
        <w:numPr>
          <w:ilvl w:val="1"/>
          <w:numId w:val="82"/>
        </w:numPr>
        <w:rPr>
          <w:rFonts w:ascii="Arial" w:cs="Arial" w:eastAsia="Arial" w:hAnsi="Arial"/>
          <w:sz w:val="20"/>
          <w:szCs w:val="20"/>
          <w:color w:val="auto"/>
        </w:rPr>
      </w:pPr>
      <w:r>
        <w:rPr>
          <w:rFonts w:ascii="Arial" w:cs="Arial" w:eastAsia="Arial" w:hAnsi="Arial"/>
          <w:sz w:val="20"/>
          <w:szCs w:val="20"/>
          <w:color w:val="auto"/>
        </w:rPr>
        <w:t>promptly after the receipt by a Responsible Officer of the Borrower of such notice, notice of the actual suspension, termination or revocation of any material license of the Borrower or any of its Material Subsidiaries by any Governmental Authority or notice from any Governmental Authority notifying the Borrower or any of its Material Subsidiaries of a hearing relating to such a suspension, termination or revocation, including any request by a Governmental Authority which commits the Borrower or any of its Material Subsidiaries to take, or refrain from taking, any action or which otherwise could reasonably be expected to have a Material Adverse Effect; and</w:t>
      </w:r>
    </w:p>
    <w:p>
      <w:pPr>
        <w:spacing w:after="0" w:line="222" w:lineRule="exact"/>
        <w:rPr>
          <w:rFonts w:ascii="Arial" w:cs="Arial" w:eastAsia="Arial" w:hAnsi="Arial"/>
          <w:sz w:val="20"/>
          <w:szCs w:val="20"/>
          <w:color w:val="auto"/>
        </w:rPr>
      </w:pPr>
    </w:p>
    <w:p>
      <w:pPr>
        <w:jc w:val="both"/>
        <w:ind w:left="580" w:firstLine="670"/>
        <w:spacing w:after="0" w:line="246" w:lineRule="auto"/>
        <w:tabs>
          <w:tab w:leader="none" w:pos="1957" w:val="left"/>
        </w:tabs>
        <w:numPr>
          <w:ilvl w:val="1"/>
          <w:numId w:val="82"/>
        </w:numPr>
        <w:rPr>
          <w:rFonts w:ascii="Arial" w:cs="Arial" w:eastAsia="Arial" w:hAnsi="Arial"/>
          <w:sz w:val="20"/>
          <w:szCs w:val="20"/>
          <w:color w:val="auto"/>
        </w:rPr>
      </w:pPr>
      <w:r>
        <w:rPr>
          <w:rFonts w:ascii="Arial" w:cs="Arial" w:eastAsia="Arial" w:hAnsi="Arial"/>
          <w:sz w:val="20"/>
          <w:szCs w:val="20"/>
          <w:color w:val="auto"/>
        </w:rPr>
        <w:t>promptly after the receipt by a Responsible Officer of the Borrower of such notice, notice of any material pending or threatened investigation or regulatory proceeding (other than routine periodic investigations or reviews) by any Governmental Authority concerning the business practices or operations of the Borrower or any of its Material Subsidiaries which is reasonably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0" w:name="page101"/>
    <w:bookmarkEnd w:id="100"/>
    <w:p>
      <w:pPr>
        <w:jc w:val="both"/>
        <w:ind w:firstLine="818"/>
        <w:spacing w:after="0" w:line="246" w:lineRule="auto"/>
        <w:tabs>
          <w:tab w:leader="none" w:pos="1284" w:val="left"/>
        </w:tabs>
        <w:numPr>
          <w:ilvl w:val="0"/>
          <w:numId w:val="83"/>
        </w:numPr>
        <w:rPr>
          <w:rFonts w:ascii="Arial" w:cs="Arial" w:eastAsia="Arial" w:hAnsi="Arial"/>
          <w:sz w:val="20"/>
          <w:szCs w:val="20"/>
          <w:color w:val="auto"/>
        </w:rPr>
      </w:pPr>
      <w:r>
        <w:rPr>
          <w:rFonts w:ascii="Arial" w:cs="Arial" w:eastAsia="Arial" w:hAnsi="Arial"/>
          <w:sz w:val="20"/>
          <w:szCs w:val="20"/>
          <w:color w:val="auto"/>
        </w:rPr>
        <w:t>promptly upon (i) the acquisition by the Borrower or any of its Subsidiaries of any Person which engages in any material respect in an insurance business or (ii) any Subsidiary of the Borrower or any of its Subsidiaries becoming engaged in any material respect in an insurance business, a certificate of a Responsible Officer stating that such Person or Subsidiary shall be deemed to be an “Insurance Subsidiary” for all purposes of each Loan Document;</w:t>
      </w:r>
    </w:p>
    <w:p>
      <w:pPr>
        <w:spacing w:after="0" w:line="218" w:lineRule="exact"/>
        <w:rPr>
          <w:rFonts w:ascii="Arial" w:cs="Arial" w:eastAsia="Arial" w:hAnsi="Arial"/>
          <w:sz w:val="20"/>
          <w:szCs w:val="20"/>
          <w:color w:val="auto"/>
        </w:rPr>
      </w:pPr>
    </w:p>
    <w:p>
      <w:pPr>
        <w:ind w:left="1300" w:hanging="482"/>
        <w:spacing w:after="0"/>
        <w:tabs>
          <w:tab w:leader="none" w:pos="13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1300" w:hanging="482"/>
        <w:spacing w:after="0"/>
        <w:tabs>
          <w:tab w:leader="none" w:pos="13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818"/>
        <w:spacing w:after="0" w:line="244" w:lineRule="auto"/>
        <w:tabs>
          <w:tab w:leader="none" w:pos="1284" w:val="left"/>
        </w:tabs>
        <w:numPr>
          <w:ilvl w:val="0"/>
          <w:numId w:val="83"/>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(i) annual report, proxy or financial statement and copies of all annual, regular, periodic and special reports (including Forms 10K, 10Q and 8K) and registration statements which the Borrower files or is required to file with the SEC under Section 13 or 15(d) of the Securities Exchange Act of 1934, and not otherwise required to be delivered to the Administrative Agent pursuant hereto and (ii) without duplication, copies of any certifications or affidavits required by the SEC in connection with the filing of Forms 10K, 10Q and 8K;</w:t>
      </w:r>
    </w:p>
    <w:p>
      <w:pPr>
        <w:spacing w:after="0" w:line="221" w:lineRule="exact"/>
        <w:rPr>
          <w:rFonts w:ascii="Arial" w:cs="Arial" w:eastAsia="Arial" w:hAnsi="Arial"/>
          <w:sz w:val="20"/>
          <w:szCs w:val="20"/>
          <w:color w:val="auto"/>
        </w:rPr>
      </w:pPr>
    </w:p>
    <w:p>
      <w:pPr>
        <w:jc w:val="both"/>
        <w:ind w:firstLine="818"/>
        <w:spacing w:after="0" w:line="234" w:lineRule="exact"/>
        <w:tabs>
          <w:tab w:leader="none" w:pos="1284" w:val="left"/>
        </w:tabs>
        <w:numPr>
          <w:ilvl w:val="0"/>
          <w:numId w:val="83"/>
        </w:numPr>
        <w:rPr>
          <w:rFonts w:ascii="Arial" w:cs="Arial" w:eastAsia="Arial" w:hAnsi="Arial"/>
          <w:sz w:val="20"/>
          <w:szCs w:val="20"/>
          <w:color w:val="auto"/>
        </w:rPr>
      </w:pPr>
      <w:r>
        <w:rPr>
          <w:rFonts w:ascii="Arial" w:cs="Arial" w:eastAsia="Arial" w:hAnsi="Arial"/>
          <w:sz w:val="20"/>
          <w:szCs w:val="20"/>
          <w:color w:val="auto"/>
        </w:rPr>
        <w:t>promptly after receipt thereof by the Borrower or any Subsidiary thereof, copies of each notice or other correspondence received from the SEC (or comparable agency in any applicable non</w:t>
      </w:r>
      <w:r>
        <w:rPr>
          <w:rFonts w:ascii="MS PGothic" w:cs="MS PGothic" w:eastAsia="MS PGothic" w:hAnsi="MS PGothic"/>
          <w:sz w:val="20"/>
          <w:szCs w:val="20"/>
          <w:color w:val="auto"/>
        </w:rPr>
        <w:t>‑</w:t>
      </w:r>
      <w:r>
        <w:rPr>
          <w:rFonts w:ascii="Arial" w:cs="Arial" w:eastAsia="Arial" w:hAnsi="Arial"/>
          <w:sz w:val="20"/>
          <w:szCs w:val="20"/>
          <w:color w:val="auto"/>
        </w:rPr>
        <w:t>U.S. jurisdiction) concerning any investigation or possible investigation or other inquiry by such agency regarding financial or other operational results of the Borrower or any Material Subsidiary thereof which could reasonably result in a Material Adverse Effect; and</w:t>
      </w:r>
    </w:p>
    <w:p>
      <w:pPr>
        <w:spacing w:after="0" w:line="225" w:lineRule="exact"/>
        <w:rPr>
          <w:rFonts w:ascii="Arial" w:cs="Arial" w:eastAsia="Arial" w:hAnsi="Arial"/>
          <w:sz w:val="20"/>
          <w:szCs w:val="20"/>
          <w:color w:val="auto"/>
        </w:rPr>
      </w:pPr>
    </w:p>
    <w:p>
      <w:pPr>
        <w:jc w:val="both"/>
        <w:ind w:firstLine="818"/>
        <w:spacing w:after="0" w:line="270" w:lineRule="auto"/>
        <w:tabs>
          <w:tab w:leader="none" w:pos="129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promptly, such additional information regarding the business, financial or corporate affairs of the Borrower or any Material Subsidiary, including information and documentation requested for purposes of compliance with the Beneficial Ownership Regulation, as the Administrative Agent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required to disclose or provide any information (a) that constitutes non-financial trade secrets or non-financial proprietary information of the Borrower or any of its Subsidiaries or any of their respective customers and/or suppliers, (b) in respect of which disclosure to the Administrative Agent or any Lender (or any of their respective representatives) is prohibited by applicable Law, (c) that is subject to attorney-client or similar privilege or constitutes attorney work product or (d) in respect of which the Borrower owes confidentiality obligations to any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confidentiality obligations were not entered into in contemplation of the requirements of this </w:t>
      </w:r>
      <w:r>
        <w:rPr>
          <w:rFonts w:ascii="Arial" w:cs="Arial" w:eastAsia="Arial" w:hAnsi="Arial"/>
          <w:sz w:val="18"/>
          <w:szCs w:val="18"/>
          <w:u w:val="single" w:color="auto"/>
          <w:color w:val="auto"/>
        </w:rPr>
        <w:t>Section 6.02(i)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that the Borrower does not provide information that otherwise would be required to be provided hereunder in reliance on the exclusions in this paragraph relating to violation of any obligation of confidentiality, the Borrower shall use commercially reasonable efforts to provide notice thereof to the Administrative Agent promptly upon obtaining knowledge that such information is being withheld (but solely if providing such notice would not violate such obligation of confidentiality).</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6.02(g)</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(ii) on which such documents are posted on the Borrower’s behalf on SyndTrak Online or an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Administrative Agent for any Lender that requests the Borrower to deliver such paper copies until a written request to cease delivering paper copies is given by the Administrative Agent or such Lender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1" w:name="page102"/>
    <w:bookmarkEnd w:id="101"/>
    <w:p>
      <w:pPr>
        <w:jc w:val="both"/>
        <w:ind w:firstLine="8"/>
        <w:spacing w:after="0" w:line="260" w:lineRule="auto"/>
        <w:tabs>
          <w:tab w:leader="none" w:pos="295"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Borrower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0"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SyndTrak Online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it being understood that the Administrative Agent and the Arrangers are utilizing SyndTrak Online with the express understanding that neither the Administrative Agent nor the Arrangers shall be liable for any release of confidential information to unauthorized parties as a result of the operation or administration of SyndTrak Online,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that do not wish to receive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with respect to the Borrower or its Affiliates or their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treat any Borrower Materials that are not marked “PUBLIC” as being suitable only for posting on a portion of the Platform not designated “Public Side Information” and shall not post such Borrower Materials on the Platform for Public Investors.</w:t>
      </w:r>
    </w:p>
    <w:p>
      <w:pPr>
        <w:spacing w:after="0" w:line="197" w:lineRule="exact"/>
        <w:rPr>
          <w:sz w:val="20"/>
          <w:szCs w:val="20"/>
          <w:color w:val="auto"/>
        </w:rPr>
      </w:pPr>
    </w:p>
    <w:p>
      <w:pPr>
        <w:jc w:val="both"/>
        <w:ind w:firstLine="409"/>
        <w:spacing w:after="0" w:line="267"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b w:val="1"/>
          <w:bCs w:val="1"/>
          <w:color w:val="auto"/>
        </w:rPr>
        <w:t>Notices</w:t>
      </w:r>
      <w:r>
        <w:rPr>
          <w:rFonts w:ascii="Arial" w:cs="Arial" w:eastAsia="Arial" w:hAnsi="Arial"/>
          <w:sz w:val="20"/>
          <w:szCs w:val="20"/>
          <w:color w:val="auto"/>
        </w:rPr>
        <w:t>. The Borrower shall promptly notify the Administrative Agent after a Responsible Officer of the Borrower obtains knowledge of:</w:t>
      </w:r>
    </w:p>
    <w:p>
      <w:pPr>
        <w:spacing w:after="0" w:line="196" w:lineRule="exact"/>
        <w:rPr>
          <w:sz w:val="20"/>
          <w:szCs w:val="20"/>
          <w:color w:val="auto"/>
        </w:rPr>
      </w:pPr>
    </w:p>
    <w:p>
      <w:pPr>
        <w:ind w:firstLine="818"/>
        <w:spacing w:after="0" w:line="316" w:lineRule="auto"/>
        <w:tabs>
          <w:tab w:leader="none" w:pos="12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the occurrence of any event that constitutes a Default or Event of Default, or (ii) any litigation or governmental proceeding pending against the Borrower or any of its Subsidiaries which could reasonably be expected to have a Material Adverse Effect;</w:t>
      </w:r>
    </w:p>
    <w:p>
      <w:pPr>
        <w:spacing w:after="0" w:line="156" w:lineRule="exact"/>
        <w:rPr>
          <w:rFonts w:ascii="Arial" w:cs="Arial" w:eastAsia="Arial" w:hAnsi="Arial"/>
          <w:sz w:val="18"/>
          <w:szCs w:val="18"/>
          <w:color w:val="auto"/>
        </w:rPr>
      </w:pPr>
    </w:p>
    <w:p>
      <w:pPr>
        <w:jc w:val="both"/>
        <w:ind w:firstLine="818"/>
        <w:spacing w:after="0" w:line="246" w:lineRule="auto"/>
        <w:tabs>
          <w:tab w:leader="none" w:pos="1284"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occurrence of any of the following events affecting the Borrower or any ERISA Affiliate to the extent that such event or events could reasonably result in a Material Adverse Effect, and deliver to the Administrative Agent a copy of any notice with respect to such event that is filed with a Governmental Authority and any notice delivered by a Governmental Authority to the Borrower or any ERISA Affiliate with respect to such event:</w:t>
      </w:r>
    </w:p>
    <w:p>
      <w:pPr>
        <w:spacing w:after="0" w:line="218" w:lineRule="exact"/>
        <w:rPr>
          <w:rFonts w:ascii="Arial" w:cs="Arial" w:eastAsia="Arial" w:hAnsi="Arial"/>
          <w:sz w:val="20"/>
          <w:szCs w:val="20"/>
          <w:color w:val="auto"/>
        </w:rPr>
      </w:pPr>
    </w:p>
    <w:p>
      <w:pPr>
        <w:ind w:left="1960" w:hanging="600"/>
        <w:spacing w:after="0"/>
        <w:tabs>
          <w:tab w:leader="none" w:pos="1960"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 ERISA Event;</w:t>
      </w:r>
    </w:p>
    <w:p>
      <w:pPr>
        <w:spacing w:after="0" w:line="242" w:lineRule="exact"/>
        <w:rPr>
          <w:rFonts w:ascii="Arial" w:cs="Arial" w:eastAsia="Arial" w:hAnsi="Arial"/>
          <w:sz w:val="20"/>
          <w:szCs w:val="20"/>
          <w:color w:val="auto"/>
        </w:rPr>
      </w:pPr>
    </w:p>
    <w:p>
      <w:pPr>
        <w:ind w:left="580" w:firstLine="725"/>
        <w:spacing w:after="0" w:line="260" w:lineRule="auto"/>
        <w:tabs>
          <w:tab w:leader="none" w:pos="1957" w:val="left"/>
        </w:tabs>
        <w:numPr>
          <w:ilvl w:val="1"/>
          <w:numId w:val="85"/>
        </w:numPr>
        <w:rPr>
          <w:rFonts w:ascii="Arial" w:cs="Arial" w:eastAsia="Arial" w:hAnsi="Arial"/>
          <w:sz w:val="20"/>
          <w:szCs w:val="20"/>
          <w:color w:val="auto"/>
        </w:rPr>
      </w:pPr>
      <w:r>
        <w:rPr>
          <w:rFonts w:ascii="Arial" w:cs="Arial" w:eastAsia="Arial" w:hAnsi="Arial"/>
          <w:sz w:val="20"/>
          <w:szCs w:val="20"/>
          <w:color w:val="auto"/>
        </w:rPr>
        <w:t>a material increase in the contributions to, or the Unfunded Pension Liability of, any Pension Plan since the last annual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02" w:name="page103"/>
    <w:bookmarkEnd w:id="102"/>
    <w:p>
      <w:pPr>
        <w:ind w:left="580" w:firstLine="670"/>
        <w:spacing w:after="0" w:line="260" w:lineRule="auto"/>
        <w:tabs>
          <w:tab w:leader="none" w:pos="1957"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adoption of, or the commencement of contributions to, any Plan subject to Section 412 of the Code by the Borrower or any ERISA Affiliate; or</w:t>
      </w:r>
    </w:p>
    <w:p>
      <w:pPr>
        <w:spacing w:after="0" w:line="203" w:lineRule="exact"/>
        <w:rPr>
          <w:rFonts w:ascii="Arial" w:cs="Arial" w:eastAsia="Arial" w:hAnsi="Arial"/>
          <w:sz w:val="20"/>
          <w:szCs w:val="20"/>
          <w:color w:val="auto"/>
        </w:rPr>
      </w:pPr>
    </w:p>
    <w:p>
      <w:pPr>
        <w:ind w:left="580" w:firstLine="681"/>
        <w:spacing w:after="0" w:line="260" w:lineRule="auto"/>
        <w:tabs>
          <w:tab w:leader="none" w:pos="1957"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adoption of any amendment to a Plan subject to Section 412 of the Code, if such amendment results in a material increase in contributions or Unfunded Pension Liability;</w:t>
      </w:r>
    </w:p>
    <w:p>
      <w:pPr>
        <w:spacing w:after="0" w:line="203" w:lineRule="exact"/>
        <w:rPr>
          <w:rFonts w:ascii="Arial" w:cs="Arial" w:eastAsia="Arial" w:hAnsi="Arial"/>
          <w:sz w:val="20"/>
          <w:szCs w:val="20"/>
          <w:color w:val="auto"/>
        </w:rPr>
      </w:pPr>
    </w:p>
    <w:p>
      <w:pPr>
        <w:ind w:firstLine="818"/>
        <w:spacing w:after="0" w:line="260" w:lineRule="auto"/>
        <w:tabs>
          <w:tab w:leader="none" w:pos="1286"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of any change in accounting policies or financial reporting practices by the Borrower or any of its consolidated Material Subsidiaries that affect the calculation of the financial covenants set forth in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jc w:val="both"/>
        <w:ind w:firstLine="818"/>
        <w:spacing w:after="0" w:line="269" w:lineRule="auto"/>
        <w:tabs>
          <w:tab w:leader="none" w:pos="1284" w:val="left"/>
        </w:tabs>
        <w:numPr>
          <w:ilvl w:val="0"/>
          <w:numId w:val="87"/>
        </w:numPr>
        <w:rPr>
          <w:rFonts w:ascii="Arial" w:cs="Arial" w:eastAsia="Arial" w:hAnsi="Arial"/>
          <w:sz w:val="19"/>
          <w:szCs w:val="19"/>
          <w:color w:val="auto"/>
        </w:rPr>
      </w:pPr>
      <w:r>
        <w:rPr>
          <w:rFonts w:ascii="Arial" w:cs="Arial" w:eastAsia="Arial" w:hAnsi="Arial"/>
          <w:sz w:val="19"/>
          <w:szCs w:val="19"/>
          <w:color w:val="auto"/>
        </w:rPr>
        <w:t>of the receipt of any notice from any Governmental Authority of the institution of any disciplinary proceedings against or in respect of any Insurance Subsidiary, or the issuance of any order, the taking of any action or any request for an extraordinary audit for cause by any Governmental Authority which could reasonably be expected to have a Material Adverse Effect; or</w:t>
      </w:r>
    </w:p>
    <w:p>
      <w:pPr>
        <w:spacing w:after="0" w:line="196" w:lineRule="exact"/>
        <w:rPr>
          <w:rFonts w:ascii="Arial" w:cs="Arial" w:eastAsia="Arial" w:hAnsi="Arial"/>
          <w:sz w:val="19"/>
          <w:szCs w:val="19"/>
          <w:color w:val="auto"/>
        </w:rPr>
      </w:pPr>
    </w:p>
    <w:p>
      <w:pPr>
        <w:jc w:val="both"/>
        <w:ind w:firstLine="818"/>
        <w:spacing w:after="0" w:line="250" w:lineRule="auto"/>
        <w:tabs>
          <w:tab w:leader="none" w:pos="1286" w:val="left"/>
        </w:tabs>
        <w:numPr>
          <w:ilvl w:val="0"/>
          <w:numId w:val="87"/>
        </w:numPr>
        <w:rPr>
          <w:rFonts w:ascii="Arial" w:cs="Arial" w:eastAsia="Arial" w:hAnsi="Arial"/>
          <w:sz w:val="20"/>
          <w:szCs w:val="20"/>
          <w:color w:val="auto"/>
        </w:rPr>
      </w:pPr>
      <w:r>
        <w:rPr>
          <w:rFonts w:ascii="Arial" w:cs="Arial" w:eastAsia="Arial" w:hAnsi="Arial"/>
          <w:sz w:val="20"/>
          <w:szCs w:val="20"/>
          <w:color w:val="auto"/>
        </w:rPr>
        <w:t>of any judicial or administrative order limiting or controlling the insurance business of any Insurance Subsidiary (and not the insurance industry generally) which has been issued or adopted and which has had, or which could reasonably be expected to have, a Material Adverse Effect.</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Each notice pursuant to this Section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85" w:lineRule="exact"/>
        <w:rPr>
          <w:sz w:val="20"/>
          <w:szCs w:val="20"/>
          <w:color w:val="auto"/>
        </w:rPr>
      </w:pPr>
    </w:p>
    <w:p>
      <w:pPr>
        <w:jc w:val="both"/>
        <w:ind w:firstLine="528"/>
        <w:spacing w:after="0" w:line="27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b w:val="1"/>
          <w:bCs w:val="1"/>
          <w:color w:val="auto"/>
        </w:rPr>
        <w:t>Preservation of Existence, Etc.</w:t>
      </w:r>
      <w:r>
        <w:rPr>
          <w:rFonts w:ascii="Arial" w:cs="Arial" w:eastAsia="Arial" w:hAnsi="Arial"/>
          <w:sz w:val="18"/>
          <w:szCs w:val="18"/>
          <w:color w:val="auto"/>
        </w:rPr>
        <w:t xml:space="preserve"> The Borrower shall, and shall cause each of its Material Subsidiaries to, (a)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(c) take all reasonable action to preserve or renew all of its registered patents, trademarks, trade names and service marks, the non-preservation of which could reasonably be expected to have a Material Adverse Effect; and (d) in the case of the Borrower, engage in no business (other than as conducted on the Effective Date) except to hold Equity Interests of its Subsidiaries.</w:t>
      </w:r>
    </w:p>
    <w:p>
      <w:pPr>
        <w:spacing w:after="0" w:line="189" w:lineRule="exact"/>
        <w:rPr>
          <w:sz w:val="20"/>
          <w:szCs w:val="20"/>
          <w:color w:val="auto"/>
        </w:rPr>
      </w:pPr>
    </w:p>
    <w:p>
      <w:pPr>
        <w:jc w:val="both"/>
        <w:ind w:firstLine="504"/>
        <w:spacing w:after="0" w:line="280"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b w:val="1"/>
          <w:bCs w:val="1"/>
          <w:color w:val="auto"/>
        </w:rPr>
        <w:t>Maintenance of Properties</w:t>
      </w:r>
      <w:r>
        <w:rPr>
          <w:rFonts w:ascii="Arial" w:cs="Arial" w:eastAsia="Arial" w:hAnsi="Arial"/>
          <w:sz w:val="18"/>
          <w:szCs w:val="18"/>
          <w:color w:val="auto"/>
        </w:rPr>
        <w:t xml:space="preserve">. The Borrower shall, and shall cause each of its Subsidiaries to, (a) maintain, preserve and protect all of its material properties and equipment necessary in the operation of its business in good working order and condition, ordinary wear and tear excepted and except in connection with transactions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except where the failure to do so could not reasonably be expected to have a Material Adverse Effect; and (b) make all necessary repairs thereto and renewals and replacements thereof, in each case except where the failure to do so could not reasonably be expected to have a Material Adverse Effect.</w:t>
      </w:r>
    </w:p>
    <w:p>
      <w:pPr>
        <w:spacing w:after="0" w:line="183" w:lineRule="exact"/>
        <w:rPr>
          <w:sz w:val="20"/>
          <w:szCs w:val="20"/>
          <w:color w:val="auto"/>
        </w:rPr>
      </w:pPr>
    </w:p>
    <w:p>
      <w:pPr>
        <w:jc w:val="both"/>
        <w:ind w:firstLine="598"/>
        <w:spacing w:after="0" w:line="265"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b w:val="1"/>
          <w:bCs w:val="1"/>
          <w:color w:val="auto"/>
        </w:rPr>
        <w:t>Maintenance of Insurance</w:t>
      </w:r>
      <w:r>
        <w:rPr>
          <w:rFonts w:ascii="Arial" w:cs="Arial" w:eastAsia="Arial" w:hAnsi="Arial"/>
          <w:sz w:val="19"/>
          <w:szCs w:val="19"/>
          <w:color w:val="auto"/>
        </w:rPr>
        <w:t>. The Borrower shall, and shall cause each of its Material Subsidiaries to, maintain with financially sound and reputable insurance companies which are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3" w:name="page104"/>
    <w:bookmarkEnd w:id="103"/>
    <w:p>
      <w:pPr>
        <w:jc w:val="both"/>
        <w:ind w:firstLine="477"/>
        <w:spacing w:after="0" w:line="28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b w:val="1"/>
          <w:bCs w:val="1"/>
          <w:color w:val="auto"/>
        </w:rPr>
        <w:t>Compliance with Laws</w:t>
      </w:r>
      <w:r>
        <w:rPr>
          <w:rFonts w:ascii="Arial" w:cs="Arial" w:eastAsia="Arial" w:hAnsi="Arial"/>
          <w:sz w:val="18"/>
          <w:szCs w:val="18"/>
          <w:color w:val="auto"/>
        </w:rPr>
        <w:t>. The Borrower shall, and shall cause each of its Subsidiaries to, comply in all material respects with the requirements of all Laws,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8" w:lineRule="exact"/>
        <w:rPr>
          <w:sz w:val="20"/>
          <w:szCs w:val="20"/>
          <w:color w:val="auto"/>
        </w:rPr>
      </w:pPr>
    </w:p>
    <w:p>
      <w:pPr>
        <w:jc w:val="both"/>
        <w:ind w:firstLine="436"/>
        <w:spacing w:after="0" w:line="248"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b w:val="1"/>
          <w:bCs w:val="1"/>
          <w:color w:val="auto"/>
        </w:rPr>
        <w:t>Books and Records</w:t>
      </w:r>
      <w:r>
        <w:rPr>
          <w:rFonts w:ascii="Arial" w:cs="Arial" w:eastAsia="Arial" w:hAnsi="Arial"/>
          <w:sz w:val="20"/>
          <w:szCs w:val="20"/>
          <w:color w:val="auto"/>
        </w:rPr>
        <w:t>. The Borrower shall, and shall cause each of its Subsidiaries to, maintain proper books of record and account, in which full, true and correct entries sufficient to prepare financial statements in conformity with GAAP or SAP, as applicable, consistently applied, shall be made of all financial transactions and matters involving the assets and business of the Borrower or such Subsidiary, as the case may be.</w:t>
      </w:r>
    </w:p>
    <w:p>
      <w:pPr>
        <w:spacing w:after="0" w:line="210" w:lineRule="exact"/>
        <w:rPr>
          <w:sz w:val="20"/>
          <w:szCs w:val="20"/>
          <w:color w:val="auto"/>
        </w:rPr>
      </w:pPr>
    </w:p>
    <w:p>
      <w:pPr>
        <w:jc w:val="both"/>
        <w:ind w:firstLine="517"/>
        <w:spacing w:after="0" w:line="27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b w:val="1"/>
          <w:bCs w:val="1"/>
          <w:color w:val="auto"/>
        </w:rPr>
        <w:t>Inspection Rights</w:t>
      </w:r>
      <w:r>
        <w:rPr>
          <w:rFonts w:ascii="Arial" w:cs="Arial" w:eastAsia="Arial" w:hAnsi="Arial"/>
          <w:sz w:val="18"/>
          <w:szCs w:val="18"/>
          <w:color w:val="auto"/>
        </w:rPr>
        <w:t xml:space="preserve">. The Borrower shall, and shall cause each of its Material Subsidiaries to, permit representatives and independent contractors of the Administrative Agent to visit and inspect any of their respective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(provided that, so long as no Event of Default exists, the Borrower shall only be liable for the expenses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10.04(a)</w:t>
      </w:r>
      <w:r>
        <w:rPr>
          <w:rFonts w:ascii="Arial" w:cs="Arial" w:eastAsia="Arial" w:hAnsi="Arial"/>
          <w:sz w:val="18"/>
          <w:szCs w:val="18"/>
          <w:color w:val="auto"/>
        </w:rPr>
        <w:t xml:space="preserve">) of the Administrative Agent, and only in connection with one such inspection by the Administrative Agent during each calendar year),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when an Event of Default exists the Administrative Agent (or any of its representatives or independent contractors) may do any of the foregoing at the expense (in accordance with </w:t>
      </w:r>
      <w:r>
        <w:rPr>
          <w:rFonts w:ascii="Arial" w:cs="Arial" w:eastAsia="Arial" w:hAnsi="Arial"/>
          <w:sz w:val="18"/>
          <w:szCs w:val="18"/>
          <w:u w:val="single" w:color="auto"/>
          <w:color w:val="auto"/>
        </w:rPr>
        <w:t>Section 10.04(a)</w:t>
      </w:r>
      <w:r>
        <w:rPr>
          <w:rFonts w:ascii="Arial" w:cs="Arial" w:eastAsia="Arial" w:hAnsi="Arial"/>
          <w:sz w:val="18"/>
          <w:szCs w:val="18"/>
          <w:color w:val="auto"/>
        </w:rPr>
        <w:t>) of the Borrower at any time during normal business hours and without advance notice.</w:t>
      </w:r>
    </w:p>
    <w:p>
      <w:pPr>
        <w:spacing w:after="0" w:line="189" w:lineRule="exact"/>
        <w:rPr>
          <w:sz w:val="20"/>
          <w:szCs w:val="20"/>
          <w:color w:val="auto"/>
        </w:rPr>
      </w:pPr>
    </w:p>
    <w:p>
      <w:pPr>
        <w:ind w:right="360" w:firstLine="396"/>
        <w:spacing w:after="0" w:line="267"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b w:val="1"/>
          <w:bCs w:val="1"/>
          <w:color w:val="auto"/>
        </w:rPr>
        <w:t>Use of Proceeds</w:t>
      </w:r>
      <w:r>
        <w:rPr>
          <w:rFonts w:ascii="Arial" w:cs="Arial" w:eastAsia="Arial" w:hAnsi="Arial"/>
          <w:sz w:val="20"/>
          <w:szCs w:val="20"/>
          <w:color w:val="auto"/>
        </w:rPr>
        <w:t>. The Borrower shall use the proceeds of the Credit Extensions to fund in part the consideration for the FGL Acquisition and to pay the costs and expenses relating to the Transactions.</w:t>
      </w:r>
    </w:p>
    <w:p>
      <w:pPr>
        <w:spacing w:after="0" w:line="190" w:lineRule="exact"/>
        <w:rPr>
          <w:sz w:val="20"/>
          <w:szCs w:val="20"/>
          <w:color w:val="auto"/>
        </w:rPr>
      </w:pPr>
    </w:p>
    <w:p>
      <w:pPr>
        <w:jc w:val="both"/>
        <w:ind w:firstLine="436"/>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b w:val="1"/>
          <w:bCs w:val="1"/>
          <w:color w:val="auto"/>
        </w:rPr>
        <w:t>Payment of Taxes</w:t>
      </w:r>
      <w:r>
        <w:rPr>
          <w:rFonts w:ascii="Arial" w:cs="Arial" w:eastAsia="Arial" w:hAnsi="Arial"/>
          <w:sz w:val="18"/>
          <w:szCs w:val="18"/>
          <w:color w:val="auto"/>
        </w:rPr>
        <w:t xml:space="preserve">. The Borrower shall, and shall cause each of its Subsidiaries to, pay and discharge all Taxes upon it or upon its income or profits, or upon any properties belonging to it, prior to the date on which penalties attach thereto, and all lawful claims that, if unpaid, could reasonably be expected to become a Lien upon any of its properties;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Borrower nor any of its Subsidiaries shall be required hereunder to pay any such Tax that (a) is being contested in good faith and by proper proceedings if it has maintained adequate reserves (in the good faith judgment of the management of the Borrower) with respect thereto in accordance with GAAP or SAP, as appropriate or (b) if not paid, would not reasonably be expected to result in a Material Adverse Effect.</w:t>
      </w:r>
    </w:p>
    <w:p>
      <w:pPr>
        <w:spacing w:after="0" w:line="187" w:lineRule="exact"/>
        <w:rPr>
          <w:sz w:val="20"/>
          <w:szCs w:val="20"/>
          <w:color w:val="auto"/>
        </w:rPr>
      </w:pPr>
    </w:p>
    <w:p>
      <w:pPr>
        <w:jc w:val="both"/>
        <w:ind w:firstLine="450"/>
        <w:spacing w:after="0" w:line="248"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b w:val="1"/>
          <w:bCs w:val="1"/>
          <w:color w:val="auto"/>
        </w:rPr>
        <w:t>Designation of Strategic Investment Subsidiaries</w:t>
      </w:r>
      <w:r>
        <w:rPr>
          <w:rFonts w:ascii="Arial" w:cs="Arial" w:eastAsia="Arial" w:hAnsi="Arial"/>
          <w:sz w:val="20"/>
          <w:szCs w:val="20"/>
          <w:color w:val="auto"/>
        </w:rPr>
        <w:t>. If the Borrower elects the option to designate a Strategic Investment Subsidiary as a Subsidiary which is not a Strategic Investment Subsidiary and therefore subject such Person to all covenants and provisions applicable to a Subsidiary, the Borrower shall give five days prior written notice to the Administrative Agent (or such lesser notice as agreed to by the Administrative Agent) of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Until the Termination Date:</w:t>
      </w:r>
    </w:p>
    <w:p>
      <w:pPr>
        <w:spacing w:after="0" w:line="210"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b w:val="1"/>
          <w:bCs w:val="1"/>
          <w:color w:val="auto"/>
        </w:rPr>
        <w:t>Liens</w:t>
      </w:r>
      <w:r>
        <w:rPr>
          <w:rFonts w:ascii="Arial" w:cs="Arial" w:eastAsia="Arial" w:hAnsi="Arial"/>
          <w:sz w:val="20"/>
          <w:szCs w:val="20"/>
          <w:color w:val="auto"/>
        </w:rPr>
        <w:t>. The Borrower shall not, and shall not permit its Subsidiaries to, directly or indirectly, create, incur, assume or suffer to exist any Lien upon any of its property, assets or revenues, whether now owned or hereafter acquired, other than the following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210" w:lineRule="exact"/>
        <w:rPr>
          <w:sz w:val="20"/>
          <w:szCs w:val="20"/>
          <w:color w:val="auto"/>
        </w:rPr>
      </w:pPr>
    </w:p>
    <w:p>
      <w:pPr>
        <w:ind w:left="1300" w:hanging="482"/>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Lien created under any Loan Document;</w:t>
      </w:r>
    </w:p>
    <w:p>
      <w:pPr>
        <w:spacing w:after="0" w:line="242" w:lineRule="exact"/>
        <w:rPr>
          <w:rFonts w:ascii="Arial" w:cs="Arial" w:eastAsia="Arial" w:hAnsi="Arial"/>
          <w:sz w:val="20"/>
          <w:szCs w:val="20"/>
          <w:color w:val="auto"/>
        </w:rPr>
      </w:pPr>
    </w:p>
    <w:p>
      <w:pPr>
        <w:ind w:firstLine="818"/>
        <w:spacing w:after="0" w:line="260" w:lineRule="auto"/>
        <w:tabs>
          <w:tab w:leader="none" w:pos="1284"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Liens for taxes, fees, assessments or other governmental charges which are not delinquent or remain payable without penalty, or to the extent that non-payment thereof is permitted by </w:t>
      </w:r>
      <w:r>
        <w:rPr>
          <w:rFonts w:ascii="Arial" w:cs="Arial" w:eastAsia="Arial" w:hAnsi="Arial"/>
          <w:sz w:val="20"/>
          <w:szCs w:val="20"/>
          <w:u w:val="single" w:color="auto"/>
          <w:color w:val="auto"/>
        </w:rPr>
        <w:t>Section 6.11</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jc w:val="both"/>
        <w:ind w:firstLine="818"/>
        <w:spacing w:after="0" w:line="250" w:lineRule="auto"/>
        <w:tabs>
          <w:tab w:leader="none" w:pos="1286" w:val="left"/>
        </w:tabs>
        <w:numPr>
          <w:ilvl w:val="0"/>
          <w:numId w:val="88"/>
        </w:numPr>
        <w:rPr>
          <w:rFonts w:ascii="Arial" w:cs="Arial" w:eastAsia="Arial" w:hAnsi="Arial"/>
          <w:sz w:val="20"/>
          <w:szCs w:val="20"/>
          <w:color w:val="auto"/>
        </w:rPr>
      </w:pPr>
      <w:r>
        <w:rPr>
          <w:rFonts w:ascii="Arial" w:cs="Arial" w:eastAsia="Arial" w:hAnsi="Arial"/>
          <w:sz w:val="20"/>
          <w:szCs w:val="20"/>
          <w:color w:val="auto"/>
        </w:rPr>
        <w:t>carriers’, warehousemen’s, mechanics’, landlords’, materialmen’s, repairmen’s or other similar Liens arising in the ordinary course of business which are not delinquent or remain payable without penalty or which are being contested in good faith by appropriate actions;</w:t>
      </w:r>
    </w:p>
    <w:p>
      <w:pPr>
        <w:spacing w:after="0" w:line="212" w:lineRule="exact"/>
        <w:rPr>
          <w:rFonts w:ascii="Arial" w:cs="Arial" w:eastAsia="Arial" w:hAnsi="Arial"/>
          <w:sz w:val="20"/>
          <w:szCs w:val="20"/>
          <w:color w:val="auto"/>
        </w:rPr>
      </w:pPr>
    </w:p>
    <w:p>
      <w:pPr>
        <w:jc w:val="both"/>
        <w:ind w:firstLine="818"/>
        <w:spacing w:after="0" w:line="244" w:lineRule="auto"/>
        <w:tabs>
          <w:tab w:leader="none" w:pos="1284" w:val="left"/>
        </w:tabs>
        <w:numPr>
          <w:ilvl w:val="0"/>
          <w:numId w:val="88"/>
        </w:numPr>
        <w:rPr>
          <w:rFonts w:ascii="Arial" w:cs="Arial" w:eastAsia="Arial" w:hAnsi="Arial"/>
          <w:sz w:val="20"/>
          <w:szCs w:val="20"/>
          <w:color w:val="auto"/>
        </w:rPr>
      </w:pPr>
      <w:r>
        <w:rPr>
          <w:rFonts w:ascii="Arial" w:cs="Arial" w:eastAsia="Arial" w:hAnsi="Arial"/>
          <w:sz w:val="20"/>
          <w:szCs w:val="20"/>
          <w:color w:val="auto"/>
        </w:rPr>
        <w:t>Liens (other than any Lien imposed by ERISA) incurred or deposits made in the ordinary course of business in connection with workers’ compensation, unemployment insurance and other types of social security, or to secure the performance of tenders, statutory obligations, surety and appeal bonds, bids, leases, government contracts, performance and return-of-money bonds, reinsurance agreements and other similar obligations incurred in the ordinary course of business (exclusive of obligations in respect of the payment for borrowed money);</w:t>
      </w:r>
    </w:p>
    <w:p>
      <w:pPr>
        <w:spacing w:after="0" w:line="221" w:lineRule="exact"/>
        <w:rPr>
          <w:rFonts w:ascii="Arial" w:cs="Arial" w:eastAsia="Arial" w:hAnsi="Arial"/>
          <w:sz w:val="20"/>
          <w:szCs w:val="20"/>
          <w:color w:val="auto"/>
        </w:rPr>
      </w:pPr>
    </w:p>
    <w:p>
      <w:pPr>
        <w:ind w:left="1300" w:hanging="482"/>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Liens identified on </w:t>
      </w:r>
      <w:r>
        <w:rPr>
          <w:rFonts w:ascii="Arial" w:cs="Arial" w:eastAsia="Arial" w:hAnsi="Arial"/>
          <w:sz w:val="20"/>
          <w:szCs w:val="20"/>
          <w:u w:val="single" w:color="auto"/>
          <w:color w:val="auto"/>
        </w:rPr>
        <w:t>Schedule 7.01</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20" w:firstLine="818"/>
        <w:spacing w:after="0" w:line="260" w:lineRule="auto"/>
        <w:tabs>
          <w:tab w:leader="none" w:pos="1291" w:val="left"/>
        </w:tabs>
        <w:numPr>
          <w:ilvl w:val="0"/>
          <w:numId w:val="88"/>
        </w:numPr>
        <w:rPr>
          <w:rFonts w:ascii="Arial" w:cs="Arial" w:eastAsia="Arial" w:hAnsi="Arial"/>
          <w:sz w:val="20"/>
          <w:szCs w:val="20"/>
          <w:color w:val="auto"/>
        </w:rPr>
      </w:pPr>
      <w:r>
        <w:rPr>
          <w:rFonts w:ascii="Arial" w:cs="Arial" w:eastAsia="Arial" w:hAnsi="Arial"/>
          <w:sz w:val="20"/>
          <w:szCs w:val="20"/>
          <w:color w:val="auto"/>
        </w:rPr>
        <w:t>Liens consisting of pledges or deposits of cash or securities made by any Insurance Subsidiary as a condition to obtaining or maintaining any licenses issued to it by, or to satisfy the requirements of, any Department;</w:t>
      </w:r>
    </w:p>
    <w:p>
      <w:pPr>
        <w:spacing w:after="0" w:line="203" w:lineRule="exact"/>
        <w:rPr>
          <w:rFonts w:ascii="Arial" w:cs="Arial" w:eastAsia="Arial" w:hAnsi="Arial"/>
          <w:sz w:val="20"/>
          <w:szCs w:val="20"/>
          <w:color w:val="auto"/>
        </w:rPr>
      </w:pPr>
    </w:p>
    <w:p>
      <w:pPr>
        <w:jc w:val="both"/>
        <w:ind w:firstLine="818"/>
        <w:spacing w:after="0" w:line="246" w:lineRule="auto"/>
        <w:tabs>
          <w:tab w:leader="none" w:pos="1284"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Liens consisting of judgment or judicial attachment Liens (other than arising as a result of claims under or related to Insurance Contracts, Retrocession Agreements or Reinsurance Agreements);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enforcement of such Liens is effectively stayed or fully covered by insurance and all such Liens in the aggregate at the time of any creation thereof do not exceed 5% of Net Worth as of the end of the fiscal quarter immediately preceding such creation;</w:t>
      </w:r>
    </w:p>
    <w:p>
      <w:pPr>
        <w:spacing w:after="0" w:line="218" w:lineRule="exact"/>
        <w:rPr>
          <w:rFonts w:ascii="Arial" w:cs="Arial" w:eastAsia="Arial" w:hAnsi="Arial"/>
          <w:sz w:val="20"/>
          <w:szCs w:val="20"/>
          <w:color w:val="auto"/>
        </w:rPr>
      </w:pPr>
    </w:p>
    <w:p>
      <w:pPr>
        <w:jc w:val="both"/>
        <w:ind w:firstLine="818"/>
        <w:spacing w:after="0" w:line="250" w:lineRule="auto"/>
        <w:tabs>
          <w:tab w:leader="none" w:pos="1284" w:val="left"/>
        </w:tabs>
        <w:numPr>
          <w:ilvl w:val="0"/>
          <w:numId w:val="88"/>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 of the Borrower;</w:t>
      </w:r>
    </w:p>
    <w:p>
      <w:pPr>
        <w:spacing w:after="0" w:line="212" w:lineRule="exact"/>
        <w:rPr>
          <w:rFonts w:ascii="Arial" w:cs="Arial" w:eastAsia="Arial" w:hAnsi="Arial"/>
          <w:sz w:val="20"/>
          <w:szCs w:val="20"/>
          <w:color w:val="auto"/>
        </w:rPr>
      </w:pPr>
    </w:p>
    <w:p>
      <w:pPr>
        <w:jc w:val="both"/>
        <w:ind w:firstLine="818"/>
        <w:spacing w:after="0" w:line="243" w:lineRule="auto"/>
        <w:tabs>
          <w:tab w:leader="none" w:pos="1294"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Liens securing obligations in respect of purchase money Indebtedness and Capital Leases permitted pursuant to </w:t>
      </w:r>
      <w:r>
        <w:rPr>
          <w:rFonts w:ascii="Arial" w:cs="Arial" w:eastAsia="Arial" w:hAnsi="Arial"/>
          <w:sz w:val="20"/>
          <w:szCs w:val="20"/>
          <w:u w:val="single" w:color="auto"/>
          <w:color w:val="auto"/>
        </w:rPr>
        <w:t>Section 7.04(d)</w:t>
      </w:r>
      <w:r>
        <w:rPr>
          <w:rFonts w:ascii="Arial" w:cs="Arial" w:eastAsia="Arial" w:hAnsi="Arial"/>
          <w:sz w:val="20"/>
          <w:szCs w:val="20"/>
          <w:color w:val="auto"/>
        </w:rPr>
        <w:t xml:space="preserve"> on assets (and proceeds thereof) subject to such leases;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such Lien on purchase money Indebtedness or in respect of Capital Leases covers only the asset (and proceeds thereof) subject to the Capital Lease or being acquired with the proceeds of such purchase money Indebtedness (it being understood that other financings by the same lender or any of its affiliates under Indebtedness also permitted under </w:t>
      </w:r>
      <w:r>
        <w:rPr>
          <w:rFonts w:ascii="Arial" w:cs="Arial" w:eastAsia="Arial" w:hAnsi="Arial"/>
          <w:sz w:val="20"/>
          <w:szCs w:val="20"/>
          <w:u w:val="single" w:color="auto"/>
          <w:color w:val="auto"/>
        </w:rPr>
        <w:t>Section 7.04(d)</w:t>
      </w:r>
      <w:r>
        <w:rPr>
          <w:rFonts w:ascii="Arial" w:cs="Arial" w:eastAsia="Arial" w:hAnsi="Arial"/>
          <w:sz w:val="20"/>
          <w:szCs w:val="20"/>
          <w:color w:val="auto"/>
        </w:rPr>
        <w:t xml:space="preserve"> may be cross collateralized) and (B) such purchase money Indebtedness and Capital Leases are otherwise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5" w:name="page106"/>
    <w:bookmarkEnd w:id="105"/>
    <w:p>
      <w:pPr>
        <w:ind w:right="20" w:firstLine="818"/>
        <w:spacing w:after="0" w:line="260" w:lineRule="auto"/>
        <w:tabs>
          <w:tab w:leader="none" w:pos="1294"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Liens securing obligations permitted under </w:t>
      </w:r>
      <w:r>
        <w:rPr>
          <w:rFonts w:ascii="Arial" w:cs="Arial" w:eastAsia="Arial" w:hAnsi="Arial"/>
          <w:sz w:val="20"/>
          <w:szCs w:val="20"/>
          <w:u w:val="single" w:color="auto"/>
          <w:color w:val="auto"/>
        </w:rPr>
        <w:t>Sections 7.04(f)</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(g)</w:t>
      </w:r>
      <w:r>
        <w:rPr>
          <w:rFonts w:ascii="Arial" w:cs="Arial" w:eastAsia="Arial" w:hAnsi="Arial"/>
          <w:sz w:val="20"/>
          <w:szCs w:val="20"/>
          <w:color w:val="auto"/>
        </w:rPr>
        <w:t>, to the extent such Liens are identified and permitted under such Section;</w:t>
      </w:r>
    </w:p>
    <w:p>
      <w:pPr>
        <w:spacing w:after="0" w:line="203" w:lineRule="exact"/>
        <w:rPr>
          <w:rFonts w:ascii="Arial" w:cs="Arial" w:eastAsia="Arial" w:hAnsi="Arial"/>
          <w:sz w:val="20"/>
          <w:szCs w:val="20"/>
          <w:color w:val="auto"/>
        </w:rPr>
      </w:pPr>
    </w:p>
    <w:p>
      <w:pPr>
        <w:jc w:val="both"/>
        <w:ind w:firstLine="818"/>
        <w:spacing w:after="0" w:line="250" w:lineRule="auto"/>
        <w:tabs>
          <w:tab w:leader="none" w:pos="1284" w:val="left"/>
        </w:tabs>
        <w:numPr>
          <w:ilvl w:val="0"/>
          <w:numId w:val="89"/>
        </w:numPr>
        <w:rPr>
          <w:rFonts w:ascii="Arial" w:cs="Arial" w:eastAsia="Arial" w:hAnsi="Arial"/>
          <w:sz w:val="20"/>
          <w:szCs w:val="20"/>
          <w:color w:val="auto"/>
        </w:rPr>
      </w:pPr>
      <w:r>
        <w:rPr>
          <w:rFonts w:ascii="Arial" w:cs="Arial" w:eastAsia="Arial" w:hAnsi="Arial"/>
          <w:sz w:val="20"/>
          <w:szCs w:val="20"/>
          <w:color w:val="auto"/>
        </w:rPr>
        <w:t>Liens arising as a result of claims under or related to Insurance Contracts, Reinsurance Agreements or Retrocession Agreements in the ordinary course of business, or securing Indebtedness of Insurance Subsidiaries incurred or assumed in connection with the settlement of claim losses in the ordinary course of business of such Insurance Subsidiaries;</w:t>
      </w:r>
    </w:p>
    <w:p>
      <w:pPr>
        <w:spacing w:after="0" w:line="212" w:lineRule="exact"/>
        <w:rPr>
          <w:rFonts w:ascii="Arial" w:cs="Arial" w:eastAsia="Arial" w:hAnsi="Arial"/>
          <w:sz w:val="20"/>
          <w:szCs w:val="20"/>
          <w:color w:val="auto"/>
        </w:rPr>
      </w:pPr>
    </w:p>
    <w:p>
      <w:pPr>
        <w:ind w:left="1300" w:hanging="482"/>
        <w:spacing w:after="0"/>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Liens securing obligations permitted under </w:t>
      </w:r>
      <w:r>
        <w:rPr>
          <w:rFonts w:ascii="Arial" w:cs="Arial" w:eastAsia="Arial" w:hAnsi="Arial"/>
          <w:sz w:val="20"/>
          <w:szCs w:val="20"/>
          <w:u w:val="single" w:color="auto"/>
          <w:color w:val="auto"/>
        </w:rPr>
        <w:t>Section 7.04(h)</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818"/>
        <w:spacing w:after="0" w:line="260" w:lineRule="auto"/>
        <w:tabs>
          <w:tab w:leader="none" w:pos="1285"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Liens on assets of a Subsidiary securing obligations owed to the Borrower or a Subsidiary and permitted under </w:t>
      </w:r>
      <w:r>
        <w:rPr>
          <w:rFonts w:ascii="Arial" w:cs="Arial" w:eastAsia="Arial" w:hAnsi="Arial"/>
          <w:sz w:val="20"/>
          <w:szCs w:val="20"/>
          <w:u w:val="single" w:color="auto"/>
          <w:color w:val="auto"/>
        </w:rPr>
        <w:t>Section 7.04(m)</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1300" w:hanging="482"/>
        <w:spacing w:after="0"/>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Liens on assets of Designated Subsidiaries securing obligations permitted under </w:t>
      </w:r>
      <w:r>
        <w:rPr>
          <w:rFonts w:ascii="Arial" w:cs="Arial" w:eastAsia="Arial" w:hAnsi="Arial"/>
          <w:sz w:val="20"/>
          <w:szCs w:val="20"/>
          <w:u w:val="single" w:color="auto"/>
          <w:color w:val="auto"/>
        </w:rPr>
        <w:t>Section 7.04(n)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818"/>
        <w:spacing w:after="0" w:line="263" w:lineRule="auto"/>
        <w:tabs>
          <w:tab w:leader="none" w:pos="1284"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at the time such Lien is granted, other Liens on assets of the Borrower and its Subsidiaries securing obligations of the Borrower and its Subsidiaries (excluding Liens on assets of Strategic Investment Subsidiaries and their respective Subsidiaries permitted under </w:t>
      </w:r>
      <w:r>
        <w:rPr>
          <w:rFonts w:ascii="Arial" w:cs="Arial" w:eastAsia="Arial" w:hAnsi="Arial"/>
          <w:sz w:val="19"/>
          <w:szCs w:val="19"/>
          <w:u w:val="single" w:color="auto"/>
          <w:color w:val="auto"/>
        </w:rPr>
        <w:t>Section 7.01(u)</w:t>
      </w:r>
      <w:r>
        <w:rPr>
          <w:rFonts w:ascii="Arial" w:cs="Arial" w:eastAsia="Arial" w:hAnsi="Arial"/>
          <w:sz w:val="19"/>
          <w:szCs w:val="19"/>
          <w:color w:val="auto"/>
        </w:rPr>
        <w:t>) in an aggregate amount not exceeding at the time of any creation thereof 10% of Net Worth as of the end of the fiscal quarter immediately preceding such creation;</w:t>
      </w:r>
    </w:p>
    <w:p>
      <w:pPr>
        <w:spacing w:after="0" w:line="203" w:lineRule="exact"/>
        <w:rPr>
          <w:rFonts w:ascii="Arial" w:cs="Arial" w:eastAsia="Arial" w:hAnsi="Arial"/>
          <w:sz w:val="19"/>
          <w:szCs w:val="19"/>
          <w:color w:val="auto"/>
        </w:rPr>
      </w:pPr>
    </w:p>
    <w:p>
      <w:pPr>
        <w:ind w:right="20" w:firstLine="818"/>
        <w:spacing w:after="0" w:line="260" w:lineRule="auto"/>
        <w:tabs>
          <w:tab w:leader="none" w:pos="1284" w:val="left"/>
        </w:tabs>
        <w:numPr>
          <w:ilvl w:val="0"/>
          <w:numId w:val="89"/>
        </w:numPr>
        <w:rPr>
          <w:rFonts w:ascii="Arial" w:cs="Arial" w:eastAsia="Arial" w:hAnsi="Arial"/>
          <w:sz w:val="20"/>
          <w:szCs w:val="20"/>
          <w:color w:val="auto"/>
        </w:rPr>
      </w:pPr>
      <w:r>
        <w:rPr>
          <w:rFonts w:ascii="Arial" w:cs="Arial" w:eastAsia="Arial" w:hAnsi="Arial"/>
          <w:sz w:val="20"/>
          <w:szCs w:val="20"/>
          <w:color w:val="auto"/>
        </w:rPr>
        <w:t>leases, licenses, subleases or sublicenses granted to other Persons in the ordinary course of business which do not interfere in any material respect with the business of the Borrower and its Subsidiaries;</w:t>
      </w:r>
    </w:p>
    <w:p>
      <w:pPr>
        <w:spacing w:after="0" w:line="203" w:lineRule="exact"/>
        <w:rPr>
          <w:rFonts w:ascii="Arial" w:cs="Arial" w:eastAsia="Arial" w:hAnsi="Arial"/>
          <w:sz w:val="20"/>
          <w:szCs w:val="20"/>
          <w:color w:val="auto"/>
        </w:rPr>
      </w:pPr>
    </w:p>
    <w:p>
      <w:pPr>
        <w:ind w:firstLine="818"/>
        <w:spacing w:after="0" w:line="287" w:lineRule="auto"/>
        <w:tabs>
          <w:tab w:leader="none" w:pos="1284" w:val="left"/>
        </w:tabs>
        <w:numPr>
          <w:ilvl w:val="0"/>
          <w:numId w:val="89"/>
        </w:numPr>
        <w:rPr>
          <w:rFonts w:ascii="Arial" w:cs="Arial" w:eastAsia="Arial" w:hAnsi="Arial"/>
          <w:sz w:val="19"/>
          <w:szCs w:val="19"/>
          <w:color w:val="auto"/>
        </w:rPr>
      </w:pPr>
      <w:r>
        <w:rPr>
          <w:rFonts w:ascii="Arial" w:cs="Arial" w:eastAsia="Arial" w:hAnsi="Arial"/>
          <w:sz w:val="19"/>
          <w:szCs w:val="19"/>
          <w:color w:val="auto"/>
        </w:rPr>
        <w:t>Liens incurred in connection with a Permitted Accounts Securitization and which Liens attach solely to the Transferred Assets in connection with the incurrence of Indebtedness arising in connection with such Permitted Accounts Securitization;</w:t>
      </w:r>
    </w:p>
    <w:p>
      <w:pPr>
        <w:spacing w:after="0" w:line="179" w:lineRule="exact"/>
        <w:rPr>
          <w:rFonts w:ascii="Arial" w:cs="Arial" w:eastAsia="Arial" w:hAnsi="Arial"/>
          <w:sz w:val="19"/>
          <w:szCs w:val="19"/>
          <w:color w:val="auto"/>
        </w:rPr>
      </w:pPr>
    </w:p>
    <w:p>
      <w:pPr>
        <w:ind w:left="1300" w:hanging="482"/>
        <w:spacing w:after="0"/>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firstLine="818"/>
        <w:spacing w:after="0" w:line="287" w:lineRule="auto"/>
        <w:tabs>
          <w:tab w:leader="none" w:pos="1289"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any extension, refinancing (but not increase), renewal or replacement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Liens permitted hereby shall not be spread to cover any additional Indebtedness or property (other than a substitution of like property);</w:t>
      </w:r>
    </w:p>
    <w:p>
      <w:pPr>
        <w:spacing w:after="0" w:line="179" w:lineRule="exact"/>
        <w:rPr>
          <w:rFonts w:ascii="Arial" w:cs="Arial" w:eastAsia="Arial" w:hAnsi="Arial"/>
          <w:sz w:val="19"/>
          <w:szCs w:val="19"/>
          <w:color w:val="auto"/>
        </w:rPr>
      </w:pPr>
    </w:p>
    <w:p>
      <w:pPr>
        <w:jc w:val="both"/>
        <w:ind w:firstLine="818"/>
        <w:spacing w:after="0" w:line="246" w:lineRule="auto"/>
        <w:tabs>
          <w:tab w:leader="none" w:pos="1294" w:val="left"/>
        </w:tabs>
        <w:numPr>
          <w:ilvl w:val="0"/>
          <w:numId w:val="89"/>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4-210 of the Uniform Commercial Code on items in the course of collection, (ii) on commodity trading accounts or other brokerage accounts incurred in the ordinary course of business and (iii) in favor of a banking institution arising as a matter of law or contract encumbering deposits (including the right of set-off) and which are within the general parameters customary in the banking industry; and</w:t>
      </w:r>
    </w:p>
    <w:p>
      <w:pPr>
        <w:spacing w:after="0" w:line="218" w:lineRule="exact"/>
        <w:rPr>
          <w:rFonts w:ascii="Arial" w:cs="Arial" w:eastAsia="Arial" w:hAnsi="Arial"/>
          <w:sz w:val="20"/>
          <w:szCs w:val="20"/>
          <w:color w:val="auto"/>
        </w:rPr>
      </w:pPr>
    </w:p>
    <w:p>
      <w:pPr>
        <w:ind w:left="1300" w:hanging="48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on assets of Strategic Investment Subsidiaries and their respective Subsidiaries securing obligations permitted 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7.04(o)</w:t>
      </w:r>
      <w:r>
        <w:rPr>
          <w:rFonts w:ascii="Arial" w:cs="Arial" w:eastAsia="Arial" w:hAnsi="Arial"/>
          <w:sz w:val="20"/>
          <w:szCs w:val="20"/>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Lien permitted above may extend to the proceeds of the assets subject thereto.</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b w:val="1"/>
          <w:bCs w:val="1"/>
          <w:color w:val="auto"/>
        </w:rPr>
        <w:t>Consolidations and Mergers; Sales of Assets</w:t>
      </w:r>
      <w:r>
        <w:rPr>
          <w:rFonts w:ascii="Arial" w:cs="Arial" w:eastAsia="Arial" w:hAnsi="Arial"/>
          <w:sz w:val="20"/>
          <w:szCs w:val="20"/>
          <w:color w:val="auto"/>
        </w:rPr>
        <w:t>. The Borrower shall not, and shall not permit any of its Subsidiaries to, merge, consolidate with or into, or convey, transfer, lease or otherwise dispose of (whether in one transaction or in a series of related transactions) all or any part of its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assets (including receivables, but excluding Equity Interests, and in all cases whether now owned or hereafter acquired) to or in favor of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Person, except:</w:t>
      </w:r>
    </w:p>
    <w:p>
      <w:pPr>
        <w:spacing w:after="0" w:line="227" w:lineRule="exact"/>
        <w:rPr>
          <w:sz w:val="20"/>
          <w:szCs w:val="20"/>
          <w:color w:val="auto"/>
        </w:rPr>
      </w:pPr>
    </w:p>
    <w:p>
      <w:pPr>
        <w:jc w:val="both"/>
        <w:ind w:firstLine="818"/>
        <w:spacing w:after="0" w:line="257" w:lineRule="auto"/>
        <w:tabs>
          <w:tab w:leader="none" w:pos="1286"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(i) any Subsidiary may merge with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the continuing or surviving Person, or with any one or more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transaction shall be between a Subsidiary and a Subsidiary that is a Wholly-Owned Subsidiary, either (x) the Subsidiary that is a Wholly-Owned Subsidiary shall be the continuing or surviving Person or (y) a Subsidiary that is not a Wholly-Owned Subsidiary may be the continuing or surviving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relevant transaction will be treated as an Investment and comply with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7.03(a)(iii)(B)</w:t>
      </w:r>
      <w:r>
        <w:rPr>
          <w:rFonts w:ascii="Arial" w:cs="Arial" w:eastAsia="Arial" w:hAnsi="Arial"/>
          <w:sz w:val="19"/>
          <w:szCs w:val="19"/>
          <w:color w:val="auto"/>
        </w:rPr>
        <w:t xml:space="preserve">) and (ii) the Borrower or any Subsidiary may merge with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merger is consummated as part of a Permitted Acquisition and, in the case of any merger involving the Borrower, the Borrower shall be the continuing or surviving Person;</w:t>
      </w:r>
    </w:p>
    <w:p>
      <w:pPr>
        <w:spacing w:after="0" w:line="211" w:lineRule="exact"/>
        <w:rPr>
          <w:rFonts w:ascii="Arial" w:cs="Arial" w:eastAsia="Arial" w:hAnsi="Arial"/>
          <w:sz w:val="19"/>
          <w:szCs w:val="19"/>
          <w:color w:val="auto"/>
        </w:rPr>
      </w:pPr>
    </w:p>
    <w:p>
      <w:pPr>
        <w:jc w:val="both"/>
        <w:ind w:firstLine="818"/>
        <w:spacing w:after="0" w:line="250" w:lineRule="auto"/>
        <w:tabs>
          <w:tab w:leader="none" w:pos="1284"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any Subsidiary may sell all or any part of its assets (upon voluntary liquidation or otherwise) to (i) the Borrower, (ii) another Subsidiary that is a Wholly-Owned Subsidiary or (iii) another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in the case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the relevant transaction will be treated as an Investment and comply with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7.03(a)(iii)(B)</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firstLine="818"/>
        <w:spacing w:after="0" w:line="267" w:lineRule="auto"/>
        <w:tabs>
          <w:tab w:leader="none" w:pos="1286"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Borrower or any Subsidiary may sell, lease, convey or otherwise dispose of assets (i) if such sale, lease, conveyance or other disposition is (A) of portfolio Investments in the ordinary course of its business at fair market value, (B) of obsolete, worn-out or surplus property and property no longer used or useful in the conduct of the business of the Borrower and its Subsidiaries, (C) a sale of property to the extent such property is exchanged for credit against the purchase price of replacement property or the Net Disposition Proceeds thereof are applied to the purchase of such replacement property within 360 days of such sale; (D) ordinary course dispositions of inventory, (E) ordinary course dispositions of real estate and related properties in connection with relocation activities for employees of the Borrower and its Subsidiaries; (F) dispositions of tangible property as part of a like kind exchange under Section 1031 of the Code in the ordinary course of business; (G) dispositions of real estate and related properties as part of the resolution or settlement of claims under an Insurance Contract in the ordinary course of business; (H) a voluntary termination of a Swap Contract; (I) leases, subleases, licenses or sublicenses of property in the ordinary course of business and which do not materially interfere with the business of the Borrower and its Subsidiaries; (J) dispositions in the ordinary course of business of accounts receivable in connection with the collection thereof, (K) a Permitted Accounts Securitization or (L) results in (I) an Investment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7.03(a)(iii)(B)</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jc w:val="both"/>
        <w:ind w:firstLine="8"/>
        <w:spacing w:after="0" w:line="274" w:lineRule="auto"/>
        <w:tabs>
          <w:tab w:leader="none" w:pos="322"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Permitted Lien or (III) a Restricted Payment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or (ii) not otherwise permitted to be sold, leased, conveyed or disposed of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immediately preceding;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 such sale, lease, conveyance or other disposition, in one transaction or a series of transactions, directly or indirectly, does not constitute all or substantially all of the assets of the Borrower and (B) after giving effect to such sale, lease, conveyance or other disposition, the Borrower shall be in compliance with the financial covenants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7.09(a)</w:t>
      </w:r>
      <w:r>
        <w:rPr>
          <w:rFonts w:ascii="Arial" w:cs="Arial" w:eastAsia="Arial" w:hAnsi="Arial"/>
          <w:sz w:val="18"/>
          <w:szCs w:val="18"/>
          <w:color w:val="auto"/>
        </w:rPr>
        <w:t xml:space="preserve"> (after giving effect to any applicable Net Worth Adjustment therein) and </w:t>
      </w:r>
      <w:r>
        <w:rPr>
          <w:rFonts w:ascii="Arial" w:cs="Arial" w:eastAsia="Arial" w:hAnsi="Arial"/>
          <w:sz w:val="18"/>
          <w:szCs w:val="18"/>
          <w:u w:val="single" w:color="auto"/>
          <w:color w:val="auto"/>
        </w:rPr>
        <w:t>7.09(b)</w:t>
      </w:r>
      <w:r>
        <w:rPr>
          <w:rFonts w:ascii="Arial" w:cs="Arial" w:eastAsia="Arial" w:hAnsi="Arial"/>
          <w:sz w:val="18"/>
          <w:szCs w:val="18"/>
          <w:color w:val="auto"/>
        </w:rPr>
        <w:t>, in each case on a pro forma basis; and</w:t>
      </w:r>
    </w:p>
    <w:p>
      <w:pPr>
        <w:spacing w:after="0" w:line="192" w:lineRule="exact"/>
        <w:rPr>
          <w:rFonts w:ascii="Arial" w:cs="Arial" w:eastAsia="Arial" w:hAnsi="Arial"/>
          <w:sz w:val="18"/>
          <w:szCs w:val="18"/>
          <w:color w:val="auto"/>
        </w:rPr>
      </w:pPr>
    </w:p>
    <w:p>
      <w:pPr>
        <w:ind w:left="1300" w:hanging="482"/>
        <w:spacing w:after="0"/>
        <w:tabs>
          <w:tab w:leader="none" w:pos="1300" w:val="left"/>
        </w:tabs>
        <w:numPr>
          <w:ilvl w:val="1"/>
          <w:numId w:val="91"/>
        </w:numPr>
        <w:rPr>
          <w:rFonts w:ascii="Arial" w:cs="Arial" w:eastAsia="Arial" w:hAnsi="Arial"/>
          <w:sz w:val="20"/>
          <w:szCs w:val="20"/>
          <w:color w:val="auto"/>
        </w:rPr>
      </w:pPr>
      <w:r>
        <w:rPr>
          <w:rFonts w:ascii="Arial" w:cs="Arial" w:eastAsia="Arial" w:hAnsi="Arial"/>
          <w:sz w:val="20"/>
          <w:szCs w:val="20"/>
          <w:color w:val="auto"/>
        </w:rPr>
        <w:t xml:space="preserve">as set forth on </w:t>
      </w:r>
      <w:r>
        <w:rPr>
          <w:rFonts w:ascii="Arial" w:cs="Arial" w:eastAsia="Arial" w:hAnsi="Arial"/>
          <w:sz w:val="20"/>
          <w:szCs w:val="20"/>
          <w:u w:val="single" w:color="auto"/>
          <w:color w:val="auto"/>
        </w:rPr>
        <w:t>Schedule 7.02</w:t>
      </w:r>
      <w:r>
        <w:rPr>
          <w:rFonts w:ascii="Arial" w:cs="Arial" w:eastAsia="Arial" w:hAnsi="Arial"/>
          <w:sz w:val="20"/>
          <w:szCs w:val="20"/>
          <w:color w:val="auto"/>
        </w:rPr>
        <w:t>.</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b w:val="1"/>
          <w:bCs w:val="1"/>
          <w:color w:val="auto"/>
        </w:rPr>
        <w:t>Investments</w:t>
      </w:r>
      <w:r>
        <w:rPr>
          <w:rFonts w:ascii="Arial" w:cs="Arial" w:eastAsia="Arial" w:hAnsi="Arial"/>
          <w:sz w:val="18"/>
          <w:szCs w:val="18"/>
          <w:color w:val="auto"/>
        </w:rPr>
        <w:t>. The Borrower shall not, and shall not permit any of its Subsidiaries to, make any Investments, except for:</w:t>
      </w:r>
    </w:p>
    <w:p>
      <w:pPr>
        <w:spacing w:after="0" w:line="272" w:lineRule="exact"/>
        <w:rPr>
          <w:sz w:val="20"/>
          <w:szCs w:val="20"/>
          <w:color w:val="auto"/>
        </w:rPr>
      </w:pPr>
    </w:p>
    <w:p>
      <w:pPr>
        <w:jc w:val="both"/>
        <w:ind w:firstLine="818"/>
        <w:spacing w:after="0" w:line="250" w:lineRule="auto"/>
        <w:tabs>
          <w:tab w:leader="none" w:pos="1286" w:val="left"/>
        </w:tabs>
        <w:numPr>
          <w:ilvl w:val="0"/>
          <w:numId w:val="92"/>
        </w:numPr>
        <w:rPr>
          <w:rFonts w:ascii="Arial" w:cs="Arial" w:eastAsia="Arial" w:hAnsi="Arial"/>
          <w:sz w:val="20"/>
          <w:szCs w:val="20"/>
          <w:color w:val="auto"/>
        </w:rPr>
      </w:pPr>
      <w:r>
        <w:rPr>
          <w:rFonts w:ascii="Arial" w:cs="Arial" w:eastAsia="Arial" w:hAnsi="Arial"/>
          <w:sz w:val="20"/>
          <w:szCs w:val="20"/>
          <w:color w:val="auto"/>
        </w:rPr>
        <w:t>(i) Investments constituting Permitted Acquisitions, (ii) Investments by and among the Borrower or any of its Subsidiaries and (iii) Investments consisting of, or resulting from, (A) Permitted Liens, (B) consolidations, mergers or other combinations and sales, conveyances, transfers, leases or other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07" w:name="page108"/>
    <w:bookmarkEnd w:id="107"/>
    <w:p>
      <w:pPr>
        <w:spacing w:after="0" w:line="260" w:lineRule="auto"/>
        <w:rPr>
          <w:sz w:val="20"/>
          <w:szCs w:val="20"/>
          <w:color w:val="auto"/>
        </w:rPr>
      </w:pPr>
      <w:r>
        <w:rPr>
          <w:rFonts w:ascii="Arial" w:cs="Arial" w:eastAsia="Arial" w:hAnsi="Arial"/>
          <w:sz w:val="20"/>
          <w:szCs w:val="20"/>
          <w:color w:val="auto"/>
        </w:rPr>
        <w:t xml:space="preserve">dispositions of assets, in each case,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(other than Section </w:t>
      </w:r>
      <w:r>
        <w:rPr>
          <w:rFonts w:ascii="Arial" w:cs="Arial" w:eastAsia="Arial" w:hAnsi="Arial"/>
          <w:sz w:val="20"/>
          <w:szCs w:val="20"/>
          <w:u w:val="single" w:color="auto"/>
          <w:color w:val="auto"/>
        </w:rPr>
        <w:t>7.02(a)(i)(y)</w:t>
      </w:r>
      <w:r>
        <w:rPr>
          <w:rFonts w:ascii="Arial" w:cs="Arial" w:eastAsia="Arial" w:hAnsi="Arial"/>
          <w:sz w:val="20"/>
          <w:szCs w:val="20"/>
          <w:color w:val="auto"/>
        </w:rPr>
        <w:t xml:space="preserve">, </w:t>
      </w:r>
      <w:r>
        <w:rPr>
          <w:rFonts w:ascii="Arial" w:cs="Arial" w:eastAsia="Arial" w:hAnsi="Arial"/>
          <w:sz w:val="20"/>
          <w:szCs w:val="20"/>
          <w:u w:val="single" w:color="auto"/>
          <w:color w:val="auto"/>
        </w:rPr>
        <w:t>(b)(iii)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(c)(i)(L)(I)</w:t>
      </w:r>
      <w:r>
        <w:rPr>
          <w:rFonts w:ascii="Arial" w:cs="Arial" w:eastAsia="Arial" w:hAnsi="Arial"/>
          <w:sz w:val="20"/>
          <w:szCs w:val="20"/>
          <w:color w:val="auto"/>
        </w:rPr>
        <w:t xml:space="preserve">), (C) Indebtedness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(D) Restricted Payments permitted by </w:t>
      </w:r>
      <w:r>
        <w:rPr>
          <w:rFonts w:ascii="Arial" w:cs="Arial" w:eastAsia="Arial" w:hAnsi="Arial"/>
          <w:sz w:val="20"/>
          <w:szCs w:val="20"/>
          <w:u w:val="single" w:color="auto"/>
          <w:color w:val="auto"/>
        </w:rPr>
        <w:t>Section 7.06</w:t>
      </w:r>
      <w:r>
        <w:rPr>
          <w:rFonts w:ascii="Arial" w:cs="Arial" w:eastAsia="Arial" w:hAnsi="Arial"/>
          <w:sz w:val="20"/>
          <w:szCs w:val="20"/>
          <w:color w:val="auto"/>
        </w:rPr>
        <w:t>; and</w:t>
      </w:r>
    </w:p>
    <w:p>
      <w:pPr>
        <w:spacing w:after="0" w:line="204" w:lineRule="exact"/>
        <w:rPr>
          <w:sz w:val="20"/>
          <w:szCs w:val="20"/>
          <w:color w:val="auto"/>
        </w:rPr>
      </w:pPr>
    </w:p>
    <w:p>
      <w:pPr>
        <w:ind w:firstLine="818"/>
        <w:spacing w:after="0" w:line="260" w:lineRule="auto"/>
        <w:tabs>
          <w:tab w:leader="none" w:pos="1284" w:val="left"/>
        </w:tabs>
        <w:numPr>
          <w:ilvl w:val="0"/>
          <w:numId w:val="93"/>
        </w:numPr>
        <w:rPr>
          <w:rFonts w:ascii="Arial" w:cs="Arial" w:eastAsia="Arial" w:hAnsi="Arial"/>
          <w:sz w:val="20"/>
          <w:szCs w:val="20"/>
          <w:color w:val="auto"/>
        </w:rPr>
      </w:pPr>
      <w:r>
        <w:rPr>
          <w:rFonts w:ascii="Arial" w:cs="Arial" w:eastAsia="Arial" w:hAnsi="Arial"/>
          <w:sz w:val="20"/>
          <w:szCs w:val="20"/>
          <w:color w:val="auto"/>
        </w:rPr>
        <w:t>so long as (i) no Event of Default has occurred and is continuing on the date of such Investment or would result therefrom and (ii) such Investment complies with all Legal Requirements, other Investments (excluding Acquisitions).</w:t>
      </w:r>
    </w:p>
    <w:p>
      <w:pPr>
        <w:spacing w:after="0" w:line="198" w:lineRule="exact"/>
        <w:rPr>
          <w:sz w:val="20"/>
          <w:szCs w:val="20"/>
          <w:color w:val="auto"/>
        </w:rPr>
      </w:pPr>
    </w:p>
    <w:p>
      <w:pPr>
        <w:ind w:firstLine="409"/>
        <w:spacing w:after="0" w:line="293"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b w:val="1"/>
          <w:bCs w:val="1"/>
          <w:color w:val="auto"/>
        </w:rPr>
        <w:t>Limitation on Indebtedness</w:t>
      </w:r>
      <w:r>
        <w:rPr>
          <w:rFonts w:ascii="Arial" w:cs="Arial" w:eastAsia="Arial" w:hAnsi="Arial"/>
          <w:sz w:val="19"/>
          <w:szCs w:val="19"/>
          <w:color w:val="auto"/>
        </w:rPr>
        <w:t>. The Borrower shall not, and shall not permit any of its Subsidiaries to, create, incur, assume, suffer to exist, or otherwise become or remain directly or indirectly liable with respect to, any Indebtedness, except:</w:t>
      </w:r>
    </w:p>
    <w:p>
      <w:pPr>
        <w:spacing w:after="0" w:line="175" w:lineRule="exact"/>
        <w:rPr>
          <w:sz w:val="20"/>
          <w:szCs w:val="20"/>
          <w:color w:val="auto"/>
        </w:rPr>
      </w:pPr>
    </w:p>
    <w:p>
      <w:pPr>
        <w:ind w:left="1300" w:hanging="482"/>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incurred pursuant to this Agreement;</w:t>
      </w:r>
    </w:p>
    <w:p>
      <w:pPr>
        <w:spacing w:after="0" w:line="242" w:lineRule="exact"/>
        <w:rPr>
          <w:rFonts w:ascii="Arial" w:cs="Arial" w:eastAsia="Arial" w:hAnsi="Arial"/>
          <w:sz w:val="20"/>
          <w:szCs w:val="20"/>
          <w:color w:val="auto"/>
        </w:rPr>
      </w:pPr>
    </w:p>
    <w:p>
      <w:pPr>
        <w:ind w:firstLine="818"/>
        <w:spacing w:after="0" w:line="247" w:lineRule="auto"/>
        <w:tabs>
          <w:tab w:leader="none" w:pos="1284" w:val="left"/>
        </w:tabs>
        <w:numPr>
          <w:ilvl w:val="0"/>
          <w:numId w:val="94"/>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at the time of the incurrence thereof or after giving effect thereto, Indebtedness consisting of Contingent Obligations in respect of obligations of other Persons;</w:t>
      </w:r>
    </w:p>
    <w:p>
      <w:pPr>
        <w:spacing w:after="0" w:line="1" w:lineRule="exact"/>
        <w:rPr>
          <w:rFonts w:ascii="Arial" w:cs="Arial" w:eastAsia="Arial" w:hAnsi="Arial"/>
          <w:sz w:val="20"/>
          <w:szCs w:val="20"/>
          <w:color w:val="auto"/>
        </w:rPr>
      </w:pPr>
    </w:p>
    <w:p>
      <w:pPr>
        <w:ind w:left="1300" w:hanging="482"/>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Indebtedness identified on </w:t>
      </w:r>
      <w:r>
        <w:rPr>
          <w:rFonts w:ascii="Arial" w:cs="Arial" w:eastAsia="Arial" w:hAnsi="Arial"/>
          <w:sz w:val="20"/>
          <w:szCs w:val="20"/>
          <w:u w:val="single" w:color="auto"/>
          <w:color w:val="auto"/>
        </w:rPr>
        <w:t>Schedule 7.04</w:t>
      </w:r>
      <w:r>
        <w:rPr>
          <w:rFonts w:ascii="Arial" w:cs="Arial" w:eastAsia="Arial" w:hAnsi="Arial"/>
          <w:sz w:val="20"/>
          <w:szCs w:val="20"/>
          <w:color w:val="auto"/>
        </w:rPr>
        <w:t>;</w:t>
      </w:r>
    </w:p>
    <w:p>
      <w:pPr>
        <w:spacing w:after="0" w:line="226" w:lineRule="exact"/>
        <w:rPr>
          <w:rFonts w:ascii="Arial" w:cs="Arial" w:eastAsia="Arial" w:hAnsi="Arial"/>
          <w:sz w:val="20"/>
          <w:szCs w:val="20"/>
          <w:color w:val="auto"/>
        </w:rPr>
      </w:pPr>
    </w:p>
    <w:p>
      <w:pPr>
        <w:ind w:firstLine="818"/>
        <w:spacing w:after="0" w:line="316" w:lineRule="auto"/>
        <w:tabs>
          <w:tab w:leader="none" w:pos="12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at the time of the incurrence thereof or after giving effect thereto, Indebtedness incurred in the ordinary course of business in connection with Capital Leases and purchase money Indebtedness.</w:t>
      </w:r>
    </w:p>
    <w:p>
      <w:pPr>
        <w:spacing w:after="0" w:line="156" w:lineRule="exact"/>
        <w:rPr>
          <w:rFonts w:ascii="Arial" w:cs="Arial" w:eastAsia="Arial" w:hAnsi="Arial"/>
          <w:sz w:val="18"/>
          <w:szCs w:val="18"/>
          <w:color w:val="auto"/>
        </w:rPr>
      </w:pPr>
    </w:p>
    <w:p>
      <w:pPr>
        <w:ind w:left="1300" w:hanging="482"/>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obligations under Swap Contracts entered into for hedging purposes;</w:t>
      </w:r>
    </w:p>
    <w:p>
      <w:pPr>
        <w:spacing w:after="0" w:line="242" w:lineRule="exact"/>
        <w:rPr>
          <w:rFonts w:ascii="Arial" w:cs="Arial" w:eastAsia="Arial" w:hAnsi="Arial"/>
          <w:sz w:val="20"/>
          <w:szCs w:val="20"/>
          <w:color w:val="auto"/>
        </w:rPr>
      </w:pPr>
    </w:p>
    <w:p>
      <w:pPr>
        <w:jc w:val="both"/>
        <w:ind w:firstLine="818"/>
        <w:spacing w:after="0" w:line="250" w:lineRule="auto"/>
        <w:tabs>
          <w:tab w:leader="none" w:pos="1291"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of the Borrower and its Subsidiaries having a maturity of 92 days or less representing borrowings from a bank or banks with which the Borrower or such Subsidiary has a depository relationship, which borrowings shall be fully secured by Cash Equivalents purchased by the Borrower or such Subsidiary with the proceeds of such borrowings;</w:t>
      </w:r>
    </w:p>
    <w:p>
      <w:pPr>
        <w:spacing w:after="0" w:line="212" w:lineRule="exact"/>
        <w:rPr>
          <w:rFonts w:ascii="Arial" w:cs="Arial" w:eastAsia="Arial" w:hAnsi="Arial"/>
          <w:sz w:val="20"/>
          <w:szCs w:val="20"/>
          <w:color w:val="auto"/>
        </w:rPr>
      </w:pPr>
    </w:p>
    <w:p>
      <w:pPr>
        <w:ind w:right="20" w:firstLine="818"/>
        <w:spacing w:after="0" w:line="260" w:lineRule="auto"/>
        <w:tabs>
          <w:tab w:leader="none" w:pos="1284" w:val="left"/>
        </w:tabs>
        <w:numPr>
          <w:ilvl w:val="0"/>
          <w:numId w:val="94"/>
        </w:numPr>
        <w:rPr>
          <w:rFonts w:ascii="Arial" w:cs="Arial" w:eastAsia="Arial" w:hAnsi="Arial"/>
          <w:sz w:val="20"/>
          <w:szCs w:val="20"/>
          <w:color w:val="auto"/>
        </w:rPr>
      </w:pPr>
      <w:r>
        <w:rPr>
          <w:rFonts w:ascii="Arial" w:cs="Arial" w:eastAsia="Arial" w:hAnsi="Arial"/>
          <w:sz w:val="20"/>
          <w:szCs w:val="20"/>
          <w:color w:val="auto"/>
        </w:rPr>
        <w:t>obligations incurred in the ordinary course of business in connection with relocation service transactions and secured by properties which are the subject to such transactions;</w:t>
      </w:r>
    </w:p>
    <w:p>
      <w:pPr>
        <w:spacing w:after="0" w:line="203" w:lineRule="exact"/>
        <w:rPr>
          <w:rFonts w:ascii="Arial" w:cs="Arial" w:eastAsia="Arial" w:hAnsi="Arial"/>
          <w:sz w:val="20"/>
          <w:szCs w:val="20"/>
          <w:color w:val="auto"/>
        </w:rPr>
      </w:pPr>
    </w:p>
    <w:p>
      <w:pPr>
        <w:jc w:val="both"/>
        <w:ind w:firstLine="818"/>
        <w:spacing w:after="0" w:line="250" w:lineRule="auto"/>
        <w:tabs>
          <w:tab w:leader="none" w:pos="1284" w:val="left"/>
        </w:tabs>
        <w:numPr>
          <w:ilvl w:val="0"/>
          <w:numId w:val="94"/>
        </w:numPr>
        <w:rPr>
          <w:rFonts w:ascii="Arial" w:cs="Arial" w:eastAsia="Arial" w:hAnsi="Arial"/>
          <w:sz w:val="20"/>
          <w:szCs w:val="20"/>
          <w:color w:val="auto"/>
        </w:rPr>
      </w:pPr>
      <w:r>
        <w:rPr>
          <w:rFonts w:ascii="Arial" w:cs="Arial" w:eastAsia="Arial" w:hAnsi="Arial"/>
          <w:sz w:val="20"/>
          <w:szCs w:val="20"/>
          <w:color w:val="auto"/>
        </w:rPr>
        <w:t>(i) Indebtedness incurred by the Borrower or a Subsidiary to fund a Permitted Acquisition and (ii) Indebtedness of a Person that becomes a Subsidiary after the Effective Date pursuant to a Permitted Acquisition, which Indebtedness existed prior to such Acquisition and was not created in contemplation thereof;</w:t>
      </w:r>
    </w:p>
    <w:p>
      <w:pPr>
        <w:spacing w:after="0" w:line="212" w:lineRule="exact"/>
        <w:rPr>
          <w:rFonts w:ascii="Arial" w:cs="Arial" w:eastAsia="Arial" w:hAnsi="Arial"/>
          <w:sz w:val="20"/>
          <w:szCs w:val="20"/>
          <w:color w:val="auto"/>
        </w:rPr>
      </w:pPr>
    </w:p>
    <w:p>
      <w:pPr>
        <w:ind w:left="1300" w:hanging="482"/>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under the Public Debentures;</w:t>
      </w:r>
    </w:p>
    <w:p>
      <w:pPr>
        <w:spacing w:after="0" w:line="242" w:lineRule="exact"/>
        <w:rPr>
          <w:rFonts w:ascii="Arial" w:cs="Arial" w:eastAsia="Arial" w:hAnsi="Arial"/>
          <w:sz w:val="20"/>
          <w:szCs w:val="20"/>
          <w:color w:val="auto"/>
        </w:rPr>
      </w:pPr>
    </w:p>
    <w:p>
      <w:pPr>
        <w:ind w:right="20" w:firstLine="818"/>
        <w:spacing w:after="0" w:line="260" w:lineRule="auto"/>
        <w:tabs>
          <w:tab w:leader="none" w:pos="1294" w:val="left"/>
        </w:tabs>
        <w:numPr>
          <w:ilvl w:val="0"/>
          <w:numId w:val="94"/>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at the time of incurrence thereof or after giving effect thereto, unsecured Indebtedness of the Borrower;</w:t>
      </w:r>
    </w:p>
    <w:p>
      <w:pPr>
        <w:spacing w:after="0" w:line="203" w:lineRule="exact"/>
        <w:rPr>
          <w:rFonts w:ascii="Arial" w:cs="Arial" w:eastAsia="Arial" w:hAnsi="Arial"/>
          <w:sz w:val="20"/>
          <w:szCs w:val="20"/>
          <w:color w:val="auto"/>
        </w:rPr>
      </w:pPr>
    </w:p>
    <w:p>
      <w:pPr>
        <w:jc w:val="both"/>
        <w:ind w:firstLine="818"/>
        <w:spacing w:after="0" w:line="282" w:lineRule="auto"/>
        <w:tabs>
          <w:tab w:leader="none" w:pos="12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at the time of incurrence thereof, other secured or unsecured Indebtedness of the Borrower and its Subsidiaries, provided the aggregate principal amount of such Indebtedness (excluding Indebtedness of Strategic Investment Subsidiaries and their respective Subsidiaries permitted under </w:t>
      </w:r>
      <w:r>
        <w:rPr>
          <w:rFonts w:ascii="Arial" w:cs="Arial" w:eastAsia="Arial" w:hAnsi="Arial"/>
          <w:sz w:val="18"/>
          <w:szCs w:val="18"/>
          <w:u w:val="single" w:color="auto"/>
          <w:color w:val="auto"/>
        </w:rPr>
        <w:t>Section 7.04(o)</w:t>
      </w:r>
      <w:r>
        <w:rPr>
          <w:rFonts w:ascii="Arial" w:cs="Arial" w:eastAsia="Arial" w:hAnsi="Arial"/>
          <w:sz w:val="18"/>
          <w:szCs w:val="18"/>
          <w:color w:val="auto"/>
        </w:rPr>
        <w:t>) shall not exceed at the time of the incurrence of any thereof 10% of Net Worth as of the end of the fiscal quarter immediately preceding any such incurrence;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8" w:name="page109"/>
    <w:bookmarkEnd w:id="108"/>
    <w:p>
      <w:pPr>
        <w:jc w:val="both"/>
        <w:ind w:firstLine="818"/>
        <w:spacing w:after="0" w:line="250" w:lineRule="auto"/>
        <w:tabs>
          <w:tab w:leader="none" w:pos="1294" w:val="left"/>
        </w:tabs>
        <w:numPr>
          <w:ilvl w:val="0"/>
          <w:numId w:val="95"/>
        </w:numPr>
        <w:rPr>
          <w:rFonts w:ascii="Arial" w:cs="Arial" w:eastAsia="Arial" w:hAnsi="Arial"/>
          <w:sz w:val="20"/>
          <w:szCs w:val="20"/>
          <w:color w:val="auto"/>
        </w:rPr>
      </w:pPr>
      <w:r>
        <w:rPr>
          <w:rFonts w:ascii="Arial" w:cs="Arial" w:eastAsia="Arial" w:hAnsi="Arial"/>
          <w:sz w:val="20"/>
          <w:szCs w:val="20"/>
          <w:color w:val="auto"/>
        </w:rPr>
        <w:t>obligations consisting of guarantees of any Subsidiary of Indebtedness of insurance agents of an Insurance Subsidiary in an aggregate amount not to exceed at the time of the incurrence of any thereof 3% of Net Worth as of the end of the fiscal quarter immediately preceding such incurrence;</w:t>
      </w:r>
    </w:p>
    <w:p>
      <w:pPr>
        <w:spacing w:after="0" w:line="212" w:lineRule="exact"/>
        <w:rPr>
          <w:rFonts w:ascii="Arial" w:cs="Arial" w:eastAsia="Arial" w:hAnsi="Arial"/>
          <w:sz w:val="20"/>
          <w:szCs w:val="20"/>
          <w:color w:val="auto"/>
        </w:rPr>
      </w:pPr>
    </w:p>
    <w:p>
      <w:pPr>
        <w:jc w:val="both"/>
        <w:ind w:firstLine="818"/>
        <w:spacing w:after="0" w:line="250" w:lineRule="auto"/>
        <w:tabs>
          <w:tab w:leader="none" w:pos="1285"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Indebtedness of the Borrower owing to any Subsidiary and of any Subsidiary owing to the Borrower or any other Subsidiary, provided that, in the case of Indebtedness of the Borrower owing to any Subsidiary, the payment of such Indebtedness is subordinate to the payment of the Obligations in a manner satisfactory to the Administrative Agent;</w:t>
      </w:r>
    </w:p>
    <w:p>
      <w:pPr>
        <w:spacing w:after="0" w:line="212" w:lineRule="exact"/>
        <w:rPr>
          <w:rFonts w:ascii="Arial" w:cs="Arial" w:eastAsia="Arial" w:hAnsi="Arial"/>
          <w:sz w:val="20"/>
          <w:szCs w:val="20"/>
          <w:color w:val="auto"/>
        </w:rPr>
      </w:pPr>
    </w:p>
    <w:p>
      <w:pPr>
        <w:ind w:left="1300" w:hanging="482"/>
        <w:spacing w:after="0"/>
        <w:tabs>
          <w:tab w:leader="none" w:pos="13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Non-Recourse Debt of the Designated Subsidiaries;</w:t>
      </w:r>
    </w:p>
    <w:p>
      <w:pPr>
        <w:spacing w:after="0" w:line="242" w:lineRule="exact"/>
        <w:rPr>
          <w:rFonts w:ascii="Arial" w:cs="Arial" w:eastAsia="Arial" w:hAnsi="Arial"/>
          <w:sz w:val="20"/>
          <w:szCs w:val="20"/>
          <w:color w:val="auto"/>
        </w:rPr>
      </w:pPr>
    </w:p>
    <w:p>
      <w:pPr>
        <w:jc w:val="both"/>
        <w:ind w:firstLine="818"/>
        <w:spacing w:after="0" w:line="246" w:lineRule="auto"/>
        <w:tabs>
          <w:tab w:leader="none" w:pos="1284"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Indebtedness of the Strategic Investment Subsidiaries and their respective Subsidiaries, which Indebtedness may be secured by assets of the Strategic Investment Subsidiaries or any of their respective Subsidiaries, provided in no event shall the owner of such Indebtedness have any recourse, directly or indirectly, to the Borrower or any of its Subsidiaries (other than the Strategic Investment Subsidiaries and their respective Subsidiaries) or any of their respective assets;</w:t>
      </w:r>
    </w:p>
    <w:p>
      <w:pPr>
        <w:spacing w:after="0" w:line="218" w:lineRule="exact"/>
        <w:rPr>
          <w:rFonts w:ascii="Arial" w:cs="Arial" w:eastAsia="Arial" w:hAnsi="Arial"/>
          <w:sz w:val="20"/>
          <w:szCs w:val="20"/>
          <w:color w:val="auto"/>
        </w:rPr>
      </w:pPr>
    </w:p>
    <w:p>
      <w:pPr>
        <w:jc w:val="both"/>
        <w:ind w:firstLine="818"/>
        <w:spacing w:after="0" w:line="250" w:lineRule="auto"/>
        <w:tabs>
          <w:tab w:leader="none" w:pos="1284" w:val="left"/>
        </w:tabs>
        <w:numPr>
          <w:ilvl w:val="0"/>
          <w:numId w:val="95"/>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at the time of incurrence thereof, Synthetic Lease Obligations, provided the aggregate Attributable Indebtedness in respect thereof shall not exceed at the time of the incurrence of any thereof 3% of Net Worth as of the end of the fiscal quarter immediately preceding such incurrence;</w:t>
      </w:r>
    </w:p>
    <w:p>
      <w:pPr>
        <w:spacing w:after="0" w:line="212" w:lineRule="exact"/>
        <w:rPr>
          <w:rFonts w:ascii="Arial" w:cs="Arial" w:eastAsia="Arial" w:hAnsi="Arial"/>
          <w:sz w:val="20"/>
          <w:szCs w:val="20"/>
          <w:color w:val="auto"/>
        </w:rPr>
      </w:pPr>
    </w:p>
    <w:p>
      <w:pPr>
        <w:ind w:firstLine="818"/>
        <w:spacing w:after="0" w:line="260" w:lineRule="auto"/>
        <w:tabs>
          <w:tab w:leader="none" w:pos="1284" w:val="left"/>
        </w:tabs>
        <w:numPr>
          <w:ilvl w:val="0"/>
          <w:numId w:val="95"/>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at the time of incurrence thereof, Indebtedness arising in connection with a Permitted Accounts Securitization; and</w:t>
      </w:r>
    </w:p>
    <w:p>
      <w:pPr>
        <w:spacing w:after="0" w:line="203" w:lineRule="exact"/>
        <w:rPr>
          <w:rFonts w:ascii="Arial" w:cs="Arial" w:eastAsia="Arial" w:hAnsi="Arial"/>
          <w:sz w:val="20"/>
          <w:szCs w:val="20"/>
          <w:color w:val="auto"/>
        </w:rPr>
      </w:pPr>
    </w:p>
    <w:p>
      <w:pPr>
        <w:ind w:left="1300" w:hanging="482"/>
        <w:spacing w:after="0"/>
        <w:tabs>
          <w:tab w:leader="none" w:pos="13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extensions, renewals or refinancings (but not increases) of the foregoing.</w:t>
      </w:r>
    </w:p>
    <w:p>
      <w:pPr>
        <w:spacing w:after="0" w:line="237" w:lineRule="exact"/>
        <w:rPr>
          <w:sz w:val="20"/>
          <w:szCs w:val="20"/>
          <w:color w:val="auto"/>
        </w:rPr>
      </w:pPr>
    </w:p>
    <w:p>
      <w:pPr>
        <w:jc w:val="both"/>
        <w:ind w:firstLine="576"/>
        <w:spacing w:after="0" w:line="272"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b w:val="1"/>
          <w:bCs w:val="1"/>
          <w:color w:val="auto"/>
        </w:rPr>
        <w:t>Transactions with Affiliates</w:t>
      </w:r>
      <w:r>
        <w:rPr>
          <w:rFonts w:ascii="Arial" w:cs="Arial" w:eastAsia="Arial" w:hAnsi="Arial"/>
          <w:sz w:val="18"/>
          <w:szCs w:val="18"/>
          <w:color w:val="auto"/>
        </w:rPr>
        <w:t xml:space="preserve">. The Borrower shall not, and shall not permit any of its Subsidiaries to, enter into any transaction with any Affiliate of the Borrower, except upon terms no less favorable to the Borrower or such Subsidiary than would be obtained in a comparable arm’s-length transaction with a Person not an Affiliate of the Borrower or such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shall not apply to (a) customary fees paid to members of the Board of Directors of the Borrower and its Subsidiaries,</w:t>
      </w:r>
    </w:p>
    <w:p>
      <w:pPr>
        <w:spacing w:after="0" w:line="2" w:lineRule="exact"/>
        <w:rPr>
          <w:sz w:val="20"/>
          <w:szCs w:val="20"/>
          <w:color w:val="auto"/>
        </w:rPr>
      </w:pPr>
    </w:p>
    <w:p>
      <w:pPr>
        <w:ind w:right="20" w:firstLine="8"/>
        <w:spacing w:after="0" w:line="244" w:lineRule="auto"/>
        <w:tabs>
          <w:tab w:leader="none" w:pos="285"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loans and other transactions (i) by and among the Borrower and its Subsidiaries and (ii) permitted by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and (c) the performance of any of the agreements identified on </w:t>
      </w:r>
      <w:r>
        <w:rPr>
          <w:rFonts w:ascii="Arial" w:cs="Arial" w:eastAsia="Arial" w:hAnsi="Arial"/>
          <w:sz w:val="20"/>
          <w:szCs w:val="20"/>
          <w:u w:val="single" w:color="auto"/>
          <w:color w:val="auto"/>
        </w:rPr>
        <w:t>Schedule 7.05.</w:t>
      </w:r>
    </w:p>
    <w:p>
      <w:pPr>
        <w:spacing w:after="0" w:line="212" w:lineRule="exact"/>
        <w:rPr>
          <w:sz w:val="20"/>
          <w:szCs w:val="20"/>
          <w:color w:val="auto"/>
        </w:rPr>
      </w:pPr>
    </w:p>
    <w:p>
      <w:pPr>
        <w:jc w:val="both"/>
        <w:ind w:firstLine="409"/>
        <w:spacing w:after="0" w:line="245" w:lineRule="auto"/>
        <w:rPr>
          <w:sz w:val="20"/>
          <w:szCs w:val="20"/>
          <w:color w:val="auto"/>
        </w:rPr>
      </w:pPr>
      <w:r>
        <w:rPr>
          <w:rFonts w:ascii="Arial" w:cs="Arial" w:eastAsia="Arial" w:hAnsi="Arial"/>
          <w:sz w:val="20"/>
          <w:szCs w:val="20"/>
          <w:color w:val="auto"/>
        </w:rPr>
        <w:t xml:space="preserve">Section 7.06 </w:t>
      </w:r>
      <w:r>
        <w:rPr>
          <w:rFonts w:ascii="Arial" w:cs="Arial" w:eastAsia="Arial" w:hAnsi="Arial"/>
          <w:sz w:val="20"/>
          <w:szCs w:val="20"/>
          <w:b w:val="1"/>
          <w:bCs w:val="1"/>
          <w:color w:val="auto"/>
        </w:rPr>
        <w:t>Restricted Payments</w:t>
      </w:r>
      <w:r>
        <w:rPr>
          <w:rFonts w:ascii="Arial" w:cs="Arial" w:eastAsia="Arial" w:hAnsi="Arial"/>
          <w:sz w:val="20"/>
          <w:szCs w:val="20"/>
          <w:color w:val="auto"/>
        </w:rPr>
        <w:t xml:space="preserve">. The Borrower shall not, and shall not allow any of its Subsidiaries to, declare or make any dividend payment or other distribution of assets, properties, cash, rights, obligations or securities on account of any shares of any class of its Equity Interests, or purchase, redeem or otherwise acquire for value any shares of any class of its Equity Interests or any warrants, rights or options to acquire such shares, now or hereafter outstanding, or directly or indirectly voluntarily prepay, defease or in substance defease, purchase, redeem, retire or otherwise acquire, any Indebtedness described in </w:t>
      </w:r>
      <w:r>
        <w:rPr>
          <w:rFonts w:ascii="Arial" w:cs="Arial" w:eastAsia="Arial" w:hAnsi="Arial"/>
          <w:sz w:val="20"/>
          <w:szCs w:val="20"/>
          <w:u w:val="single" w:color="auto"/>
          <w:color w:val="auto"/>
        </w:rPr>
        <w:t>Section 7.04(i)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7.04(j)</w:t>
      </w:r>
      <w:r>
        <w:rPr>
          <w:rFonts w:ascii="Arial" w:cs="Arial" w:eastAsia="Arial" w:hAnsi="Arial"/>
          <w:sz w:val="20"/>
          <w:szCs w:val="20"/>
          <w:color w:val="auto"/>
        </w:rPr>
        <w:t xml:space="preserve"> (collectively,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except that:</w:t>
      </w:r>
    </w:p>
    <w:p>
      <w:pPr>
        <w:spacing w:after="0" w:line="217" w:lineRule="exact"/>
        <w:rPr>
          <w:sz w:val="20"/>
          <w:szCs w:val="20"/>
          <w:color w:val="auto"/>
        </w:rPr>
      </w:pPr>
    </w:p>
    <w:p>
      <w:pPr>
        <w:jc w:val="both"/>
        <w:ind w:firstLine="818"/>
        <w:spacing w:after="0" w:line="282" w:lineRule="auto"/>
        <w:tabs>
          <w:tab w:leader="none" w:pos="128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any Subsidiary may declare and pay dividends and tax sharing payments and otherwise declare and make distributions of assets, properties, cash, rights, obligations or securities on account of any shares of any class of its Equity Interests, in each case, to the Persons which own its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share of any of the foregoing made or paid to the Borrower and its other Subsidiaries is as least pro rata to the percentage of Equity Interests in such Subsidiary owned by the Borrower and its other Subsidiaries;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09" w:name="page110"/>
    <w:bookmarkEnd w:id="109"/>
    <w:p>
      <w:pPr>
        <w:jc w:val="both"/>
        <w:ind w:firstLine="818"/>
        <w:spacing w:after="0" w:line="250" w:lineRule="auto"/>
        <w:tabs>
          <w:tab w:leader="none" w:pos="1284"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Borrower may, so long as immediately preceding and after giving effect to any such repurchase, retirement, acquisition or purchase no Event of Default shall have occurred, repurchase, retire or otherwise acquire Equity Interests of the Borrower or purchase any warrants, rights or options to acquire such Equity Interests;</w:t>
      </w:r>
    </w:p>
    <w:p>
      <w:pPr>
        <w:spacing w:after="0" w:line="212" w:lineRule="exact"/>
        <w:rPr>
          <w:rFonts w:ascii="Arial" w:cs="Arial" w:eastAsia="Arial" w:hAnsi="Arial"/>
          <w:sz w:val="20"/>
          <w:szCs w:val="20"/>
          <w:color w:val="auto"/>
        </w:rPr>
      </w:pPr>
    </w:p>
    <w:p>
      <w:pPr>
        <w:jc w:val="both"/>
        <w:ind w:firstLine="818"/>
        <w:spacing w:after="0" w:line="244" w:lineRule="auto"/>
        <w:tabs>
          <w:tab w:leader="none" w:pos="1286"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the Borrower may, so long as immediately preceding and after giving effect thereto no Event of Default shall have occurred and be continuing, (i) pay cash dividends or (ii) make any other distribution of assets, properties, rights, obligations or securities, to its shareholders so long as, immediately preceding and after giving effect to such other distribution, the Borrower shall be in compliance with the financial covenants set forth in </w:t>
      </w:r>
      <w:r>
        <w:rPr>
          <w:rFonts w:ascii="Arial" w:cs="Arial" w:eastAsia="Arial" w:hAnsi="Arial"/>
          <w:sz w:val="20"/>
          <w:szCs w:val="20"/>
          <w:u w:val="single" w:color="auto"/>
          <w:color w:val="auto"/>
        </w:rPr>
        <w:t>Sections 7.09(a)</w:t>
      </w:r>
      <w:r>
        <w:rPr>
          <w:rFonts w:ascii="Arial" w:cs="Arial" w:eastAsia="Arial" w:hAnsi="Arial"/>
          <w:sz w:val="20"/>
          <w:szCs w:val="20"/>
          <w:color w:val="auto"/>
        </w:rPr>
        <w:t xml:space="preserve"> (after giving effect to any applicable Net Worth Adjustment therein) and </w:t>
      </w:r>
      <w:r>
        <w:rPr>
          <w:rFonts w:ascii="Arial" w:cs="Arial" w:eastAsia="Arial" w:hAnsi="Arial"/>
          <w:sz w:val="20"/>
          <w:szCs w:val="20"/>
          <w:u w:val="single" w:color="auto"/>
          <w:color w:val="auto"/>
        </w:rPr>
        <w:t>7.09(b)</w:t>
      </w:r>
      <w:r>
        <w:rPr>
          <w:rFonts w:ascii="Arial" w:cs="Arial" w:eastAsia="Arial" w:hAnsi="Arial"/>
          <w:sz w:val="20"/>
          <w:szCs w:val="20"/>
          <w:color w:val="auto"/>
        </w:rPr>
        <w:t>, in each case on a pro forma basis;</w:t>
      </w:r>
    </w:p>
    <w:p>
      <w:pPr>
        <w:spacing w:after="0" w:line="221" w:lineRule="exact"/>
        <w:rPr>
          <w:rFonts w:ascii="Arial" w:cs="Arial" w:eastAsia="Arial" w:hAnsi="Arial"/>
          <w:sz w:val="20"/>
          <w:szCs w:val="20"/>
          <w:color w:val="auto"/>
        </w:rPr>
      </w:pPr>
    </w:p>
    <w:p>
      <w:pPr>
        <w:jc w:val="both"/>
        <w:ind w:firstLine="818"/>
        <w:spacing w:after="0" w:line="263" w:lineRule="auto"/>
        <w:tabs>
          <w:tab w:leader="none" w:pos="1284"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Borrower or any Subsidiary may, so long as immediately preceding and after giving effect thereto no Event of Default shall have occurred, prepay, defease, purchase, redeem or retire any Indebtedness described in Sections </w:t>
      </w:r>
      <w:r>
        <w:rPr>
          <w:rFonts w:ascii="Arial" w:cs="Arial" w:eastAsia="Arial" w:hAnsi="Arial"/>
          <w:sz w:val="19"/>
          <w:szCs w:val="19"/>
          <w:u w:val="single" w:color="auto"/>
          <w:color w:val="auto"/>
        </w:rPr>
        <w:t>7.04(i)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7.04(j)</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in any event the Borrower may repay, prior to June 27, 2022, any principal amount upon the conversion or mandatory prepayment of any Convertible Indebtedness as long as such repayment complies with the immediately following sentence;</w:t>
      </w:r>
    </w:p>
    <w:p>
      <w:pPr>
        <w:spacing w:after="0" w:line="203" w:lineRule="exact"/>
        <w:rPr>
          <w:rFonts w:ascii="Arial" w:cs="Arial" w:eastAsia="Arial" w:hAnsi="Arial"/>
          <w:sz w:val="19"/>
          <w:szCs w:val="19"/>
          <w:color w:val="auto"/>
        </w:rPr>
      </w:pPr>
    </w:p>
    <w:p>
      <w:pPr>
        <w:ind w:left="1300" w:hanging="482"/>
        <w:spacing w:after="0"/>
        <w:tabs>
          <w:tab w:leader="none" w:pos="13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Borrower may make payments of interest on any Convertible Indebtedness.; and</w:t>
      </w:r>
    </w:p>
    <w:p>
      <w:pPr>
        <w:spacing w:after="0" w:line="242" w:lineRule="exact"/>
        <w:rPr>
          <w:rFonts w:ascii="Arial" w:cs="Arial" w:eastAsia="Arial" w:hAnsi="Arial"/>
          <w:sz w:val="20"/>
          <w:szCs w:val="20"/>
          <w:color w:val="auto"/>
        </w:rPr>
      </w:pPr>
    </w:p>
    <w:p>
      <w:pPr>
        <w:ind w:firstLine="818"/>
        <w:spacing w:after="0" w:line="287" w:lineRule="auto"/>
        <w:tabs>
          <w:tab w:leader="none" w:pos="1291"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to the extent constituting a Restricted Payment, the Borrower and any Subsidiary may consummate any transaction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7.02(c)(i)(L)(III)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7.03(a)(iii)(D)</w:t>
      </w:r>
      <w:r>
        <w:rPr>
          <w:rFonts w:ascii="Arial" w:cs="Arial" w:eastAsia="Arial" w:hAnsi="Arial"/>
          <w:sz w:val="19"/>
          <w:szCs w:val="19"/>
          <w:color w:val="auto"/>
        </w:rPr>
        <w:t>).</w:t>
      </w:r>
    </w:p>
    <w:p>
      <w:pPr>
        <w:spacing w:after="0" w:line="188" w:lineRule="exact"/>
        <w:rPr>
          <w:sz w:val="20"/>
          <w:szCs w:val="20"/>
          <w:color w:val="auto"/>
        </w:rPr>
      </w:pPr>
    </w:p>
    <w:p>
      <w:pPr>
        <w:jc w:val="both"/>
        <w:ind w:firstLine="162"/>
        <w:spacing w:after="0" w:line="244" w:lineRule="auto"/>
        <w:rPr>
          <w:sz w:val="20"/>
          <w:szCs w:val="20"/>
          <w:color w:val="auto"/>
        </w:rPr>
      </w:pPr>
      <w:r>
        <w:rPr>
          <w:rFonts w:ascii="Arial" w:cs="Arial" w:eastAsia="Arial" w:hAnsi="Arial"/>
          <w:sz w:val="20"/>
          <w:szCs w:val="20"/>
          <w:color w:val="auto"/>
        </w:rPr>
        <w:t xml:space="preserve">The repayment, prior to </w:t>
      </w:r>
      <w:r>
        <w:rPr>
          <w:rFonts w:ascii="Arial" w:cs="Arial" w:eastAsia="Arial" w:hAnsi="Arial"/>
          <w:sz w:val="21"/>
          <w:szCs w:val="21"/>
          <w:color w:val="auto"/>
        </w:rPr>
        <w:t>June 27</w:t>
      </w:r>
      <w:r>
        <w:rPr>
          <w:rFonts w:ascii="Arial" w:cs="Arial" w:eastAsia="Arial" w:hAnsi="Arial"/>
          <w:sz w:val="20"/>
          <w:szCs w:val="20"/>
          <w:color w:val="auto"/>
        </w:rPr>
        <w:t xml:space="preserve">, 2022, of any principal amount upon the conversion or mandatory prepayment of any Convertible Indebtedness may be made (A) if such payment is made solely in additional debt securities (on terms reasonably acceptable to the Administrative Agent) or equity securities or (B) if such payment is made in cash, so long as immediately preceding and after giving effect to such payment no Event of Default shall have occurred and (x) the Borrower has Sufficient Liquidity and (y) after giving effect to any such payment, the Borrower is in pro forma compliance with each financial covenant set forth in </w:t>
      </w:r>
      <w:r>
        <w:rPr>
          <w:rFonts w:ascii="Arial" w:cs="Arial" w:eastAsia="Arial" w:hAnsi="Arial"/>
          <w:sz w:val="20"/>
          <w:szCs w:val="20"/>
          <w:u w:val="single" w:color="auto"/>
          <w:color w:val="auto"/>
        </w:rPr>
        <w:t>Section 7.09</w:t>
      </w:r>
      <w:r>
        <w:rPr>
          <w:rFonts w:ascii="Arial" w:cs="Arial" w:eastAsia="Arial" w:hAnsi="Arial"/>
          <w:sz w:val="20"/>
          <w:szCs w:val="20"/>
          <w:color w:val="auto"/>
        </w:rPr>
        <w:t>. Issuances by a Person of stock options, restricted stock or other stock-based compensation to officers, directors and employees of such Person shall not constitute Restricted Payments.</w:t>
      </w:r>
    </w:p>
    <w:p>
      <w:pPr>
        <w:spacing w:after="0" w:line="7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b w:val="1"/>
          <w:bCs w:val="1"/>
          <w:color w:val="auto"/>
        </w:rPr>
        <w:t>Change in Business</w:t>
      </w:r>
      <w:r>
        <w:rPr>
          <w:rFonts w:ascii="Arial" w:cs="Arial" w:eastAsia="Arial" w:hAnsi="Arial"/>
          <w:sz w:val="18"/>
          <w:szCs w:val="18"/>
          <w:color w:val="auto"/>
        </w:rPr>
        <w:t>. Other than in connection with a Permitted Acquisition, the Borrower shall not, and shall not permit any of its Material Subsidiaries to, engage in any material line of business substantially different from those lines of business carried on by the Borrower and its Subsidiaries on the Effective Date and businesses directly related thereto and reasonable extensions thereof.</w:t>
      </w:r>
    </w:p>
    <w:p>
      <w:pPr>
        <w:spacing w:after="0" w:line="171" w:lineRule="exact"/>
        <w:rPr>
          <w:sz w:val="20"/>
          <w:szCs w:val="20"/>
          <w:color w:val="auto"/>
        </w:rPr>
      </w:pPr>
    </w:p>
    <w:p>
      <w:pPr>
        <w:jc w:val="both"/>
        <w:ind w:firstLine="409"/>
        <w:spacing w:after="0" w:line="253" w:lineRule="auto"/>
        <w:rPr>
          <w:sz w:val="20"/>
          <w:szCs w:val="20"/>
          <w:color w:val="auto"/>
        </w:rPr>
      </w:pPr>
      <w:r>
        <w:rPr>
          <w:rFonts w:ascii="Arial" w:cs="Arial" w:eastAsia="Arial" w:hAnsi="Arial"/>
          <w:sz w:val="20"/>
          <w:szCs w:val="20"/>
          <w:color w:val="auto"/>
        </w:rPr>
        <w:t xml:space="preserve">Section 7.08 </w:t>
      </w:r>
      <w:r>
        <w:rPr>
          <w:rFonts w:ascii="Arial" w:cs="Arial" w:eastAsia="Arial" w:hAnsi="Arial"/>
          <w:sz w:val="20"/>
          <w:szCs w:val="20"/>
          <w:b w:val="1"/>
          <w:bCs w:val="1"/>
          <w:color w:val="auto"/>
        </w:rPr>
        <w:t>Accounting Changes</w:t>
      </w:r>
      <w:r>
        <w:rPr>
          <w:rFonts w:ascii="Arial" w:cs="Arial" w:eastAsia="Arial" w:hAnsi="Arial"/>
          <w:sz w:val="20"/>
          <w:szCs w:val="20"/>
          <w:color w:val="auto"/>
        </w:rPr>
        <w:t xml:space="preserve">. The Borrower shall not, and shall not permit any of its Material Subsidiaries to, make any change in accounting treatment or reporting practices that affect the calculation of the financial covenants set forth in </w:t>
      </w:r>
      <w:r>
        <w:rPr>
          <w:rFonts w:ascii="Arial" w:cs="Arial" w:eastAsia="Arial" w:hAnsi="Arial"/>
          <w:sz w:val="20"/>
          <w:szCs w:val="20"/>
          <w:u w:val="single" w:color="auto"/>
          <w:color w:val="auto"/>
        </w:rPr>
        <w:t>Section 7.09</w:t>
      </w:r>
      <w:r>
        <w:rPr>
          <w:rFonts w:ascii="Arial" w:cs="Arial" w:eastAsia="Arial" w:hAnsi="Arial"/>
          <w:sz w:val="20"/>
          <w:szCs w:val="20"/>
          <w:color w:val="auto"/>
        </w:rPr>
        <w:t>, except as required by GAAP or SAP, or change the fiscal year of the Borrower or of any Subsidiary.</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7.09 </w:t>
      </w:r>
      <w:r>
        <w:rPr>
          <w:rFonts w:ascii="Arial" w:cs="Arial" w:eastAsia="Arial" w:hAnsi="Arial"/>
          <w:sz w:val="20"/>
          <w:szCs w:val="20"/>
          <w:b w:val="1"/>
          <w:bCs w:val="1"/>
          <w:color w:val="auto"/>
        </w:rPr>
        <w:t>Financial Covenants.</w:t>
      </w:r>
    </w:p>
    <w:p>
      <w:pPr>
        <w:spacing w:after="0" w:line="249" w:lineRule="exact"/>
        <w:rPr>
          <w:sz w:val="20"/>
          <w:szCs w:val="20"/>
          <w:color w:val="auto"/>
        </w:rPr>
      </w:pPr>
    </w:p>
    <w:p>
      <w:pPr>
        <w:ind w:right="100" w:firstLine="818"/>
        <w:spacing w:after="0" w:line="291" w:lineRule="auto"/>
        <w:tabs>
          <w:tab w:leader="none" w:pos="128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Net Worth</w:t>
      </w:r>
      <w:r>
        <w:rPr>
          <w:rFonts w:ascii="Arial" w:cs="Arial" w:eastAsia="Arial" w:hAnsi="Arial"/>
          <w:sz w:val="18"/>
          <w:szCs w:val="18"/>
          <w:color w:val="auto"/>
        </w:rPr>
        <w:t>. The Borrower shall not permit its Net Worth as of the end of any fiscal quarter to be less than the sum of (i) 70% of Net Worth as of December 31, 2016 (the date of such fiscal quarter end, the “</w:t>
      </w:r>
      <w:r>
        <w:rPr>
          <w:rFonts w:ascii="Arial" w:cs="Arial" w:eastAsia="Arial" w:hAnsi="Arial"/>
          <w:sz w:val="18"/>
          <w:szCs w:val="18"/>
          <w:u w:val="single" w:color="auto"/>
          <w:color w:val="auto"/>
        </w:rPr>
        <w:t>Net Worth Test Date</w:t>
      </w:r>
      <w:r>
        <w:rPr>
          <w:rFonts w:ascii="Arial" w:cs="Arial" w:eastAsia="Arial" w:hAnsi="Arial"/>
          <w:sz w:val="18"/>
          <w:szCs w:val="18"/>
          <w:color w:val="auto"/>
        </w:rPr>
        <w:t>”), plus (ii) 50% of Net Income (in excess of zero) from the beginning of the first fiscal quarter following the Net Worth Test Date to the last day of the fiscal quarter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0" w:name="page111"/>
    <w:bookmarkEnd w:id="110"/>
    <w:p>
      <w:pPr>
        <w:ind w:right="160"/>
        <w:spacing w:after="0" w:line="282" w:lineRule="auto"/>
        <w:rPr>
          <w:sz w:val="20"/>
          <w:szCs w:val="20"/>
          <w:color w:val="auto"/>
        </w:rPr>
      </w:pPr>
      <w:r>
        <w:rPr>
          <w:rFonts w:ascii="Arial" w:cs="Arial" w:eastAsia="Arial" w:hAnsi="Arial"/>
          <w:sz w:val="18"/>
          <w:szCs w:val="18"/>
          <w:color w:val="auto"/>
        </w:rPr>
        <w:t>such determination is made, plus (iii) 50% of cumulative issuances of Capital Stock by the Borrower after the Net Worth Test Date (without duplication of amounts in respect of such issuances included in subclause (i) above) (the “</w:t>
      </w:r>
      <w:r>
        <w:rPr>
          <w:rFonts w:ascii="Arial" w:cs="Arial" w:eastAsia="Arial" w:hAnsi="Arial"/>
          <w:sz w:val="18"/>
          <w:szCs w:val="18"/>
          <w:u w:val="single" w:color="auto"/>
          <w:color w:val="auto"/>
        </w:rPr>
        <w:t>Net Worth Level</w:t>
      </w:r>
      <w:r>
        <w:rPr>
          <w:rFonts w:ascii="Arial" w:cs="Arial" w:eastAsia="Arial" w:hAnsi="Arial"/>
          <w:sz w:val="18"/>
          <w:szCs w:val="18"/>
          <w:color w:val="auto"/>
        </w:rPr>
        <w:t>”); provided that, commencing with the first fiscal quarter ending immediately following any Separation, the Net Worth Level shall be reduced by 70% of the Net Worth of BKFS or FNFV, as applicable, as of the date of such Separation (any such reduction, a “</w:t>
      </w:r>
      <w:r>
        <w:rPr>
          <w:rFonts w:ascii="Arial" w:cs="Arial" w:eastAsia="Arial" w:hAnsi="Arial"/>
          <w:sz w:val="18"/>
          <w:szCs w:val="18"/>
          <w:u w:val="single" w:color="auto"/>
          <w:color w:val="auto"/>
        </w:rPr>
        <w:t>Net Worth Adjustment</w:t>
      </w:r>
      <w:r>
        <w:rPr>
          <w:rFonts w:ascii="Arial" w:cs="Arial" w:eastAsia="Arial" w:hAnsi="Arial"/>
          <w:sz w:val="18"/>
          <w:szCs w:val="18"/>
          <w:color w:val="auto"/>
        </w:rPr>
        <w:t>”).</w:t>
      </w:r>
    </w:p>
    <w:p>
      <w:pPr>
        <w:spacing w:after="0" w:line="188" w:lineRule="exact"/>
        <w:rPr>
          <w:sz w:val="20"/>
          <w:szCs w:val="20"/>
          <w:color w:val="auto"/>
        </w:rPr>
      </w:pPr>
    </w:p>
    <w:p>
      <w:pPr>
        <w:ind w:right="20" w:firstLine="818"/>
        <w:spacing w:after="0" w:line="260" w:lineRule="auto"/>
        <w:tabs>
          <w:tab w:leader="none" w:pos="128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Total Debt to Total Capitalization Ratio</w:t>
      </w:r>
      <w:r>
        <w:rPr>
          <w:rFonts w:ascii="Arial" w:cs="Arial" w:eastAsia="Arial" w:hAnsi="Arial"/>
          <w:sz w:val="20"/>
          <w:szCs w:val="20"/>
          <w:color w:val="auto"/>
        </w:rPr>
        <w:t>. The Borrower shall not permit its Total Debt to Total Capitalization Ratio, to be greater than 0.35 to 1.0 at the end of any fiscal quarter.</w:t>
      </w:r>
    </w:p>
    <w:p>
      <w:pPr>
        <w:spacing w:after="0" w:line="184" w:lineRule="exact"/>
        <w:rPr>
          <w:sz w:val="20"/>
          <w:szCs w:val="20"/>
          <w:color w:val="auto"/>
        </w:rPr>
      </w:pPr>
    </w:p>
    <w:p>
      <w:pPr>
        <w:jc w:val="both"/>
        <w:ind w:firstLine="463"/>
        <w:spacing w:after="0" w:line="275"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b w:val="1"/>
          <w:bCs w:val="1"/>
          <w:color w:val="auto"/>
        </w:rPr>
        <w:t>Restrictive Agreements, Etc.</w:t>
      </w:r>
      <w:r>
        <w:rPr>
          <w:rFonts w:ascii="Arial" w:cs="Arial" w:eastAsia="Arial" w:hAnsi="Arial"/>
          <w:sz w:val="18"/>
          <w:szCs w:val="18"/>
          <w:color w:val="auto"/>
        </w:rPr>
        <w:t xml:space="preserve"> The Borrower shall not, and shall not permit any of its Material Insurance Subsidiaries to, enter into any agreement (other than pursuant to Legal Requirements and excluding any Loan Document) prohibiting any of its Subsidiaries from making any payments, directly or indirectly, to the Borrower by way of dividends, advances, repayments of loans or advances, reimbursements and accruals or other returns on investments, or any other agreement or arrangement which prohibits any such Subsidiary from making any payment, directly or indirectly, to the Borrower in an aggregate amount in excess of 1% of Net Worth (computed as of the end of the fiscal quarter immediately preceding the date the agreement becomes effective) for all such agreements, other than any covenants or other restrictions in agreements evidencing or governing Permitted Liens or Indebtedness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89" w:lineRule="exact"/>
        <w:rPr>
          <w:sz w:val="20"/>
          <w:szCs w:val="20"/>
          <w:color w:val="auto"/>
        </w:rPr>
      </w:pPr>
    </w:p>
    <w:p>
      <w:pPr>
        <w:jc w:val="both"/>
        <w:ind w:firstLine="612"/>
        <w:spacing w:after="0" w:line="256"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b w:val="1"/>
          <w:bCs w:val="1"/>
          <w:color w:val="auto"/>
        </w:rPr>
        <w:t>Certain Amendments</w:t>
      </w:r>
      <w:r>
        <w:rPr>
          <w:rFonts w:ascii="Arial" w:cs="Arial" w:eastAsia="Arial" w:hAnsi="Arial"/>
          <w:sz w:val="19"/>
          <w:szCs w:val="19"/>
          <w:color w:val="auto"/>
        </w:rPr>
        <w:t>. The Borrower shall not agree to any amendment to the terms and conditions of any Public Debenture or the underlying indenture related thereto that restricts, prohibits or would otherwise adversely affect Borrower’s ability to pay and perform the Obligations in any material respect, including any amendment that would (a) increase the interest rate on such Public Debenture, (b) change the dates upon which payments of principal or interest are due on such Public Debenture other than to extend such dates, (c) change any default or event of default or financial covenant other than to delete or make less restrictive any default or financial covenant provision therein, or add any financial covenant with respect to such Public Debenture, (d) change the redemption, prepayment, defeasance or repurchase provisions of such Public Debenture other than to extend the dates therefor or to reduce the premiums (if any) payable in connection therewith, or (e) grant any security, collateral or guaranty to secure payment of such Public Debenture, unless, to the extent such grant is made by the Borrower, the Administrative Agent, for the benefit of the Lenders, is granted, on a pari-passu basis, the identical security, collateral or guaranty to secure payment of the Obligations.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b w:val="1"/>
          <w:bCs w:val="1"/>
          <w:color w:val="auto"/>
        </w:rPr>
        <w:t>Events of Default</w:t>
      </w:r>
      <w:r>
        <w:rPr>
          <w:rFonts w:ascii="Arial" w:cs="Arial" w:eastAsia="Arial" w:hAnsi="Arial"/>
          <w:sz w:val="20"/>
          <w:szCs w:val="20"/>
          <w:color w:val="auto"/>
        </w:rPr>
        <w:t>. Any of the following shall constitute an Event of Default:</w:t>
      </w:r>
    </w:p>
    <w:p>
      <w:pPr>
        <w:spacing w:after="0" w:line="249" w:lineRule="exact"/>
        <w:rPr>
          <w:sz w:val="20"/>
          <w:szCs w:val="20"/>
          <w:color w:val="auto"/>
        </w:rPr>
      </w:pPr>
    </w:p>
    <w:p>
      <w:pPr>
        <w:ind w:left="1300" w:hanging="482"/>
        <w:spacing w:after="0"/>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fails to pay (i) when and as required to be paid herein, any amount of principal of any Loan, or</w:t>
      </w:r>
    </w:p>
    <w:p>
      <w:pPr>
        <w:spacing w:after="0" w:line="38" w:lineRule="exact"/>
        <w:rPr>
          <w:rFonts w:ascii="Arial" w:cs="Arial" w:eastAsia="Arial" w:hAnsi="Arial"/>
          <w:sz w:val="18"/>
          <w:szCs w:val="18"/>
          <w:color w:val="auto"/>
        </w:rPr>
      </w:pPr>
    </w:p>
    <w:p>
      <w:pPr>
        <w:ind w:firstLine="8"/>
        <w:spacing w:after="0" w:line="244" w:lineRule="auto"/>
        <w:tabs>
          <w:tab w:leader="none" w:pos="29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within five days after the same becomes due, any interest on any Loan, or any fee due hereunder, or any other amount payable hereunder or under any other Loan Document; or</w:t>
      </w:r>
    </w:p>
    <w:p>
      <w:pPr>
        <w:spacing w:after="0" w:line="218" w:lineRule="exact"/>
        <w:rPr>
          <w:rFonts w:ascii="Arial" w:cs="Arial" w:eastAsia="Arial" w:hAnsi="Arial"/>
          <w:sz w:val="20"/>
          <w:szCs w:val="20"/>
          <w:color w:val="auto"/>
        </w:rPr>
      </w:pPr>
    </w:p>
    <w:p>
      <w:pPr>
        <w:ind w:firstLine="818"/>
        <w:spacing w:after="0" w:line="260" w:lineRule="auto"/>
        <w:tabs>
          <w:tab w:leader="none" w:pos="1284"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The Borrower or any Subsidiary fails to perform or observe any term, covenant or agreement contained in any of </w:t>
      </w:r>
      <w:r>
        <w:rPr>
          <w:rFonts w:ascii="Arial" w:cs="Arial" w:eastAsia="Arial" w:hAnsi="Arial"/>
          <w:sz w:val="20"/>
          <w:szCs w:val="20"/>
          <w:u w:val="single" w:color="auto"/>
          <w:color w:val="auto"/>
        </w:rPr>
        <w:t>Section 6.03(a)(i)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applicable to it; or</w:t>
      </w:r>
    </w:p>
    <w:p>
      <w:pPr>
        <w:spacing w:after="0" w:line="203" w:lineRule="exact"/>
        <w:rPr>
          <w:rFonts w:ascii="Arial" w:cs="Arial" w:eastAsia="Arial" w:hAnsi="Arial"/>
          <w:sz w:val="20"/>
          <w:szCs w:val="20"/>
          <w:color w:val="auto"/>
        </w:rPr>
      </w:pPr>
    </w:p>
    <w:p>
      <w:pPr>
        <w:ind w:firstLine="818"/>
        <w:spacing w:after="0" w:line="260" w:lineRule="auto"/>
        <w:tabs>
          <w:tab w:leader="none" w:pos="1286"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The Borrower or any Subsidiary fails to perform or observe any other covenant or agreement (not specified in subsection (a) or (b) above) contained in any Loan Document 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its part to be performed or observed and such failure continues for 30 days after the earlier of (i) the date upon which a Responsible Officer knew or reasonably should have known of such failure or (ii) the date upon which written notice thereof is given to the Borrower by the Administrative Agent or any Lender; or</w:t>
      </w:r>
    </w:p>
    <w:p>
      <w:pPr>
        <w:spacing w:after="0" w:line="213" w:lineRule="exact"/>
        <w:rPr>
          <w:sz w:val="20"/>
          <w:szCs w:val="20"/>
          <w:color w:val="auto"/>
        </w:rPr>
      </w:pPr>
    </w:p>
    <w:p>
      <w:pPr>
        <w:jc w:val="both"/>
        <w:ind w:firstLine="818"/>
        <w:spacing w:after="0" w:line="269" w:lineRule="auto"/>
        <w:tabs>
          <w:tab w:leader="none" w:pos="1284"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Subsidiary herein, in any other Loan Document, or in any document delivered in connection herewith or therewith shall be incorrect or misleading in any material respect when made or deemed made; or</w:t>
      </w:r>
    </w:p>
    <w:p>
      <w:pPr>
        <w:spacing w:after="0" w:line="196" w:lineRule="exact"/>
        <w:rPr>
          <w:rFonts w:ascii="Arial" w:cs="Arial" w:eastAsia="Arial" w:hAnsi="Arial"/>
          <w:sz w:val="19"/>
          <w:szCs w:val="19"/>
          <w:color w:val="auto"/>
        </w:rPr>
      </w:pPr>
    </w:p>
    <w:p>
      <w:pPr>
        <w:jc w:val="both"/>
        <w:ind w:firstLine="818"/>
        <w:spacing w:after="0" w:line="268" w:lineRule="auto"/>
        <w:tabs>
          <w:tab w:leader="none" w:pos="128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xml:space="preserve">. (i) The Borrower or any Subsidiary (A) fails to make any payment when due (whether by scheduled maturity, required prepayment, acceleration, demand, or otherwise) in respect of any Indebtedness incurred pursuant to (x) the Public Debentures, (y) [reserved], or (z) any other Indebtedness or Contingent Obligation (other than Indebtedness hereunder, Indebtedness under Swap Contracts, Indebtedness permitted under </w:t>
      </w:r>
      <w:r>
        <w:rPr>
          <w:rFonts w:ascii="Arial" w:cs="Arial" w:eastAsia="Arial" w:hAnsi="Arial"/>
          <w:sz w:val="18"/>
          <w:szCs w:val="18"/>
          <w:u w:val="single" w:color="auto"/>
          <w:color w:val="auto"/>
        </w:rPr>
        <w:t>Section 7.04(m)</w:t>
      </w:r>
      <w:r>
        <w:rPr>
          <w:rFonts w:ascii="Arial" w:cs="Arial" w:eastAsia="Arial" w:hAnsi="Arial"/>
          <w:sz w:val="18"/>
          <w:szCs w:val="18"/>
          <w:color w:val="auto"/>
        </w:rPr>
        <w:t>, intercompany accounts payable, and Capital Lease Liabilities or purchase money Indebtedness with respect to which a bona fide dispute exists which is being actively contested by the Borrower or the applicable Subsidiary) having an aggregate principal amount (including undrawn committed or available amounts and including amounts owing to all creditors under any combined or syndicated credit arrangement) of more than 3% of Net Worth as of the fiscal quarter immediately preceding any such failure, and such failure continues after the applicable grace or notice period, if any, specified in the relevant document on the date of such failure, or (B) fails to observe or perform any other agreement or condition relating to any such Indebtedness or Contingent Obligation or contained in any instrument or agreement evidencing, securing or relating thereto, or any other event occurs, the effect of which default or other event is to cause, or to permit the holder or holders of such Indebtedness or the beneficiary or beneficiaries of such Indebtedness or Contingent Obligation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Indebtedness to become payable or cash collateral in respect thereof to be demanded, excluding, however, any such event creating any right of conversion or mandatory prepayment of any Convertible Indebtedness;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(excluding any portion thereof payable in common Equity Interests of the Borrower or such Subsidiary) is greater than 3% of Net Worth as of the fiscal quarter immediately preceding any such Early Termination Date; or</w:t>
      </w:r>
    </w:p>
    <w:p>
      <w:pPr>
        <w:spacing w:after="0" w:line="207" w:lineRule="exact"/>
        <w:rPr>
          <w:rFonts w:ascii="Arial" w:cs="Arial" w:eastAsia="Arial" w:hAnsi="Arial"/>
          <w:sz w:val="18"/>
          <w:szCs w:val="18"/>
          <w:color w:val="auto"/>
        </w:rPr>
      </w:pPr>
    </w:p>
    <w:p>
      <w:pPr>
        <w:jc w:val="both"/>
        <w:ind w:firstLine="818"/>
        <w:spacing w:after="0" w:line="273" w:lineRule="auto"/>
        <w:tabs>
          <w:tab w:leader="none" w:pos="129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The Borrower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 any Insurance Subsidiary shall become subject to any conservation, rehabilitation or liquidation order, directive or mandate issued by an Governmental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2" w:name="page113"/>
    <w:bookmarkEnd w:id="112"/>
    <w:p>
      <w:pPr>
        <w:jc w:val="both"/>
        <w:ind w:firstLine="818"/>
        <w:spacing w:after="0" w:line="282" w:lineRule="auto"/>
        <w:tabs>
          <w:tab w:leader="none" w:pos="1284"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Borrower or any Material Subsidiary ceases to be Solvent, or becomes unable or admits in writing its inability or fails generally to pay its debts as they become due, subject to applicable grace periods, if any, whether at stated maturity or otherwise,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88" w:lineRule="exact"/>
        <w:rPr>
          <w:rFonts w:ascii="Arial" w:cs="Arial" w:eastAsia="Arial" w:hAnsi="Arial"/>
          <w:sz w:val="18"/>
          <w:szCs w:val="18"/>
          <w:color w:val="auto"/>
        </w:rPr>
      </w:pPr>
    </w:p>
    <w:p>
      <w:pPr>
        <w:jc w:val="both"/>
        <w:ind w:firstLine="818"/>
        <w:spacing w:after="0" w:line="270" w:lineRule="auto"/>
        <w:tabs>
          <w:tab w:leader="none" w:pos="1284"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the Borrower or any Material Subsidiary (i) a final judgment or order for the payment of money in an aggregate amount exceeding 3% of Net Worth (to the extent not covered by an indemnity from a creditworthy indemnitor or independent third-party insurance as to which the insurer does not dispute coverage), or (ii) any one or more non-monetary final judgments that have, or could reasonably be expected to have, individually or in the aggregate, a Material Adverse Effect and, in either case,</w:t>
      </w:r>
    </w:p>
    <w:p>
      <w:pPr>
        <w:spacing w:after="0" w:line="2" w:lineRule="exact"/>
        <w:rPr>
          <w:rFonts w:ascii="Arial" w:cs="Arial" w:eastAsia="Arial" w:hAnsi="Arial"/>
          <w:sz w:val="18"/>
          <w:szCs w:val="18"/>
          <w:color w:val="auto"/>
        </w:rPr>
      </w:pPr>
    </w:p>
    <w:p>
      <w:pPr>
        <w:ind w:firstLine="8"/>
        <w:spacing w:after="0" w:line="269" w:lineRule="auto"/>
        <w:tabs>
          <w:tab w:leader="none" w:pos="33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96" w:lineRule="exact"/>
        <w:rPr>
          <w:rFonts w:ascii="Arial" w:cs="Arial" w:eastAsia="Arial" w:hAnsi="Arial"/>
          <w:sz w:val="19"/>
          <w:szCs w:val="19"/>
          <w:color w:val="auto"/>
        </w:rPr>
      </w:pPr>
    </w:p>
    <w:p>
      <w:pPr>
        <w:jc w:val="both"/>
        <w:ind w:firstLine="818"/>
        <w:spacing w:after="0" w:line="273" w:lineRule="auto"/>
        <w:tabs>
          <w:tab w:leader="none" w:pos="129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Borrower or any Material Subsidiary under Title IV of ERISA to the Pension Plan, Multiemployer Plan or the PBGC in an aggregate amount in excess of 3% of Net Worth (calculated as of the end of the fiscal quarter immediately preceding the occurrence of such ERISA Event); (ii) the aggregate amount of Unfunded Pension Liability among all Pension Plans at any time exceeds 3% of Net Worth (calculated as of the end of the fiscal quarter immediately preceding the most recent increase in Unfunded Pension Liability); or (iii) the Borrower or any ERISA Affiliate fails to pay when due, after the expiration of any applicable grace period, any installment payment with respect to its withdrawal liability under Section 4201 of ERISA under a Multiemployer Plan in an aggregate amount in excess of 3% of Net Worth (calculated as of the end of the fiscal quarter immediately preceding such failure to pay); or</w:t>
      </w:r>
    </w:p>
    <w:p>
      <w:pPr>
        <w:spacing w:after="0" w:line="195" w:lineRule="exact"/>
        <w:rPr>
          <w:rFonts w:ascii="Arial" w:cs="Arial" w:eastAsia="Arial" w:hAnsi="Arial"/>
          <w:sz w:val="18"/>
          <w:szCs w:val="18"/>
          <w:color w:val="auto"/>
        </w:rPr>
      </w:pPr>
    </w:p>
    <w:p>
      <w:pPr>
        <w:jc w:val="both"/>
        <w:ind w:firstLine="818"/>
        <w:spacing w:after="0" w:line="263" w:lineRule="auto"/>
        <w:tabs>
          <w:tab w:leader="none" w:pos="1294"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Loan Document, at any time after its execution and delivery and for any reason other than as expressly permitted hereunder or satisfaction in full of all the Obligations, ceases to be in full force and effect; or the Borrower contests in any manner the validity or enforceability of any Loan Document; or the Borrower denies that it has any or further liability or obligation under any Loan Document, or purports to revoke, terminate or rescind any Loan Document; or</w:t>
      </w:r>
    </w:p>
    <w:p>
      <w:pPr>
        <w:spacing w:after="0" w:line="203" w:lineRule="exact"/>
        <w:rPr>
          <w:rFonts w:ascii="Arial" w:cs="Arial" w:eastAsia="Arial" w:hAnsi="Arial"/>
          <w:sz w:val="19"/>
          <w:szCs w:val="19"/>
          <w:color w:val="auto"/>
        </w:rPr>
      </w:pPr>
    </w:p>
    <w:p>
      <w:pPr>
        <w:ind w:left="1300" w:hanging="482"/>
        <w:spacing w:after="0"/>
        <w:tabs>
          <w:tab w:leader="none" w:pos="1300"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42" w:lineRule="exact"/>
        <w:rPr>
          <w:rFonts w:ascii="Arial" w:cs="Arial" w:eastAsia="Arial" w:hAnsi="Arial"/>
          <w:sz w:val="20"/>
          <w:szCs w:val="20"/>
          <w:color w:val="auto"/>
        </w:rPr>
      </w:pPr>
    </w:p>
    <w:p>
      <w:pPr>
        <w:jc w:val="both"/>
        <w:ind w:firstLine="818"/>
        <w:spacing w:after="0" w:line="243" w:lineRule="auto"/>
        <w:tabs>
          <w:tab w:leader="none" w:pos="1294"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Loss of Licenses</w:t>
      </w:r>
      <w:r>
        <w:rPr>
          <w:rFonts w:ascii="Arial" w:cs="Arial" w:eastAsia="Arial" w:hAnsi="Arial"/>
          <w:sz w:val="20"/>
          <w:szCs w:val="20"/>
          <w:color w:val="auto"/>
        </w:rPr>
        <w:t>. Any Governmental Authority revokes, fails to renew or suspends any License of the Borrower or any Subsidiary, which revocation, failure or suspension has had or would reasonably be expected to have a Material Adverse Effect, or the Borrower or any Subsidiary for any reason loses any License which loss has had or would reasonably be expected to have a Material Adverse Effect, or the Borrower or any Subsidiary suffers the imposition of any restraining order, escrow, suspension or impound of funds in connection with any proceeding (judicial or administrative) with respect to any License which imposition has had or would reasonably be expected to have a Material Adverse Effect; or</w:t>
      </w:r>
    </w:p>
    <w:p>
      <w:pPr>
        <w:spacing w:after="0" w:line="222" w:lineRule="exact"/>
        <w:rPr>
          <w:rFonts w:ascii="Arial" w:cs="Arial" w:eastAsia="Arial" w:hAnsi="Arial"/>
          <w:sz w:val="20"/>
          <w:szCs w:val="20"/>
          <w:color w:val="auto"/>
        </w:rPr>
      </w:pPr>
    </w:p>
    <w:p>
      <w:pPr>
        <w:ind w:left="1300" w:hanging="482"/>
        <w:spacing w:after="0"/>
        <w:tabs>
          <w:tab w:leader="none" w:pos="130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818"/>
        <w:spacing w:after="0" w:line="250" w:lineRule="auto"/>
        <w:tabs>
          <w:tab w:leader="none" w:pos="1284"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Governmental Action</w:t>
      </w:r>
      <w:r>
        <w:rPr>
          <w:rFonts w:ascii="Arial" w:cs="Arial" w:eastAsia="Arial" w:hAnsi="Arial"/>
          <w:sz w:val="20"/>
          <w:szCs w:val="20"/>
          <w:color w:val="auto"/>
        </w:rPr>
        <w:t>. The Borrower or any of its Subsidiaries shall be required by any applicable bank regulatory authority, any applicable insurance regulatory authority or other Governmental Authority to enter into, after the Effective Date, any indenture, agreement, instrument or other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3" w:name="page114"/>
    <w:bookmarkEnd w:id="113"/>
    <w:p>
      <w:pPr>
        <w:jc w:val="both"/>
        <w:spacing w:after="0" w:line="263" w:lineRule="auto"/>
        <w:rPr>
          <w:sz w:val="20"/>
          <w:szCs w:val="20"/>
          <w:color w:val="auto"/>
        </w:rPr>
      </w:pPr>
      <w:r>
        <w:rPr>
          <w:rFonts w:ascii="Arial" w:cs="Arial" w:eastAsia="Arial" w:hAnsi="Arial"/>
          <w:sz w:val="19"/>
          <w:szCs w:val="19"/>
          <w:color w:val="auto"/>
        </w:rPr>
        <w:t>arrangement (including any capital maintenance agreement) that directly or indirectly, prohibits or restrains, or has the effect of prohibiting or restraining, or imposes material adverse conditions upon the incurrence or payment of Indebtedness, the granting of Liens, the declaration or payment of dividends, the making of Investments or the disposition of property or requires the making of capital contributions to, or other Investments in, any such Subsidiary in an aggregate amount which has a Material Adverse Effect.</w:t>
      </w:r>
    </w:p>
    <w:p>
      <w:pPr>
        <w:spacing w:after="0" w:line="197" w:lineRule="exact"/>
        <w:rPr>
          <w:sz w:val="20"/>
          <w:szCs w:val="20"/>
          <w:color w:val="auto"/>
        </w:rPr>
      </w:pPr>
    </w:p>
    <w:p>
      <w:pPr>
        <w:jc w:val="both"/>
        <w:ind w:firstLine="409"/>
        <w:spacing w:after="0" w:line="267"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b w:val="1"/>
          <w:bCs w:val="1"/>
          <w:color w:val="auto"/>
        </w:rPr>
        <w:t>Remedies Upon Event of Default</w:t>
      </w:r>
      <w:r>
        <w:rPr>
          <w:rFonts w:ascii="Arial" w:cs="Arial" w:eastAsia="Arial" w:hAnsi="Arial"/>
          <w:sz w:val="20"/>
          <w:szCs w:val="20"/>
          <w:color w:val="auto"/>
        </w:rPr>
        <w:t>. If any Event of Default occurs and is continuing, the Administrative Agent shall, at the request of, or may, with the consent of, the Required Lenders, take any or all of the following actions:</w:t>
      </w:r>
    </w:p>
    <w:p>
      <w:pPr>
        <w:spacing w:after="0" w:line="196" w:lineRule="exact"/>
        <w:rPr>
          <w:sz w:val="20"/>
          <w:szCs w:val="20"/>
          <w:color w:val="auto"/>
        </w:rPr>
      </w:pPr>
    </w:p>
    <w:p>
      <w:pPr>
        <w:ind w:left="1300" w:hanging="482"/>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to be terminated, whereupon such commitments shall be terminated;</w:t>
      </w:r>
    </w:p>
    <w:p>
      <w:pPr>
        <w:spacing w:after="0" w:line="265" w:lineRule="exact"/>
        <w:rPr>
          <w:rFonts w:ascii="Arial" w:cs="Arial" w:eastAsia="Arial" w:hAnsi="Arial"/>
          <w:sz w:val="18"/>
          <w:szCs w:val="18"/>
          <w:color w:val="auto"/>
        </w:rPr>
      </w:pPr>
    </w:p>
    <w:p>
      <w:pPr>
        <w:jc w:val="both"/>
        <w:ind w:firstLine="818"/>
        <w:spacing w:after="0" w:line="250" w:lineRule="auto"/>
        <w:tabs>
          <w:tab w:leader="none" w:pos="128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212" w:lineRule="exact"/>
        <w:rPr>
          <w:rFonts w:ascii="Arial" w:cs="Arial" w:eastAsia="Arial" w:hAnsi="Arial"/>
          <w:sz w:val="20"/>
          <w:szCs w:val="20"/>
          <w:color w:val="auto"/>
        </w:rPr>
      </w:pPr>
    </w:p>
    <w:p>
      <w:pPr>
        <w:ind w:right="20" w:firstLine="818"/>
        <w:spacing w:after="0" w:line="260" w:lineRule="auto"/>
        <w:tabs>
          <w:tab w:leader="none" w:pos="128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exercise on behalf of itself and the Lenders all rights and remedies available to it and the Lenders under the Loan Documents or applicable Law;</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upon the occurrence of any Event of Default under </w:t>
      </w:r>
      <w:r>
        <w:rPr>
          <w:rFonts w:ascii="Arial" w:cs="Arial" w:eastAsia="Arial" w:hAnsi="Arial"/>
          <w:sz w:val="19"/>
          <w:szCs w:val="19"/>
          <w:u w:val="single" w:color="auto"/>
          <w:color w:val="auto"/>
        </w:rPr>
        <w:t>Section 8.01(f)</w:t>
      </w:r>
      <w:r>
        <w:rPr>
          <w:rFonts w:ascii="Arial" w:cs="Arial" w:eastAsia="Arial" w:hAnsi="Arial"/>
          <w:sz w:val="19"/>
          <w:szCs w:val="19"/>
          <w:color w:val="auto"/>
        </w:rPr>
        <w:t>,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spacing w:after="0" w:line="164"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b w:val="1"/>
          <w:bCs w:val="1"/>
          <w:color w:val="auto"/>
        </w:rPr>
        <w:t>Application of Funds</w:t>
      </w:r>
      <w:r>
        <w:rPr>
          <w:rFonts w:ascii="Arial" w:cs="Arial" w:eastAsia="Arial" w:hAnsi="Arial"/>
          <w:sz w:val="19"/>
          <w:szCs w:val="19"/>
          <w:color w:val="auto"/>
        </w:rPr>
        <w:t xml:space="preserve">. After the exercise of remedies provided for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after the Loans have 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 2.14</w:t>
      </w:r>
      <w:r>
        <w:rPr>
          <w:rFonts w:ascii="Arial" w:cs="Arial" w:eastAsia="Arial" w:hAnsi="Arial"/>
          <w:sz w:val="19"/>
          <w:szCs w:val="19"/>
          <w:color w:val="auto"/>
        </w:rPr>
        <w:t>, be applied by the Administrative Agent in the following order:</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reasonable fees, expenses and disbursements of any law firm or other external counsel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under the Loan Documents in its capacity as such;</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indemnities and other amounts (other than principal and interest) payable to the Lenders (including reasonable fees, expenses and disbursements of any law firm or other external counsel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under the Loan Documents, ratably among them in proportion to the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interest on the Loans, ratably among the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21"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b w:val="1"/>
          <w:bCs w:val="1"/>
          <w:color w:val="auto"/>
        </w:rPr>
        <w:t>Appointment and Authority</w:t>
      </w:r>
      <w:r>
        <w:rPr>
          <w:rFonts w:ascii="Arial" w:cs="Arial" w:eastAsia="Arial" w:hAnsi="Arial"/>
          <w:sz w:val="16"/>
          <w:szCs w:val="16"/>
          <w:color w:val="auto"/>
        </w:rPr>
        <w:t>.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6"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b w:val="1"/>
          <w:bCs w:val="1"/>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w:t>
      </w:r>
      <w:r>
        <w:rPr>
          <w:rFonts w:ascii="Arial" w:cs="Arial" w:eastAsia="Arial" w:hAnsi="Arial"/>
          <w:sz w:val="20"/>
          <w:szCs w:val="20"/>
          <w:u w:val="single" w:color="auto"/>
          <w:color w:val="auto"/>
        </w:rPr>
        <w:t>Lender</w:t>
      </w:r>
      <w:r>
        <w:rPr>
          <w:rFonts w:ascii="Arial" w:cs="Arial" w:eastAsia="Arial" w:hAnsi="Arial"/>
          <w:sz w:val="20"/>
          <w:szCs w:val="20"/>
          <w:color w:val="auto"/>
        </w:rPr>
        <w:t>” or “</w:t>
      </w:r>
      <w:r>
        <w:rPr>
          <w:rFonts w:ascii="Arial" w:cs="Arial" w:eastAsia="Arial" w:hAnsi="Arial"/>
          <w:sz w:val="20"/>
          <w:szCs w:val="20"/>
          <w:u w:val="single" w:color="auto"/>
          <w:color w:val="auto"/>
        </w:rPr>
        <w:t>Lenders</w:t>
      </w:r>
      <w:r>
        <w:rPr>
          <w:rFonts w:ascii="Arial" w:cs="Arial" w:eastAsia="Arial" w:hAnsi="Arial"/>
          <w:sz w:val="20"/>
          <w:szCs w:val="20"/>
          <w:color w:val="auto"/>
        </w:rPr>
        <w:t>”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13" w:lineRule="exact"/>
        <w:rPr>
          <w:sz w:val="20"/>
          <w:szCs w:val="20"/>
          <w:color w:val="auto"/>
        </w:rPr>
      </w:pPr>
    </w:p>
    <w:p>
      <w:pPr>
        <w:jc w:val="both"/>
        <w:ind w:firstLine="517"/>
        <w:spacing w:after="0" w:line="253"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b w:val="1"/>
          <w:bCs w:val="1"/>
          <w:color w:val="auto"/>
        </w:rPr>
        <w:t>Exculpatory Provisions</w:t>
      </w:r>
      <w:r>
        <w:rPr>
          <w:rFonts w:ascii="Arial" w:cs="Arial" w:eastAsia="Arial" w:hAnsi="Arial"/>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10" w:lineRule="exact"/>
        <w:rPr>
          <w:sz w:val="20"/>
          <w:szCs w:val="20"/>
          <w:color w:val="auto"/>
        </w:rPr>
      </w:pPr>
    </w:p>
    <w:p>
      <w:pPr>
        <w:ind w:left="1300" w:hanging="482"/>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65" w:lineRule="exact"/>
        <w:rPr>
          <w:rFonts w:ascii="Arial" w:cs="Arial" w:eastAsia="Arial" w:hAnsi="Arial"/>
          <w:sz w:val="18"/>
          <w:szCs w:val="18"/>
          <w:color w:val="auto"/>
        </w:rPr>
      </w:pPr>
    </w:p>
    <w:p>
      <w:pPr>
        <w:jc w:val="both"/>
        <w:ind w:firstLine="818"/>
        <w:spacing w:after="0" w:line="274" w:lineRule="auto"/>
        <w:tabs>
          <w:tab w:leader="none" w:pos="128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5" w:lineRule="exact"/>
        <w:rPr>
          <w:rFonts w:ascii="Arial" w:cs="Arial" w:eastAsia="Arial" w:hAnsi="Arial"/>
          <w:sz w:val="18"/>
          <w:szCs w:val="18"/>
          <w:color w:val="auto"/>
        </w:rPr>
      </w:pPr>
    </w:p>
    <w:p>
      <w:pPr>
        <w:ind w:firstLine="818"/>
        <w:spacing w:after="0" w:line="260" w:lineRule="auto"/>
        <w:tabs>
          <w:tab w:leader="none" w:pos="128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15" w:name="page116"/>
    <w:bookmarkEnd w:id="115"/>
    <w:p>
      <w:pPr>
        <w:jc w:val="both"/>
        <w:spacing w:after="0" w:line="260" w:lineRule="auto"/>
        <w:rPr>
          <w:sz w:val="20"/>
          <w:szCs w:val="20"/>
          <w:color w:val="auto"/>
        </w:rPr>
      </w:pPr>
      <w:r>
        <w:rPr>
          <w:rFonts w:ascii="Arial" w:cs="Arial" w:eastAsia="Arial" w:hAnsi="Arial"/>
          <w:sz w:val="20"/>
          <w:szCs w:val="20"/>
          <w:color w:val="auto"/>
        </w:rPr>
        <w:t>Borrower or any of its Affiliates that is communicated to or obtained by the Person serving as the Administrative Agent or any of its Affiliates in any capacity.</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bad faith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2" w:lineRule="exact"/>
        <w:rPr>
          <w:sz w:val="20"/>
          <w:szCs w:val="20"/>
          <w:color w:val="auto"/>
        </w:rPr>
      </w:pPr>
    </w:p>
    <w:p>
      <w:pPr>
        <w:ind w:right="20" w:firstLine="8"/>
        <w:spacing w:after="0" w:line="244" w:lineRule="auto"/>
        <w:tabs>
          <w:tab w:leader="none" w:pos="28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8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b w:val="1"/>
          <w:bCs w:val="1"/>
          <w:color w:val="auto"/>
        </w:rPr>
        <w:t>Reliance by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7" w:lineRule="exact"/>
        <w:rPr>
          <w:sz w:val="20"/>
          <w:szCs w:val="20"/>
          <w:color w:val="auto"/>
        </w:rPr>
      </w:pPr>
    </w:p>
    <w:p>
      <w:pPr>
        <w:jc w:val="both"/>
        <w:ind w:firstLine="450"/>
        <w:spacing w:after="0" w:line="232" w:lineRule="exact"/>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b w:val="1"/>
          <w:bCs w:val="1"/>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w:t>
      </w:r>
      <w:r>
        <w:rPr>
          <w:rFonts w:ascii="MS PGothic" w:cs="MS PGothic" w:eastAsia="MS PGothic" w:hAnsi="MS PGothic"/>
          <w:sz w:val="18"/>
          <w:szCs w:val="18"/>
          <w:color w:val="auto"/>
        </w:rPr>
        <w:t>‑</w:t>
      </w:r>
      <w:r>
        <w:rPr>
          <w:rFonts w:ascii="Arial" w:cs="Arial" w:eastAsia="Arial" w:hAnsi="Arial"/>
          <w:sz w:val="18"/>
          <w:szCs w:val="18"/>
          <w:color w:val="auto"/>
        </w:rPr>
        <w:t>agents appointed by the Administrative Agent. The Administrative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Arial" w:cs="Arial" w:eastAsia="Arial" w:hAnsi="Arial"/>
          <w:sz w:val="18"/>
          <w:szCs w:val="18"/>
          <w:color w:val="auto"/>
        </w:rPr>
        <w:t>agent and to the Related Parties of the Administrative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w:t>
      </w:r>
      <w:r>
        <w:rPr>
          <w:rFonts w:ascii="MS PGothic" w:cs="MS PGothic" w:eastAsia="MS PGothic" w:hAnsi="MS PGothic"/>
          <w:sz w:val="18"/>
          <w:szCs w:val="18"/>
          <w:color w:val="auto"/>
        </w:rPr>
        <w:t>‑</w:t>
      </w:r>
      <w:r>
        <w:rPr>
          <w:rFonts w:ascii="Arial" w:cs="Arial" w:eastAsia="Arial" w:hAnsi="Arial"/>
          <w:sz w:val="18"/>
          <w:szCs w:val="18"/>
          <w:color w:val="auto"/>
        </w:rPr>
        <w:t>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6" w:name="page117"/>
    <w:bookmarkEnd w:id="116"/>
    <w:p>
      <w:pPr>
        <w:ind w:left="400"/>
        <w:spacing w:after="0"/>
        <w:rPr>
          <w:sz w:val="20"/>
          <w:szCs w:val="20"/>
          <w:color w:val="auto"/>
        </w:rPr>
      </w:pPr>
      <w:r>
        <w:rPr>
          <w:rFonts w:ascii="Arial" w:cs="Arial" w:eastAsia="Arial" w:hAnsi="Arial"/>
          <w:sz w:val="20"/>
          <w:szCs w:val="20"/>
          <w:color w:val="auto"/>
        </w:rPr>
        <w:t xml:space="preserve">Section 9.06 </w:t>
      </w:r>
      <w:r>
        <w:rPr>
          <w:rFonts w:ascii="Arial" w:cs="Arial" w:eastAsia="Arial" w:hAnsi="Arial"/>
          <w:sz w:val="20"/>
          <w:szCs w:val="20"/>
          <w:b w:val="1"/>
          <w:bCs w:val="1"/>
          <w:color w:val="auto"/>
        </w:rPr>
        <w:t>Resignation of Administrative Agent.</w:t>
      </w:r>
    </w:p>
    <w:p>
      <w:pPr>
        <w:spacing w:after="0" w:line="249" w:lineRule="exact"/>
        <w:rPr>
          <w:sz w:val="20"/>
          <w:szCs w:val="20"/>
          <w:color w:val="auto"/>
        </w:rPr>
      </w:pPr>
    </w:p>
    <w:p>
      <w:pPr>
        <w:jc w:val="both"/>
        <w:ind w:firstLine="818"/>
        <w:spacing w:after="0" w:line="255" w:lineRule="auto"/>
        <w:tabs>
          <w:tab w:leader="none" w:pos="128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Administrative Agent may at any time give notice of its resignation to the Lenders and the Borrower. Upon receipt of any such notice of resignation, the Required Lenders shall have the right, with the prior consent of the Borrower (which consent shall not be unreasonably withheld or delayed and in any event shall not be required at any time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exists and is continuing), to appoint a successor, which shall be a bank with an office in the United States, or an Affiliate of any such bank with an office in the United States having combined capital and surplus in excess of $1,000,000,000.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216" w:lineRule="exact"/>
        <w:rPr>
          <w:rFonts w:ascii="Arial" w:cs="Arial" w:eastAsia="Arial" w:hAnsi="Arial"/>
          <w:sz w:val="19"/>
          <w:szCs w:val="19"/>
          <w:color w:val="auto"/>
        </w:rPr>
      </w:pPr>
    </w:p>
    <w:p>
      <w:pPr>
        <w:jc w:val="both"/>
        <w:ind w:firstLine="818"/>
        <w:spacing w:after="0" w:line="257" w:lineRule="auto"/>
        <w:tabs>
          <w:tab w:leader="none" w:pos="128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If the Person serving as Administrative Agent is a Defaulting Lender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thereof, the Required Lenders may, to the extent permitted by applicable Law, by notice in writing to the Borrower and such Person remove such Person as Administrative Agent and, with the prior consent of the Borrower (which consent shall not be unreasonably withheld or delayed and in any event shall not be required at any time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exists and is continuing),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211" w:lineRule="exact"/>
        <w:rPr>
          <w:rFonts w:ascii="Arial" w:cs="Arial" w:eastAsia="Arial" w:hAnsi="Arial"/>
          <w:sz w:val="19"/>
          <w:szCs w:val="19"/>
          <w:color w:val="auto"/>
        </w:rPr>
      </w:pPr>
    </w:p>
    <w:p>
      <w:pPr>
        <w:jc w:val="both"/>
        <w:ind w:firstLine="818"/>
        <w:spacing w:after="0" w:line="231" w:lineRule="exact"/>
        <w:tabs>
          <w:tab w:leader="none" w:pos="128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or removed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while the retiring or removed Administrative Agent was acting as Administrative Agent.</w:t>
      </w:r>
    </w:p>
    <w:p>
      <w:pPr>
        <w:spacing w:after="0" w:line="231" w:lineRule="exact"/>
        <w:rPr>
          <w:rFonts w:ascii="Arial" w:cs="Arial" w:eastAsia="Arial" w:hAnsi="Arial"/>
          <w:sz w:val="18"/>
          <w:szCs w:val="18"/>
          <w:color w:val="auto"/>
        </w:rPr>
      </w:pPr>
    </w:p>
    <w:p>
      <w:pPr>
        <w:ind w:left="1300" w:hanging="482"/>
        <w:spacing w:after="0"/>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117" w:name="page118"/>
    <w:bookmarkEnd w:id="117"/>
    <w:p>
      <w:pPr>
        <w:jc w:val="both"/>
        <w:ind w:firstLine="436"/>
        <w:spacing w:after="0" w:line="268"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b w:val="1"/>
          <w:bCs w:val="1"/>
          <w:color w:val="auto"/>
        </w:rPr>
        <w:t>Non-Reliance on Administrative Agent, the Arrangers and Other Lenders</w:t>
      </w:r>
      <w:r>
        <w:rPr>
          <w:rFonts w:ascii="Arial" w:cs="Arial" w:eastAsia="Arial" w:hAnsi="Arial"/>
          <w:sz w:val="18"/>
          <w:szCs w:val="18"/>
          <w:color w:val="auto"/>
        </w:rPr>
        <w:t>. 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the Borrower or any Affiliate thereof, shall be deemed to constitute any representation or warranty by the Administrative Agent or any Arranger to any Lender as to any matter, including whether the Administrative Agent or Arranger have disclosed material information in their (or their Related Parties’) possession. Each Lender represents to the Administrative Agent and any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either it, or the Person exercising discretion in making its decision to make, acquire and/or hold such commercial loans is experienced in making, acquiring or holding such commercial loans.</w:t>
      </w:r>
    </w:p>
    <w:p>
      <w:pPr>
        <w:spacing w:after="0" w:line="207" w:lineRule="exact"/>
        <w:rPr>
          <w:sz w:val="20"/>
          <w:szCs w:val="20"/>
          <w:color w:val="auto"/>
        </w:rPr>
      </w:pPr>
    </w:p>
    <w:p>
      <w:pPr>
        <w:jc w:val="both"/>
        <w:ind w:firstLine="760"/>
        <w:spacing w:after="0" w:line="260"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b w:val="1"/>
          <w:bCs w:val="1"/>
          <w:color w:val="auto"/>
        </w:rPr>
        <w:t>No Other Duties, Etc.</w:t>
      </w:r>
      <w:r>
        <w:rPr>
          <w:rFonts w:ascii="Arial" w:cs="Arial" w:eastAsia="Arial" w:hAnsi="Arial"/>
          <w:sz w:val="19"/>
          <w:szCs w:val="19"/>
          <w:color w:val="auto"/>
        </w:rPr>
        <w:t xml:space="preserve"> Anything herein to the contrary notwithstanding, none of the Arrangers, Bookrunners, Documentation Agents or Syndication Agents listed on the cover page hereof shall have any powers, duties or responsibilities under this Agreement or any of the other Loan Documents, except in its capacity, as applicable, as the Administrative Agent or a Lender hereunder.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200"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b w:val="1"/>
          <w:bCs w:val="1"/>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4" w:lineRule="exact"/>
        <w:rPr>
          <w:sz w:val="20"/>
          <w:szCs w:val="20"/>
          <w:color w:val="auto"/>
        </w:rPr>
      </w:pPr>
    </w:p>
    <w:p>
      <w:pPr>
        <w:jc w:val="both"/>
        <w:ind w:left="660" w:right="20" w:firstLine="806"/>
        <w:spacing w:after="0" w:line="291" w:lineRule="auto"/>
        <w:tabs>
          <w:tab w:leader="none" w:pos="19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18" w:name="page119"/>
    <w:bookmarkEnd w:id="118"/>
    <w:p>
      <w:pPr>
        <w:ind w:left="660"/>
        <w:spacing w:after="0" w:line="316" w:lineRule="auto"/>
        <w:rPr>
          <w:sz w:val="20"/>
          <w:szCs w:val="20"/>
          <w:color w:val="auto"/>
        </w:rPr>
      </w:pPr>
      <w:r>
        <w:rPr>
          <w:rFonts w:ascii="Arial" w:cs="Arial" w:eastAsia="Arial" w:hAnsi="Arial"/>
          <w:sz w:val="18"/>
          <w:szCs w:val="18"/>
          <w:color w:val="auto"/>
        </w:rPr>
        <w:t xml:space="preserve">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allowed in such judicial proceeding; and</w:t>
      </w:r>
    </w:p>
    <w:p>
      <w:pPr>
        <w:spacing w:after="0" w:line="157" w:lineRule="exact"/>
        <w:rPr>
          <w:sz w:val="20"/>
          <w:szCs w:val="20"/>
          <w:color w:val="auto"/>
        </w:rPr>
      </w:pPr>
    </w:p>
    <w:p>
      <w:pPr>
        <w:ind w:left="1940" w:hanging="474"/>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same;</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b w:val="1"/>
          <w:bCs w:val="1"/>
          <w:color w:val="auto"/>
        </w:rPr>
        <w:t>Certain ERISA Matters.</w:t>
      </w:r>
    </w:p>
    <w:p>
      <w:pPr>
        <w:spacing w:after="0" w:line="22" w:lineRule="exact"/>
        <w:rPr>
          <w:sz w:val="20"/>
          <w:szCs w:val="20"/>
          <w:color w:val="auto"/>
        </w:rPr>
      </w:pPr>
    </w:p>
    <w:p>
      <w:pPr>
        <w:jc w:val="both"/>
        <w:ind w:right="280" w:firstLine="818"/>
        <w:spacing w:after="0" w:line="239" w:lineRule="auto"/>
        <w:tabs>
          <w:tab w:leader="none" w:pos="1286" w:val="left"/>
        </w:tabs>
        <w:numPr>
          <w:ilvl w:val="1"/>
          <w:numId w:val="112"/>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 w:lineRule="exact"/>
        <w:rPr>
          <w:rFonts w:ascii="Arial" w:cs="Arial" w:eastAsia="Arial" w:hAnsi="Arial"/>
          <w:sz w:val="20"/>
          <w:szCs w:val="20"/>
          <w:color w:val="auto"/>
        </w:rPr>
      </w:pPr>
    </w:p>
    <w:p>
      <w:pPr>
        <w:ind w:left="580" w:right="140" w:firstLine="780"/>
        <w:spacing w:after="0" w:line="241" w:lineRule="auto"/>
        <w:tabs>
          <w:tab w:leader="none" w:pos="1957" w:val="left"/>
        </w:tabs>
        <w:numPr>
          <w:ilvl w:val="2"/>
          <w:numId w:val="11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222" w:lineRule="exact"/>
        <w:rPr>
          <w:rFonts w:ascii="Arial" w:cs="Arial" w:eastAsia="Arial" w:hAnsi="Arial"/>
          <w:sz w:val="20"/>
          <w:szCs w:val="20"/>
          <w:color w:val="auto"/>
        </w:rPr>
      </w:pPr>
    </w:p>
    <w:p>
      <w:pPr>
        <w:jc w:val="both"/>
        <w:ind w:left="580" w:firstLine="725"/>
        <w:spacing w:after="0" w:line="274" w:lineRule="auto"/>
        <w:tabs>
          <w:tab w:leader="none" w:pos="1957"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w:t>
      </w:r>
    </w:p>
    <w:p>
      <w:pPr>
        <w:spacing w:after="0" w:line="195" w:lineRule="exact"/>
        <w:rPr>
          <w:rFonts w:ascii="Arial" w:cs="Arial" w:eastAsia="Arial" w:hAnsi="Arial"/>
          <w:sz w:val="18"/>
          <w:szCs w:val="18"/>
          <w:color w:val="auto"/>
        </w:rPr>
      </w:pPr>
    </w:p>
    <w:p>
      <w:pPr>
        <w:jc w:val="both"/>
        <w:ind w:left="580" w:firstLine="670"/>
        <w:spacing w:after="0" w:line="270" w:lineRule="auto"/>
        <w:tabs>
          <w:tab w:leader="none" w:pos="2015"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Arial" w:cs="Arial" w:eastAsia="Arial" w:hAnsi="Arial"/>
          <w:sz w:val="18"/>
          <w:szCs w:val="18"/>
          <w:color w:val="auto"/>
        </w:rPr>
      </w:pPr>
    </w:p>
    <w:p>
      <w:pPr>
        <w:ind w:left="580" w:right="20" w:hanging="5"/>
        <w:spacing w:after="0" w:line="244" w:lineRule="auto"/>
        <w:tabs>
          <w:tab w:leader="none" w:pos="87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through (g) of Part I of PTE 84-14 and (D) to the best knowledge of such Lender, the requirements of subsection (a) of Part I of PTE 84-</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9" w:name="page120"/>
    <w:bookmarkEnd w:id="119"/>
    <w:p>
      <w:pPr>
        <w:ind w:left="580"/>
        <w:spacing w:after="0" w:line="260" w:lineRule="auto"/>
        <w:rPr>
          <w:sz w:val="20"/>
          <w:szCs w:val="20"/>
          <w:color w:val="auto"/>
        </w:rPr>
      </w:pPr>
      <w:r>
        <w:rPr>
          <w:rFonts w:ascii="Arial" w:cs="Arial" w:eastAsia="Arial" w:hAnsi="Arial"/>
          <w:sz w:val="20"/>
          <w:szCs w:val="20"/>
          <w:color w:val="auto"/>
        </w:rPr>
        <w:t>14 are satisfied with respect to such Lender’s entrance into, participation in, administration of and performance of the Loans, the Commitments and this Agreement, or</w:t>
      </w:r>
    </w:p>
    <w:p>
      <w:pPr>
        <w:spacing w:after="0" w:line="204" w:lineRule="exact"/>
        <w:rPr>
          <w:sz w:val="20"/>
          <w:szCs w:val="20"/>
          <w:color w:val="auto"/>
        </w:rPr>
      </w:pPr>
    </w:p>
    <w:p>
      <w:pPr>
        <w:ind w:left="580" w:firstLine="681"/>
        <w:spacing w:after="0" w:line="260" w:lineRule="auto"/>
        <w:tabs>
          <w:tab w:leader="none" w:pos="1957" w:val="left"/>
        </w:tabs>
        <w:numPr>
          <w:ilvl w:val="1"/>
          <w:numId w:val="11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203" w:lineRule="exact"/>
        <w:rPr>
          <w:rFonts w:ascii="Arial" w:cs="Arial" w:eastAsia="Arial" w:hAnsi="Arial"/>
          <w:sz w:val="20"/>
          <w:szCs w:val="20"/>
          <w:color w:val="auto"/>
        </w:rPr>
      </w:pPr>
    </w:p>
    <w:p>
      <w:pPr>
        <w:jc w:val="both"/>
        <w:ind w:firstLine="818"/>
        <w:spacing w:after="0" w:line="273" w:lineRule="auto"/>
        <w:tabs>
          <w:tab w:leader="none" w:pos="128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21" w:lineRule="exact"/>
        <w:rPr>
          <w:sz w:val="20"/>
          <w:szCs w:val="20"/>
          <w:color w:val="auto"/>
        </w:rPr>
      </w:pPr>
    </w:p>
    <w:p>
      <w:pPr>
        <w:jc w:val="both"/>
        <w:ind w:firstLine="463"/>
        <w:spacing w:after="0" w:line="246" w:lineRule="auto"/>
        <w:rPr>
          <w:sz w:val="20"/>
          <w:szCs w:val="20"/>
          <w:color w:val="auto"/>
        </w:rPr>
      </w:pPr>
      <w:r>
        <w:rPr>
          <w:rFonts w:ascii="Arial" w:cs="Arial" w:eastAsia="Arial" w:hAnsi="Arial"/>
          <w:sz w:val="20"/>
          <w:szCs w:val="20"/>
          <w:color w:val="auto"/>
        </w:rPr>
        <w:t xml:space="preserve">Section 10.01. </w:t>
      </w:r>
      <w:r>
        <w:rPr>
          <w:rFonts w:ascii="Arial" w:cs="Arial" w:eastAsia="Arial" w:hAnsi="Arial"/>
          <w:sz w:val="20"/>
          <w:szCs w:val="20"/>
          <w:b w:val="1"/>
          <w:bCs w:val="1"/>
          <w:color w:val="auto"/>
        </w:rPr>
        <w:t>Amendments, Etc.</w:t>
      </w:r>
      <w:r>
        <w:rPr>
          <w:rFonts w:ascii="Arial" w:cs="Arial" w:eastAsia="Arial" w:hAnsi="Arial"/>
          <w:sz w:val="20"/>
          <w:szCs w:val="20"/>
          <w:color w:val="auto"/>
        </w:rPr>
        <w:t xml:space="preserve"> No amendment or waiver of any provision of this Agreement or any other Loan Document, and no consent to any departure by the Borrower therefrom, shall be effective unless in writing signed by the Required Lenders and the Borrower and acknowledged by the Administrative Agent (such acknowledgement not to be unreasonably withheld, conditioned or delayed),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no such amendment, waiver or consent shall:</w:t>
      </w:r>
    </w:p>
    <w:p>
      <w:pPr>
        <w:spacing w:after="0" w:line="218" w:lineRule="exact"/>
        <w:rPr>
          <w:sz w:val="20"/>
          <w:szCs w:val="20"/>
          <w:color w:val="auto"/>
        </w:rPr>
      </w:pPr>
    </w:p>
    <w:p>
      <w:pPr>
        <w:ind w:left="1300" w:hanging="482"/>
        <w:spacing w:after="0"/>
        <w:tabs>
          <w:tab w:leader="none" w:pos="13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818"/>
        <w:spacing w:after="0" w:line="263" w:lineRule="auto"/>
        <w:tabs>
          <w:tab w:leader="none" w:pos="128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extend or increase the Commitment of any Lender (or reinstate any Commitment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without the written consent of such Lender; it being understood that no amendment, modification or waiver of, or consent to departure from, any condition precedent, representation, warranty, covenant, Default, Event of Default, mandatory prepayment or mandatory reduction of the Commitments shall constitute an increase or extension of any Commitment of such Lender;</w:t>
      </w:r>
    </w:p>
    <w:p>
      <w:pPr>
        <w:spacing w:after="0" w:line="203" w:lineRule="exact"/>
        <w:rPr>
          <w:rFonts w:ascii="Arial" w:cs="Arial" w:eastAsia="Arial" w:hAnsi="Arial"/>
          <w:sz w:val="19"/>
          <w:szCs w:val="19"/>
          <w:color w:val="auto"/>
        </w:rPr>
      </w:pPr>
    </w:p>
    <w:p>
      <w:pPr>
        <w:jc w:val="both"/>
        <w:ind w:firstLine="818"/>
        <w:spacing w:after="0" w:line="246" w:lineRule="auto"/>
        <w:tabs>
          <w:tab w:leader="none" w:pos="128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or mandatory prepayment of principal, interest, fees or other amounts due to the Lenders (or any of them) or any scheduled or mandatory reduction of the Aggregate Commitments hereunder or under any other Loan Document without the written consent of each Lender directly affected thereby (but without the additional need of consent of the Required Lenders);</w:t>
      </w:r>
    </w:p>
    <w:p>
      <w:pPr>
        <w:spacing w:after="0" w:line="218" w:lineRule="exact"/>
        <w:rPr>
          <w:rFonts w:ascii="Arial" w:cs="Arial" w:eastAsia="Arial" w:hAnsi="Arial"/>
          <w:sz w:val="20"/>
          <w:szCs w:val="20"/>
          <w:color w:val="auto"/>
        </w:rPr>
      </w:pPr>
    </w:p>
    <w:p>
      <w:pPr>
        <w:jc w:val="both"/>
        <w:ind w:firstLine="818"/>
        <w:spacing w:after="0" w:line="246" w:lineRule="auto"/>
        <w:tabs>
          <w:tab w:leader="none" w:pos="128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(subject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directly affected thereby (but without the additional need of consent of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0" w:name="page121"/>
    <w:bookmarkEnd w:id="120"/>
    <w:p>
      <w:pPr>
        <w:ind w:right="20"/>
        <w:spacing w:after="0" w:line="260" w:lineRule="auto"/>
        <w:rPr>
          <w:sz w:val="20"/>
          <w:szCs w:val="20"/>
          <w:color w:val="auto"/>
        </w:rPr>
      </w:pPr>
      <w:r>
        <w:rPr>
          <w:rFonts w:ascii="Arial" w:cs="Arial" w:eastAsia="Arial" w:hAnsi="Arial"/>
          <w:sz w:val="20"/>
          <w:szCs w:val="20"/>
          <w:color w:val="auto"/>
        </w:rPr>
        <w:t>of the Required Lenders shall be necessary to amend the definition of “Default Rate” or to waive any obligation of the Borrower to pay interest at the Default Rate;</w:t>
      </w:r>
    </w:p>
    <w:p>
      <w:pPr>
        <w:spacing w:after="0" w:line="204" w:lineRule="exact"/>
        <w:rPr>
          <w:sz w:val="20"/>
          <w:szCs w:val="20"/>
          <w:color w:val="auto"/>
        </w:rPr>
      </w:pPr>
    </w:p>
    <w:p>
      <w:pPr>
        <w:ind w:firstLine="818"/>
        <w:spacing w:after="0" w:line="260" w:lineRule="auto"/>
        <w:tabs>
          <w:tab w:leader="none" w:pos="128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pro rata sharing of payments required thereby without the written consent of each Lender; or</w:t>
      </w:r>
    </w:p>
    <w:p>
      <w:pPr>
        <w:spacing w:after="0" w:line="203" w:lineRule="exact"/>
        <w:rPr>
          <w:rFonts w:ascii="Arial" w:cs="Arial" w:eastAsia="Arial" w:hAnsi="Arial"/>
          <w:sz w:val="20"/>
          <w:szCs w:val="20"/>
          <w:color w:val="auto"/>
        </w:rPr>
      </w:pPr>
    </w:p>
    <w:p>
      <w:pPr>
        <w:jc w:val="both"/>
        <w:ind w:firstLine="818"/>
        <w:spacing w:after="0" w:line="250" w:lineRule="auto"/>
        <w:tabs>
          <w:tab w:leader="none" w:pos="129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w:t>
      </w:r>
    </w:p>
    <w:p>
      <w:pPr>
        <w:spacing w:after="0" w:line="1" w:lineRule="exact"/>
        <w:rPr>
          <w:sz w:val="20"/>
          <w:szCs w:val="20"/>
          <w:color w:val="auto"/>
        </w:rPr>
      </w:pPr>
    </w:p>
    <w:p>
      <w:pPr>
        <w:jc w:val="both"/>
        <w:ind w:firstLine="8"/>
        <w:spacing w:after="0" w:line="253" w:lineRule="auto"/>
        <w:tabs>
          <w:tab w:leader="none" w:pos="31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Fee Letter may be amended, or rights or privileges thereunder waived, in a writing executed only by the Borrower and the party thereto whose fees are being amended or rights or privileges thereunder are being waived.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it being understood that no amendment, modification or waiver of, or consent to departure from, any condition precedent, representation, warranty, covenant, Default, Event of Default, mandatory prepayment or mandatory reduction of the Commitments shall constitute an increase or extension of any Commitment of such Defaulting Lender and (y) any waiver, amendment or modification requiring the consent of all Lenders or each affected Lender that by its terms affects any Defaulting Lender disproportionately adversely relative to other affected Lenders (other than as a result of the Applicable Percentages of the respective Lenders being different) shall require the consent of such Defaulting Lender.</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Notwithstanding any provision herein to the contrary, this Agreement may be amended (or amended and extended or restated, supplemented or otherwise modified) with the written consent of (x) the Required Lenders, the Borrower and the Administrative Agent (i) to add one or more additional term facilities or tranches to the existing credit facility, and to permit the extensions of credit and all related obligations and liabilities arising in connection therewith from time to time outstanding to share ratably in the benefits of this Agreement and the other Loan Documents with the obligations and liabilities from time to time outstanding with the existing credit facility and tranches hereunder, and (ii) in connection with the foregoing, to permit, as deemed appropriate by the Administrative Agent and approved by the Required Lenders and the Borrower, the Lenders providing such additional credit facilities or tranches to participate in any required vote or action required to be approved by the Required Lenders or by any other member or percentage of Lenders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in no event shall this paragraph modify the provisions of </w:t>
      </w:r>
      <w:r>
        <w:rPr>
          <w:rFonts w:ascii="Arial" w:cs="Arial" w:eastAsia="Arial" w:hAnsi="Arial"/>
          <w:sz w:val="18"/>
          <w:szCs w:val="18"/>
          <w:u w:val="single" w:color="auto"/>
          <w:color w:val="auto"/>
        </w:rPr>
        <w:t>Section 10.01(b)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10.01(c)</w:t>
      </w:r>
      <w:r>
        <w:rPr>
          <w:rFonts w:ascii="Arial" w:cs="Arial" w:eastAsia="Arial" w:hAnsi="Arial"/>
          <w:sz w:val="18"/>
          <w:szCs w:val="18"/>
          <w:color w:val="auto"/>
        </w:rPr>
        <w:t xml:space="preserve"> and (y) the Administrative Agent and the Borrower (i) to correct administrative errors or omissions, or to effect administrative changes that are not materially adverse to any Lender without any further consent of any Lender, (ii) to add one or more documentation agents or similar agents from time to time and/or (iii) pursuant to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to implement a LIBOR Successor Rate (including any LIBOR Successor Rate Conforming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20"/>
          <w:szCs w:val="20"/>
          <w:color w:val="auto"/>
        </w:rPr>
        <w:t xml:space="preserve">Section 10.02. </w:t>
      </w:r>
      <w:r>
        <w:rPr>
          <w:rFonts w:ascii="Arial" w:cs="Arial" w:eastAsia="Arial" w:hAnsi="Arial"/>
          <w:sz w:val="20"/>
          <w:szCs w:val="20"/>
          <w:b w:val="1"/>
          <w:bCs w:val="1"/>
          <w:color w:val="auto"/>
        </w:rPr>
        <w:t>Notices; Effectiveness; Electronic Communication.</w:t>
      </w:r>
    </w:p>
    <w:p>
      <w:pPr>
        <w:spacing w:after="0" w:line="249" w:lineRule="exact"/>
        <w:rPr>
          <w:sz w:val="20"/>
          <w:szCs w:val="20"/>
          <w:color w:val="auto"/>
        </w:rPr>
      </w:pPr>
    </w:p>
    <w:p>
      <w:pPr>
        <w:jc w:val="both"/>
        <w:ind w:firstLine="818"/>
        <w:spacing w:after="0" w:line="282" w:lineRule="auto"/>
        <w:tabs>
          <w:tab w:leader="none" w:pos="128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8" w:lineRule="exact"/>
        <w:rPr>
          <w:rFonts w:ascii="Arial" w:cs="Arial" w:eastAsia="Arial" w:hAnsi="Arial"/>
          <w:sz w:val="18"/>
          <w:szCs w:val="18"/>
          <w:color w:val="auto"/>
        </w:rPr>
      </w:pPr>
    </w:p>
    <w:p>
      <w:pPr>
        <w:ind w:left="580" w:right="20" w:firstLine="780"/>
        <w:spacing w:after="0" w:line="260" w:lineRule="auto"/>
        <w:tabs>
          <w:tab w:leader="none" w:pos="195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if to the Borrower or the Administrative Agent,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203" w:lineRule="exact"/>
        <w:rPr>
          <w:rFonts w:ascii="Arial" w:cs="Arial" w:eastAsia="Arial" w:hAnsi="Arial"/>
          <w:sz w:val="20"/>
          <w:szCs w:val="20"/>
          <w:color w:val="auto"/>
        </w:rPr>
      </w:pPr>
    </w:p>
    <w:p>
      <w:pPr>
        <w:jc w:val="both"/>
        <w:ind w:left="580" w:firstLine="725"/>
        <w:spacing w:after="0" w:line="246" w:lineRule="auto"/>
        <w:tabs>
          <w:tab w:leader="none" w:pos="195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(b)</w:t>
      </w:r>
      <w:r>
        <w:rPr>
          <w:rFonts w:ascii="Arial" w:cs="Arial" w:eastAsia="Arial" w:hAnsi="Arial"/>
          <w:sz w:val="20"/>
          <w:szCs w:val="20"/>
          <w:color w:val="auto"/>
        </w:rPr>
        <w:t>.</w:t>
      </w:r>
    </w:p>
    <w:p>
      <w:pPr>
        <w:spacing w:after="0" w:line="194" w:lineRule="exact"/>
        <w:rPr>
          <w:sz w:val="20"/>
          <w:szCs w:val="20"/>
          <w:color w:val="auto"/>
        </w:rPr>
      </w:pPr>
    </w:p>
    <w:p>
      <w:pPr>
        <w:jc w:val="both"/>
        <w:ind w:firstLine="818"/>
        <w:spacing w:after="0" w:line="232" w:lineRule="exact"/>
        <w:tabs>
          <w:tab w:leader="none" w:pos="1284"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hereunder may be delivered or furnished by electronic communication (including e</w:t>
      </w:r>
      <w:r>
        <w:rPr>
          <w:rFonts w:ascii="MS PGothic" w:cs="MS PGothic" w:eastAsia="MS PGothic" w:hAnsi="MS PGothic"/>
          <w:sz w:val="20"/>
          <w:szCs w:val="20"/>
          <w:color w:val="auto"/>
        </w:rPr>
        <w:t>‑</w:t>
      </w:r>
      <w:r>
        <w:rPr>
          <w:rFonts w:ascii="Arial" w:cs="Arial" w:eastAsia="Arial" w:hAnsi="Arial"/>
          <w:sz w:val="20"/>
          <w:szCs w:val="20"/>
          <w:color w:val="auto"/>
        </w:rPr>
        <w:t xml:space="preserve">mail and Internet or intranet websites) pursuant to procedures approved by the Administrative Agent or as otherwise provided in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Unless the Administrative Agent otherwise prescribes and except as otherwise provided in this Agreement,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0" w:lineRule="exact"/>
        <w:rPr>
          <w:sz w:val="20"/>
          <w:szCs w:val="20"/>
          <w:color w:val="auto"/>
        </w:rPr>
      </w:pPr>
    </w:p>
    <w:p>
      <w:pPr>
        <w:ind w:left="1300" w:hanging="482"/>
        <w:spacing w:after="0"/>
        <w:tabs>
          <w:tab w:leader="none" w:pos="13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15" w:lineRule="exact"/>
        <w:rPr>
          <w:rFonts w:ascii="Arial" w:cs="Arial" w:eastAsia="Arial" w:hAnsi="Arial"/>
          <w:sz w:val="20"/>
          <w:szCs w:val="20"/>
          <w:color w:val="auto"/>
        </w:rPr>
      </w:pPr>
    </w:p>
    <w:p>
      <w:pPr>
        <w:spacing w:after="0" w:line="244" w:lineRule="auto"/>
        <w:rPr>
          <w:rFonts w:ascii="Arial" w:cs="Arial" w:eastAsia="Arial" w:hAnsi="Arial"/>
          <w:sz w:val="20"/>
          <w:szCs w:val="20"/>
          <w:color w:val="auto"/>
        </w:rPr>
      </w:pPr>
      <w:r>
        <w:rPr>
          <w:rFonts w:ascii="Arial" w:cs="Arial" w:eastAsia="Arial" w:hAnsi="Arial"/>
          <w:sz w:val="20"/>
          <w:szCs w:val="20"/>
          <w:color w:val="auto"/>
        </w:rPr>
        <w:t>DEFINED BELOW) DO NOT WARRANT THE ACCURACY OR COMPLETENESS OF THE BORROWER MATERIALS OR THE ADEQUACY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22" w:name="page123"/>
    <w:bookmarkEnd w:id="122"/>
    <w:p>
      <w:pPr>
        <w:jc w:val="both"/>
        <w:spacing w:after="0" w:line="271" w:lineRule="auto"/>
        <w:rPr>
          <w:sz w:val="20"/>
          <w:szCs w:val="20"/>
          <w:color w:val="auto"/>
        </w:rPr>
      </w:pPr>
      <w:r>
        <w:rPr>
          <w:rFonts w:ascii="Arial" w:cs="Arial" w:eastAsia="Arial" w:hAnsi="Arial"/>
          <w:sz w:val="18"/>
          <w:szCs w:val="18"/>
          <w:color w:val="auto"/>
        </w:rPr>
        <w:t>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willful misconduct or breach, in bad faith, of this Agreement by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Lender or any other Person for indirect, special, incidental, consequential or punitive damages (as opposed to direct or actual damages).</w:t>
      </w:r>
    </w:p>
    <w:p>
      <w:pPr>
        <w:spacing w:after="0" w:line="197" w:lineRule="exact"/>
        <w:rPr>
          <w:sz w:val="20"/>
          <w:szCs w:val="20"/>
          <w:color w:val="auto"/>
        </w:rPr>
      </w:pPr>
    </w:p>
    <w:p>
      <w:pPr>
        <w:jc w:val="both"/>
        <w:ind w:firstLine="818"/>
        <w:spacing w:after="0" w:line="271" w:lineRule="auto"/>
        <w:tabs>
          <w:tab w:leader="none" w:pos="128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6" w:lineRule="exact"/>
        <w:rPr>
          <w:rFonts w:ascii="Arial" w:cs="Arial" w:eastAsia="Arial" w:hAnsi="Arial"/>
          <w:sz w:val="18"/>
          <w:szCs w:val="18"/>
          <w:color w:val="auto"/>
        </w:rPr>
      </w:pPr>
    </w:p>
    <w:p>
      <w:pPr>
        <w:jc w:val="both"/>
        <w:ind w:firstLine="818"/>
        <w:spacing w:after="0" w:line="242" w:lineRule="auto"/>
        <w:tabs>
          <w:tab w:leader="none" w:pos="1286"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Reliance by Administrative Agent and Lenders</w:t>
      </w:r>
      <w:r>
        <w:rPr>
          <w:rFonts w:ascii="Arial" w:cs="Arial" w:eastAsia="Arial" w:hAnsi="Arial"/>
          <w:sz w:val="20"/>
          <w:szCs w:val="20"/>
          <w:color w:val="auto"/>
        </w:rPr>
        <w:t>. The Administrative Agent and the Lenders shall be entitled to rely and act upon any notices (including any telephonic or electronic Loan Notice)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218" w:lineRule="exact"/>
        <w:rPr>
          <w:sz w:val="20"/>
          <w:szCs w:val="20"/>
          <w:color w:val="auto"/>
        </w:rPr>
      </w:pPr>
    </w:p>
    <w:p>
      <w:pPr>
        <w:jc w:val="both"/>
        <w:ind w:firstLine="477"/>
        <w:spacing w:after="0" w:line="245"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b w:val="1"/>
          <w:bCs w:val="1"/>
          <w:color w:val="auto"/>
        </w:rPr>
        <w:t>No Waiver; Cumulative Remedies; Enforcement</w:t>
      </w:r>
      <w:r>
        <w:rPr>
          <w:rFonts w:ascii="Arial" w:cs="Arial" w:eastAsia="Arial" w:hAnsi="Arial"/>
          <w:sz w:val="20"/>
          <w:szCs w:val="20"/>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3" w:name="page124"/>
    <w:bookmarkEnd w:id="123"/>
    <w:p>
      <w:pPr>
        <w:jc w:val="both"/>
        <w:ind w:firstLine="648"/>
        <w:spacing w:after="0" w:line="255"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(c) any Lender from filing proofs of claim or appearing and filing pleadings on its own behalf during the pendency of a proceeding relative to the Borrower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2.12</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10.04. </w:t>
      </w:r>
      <w:r>
        <w:rPr>
          <w:rFonts w:ascii="Arial" w:cs="Arial" w:eastAsia="Arial" w:hAnsi="Arial"/>
          <w:sz w:val="20"/>
          <w:szCs w:val="20"/>
          <w:b w:val="1"/>
          <w:bCs w:val="1"/>
          <w:color w:val="auto"/>
        </w:rPr>
        <w:t>Expenses; Indemnity; Damage Waiver</w:t>
      </w:r>
      <w:r>
        <w:rPr>
          <w:rFonts w:ascii="Arial" w:cs="Arial" w:eastAsia="Arial" w:hAnsi="Arial"/>
          <w:sz w:val="20"/>
          <w:szCs w:val="20"/>
          <w:color w:val="auto"/>
        </w:rPr>
        <w:t>.</w:t>
      </w:r>
    </w:p>
    <w:p>
      <w:pPr>
        <w:spacing w:after="0" w:line="249" w:lineRule="exact"/>
        <w:rPr>
          <w:sz w:val="20"/>
          <w:szCs w:val="20"/>
          <w:color w:val="auto"/>
        </w:rPr>
      </w:pPr>
    </w:p>
    <w:p>
      <w:pPr>
        <w:jc w:val="both"/>
        <w:ind w:firstLine="818"/>
        <w:spacing w:after="0" w:line="232" w:lineRule="exact"/>
        <w:tabs>
          <w:tab w:leader="none" w:pos="128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and its Affiliates (but limited, in the case of legal fees and expenses, to the reasonable and documented out-of-pocket fees and expenses of one counsel for the Administrative Agent and the Arrangers,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and documented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or any Lender, but limited, in the case of legal fees and expenses, to the reasonable and documented out-of-pocket fees and expenses of one counsel for the Administrative Agent and the Arrangers, taken as a whole, and such additional counsel as reasonably required by any Lender in light of conflicts of interest, in connection with the enforcement or protection of its rights (A) in connection with this Agreement and the other Loan Documents, including its rights under this Section, or (B) in connection with the Loans made, including all such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during any workout, restructuring or negotiations in respect of such Loans.</w:t>
      </w:r>
    </w:p>
    <w:p>
      <w:pPr>
        <w:spacing w:after="0" w:line="225" w:lineRule="exact"/>
        <w:rPr>
          <w:rFonts w:ascii="Arial" w:cs="Arial" w:eastAsia="Arial" w:hAnsi="Arial"/>
          <w:sz w:val="18"/>
          <w:szCs w:val="18"/>
          <w:color w:val="auto"/>
        </w:rPr>
      </w:pPr>
    </w:p>
    <w:p>
      <w:pPr>
        <w:jc w:val="both"/>
        <w:ind w:firstLine="818"/>
        <w:spacing w:after="0" w:line="255" w:lineRule="auto"/>
        <w:tabs>
          <w:tab w:leader="none" w:pos="128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(and any sub-agent thereof),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and related documented expenses (but limited, in the case of legal fees and expenses, to the reasonable and documented out-of-pocket fees and expenses of one counsel for all the Indemnitees, taken as a whole, and such additional counsel as reasonably required by any Indemnitee in light of conflicts of interest or the availability of different claims or defenses), incurred by any Indemnitee or asserted against any Indemnitee by any Person (including the Borrower)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(other than costs of Lenders other than Bank of America incurred solely in connection with the negotiation of the initial terms of this Agreement and the execution and delivery of this Agreement), or, in the case of the Administrative Agent (and any sub-agent thereof) and its Related Parties only, the administration of this Agreement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4" w:name="page125"/>
    <w:bookmarkEnd w:id="124"/>
    <w:p>
      <w:pPr>
        <w:jc w:val="both"/>
        <w:spacing w:after="0" w:line="269" w:lineRule="auto"/>
        <w:rPr>
          <w:sz w:val="20"/>
          <w:szCs w:val="20"/>
          <w:color w:val="auto"/>
        </w:rPr>
      </w:pPr>
      <w:r>
        <w:rPr>
          <w:rFonts w:ascii="Arial" w:cs="Arial" w:eastAsia="Arial" w:hAnsi="Arial"/>
          <w:sz w:val="18"/>
          <w:szCs w:val="18"/>
          <w:color w:val="auto"/>
        </w:rPr>
        <w:t xml:space="preserve">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w:t>
      </w:r>
    </w:p>
    <w:p>
      <w:pPr>
        <w:spacing w:after="0" w:line="1" w:lineRule="exact"/>
        <w:rPr>
          <w:sz w:val="20"/>
          <w:szCs w:val="20"/>
          <w:color w:val="auto"/>
        </w:rPr>
      </w:pPr>
    </w:p>
    <w:p>
      <w:pPr>
        <w:jc w:val="both"/>
        <w:ind w:firstLine="8"/>
        <w:spacing w:after="0" w:line="272" w:lineRule="auto"/>
        <w:tabs>
          <w:tab w:leader="none" w:pos="29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are determined by a court of competent jurisdiction by final and non-appealable judgment to have resulted from the gross negligence or willful misconduct of such Indemnitee or (y) result from a claim brought by the Borrower against an Indemnitee for material breach of such Indemnitee’s obligations hereunder or under any other Loan Document, if the Borrower has obtained a final and non-appealable judgment in its favor on such claim as determined by a court of competent jurisdiction or (z) are the result of claims asserted against an Indemnitee by another Indemnitee.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96" w:lineRule="exact"/>
        <w:rPr>
          <w:rFonts w:ascii="Arial" w:cs="Arial" w:eastAsia="Arial" w:hAnsi="Arial"/>
          <w:sz w:val="18"/>
          <w:szCs w:val="18"/>
          <w:color w:val="auto"/>
        </w:rPr>
      </w:pPr>
    </w:p>
    <w:p>
      <w:pPr>
        <w:jc w:val="both"/>
        <w:ind w:firstLine="818"/>
        <w:spacing w:after="0" w:line="255" w:lineRule="auto"/>
        <w:tabs>
          <w:tab w:leader="none" w:pos="1286"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firstLine="818"/>
        <w:spacing w:after="0" w:line="255" w:lineRule="auto"/>
        <w:tabs>
          <w:tab w:leader="none" w:pos="1284"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each party hereto shall not assert, and hereby waives any claim against each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None of the Borrower, the Administrative Agent (and any sub-agent thereof), any Lender, and any Related Party of any of the foregoing Persons shall be liable for any damages arising from the use by unintended recipients of any information or other materials distributed to such unintended recipients by any of the foregoing Persons through telecommunications, electronic or other information transmission systems in connection with this Agreement or the other Loan Documents or the transactions contemplated hereby or thereby other than, with respect to any Person, for direct or actual damages resulting from the gross negligence or willful misconduct of such Person or the material breach of the Loan Documents by the Borrower, the Administrative Agent (and any sub-agent thereof), any Lender, and any Related Party of any of the foregoing Persons, as applicable, as determined by a final and non-appealable judgment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5" w:name="page126"/>
    <w:bookmarkEnd w:id="125"/>
    <w:p>
      <w:pPr>
        <w:ind w:firstLine="818"/>
        <w:spacing w:after="0" w:line="260" w:lineRule="auto"/>
        <w:tabs>
          <w:tab w:leader="none" w:pos="1286"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not later than ten Business Days after demand therefor together with supporting documentation reasonably acceptable to the Borrower.</w:t>
      </w:r>
    </w:p>
    <w:p>
      <w:pPr>
        <w:spacing w:after="0" w:line="203" w:lineRule="exact"/>
        <w:rPr>
          <w:rFonts w:ascii="Arial" w:cs="Arial" w:eastAsia="Arial" w:hAnsi="Arial"/>
          <w:sz w:val="20"/>
          <w:szCs w:val="20"/>
          <w:color w:val="auto"/>
        </w:rPr>
      </w:pPr>
    </w:p>
    <w:p>
      <w:pPr>
        <w:jc w:val="both"/>
        <w:ind w:firstLine="818"/>
        <w:spacing w:after="0" w:line="250" w:lineRule="auto"/>
        <w:tabs>
          <w:tab w:leader="none" w:pos="1291"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207" w:lineRule="exact"/>
        <w:rPr>
          <w:sz w:val="20"/>
          <w:szCs w:val="20"/>
          <w:color w:val="auto"/>
        </w:rPr>
      </w:pPr>
    </w:p>
    <w:p>
      <w:pPr>
        <w:jc w:val="both"/>
        <w:ind w:firstLine="517"/>
        <w:spacing w:after="0" w:line="309"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b w:val="1"/>
          <w:bCs w:val="1"/>
          <w:color w:val="auto"/>
        </w:rPr>
        <w:t>Payments Set Aside</w:t>
      </w:r>
      <w:r>
        <w:rPr>
          <w:rFonts w:ascii="Arial" w:cs="Arial" w:eastAsia="Arial" w:hAnsi="Arial"/>
          <w:sz w:val="16"/>
          <w:szCs w:val="16"/>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10.06 </w:t>
      </w:r>
      <w:r>
        <w:rPr>
          <w:rFonts w:ascii="Arial" w:cs="Arial" w:eastAsia="Arial" w:hAnsi="Arial"/>
          <w:sz w:val="20"/>
          <w:szCs w:val="20"/>
          <w:b w:val="1"/>
          <w:bCs w:val="1"/>
          <w:color w:val="auto"/>
        </w:rPr>
        <w:t>Successors and Assigns.</w:t>
      </w:r>
    </w:p>
    <w:p>
      <w:pPr>
        <w:spacing w:after="0" w:line="249" w:lineRule="exact"/>
        <w:rPr>
          <w:sz w:val="20"/>
          <w:szCs w:val="20"/>
          <w:color w:val="auto"/>
        </w:rPr>
      </w:pPr>
    </w:p>
    <w:p>
      <w:pPr>
        <w:jc w:val="both"/>
        <w:ind w:firstLine="818"/>
        <w:spacing w:after="0" w:line="304" w:lineRule="auto"/>
        <w:tabs>
          <w:tab w:leader="none" w:pos="1286"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jc w:val="both"/>
        <w:ind w:firstLine="8"/>
        <w:spacing w:after="0" w:line="272" w:lineRule="auto"/>
        <w:tabs>
          <w:tab w:leader="none" w:pos="282" w:val="left"/>
        </w:tabs>
        <w:numPr>
          <w:ilvl w:val="0"/>
          <w:numId w:val="127"/>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96" w:lineRule="exact"/>
        <w:rPr>
          <w:rFonts w:ascii="Arial" w:cs="Arial" w:eastAsia="Arial" w:hAnsi="Arial"/>
          <w:sz w:val="18"/>
          <w:szCs w:val="18"/>
          <w:u w:val="single" w:color="auto"/>
          <w:color w:val="auto"/>
        </w:rPr>
      </w:pPr>
    </w:p>
    <w:p>
      <w:pPr>
        <w:jc w:val="both"/>
        <w:ind w:firstLine="818"/>
        <w:spacing w:after="0" w:line="250" w:lineRule="auto"/>
        <w:tabs>
          <w:tab w:leader="none" w:pos="1284"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212" w:lineRule="exact"/>
        <w:rPr>
          <w:rFonts w:ascii="Arial" w:cs="Arial" w:eastAsia="Arial" w:hAnsi="Arial"/>
          <w:sz w:val="20"/>
          <w:szCs w:val="20"/>
          <w:color w:val="auto"/>
        </w:rPr>
      </w:pPr>
    </w:p>
    <w:p>
      <w:pPr>
        <w:ind w:left="1960" w:hanging="600"/>
        <w:spacing w:after="0"/>
        <w:tabs>
          <w:tab w:leader="none" w:pos="1960" w:val="left"/>
        </w:tabs>
        <w:numPr>
          <w:ilvl w:val="2"/>
          <w:numId w:val="127"/>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43" w:lineRule="exact"/>
        <w:rPr>
          <w:sz w:val="20"/>
          <w:szCs w:val="20"/>
          <w:color w:val="auto"/>
        </w:rPr>
      </w:pPr>
    </w:p>
    <w:p>
      <w:pPr>
        <w:jc w:val="both"/>
        <w:ind w:left="1340" w:firstLine="1013"/>
        <w:spacing w:after="0" w:line="269" w:lineRule="auto"/>
        <w:rPr>
          <w:sz w:val="20"/>
          <w:szCs w:val="20"/>
          <w:color w:val="auto"/>
        </w:rPr>
      </w:pPr>
      <w:r>
        <w:rPr>
          <w:rFonts w:ascii="Arial" w:cs="Arial" w:eastAsia="Arial" w:hAnsi="Arial"/>
          <w:sz w:val="19"/>
          <w:szCs w:val="19"/>
          <w:color w:val="auto"/>
        </w:rPr>
        <w:t xml:space="preserve">(1)in the case of an assignment of the entire remaining amount of the assigning Lender’s Commitment and/or the Loans at the time owing to it or contemporaneous assignments to related Approved Funds that equal at least the amount specified in </w:t>
      </w:r>
      <w:r>
        <w:rPr>
          <w:rFonts w:ascii="Arial" w:cs="Arial" w:eastAsia="Arial" w:hAnsi="Arial"/>
          <w:sz w:val="19"/>
          <w:szCs w:val="19"/>
          <w:u w:val="single" w:color="auto"/>
          <w:color w:val="auto"/>
        </w:rPr>
        <w:t>paragraph (b)(i)(B)</w:t>
      </w:r>
      <w:r>
        <w:rPr>
          <w:rFonts w:ascii="Arial" w:cs="Arial" w:eastAsia="Arial" w:hAnsi="Arial"/>
          <w:sz w:val="19"/>
          <w:szCs w:val="19"/>
          <w:color w:val="auto"/>
        </w:rPr>
        <w:t xml:space="preserve"> of this Section in the aggregate or in the case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20"/>
          <w:szCs w:val="20"/>
          <w:color w:val="auto"/>
        </w:rPr>
        <w:t>assignment to a Lender, an Affiliate of a Lender or an Approved Fund, no minimum amount need be assigned; and</w:t>
      </w:r>
    </w:p>
    <w:p>
      <w:pPr>
        <w:spacing w:after="0" w:line="243" w:lineRule="exact"/>
        <w:rPr>
          <w:sz w:val="20"/>
          <w:szCs w:val="20"/>
          <w:color w:val="auto"/>
        </w:rPr>
      </w:pPr>
    </w:p>
    <w:p>
      <w:pPr>
        <w:jc w:val="both"/>
        <w:ind w:left="760" w:firstLine="1013"/>
        <w:spacing w:after="0" w:line="274" w:lineRule="auto"/>
        <w:rPr>
          <w:sz w:val="20"/>
          <w:szCs w:val="20"/>
          <w:color w:val="auto"/>
        </w:rPr>
      </w:pPr>
      <w:r>
        <w:rPr>
          <w:rFonts w:ascii="Arial" w:cs="Arial" w:eastAsia="Arial" w:hAnsi="Arial"/>
          <w:sz w:val="18"/>
          <w:szCs w:val="18"/>
          <w:color w:val="auto"/>
        </w:rPr>
        <w:t xml:space="preserve">(2)in any case not described in </w:t>
      </w:r>
      <w:r>
        <w:rPr>
          <w:rFonts w:ascii="Arial" w:cs="Arial" w:eastAsia="Arial" w:hAnsi="Arial"/>
          <w:sz w:val="18"/>
          <w:szCs w:val="18"/>
          <w:u w:val="single" w:color="auto"/>
          <w:color w:val="auto"/>
        </w:rPr>
        <w:t>subsection (b)(i)(A)</w:t>
      </w:r>
      <w:r>
        <w:rPr>
          <w:rFonts w:ascii="Arial" w:cs="Arial" w:eastAsia="Arial" w:hAnsi="Arial"/>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has occurred and is continuing, the Borrower otherwise consents (each such consent not to be unreasonably withheld or delayed).</w:t>
      </w:r>
    </w:p>
    <w:p>
      <w:pPr>
        <w:spacing w:after="0" w:line="195" w:lineRule="exact"/>
        <w:rPr>
          <w:sz w:val="20"/>
          <w:szCs w:val="20"/>
          <w:color w:val="auto"/>
        </w:rPr>
      </w:pPr>
    </w:p>
    <w:p>
      <w:pPr>
        <w:ind w:firstLine="725"/>
        <w:spacing w:after="0" w:line="287" w:lineRule="auto"/>
        <w:tabs>
          <w:tab w:leader="none" w:pos="1377"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Loans or the Commitment assigned;</w:t>
      </w:r>
    </w:p>
    <w:p>
      <w:pPr>
        <w:spacing w:after="0" w:line="179" w:lineRule="exact"/>
        <w:rPr>
          <w:rFonts w:ascii="Arial" w:cs="Arial" w:eastAsia="Arial" w:hAnsi="Arial"/>
          <w:sz w:val="19"/>
          <w:szCs w:val="19"/>
          <w:color w:val="auto"/>
        </w:rPr>
      </w:pPr>
    </w:p>
    <w:p>
      <w:pPr>
        <w:ind w:firstLine="670"/>
        <w:spacing w:after="0" w:line="260" w:lineRule="auto"/>
        <w:tabs>
          <w:tab w:leader="none" w:pos="1377"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of Commitments or Loans except to the extent required by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and, in addition:</w:t>
      </w:r>
    </w:p>
    <w:p>
      <w:pPr>
        <w:spacing w:after="0" w:line="204" w:lineRule="exact"/>
        <w:rPr>
          <w:sz w:val="20"/>
          <w:szCs w:val="20"/>
          <w:color w:val="auto"/>
        </w:rPr>
      </w:pPr>
    </w:p>
    <w:p>
      <w:pPr>
        <w:jc w:val="both"/>
        <w:ind w:left="760" w:firstLine="1013"/>
        <w:spacing w:after="0" w:line="278" w:lineRule="auto"/>
        <w:rPr>
          <w:sz w:val="20"/>
          <w:szCs w:val="20"/>
          <w:color w:val="auto"/>
        </w:rPr>
      </w:pPr>
      <w:r>
        <w:rPr>
          <w:rFonts w:ascii="Arial" w:cs="Arial" w:eastAsia="Arial" w:hAnsi="Arial"/>
          <w:sz w:val="18"/>
          <w:szCs w:val="18"/>
          <w:color w:val="auto"/>
        </w:rPr>
        <w:t xml:space="preserve">(1)the consent of the Borrower (such consent not to be unreasonably withheld or delayed)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from and after the Funding Date, the Borrower shall be deemed to have consented to any such assignment unless it shall object thereto by written notice to the Administrative Agent within ten (10) Business Days after having received notice thereof;</w:t>
      </w:r>
    </w:p>
    <w:p>
      <w:pPr>
        <w:spacing w:after="0" w:line="192" w:lineRule="exact"/>
        <w:rPr>
          <w:sz w:val="20"/>
          <w:szCs w:val="20"/>
          <w:color w:val="auto"/>
        </w:rPr>
      </w:pPr>
    </w:p>
    <w:p>
      <w:pPr>
        <w:jc w:val="both"/>
        <w:ind w:left="760" w:firstLine="1013"/>
        <w:spacing w:after="0" w:line="250" w:lineRule="auto"/>
        <w:rPr>
          <w:sz w:val="20"/>
          <w:szCs w:val="20"/>
          <w:color w:val="auto"/>
        </w:rPr>
      </w:pPr>
      <w:r>
        <w:rPr>
          <w:rFonts w:ascii="Arial" w:cs="Arial" w:eastAsia="Arial" w:hAnsi="Arial"/>
          <w:sz w:val="20"/>
          <w:szCs w:val="20"/>
          <w:color w:val="auto"/>
        </w:rPr>
        <w:t>(2)the consent of the Administrative Agent (such consent not to be unreasonably withheld or delayed) shall be required if such assignment is to a Person that is not a Lender, an Affiliate of such Lender or an Approved Fund with respect to such Lender; and</w:t>
      </w:r>
    </w:p>
    <w:p>
      <w:pPr>
        <w:spacing w:after="0" w:line="21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(3)[reserved].</w:t>
      </w:r>
    </w:p>
    <w:p>
      <w:pPr>
        <w:spacing w:after="0" w:line="243" w:lineRule="exact"/>
        <w:rPr>
          <w:sz w:val="20"/>
          <w:szCs w:val="20"/>
          <w:color w:val="auto"/>
        </w:rPr>
      </w:pPr>
    </w:p>
    <w:p>
      <w:pPr>
        <w:jc w:val="both"/>
        <w:ind w:firstLine="681"/>
        <w:spacing w:after="0" w:line="282" w:lineRule="auto"/>
        <w:tabs>
          <w:tab w:leader="none" w:pos="137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8" w:lineRule="exact"/>
        <w:rPr>
          <w:rFonts w:ascii="Arial" w:cs="Arial" w:eastAsia="Arial" w:hAnsi="Arial"/>
          <w:sz w:val="18"/>
          <w:szCs w:val="18"/>
          <w:color w:val="auto"/>
        </w:rPr>
      </w:pPr>
    </w:p>
    <w:p>
      <w:pPr>
        <w:jc w:val="both"/>
        <w:ind w:right="20" w:firstLine="736"/>
        <w:spacing w:after="0" w:line="282" w:lineRule="auto"/>
        <w:tabs>
          <w:tab w:leader="none" w:pos="137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a holding company, investment vehicle or trust for, or owned and operated for the primary benefit of one or more natural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233045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1135" w:right="339" w:bottom="1440" w:gutter="0" w:footer="0" w:header="0"/>
        </w:sectPr>
      </w:pPr>
    </w:p>
    <w:bookmarkStart w:id="127" w:name="page128"/>
    <w:bookmarkEnd w:id="127"/>
    <w:p>
      <w:pPr>
        <w:jc w:val="both"/>
        <w:ind w:left="580" w:firstLine="681"/>
        <w:spacing w:after="0" w:line="255" w:lineRule="auto"/>
        <w:tabs>
          <w:tab w:leader="none" w:pos="1957"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w:t>
      </w:r>
    </w:p>
    <w:p>
      <w:pPr>
        <w:spacing w:after="0" w:line="176" w:lineRule="exact"/>
        <w:rPr>
          <w:sz w:val="20"/>
          <w:szCs w:val="20"/>
          <w:color w:val="auto"/>
        </w:rPr>
      </w:pPr>
    </w:p>
    <w:p>
      <w:pPr>
        <w:jc w:val="both"/>
        <w:ind w:firstLine="818"/>
        <w:spacing w:after="0" w:line="242" w:lineRule="auto"/>
        <w:tabs>
          <w:tab w:leader="none" w:pos="1286"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223" w:lineRule="exact"/>
        <w:rPr>
          <w:rFonts w:ascii="Arial" w:cs="Arial" w:eastAsia="Arial" w:hAnsi="Arial"/>
          <w:sz w:val="20"/>
          <w:szCs w:val="20"/>
          <w:color w:val="auto"/>
        </w:rPr>
      </w:pPr>
    </w:p>
    <w:p>
      <w:pPr>
        <w:jc w:val="both"/>
        <w:ind w:firstLine="818"/>
        <w:spacing w:after="0" w:line="263" w:lineRule="auto"/>
        <w:tabs>
          <w:tab w:leader="none" w:pos="1284"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in all or a portion of such Lender’s rights and/or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8" w:name="page129"/>
    <w:bookmarkEnd w:id="128"/>
    <w:p>
      <w:pPr>
        <w:jc w:val="both"/>
        <w:spacing w:after="0" w:line="260" w:lineRule="auto"/>
        <w:rPr>
          <w:sz w:val="20"/>
          <w:szCs w:val="20"/>
          <w:color w:val="auto"/>
        </w:rPr>
      </w:pPr>
      <w:r>
        <w:rPr>
          <w:rFonts w:ascii="Arial" w:cs="Arial" w:eastAsia="Arial" w:hAnsi="Arial"/>
          <w:sz w:val="19"/>
          <w:szCs w:val="19"/>
          <w:color w:val="auto"/>
        </w:rPr>
        <w:t xml:space="preserve">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without regard to the existence of any participation.</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7" w:lineRule="exact"/>
        <w:rPr>
          <w:sz w:val="20"/>
          <w:szCs w:val="20"/>
          <w:color w:val="auto"/>
        </w:rPr>
      </w:pPr>
    </w:p>
    <w:p>
      <w:pPr>
        <w:jc w:val="both"/>
        <w:ind w:firstLine="818"/>
        <w:spacing w:after="0" w:line="246" w:lineRule="auto"/>
        <w:tabs>
          <w:tab w:leader="none" w:pos="1286"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218" w:lineRule="exact"/>
        <w:rPr>
          <w:rFonts w:ascii="Arial" w:cs="Arial" w:eastAsia="Arial" w:hAnsi="Arial"/>
          <w:sz w:val="20"/>
          <w:szCs w:val="20"/>
          <w:color w:val="auto"/>
        </w:rPr>
      </w:pPr>
    </w:p>
    <w:p>
      <w:pPr>
        <w:ind w:left="1300" w:hanging="482"/>
        <w:spacing w:after="0"/>
        <w:tabs>
          <w:tab w:leader="none" w:pos="13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29" w:name="page130"/>
    <w:bookmarkEnd w:id="129"/>
    <w:p>
      <w:pPr>
        <w:jc w:val="both"/>
        <w:ind w:firstLine="585"/>
        <w:spacing w:after="0" w:line="231" w:lineRule="exact"/>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b w:val="1"/>
          <w:bCs w:val="1"/>
          <w:color w:val="auto"/>
        </w:rPr>
        <w:t>Treatment of Certain Information; Confidentiality</w:t>
      </w:r>
      <w:r>
        <w:rPr>
          <w:rFonts w:ascii="Arial" w:cs="Arial" w:eastAsia="Arial" w:hAnsi="Arial"/>
          <w:sz w:val="18"/>
          <w:szCs w:val="18"/>
          <w:color w:val="auto"/>
        </w:rPr>
        <w:t>. Each of the Administrative Agent and the Lenders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will agree to keep such Information confidential), (b) to the extent required or requested by any regulatory authority with jurisdiction over such Person or its Related Parties (including any self</w:t>
      </w:r>
      <w:r>
        <w:rPr>
          <w:rFonts w:ascii="MS PGothic" w:cs="MS PGothic" w:eastAsia="MS PGothic" w:hAnsi="MS PGothic"/>
          <w:sz w:val="18"/>
          <w:szCs w:val="18"/>
          <w:color w:val="auto"/>
        </w:rPr>
        <w:t>‑</w:t>
      </w:r>
      <w:r>
        <w:rPr>
          <w:rFonts w:ascii="Arial" w:cs="Arial" w:eastAsia="Arial" w:hAnsi="Arial"/>
          <w:sz w:val="18"/>
          <w:szCs w:val="18"/>
          <w:color w:val="auto"/>
        </w:rPr>
        <w:t>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Eligible Assignee of or Participant in, or any prospective Eligible Assignee of or Participant in, any of its rights and obligations under this Agreement, it being understood that any such Eligible Assignee or Participant will be informed of the confidential nature of such Information and will agree to keep such Information confidential,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 (h) with the consent of the Borrower or (i) to the extent such Information</w:t>
      </w:r>
    </w:p>
    <w:p>
      <w:pPr>
        <w:spacing w:after="0" w:line="10" w:lineRule="exact"/>
        <w:rPr>
          <w:sz w:val="20"/>
          <w:szCs w:val="20"/>
          <w:color w:val="auto"/>
        </w:rPr>
      </w:pPr>
    </w:p>
    <w:p>
      <w:pPr>
        <w:jc w:val="both"/>
        <w:ind w:firstLine="8"/>
        <w:spacing w:after="0" w:line="270" w:lineRule="auto"/>
        <w:tabs>
          <w:tab w:leader="none" w:pos="30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becomes publicly available other than as a result of a breach of this Section, (y) becomes available to the Administrative Agent, any Lender or any of their respective Affiliates on a nonconfidential basis from a source other than the Borrower without breach of any duty of confidentiality known to the Administrative Agent or such Lender or (z) is independently developed by a party hereto based exclusively on information the disclosure of which would not otherwise be restricted by the terms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For purposes of this Section, “Information” means all information received from or on behalf of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5"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b w:val="1"/>
          <w:bCs w:val="1"/>
          <w:color w:val="auto"/>
        </w:rPr>
        <w:t>Right of Setoff</w:t>
      </w:r>
      <w:r>
        <w:rPr>
          <w:rFonts w:ascii="Arial" w:cs="Arial" w:eastAsia="Arial" w:hAnsi="Arial"/>
          <w:sz w:val="19"/>
          <w:szCs w:val="19"/>
          <w:color w:val="auto"/>
        </w:rPr>
        <w:t>. If an Event of Default shall have occurred and be continuing, each Lender is hereby authorized at any time and from time to time, to the fullest extent permitted by applicable Law, to set off and apply any and all deposits (general or special, time or demand, provisional or final, in whatever currency, but not any deposits held in a custodial, trust or other fiduciary capacity) at any time held and other obligations (in whatever currency) at any time owing by such Lender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130" w:name="page131"/>
    <w:bookmarkEnd w:id="130"/>
    <w:p>
      <w:pPr>
        <w:jc w:val="both"/>
        <w:spacing w:after="0" w:line="256" w:lineRule="auto"/>
        <w:rPr>
          <w:sz w:val="20"/>
          <w:szCs w:val="20"/>
          <w:color w:val="auto"/>
        </w:rPr>
      </w:pPr>
      <w:r>
        <w:rPr>
          <w:rFonts w:ascii="Arial" w:cs="Arial" w:eastAsia="Arial" w:hAnsi="Arial"/>
          <w:sz w:val="19"/>
          <w:szCs w:val="19"/>
          <w:color w:val="auto"/>
        </w:rPr>
        <w:t xml:space="preserve">a branch or office of such Lender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that such Lender may have. Each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205" w:lineRule="exact"/>
        <w:rPr>
          <w:sz w:val="20"/>
          <w:szCs w:val="20"/>
          <w:color w:val="auto"/>
        </w:rPr>
      </w:pPr>
    </w:p>
    <w:p>
      <w:pPr>
        <w:jc w:val="both"/>
        <w:ind w:firstLine="450"/>
        <w:spacing w:after="0" w:line="304"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b w:val="1"/>
          <w:bCs w:val="1"/>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spacing w:after="0" w:line="1" w:lineRule="exact"/>
        <w:rPr>
          <w:sz w:val="20"/>
          <w:szCs w:val="20"/>
          <w:color w:val="auto"/>
        </w:rPr>
      </w:pPr>
    </w:p>
    <w:p>
      <w:pPr>
        <w:ind w:right="20" w:firstLine="8"/>
        <w:spacing w:after="0" w:line="244" w:lineRule="auto"/>
        <w:tabs>
          <w:tab w:leader="none" w:pos="29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exclude voluntary prepayments and the effects thereof, and (c) amortize, prorate, allocate, and spread in equal or unequal parts the total amount of interest throughout the contemplated term of the Obligations hereunder.</w:t>
      </w:r>
    </w:p>
    <w:p>
      <w:pPr>
        <w:spacing w:after="0" w:line="212"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b w:val="1"/>
          <w:bCs w:val="1"/>
          <w:color w:val="auto"/>
        </w:rPr>
        <w:t>Counterparts; Integration; Effectiveness</w:t>
      </w:r>
      <w:r>
        <w:rPr>
          <w:rFonts w:ascii="Arial" w:cs="Arial" w:eastAsia="Arial" w:hAnsi="Arial"/>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03" w:lineRule="exact"/>
        <w:rPr>
          <w:sz w:val="20"/>
          <w:szCs w:val="20"/>
          <w:color w:val="auto"/>
        </w:rPr>
      </w:pPr>
    </w:p>
    <w:p>
      <w:pPr>
        <w:jc w:val="both"/>
        <w:ind w:firstLine="417"/>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b w:val="1"/>
          <w:bCs w:val="1"/>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87" w:lineRule="exact"/>
        <w:rPr>
          <w:sz w:val="20"/>
          <w:szCs w:val="20"/>
          <w:color w:val="auto"/>
        </w:rPr>
      </w:pPr>
    </w:p>
    <w:p>
      <w:pPr>
        <w:jc w:val="both"/>
        <w:ind w:firstLine="679"/>
        <w:spacing w:after="0" w:line="253"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b w:val="1"/>
          <w:bCs w:val="1"/>
          <w:color w:val="auto"/>
        </w:rPr>
        <w:t>Severability</w:t>
      </w:r>
      <w:r>
        <w:rPr>
          <w:rFonts w:ascii="Arial" w:cs="Arial" w:eastAsia="Arial" w:hAnsi="Arial"/>
          <w:sz w:val="20"/>
          <w:szCs w:val="20"/>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31" w:name="page132"/>
    <w:bookmarkEnd w:id="131"/>
    <w:p>
      <w:pPr>
        <w:jc w:val="both"/>
        <w:ind w:firstLine="8"/>
        <w:spacing w:after="0" w:line="243" w:lineRule="auto"/>
        <w:tabs>
          <w:tab w:leader="none" w:pos="29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10.12</w:t>
      </w:r>
      <w:r>
        <w:rPr>
          <w:rFonts w:ascii="Arial" w:cs="Arial" w:eastAsia="Arial" w:hAnsi="Arial"/>
          <w:sz w:val="20"/>
          <w:szCs w:val="20"/>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17" w:lineRule="exact"/>
        <w:rPr>
          <w:sz w:val="20"/>
          <w:szCs w:val="20"/>
          <w:color w:val="auto"/>
        </w:rPr>
      </w:pPr>
    </w:p>
    <w:p>
      <w:pPr>
        <w:jc w:val="both"/>
        <w:ind w:firstLine="423"/>
        <w:spacing w:after="0" w:line="233" w:lineRule="exact"/>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b w:val="1"/>
          <w:bCs w:val="1"/>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or if any Lender is a Defaulting Lender or a Non</w:t>
      </w:r>
      <w:r>
        <w:rPr>
          <w:rFonts w:ascii="MS PGothic" w:cs="MS PGothic" w:eastAsia="MS PGothic" w:hAnsi="MS PGothic"/>
          <w:sz w:val="18"/>
          <w:szCs w:val="18"/>
          <w:color w:val="auto"/>
        </w:rPr>
        <w:t>‑</w:t>
      </w:r>
      <w:r>
        <w:rPr>
          <w:rFonts w:ascii="Arial" w:cs="Arial" w:eastAsia="Arial" w:hAnsi="Arial"/>
          <w:sz w:val="18"/>
          <w:szCs w:val="18"/>
          <w:color w:val="auto"/>
        </w:rPr>
        <w:t xml:space="preserve">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225" w:lineRule="exact"/>
        <w:rPr>
          <w:sz w:val="20"/>
          <w:szCs w:val="20"/>
          <w:color w:val="auto"/>
        </w:rPr>
      </w:pPr>
    </w:p>
    <w:p>
      <w:pPr>
        <w:ind w:left="1300" w:hanging="482"/>
        <w:spacing w:after="0"/>
        <w:tabs>
          <w:tab w:leader="none" w:pos="13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(if any) specified in </w:t>
      </w:r>
      <w:r>
        <w:rPr>
          <w:rFonts w:ascii="Arial" w:cs="Arial" w:eastAsia="Arial" w:hAnsi="Arial"/>
          <w:sz w:val="19"/>
          <w:szCs w:val="19"/>
          <w:u w:val="single" w:color="auto"/>
          <w:color w:val="auto"/>
        </w:rPr>
        <w:t>Section 10.06(b)</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818"/>
        <w:spacing w:after="0" w:line="246" w:lineRule="auto"/>
        <w:tabs>
          <w:tab w:leader="none" w:pos="128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218" w:lineRule="exact"/>
        <w:rPr>
          <w:rFonts w:ascii="Arial" w:cs="Arial" w:eastAsia="Arial" w:hAnsi="Arial"/>
          <w:sz w:val="20"/>
          <w:szCs w:val="20"/>
          <w:color w:val="auto"/>
        </w:rPr>
      </w:pPr>
    </w:p>
    <w:p>
      <w:pPr>
        <w:ind w:firstLine="818"/>
        <w:spacing w:after="0" w:line="287" w:lineRule="auto"/>
        <w:tabs>
          <w:tab w:leader="none" w:pos="128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179" w:lineRule="exact"/>
        <w:rPr>
          <w:rFonts w:ascii="Arial" w:cs="Arial" w:eastAsia="Arial" w:hAnsi="Arial"/>
          <w:sz w:val="19"/>
          <w:szCs w:val="19"/>
          <w:color w:val="auto"/>
        </w:rPr>
      </w:pPr>
    </w:p>
    <w:p>
      <w:pPr>
        <w:ind w:left="1300" w:hanging="482"/>
        <w:spacing w:after="0"/>
        <w:tabs>
          <w:tab w:leader="none" w:pos="13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42" w:lineRule="exact"/>
        <w:rPr>
          <w:rFonts w:ascii="Arial" w:cs="Arial" w:eastAsia="Arial" w:hAnsi="Arial"/>
          <w:sz w:val="20"/>
          <w:szCs w:val="20"/>
          <w:color w:val="auto"/>
        </w:rPr>
      </w:pPr>
    </w:p>
    <w:p>
      <w:pPr>
        <w:jc w:val="both"/>
        <w:ind w:firstLine="818"/>
        <w:spacing w:after="0" w:line="250" w:lineRule="auto"/>
        <w:tabs>
          <w:tab w:leader="none" w:pos="128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 (if such amendment, waiver or consent continues to be under consideration at the time of such assignment).</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Each party hereto agrees that (a) an assignment required pursuant to this Section 10.13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32" w:name="page133"/>
    <w:bookmarkEnd w:id="132"/>
    <w:p>
      <w:pPr>
        <w:spacing w:after="0" w:line="260" w:lineRule="auto"/>
        <w:rPr>
          <w:sz w:val="20"/>
          <w:szCs w:val="20"/>
          <w:color w:val="auto"/>
        </w:rPr>
      </w:pPr>
      <w:r>
        <w:rPr>
          <w:rFonts w:ascii="Arial" w:cs="Arial" w:eastAsia="Arial" w:hAnsi="Arial"/>
          <w:sz w:val="20"/>
          <w:szCs w:val="20"/>
          <w:color w:val="auto"/>
        </w:rPr>
        <w:t>reasonably requested by the applicable Lender, provided, further that any such documents shall be without recourse to or warranty by the parties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10.14 </w:t>
      </w:r>
      <w:r>
        <w:rPr>
          <w:rFonts w:ascii="Arial" w:cs="Arial" w:eastAsia="Arial" w:hAnsi="Arial"/>
          <w:sz w:val="20"/>
          <w:szCs w:val="20"/>
          <w:b w:val="1"/>
          <w:bCs w:val="1"/>
          <w:color w:val="auto"/>
        </w:rPr>
        <w:t>Governing Law; Jurisdiction; Etc.</w:t>
      </w:r>
    </w:p>
    <w:p>
      <w:pPr>
        <w:spacing w:after="0" w:line="249" w:lineRule="exact"/>
        <w:rPr>
          <w:sz w:val="20"/>
          <w:szCs w:val="20"/>
          <w:color w:val="auto"/>
        </w:rPr>
      </w:pPr>
    </w:p>
    <w:p>
      <w:pPr>
        <w:jc w:val="both"/>
        <w:ind w:firstLine="818"/>
        <w:spacing w:after="0" w:line="233" w:lineRule="exact"/>
        <w:tabs>
          <w:tab w:leader="none" w:pos="128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APPLICABLE TO AGREEMENTS MADE AND TO BE PERFORMED ENTIRELY WITHIN SUCH STATE;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AND EACH LENDER SHALL RETAIN ALL RIGHTS ARISING UNDER FEDERAL LAW. THIS AGREEMENT HAS BEEN ENTERED INTO PURSUANT TO SECTION 5</w:t>
      </w:r>
      <w:r>
        <w:rPr>
          <w:rFonts w:ascii="MS PGothic" w:cs="MS PGothic" w:eastAsia="MS PGothic" w:hAnsi="MS PGothic"/>
          <w:sz w:val="19"/>
          <w:szCs w:val="19"/>
          <w:color w:val="auto"/>
        </w:rPr>
        <w:t>‑</w:t>
      </w:r>
      <w:r>
        <w:rPr>
          <w:rFonts w:ascii="Arial" w:cs="Arial" w:eastAsia="Arial" w:hAnsi="Arial"/>
          <w:sz w:val="19"/>
          <w:szCs w:val="19"/>
          <w:color w:val="auto"/>
        </w:rPr>
        <w:t>1401 OF THE NEW YORK GENERAL OBLIGATIONS LAW.</w:t>
      </w:r>
    </w:p>
    <w:p>
      <w:pPr>
        <w:spacing w:after="0" w:line="224" w:lineRule="exact"/>
        <w:rPr>
          <w:rFonts w:ascii="Arial" w:cs="Arial" w:eastAsia="Arial" w:hAnsi="Arial"/>
          <w:sz w:val="19"/>
          <w:szCs w:val="19"/>
          <w:color w:val="auto"/>
        </w:rPr>
      </w:pPr>
    </w:p>
    <w:p>
      <w:pPr>
        <w:jc w:val="both"/>
        <w:ind w:firstLine="818"/>
        <w:spacing w:after="0" w:line="241" w:lineRule="auto"/>
        <w:tabs>
          <w:tab w:leader="none" w:pos="1284"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Party hereto IRREVOCABLY AND UNCONDITIONALLY SUBMITS, FOR ITSELF AND ITS PROPERTY, TO THE EXCLUSIVE JURISDICTION OF THE COURTS OF THE STATE OF NEW YORK SITTING IN NEW YORK CITY AND OF THE UNITED STATES DISTRICT COURT OF THE SOUTHERN DISTRICT OF SUCH STATE,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222" w:lineRule="exact"/>
        <w:rPr>
          <w:rFonts w:ascii="Arial" w:cs="Arial" w:eastAsia="Arial" w:hAnsi="Arial"/>
          <w:sz w:val="20"/>
          <w:szCs w:val="20"/>
          <w:color w:val="auto"/>
        </w:rPr>
      </w:pPr>
    </w:p>
    <w:p>
      <w:pPr>
        <w:jc w:val="both"/>
        <w:ind w:firstLine="818"/>
        <w:spacing w:after="0" w:line="259" w:lineRule="auto"/>
        <w:tabs>
          <w:tab w:leader="none" w:pos="128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5" w:lineRule="exact"/>
        <w:rPr>
          <w:rFonts w:ascii="Arial" w:cs="Arial" w:eastAsia="Arial" w:hAnsi="Arial"/>
          <w:sz w:val="19"/>
          <w:szCs w:val="19"/>
          <w:color w:val="auto"/>
        </w:rPr>
      </w:pPr>
    </w:p>
    <w:p>
      <w:pPr>
        <w:ind w:firstLine="818"/>
        <w:spacing w:after="0" w:line="260" w:lineRule="auto"/>
        <w:tabs>
          <w:tab w:leader="none" w:pos="1284"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20"/>
          <w:szCs w:val="20"/>
          <w:color w:val="auto"/>
        </w:rPr>
        <w:t>NOTHING IN THIS AGREEMENT WILL AFFECT THE RIGHT OF ANY PARTY HERETO TO SERVE PROCESS IN ANY OTHER MANNER PERMITTED BY APPLICABLE LAW.</w:t>
      </w:r>
    </w:p>
    <w:p>
      <w:pPr>
        <w:spacing w:after="0" w:line="198" w:lineRule="exact"/>
        <w:rPr>
          <w:sz w:val="20"/>
          <w:szCs w:val="20"/>
          <w:color w:val="auto"/>
        </w:rPr>
      </w:pPr>
    </w:p>
    <w:p>
      <w:pPr>
        <w:jc w:val="both"/>
        <w:ind w:firstLine="477"/>
        <w:spacing w:after="0" w:line="257"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b w:val="1"/>
          <w:bCs w:val="1"/>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3" w:lineRule="exact"/>
        <w:rPr>
          <w:sz w:val="20"/>
          <w:szCs w:val="20"/>
          <w:color w:val="auto"/>
        </w:rPr>
      </w:pPr>
    </w:p>
    <w:p>
      <w:pPr>
        <w:jc w:val="both"/>
        <w:ind w:firstLine="585"/>
        <w:spacing w:after="0" w:line="26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b w:val="1"/>
          <w:bCs w:val="1"/>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and the Lenders are arm’s-length commercial transactions between the Borrower and its Affiliates, on the one hand, and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nor any Lender has any obligation to the Borrower or any of its Affiliates with respect to the transactions contemplated hereby except those obligations expressly set forth herein and in the other Loan Documents; and (iii)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and the Lenders and their respective Affiliates may be engaged in a broad range of transactions that involve interests that differ from those of the Borrower and its Affiliates, and neither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nor any Lender has any obligation to disclose any of such interests to the Borrower or its Affiliates. To the fullest extent permitted by law, the Borrower hereby waives and releases any claims that it may have against the Administrative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Arrangers or any Lender with respect to any breach or alleged breach of agency or fiduciary duty in connection with any aspect of any transaction contemplated hereby.</w:t>
      </w:r>
    </w:p>
    <w:p>
      <w:pPr>
        <w:spacing w:after="0" w:line="201"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9"/>
          <w:szCs w:val="19"/>
          <w:color w:val="auto"/>
        </w:rPr>
        <w:t xml:space="preserve">Section 10.17 </w:t>
      </w:r>
      <w:r>
        <w:rPr>
          <w:rFonts w:ascii="Arial" w:cs="Arial" w:eastAsia="Arial" w:hAnsi="Arial"/>
          <w:sz w:val="19"/>
          <w:szCs w:val="19"/>
          <w:b w:val="1"/>
          <w:bCs w:val="1"/>
          <w:color w:val="auto"/>
        </w:rPr>
        <w:t>Electronic Execution of Assignments and Certain Other Documents</w:t>
      </w:r>
      <w:r>
        <w:rPr>
          <w:rFonts w:ascii="Arial" w:cs="Arial" w:eastAsia="Arial" w:hAnsi="Arial"/>
          <w:sz w:val="19"/>
          <w:szCs w:val="19"/>
          <w:color w:val="auto"/>
        </w:rPr>
        <w:t>. The words “execute,” “execution,” “signed,” “signature,” and words of like import in any Assignment and Assumption or in any amendment or other modification hereof (including waivers and consents) or related to any document to be signed in connection with this Agreement and the transactions contemplated hereby (including without limitation Loan Notices)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State Electronic Signatures and Records Act, or any other similar state laws based on the Uniform Electronic Transactions Act.</w:t>
      </w:r>
    </w:p>
    <w:p>
      <w:pPr>
        <w:spacing w:after="0" w:line="237" w:lineRule="exact"/>
        <w:rPr>
          <w:sz w:val="20"/>
          <w:szCs w:val="20"/>
          <w:color w:val="auto"/>
        </w:rPr>
      </w:pPr>
    </w:p>
    <w:p>
      <w:pPr>
        <w:jc w:val="both"/>
        <w:ind w:firstLine="477"/>
        <w:spacing w:after="0" w:line="233" w:lineRule="exact"/>
        <w:rPr>
          <w:sz w:val="20"/>
          <w:szCs w:val="20"/>
          <w:color w:val="auto"/>
        </w:rPr>
      </w:pPr>
      <w:r>
        <w:rPr>
          <w:rFonts w:ascii="Arial" w:cs="Arial" w:eastAsia="Arial" w:hAnsi="Arial"/>
          <w:sz w:val="20"/>
          <w:szCs w:val="20"/>
          <w:color w:val="auto"/>
        </w:rPr>
        <w:t xml:space="preserve">Section 10.18 </w:t>
      </w:r>
      <w:r>
        <w:rPr>
          <w:rFonts w:ascii="Arial" w:cs="Arial" w:eastAsia="Arial" w:hAnsi="Arial"/>
          <w:sz w:val="20"/>
          <w:szCs w:val="20"/>
          <w:b w:val="1"/>
          <w:bCs w:val="1"/>
          <w:color w:val="auto"/>
        </w:rPr>
        <w:t>USA PATRIOT Act</w:t>
      </w:r>
      <w:r>
        <w:rPr>
          <w:rFonts w:ascii="Arial" w:cs="Arial" w:eastAsia="Arial" w:hAnsi="Arial"/>
          <w:sz w:val="20"/>
          <w:szCs w:val="20"/>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reasonably requests in order to comply with its ongoing obligations under applicable “know your customer” and anti</w:t>
      </w:r>
      <w:r>
        <w:rPr>
          <w:rFonts w:ascii="MS PGothic" w:cs="MS PGothic" w:eastAsia="MS PGothic" w:hAnsi="MS PGothic"/>
          <w:sz w:val="20"/>
          <w:szCs w:val="20"/>
          <w:color w:val="auto"/>
        </w:rPr>
        <w:t>‑</w:t>
      </w:r>
      <w:r>
        <w:rPr>
          <w:rFonts w:ascii="Arial" w:cs="Arial" w:eastAsia="Arial" w:hAnsi="Arial"/>
          <w:sz w:val="20"/>
          <w:szCs w:val="20"/>
          <w:color w:val="auto"/>
        </w:rPr>
        <w:t>money laundering rules and regulations, including the Act.</w:t>
      </w:r>
    </w:p>
    <w:p>
      <w:pPr>
        <w:spacing w:after="0" w:line="216" w:lineRule="exact"/>
        <w:rPr>
          <w:sz w:val="20"/>
          <w:szCs w:val="20"/>
          <w:color w:val="auto"/>
        </w:rPr>
      </w:pPr>
    </w:p>
    <w:p>
      <w:pPr>
        <w:jc w:val="both"/>
        <w:ind w:firstLine="639"/>
        <w:spacing w:after="0" w:line="246" w:lineRule="auto"/>
        <w:rPr>
          <w:sz w:val="20"/>
          <w:szCs w:val="20"/>
          <w:color w:val="auto"/>
        </w:rPr>
      </w:pPr>
      <w:r>
        <w:rPr>
          <w:rFonts w:ascii="Arial" w:cs="Arial" w:eastAsia="Arial" w:hAnsi="Arial"/>
          <w:sz w:val="20"/>
          <w:szCs w:val="20"/>
          <w:color w:val="auto"/>
        </w:rPr>
        <w:t xml:space="preserve">Section 10.19 </w:t>
      </w:r>
      <w:r>
        <w:rPr>
          <w:rFonts w:ascii="Arial" w:cs="Arial" w:eastAsia="Arial" w:hAnsi="Arial"/>
          <w:sz w:val="20"/>
          <w:szCs w:val="20"/>
          <w:b w:val="1"/>
          <w:bCs w:val="1"/>
          <w:color w:val="auto"/>
        </w:rPr>
        <w:t>Acknowledgement and Consent to Bail-In of Affected Financial Institutions.</w:t>
      </w:r>
      <w:r>
        <w:rPr>
          <w:rFonts w:ascii="Arial" w:cs="Arial" w:eastAsia="Arial" w:hAnsi="Arial"/>
          <w:sz w:val="20"/>
          <w:szCs w:val="20"/>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18" w:lineRule="exact"/>
        <w:rPr>
          <w:sz w:val="20"/>
          <w:szCs w:val="20"/>
          <w:color w:val="auto"/>
        </w:rPr>
      </w:pPr>
    </w:p>
    <w:p>
      <w:pPr>
        <w:ind w:firstLine="818"/>
        <w:spacing w:after="0" w:line="260" w:lineRule="auto"/>
        <w:tabs>
          <w:tab w:leader="none" w:pos="128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3" w:lineRule="exact"/>
        <w:rPr>
          <w:rFonts w:ascii="Arial" w:cs="Arial" w:eastAsia="Arial" w:hAnsi="Arial"/>
          <w:sz w:val="20"/>
          <w:szCs w:val="20"/>
          <w:color w:val="auto"/>
        </w:rPr>
      </w:pPr>
    </w:p>
    <w:p>
      <w:pPr>
        <w:ind w:left="1300" w:hanging="482"/>
        <w:spacing w:after="0"/>
        <w:tabs>
          <w:tab w:leader="none" w:pos="13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42" w:lineRule="exact"/>
        <w:rPr>
          <w:rFonts w:ascii="Arial" w:cs="Arial" w:eastAsia="Arial" w:hAnsi="Arial"/>
          <w:sz w:val="20"/>
          <w:szCs w:val="20"/>
          <w:color w:val="auto"/>
        </w:rPr>
      </w:pPr>
    </w:p>
    <w:p>
      <w:pPr>
        <w:ind w:left="1960" w:hanging="600"/>
        <w:spacing w:after="0"/>
        <w:tabs>
          <w:tab w:leader="none" w:pos="196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2" w:lineRule="exact"/>
        <w:rPr>
          <w:rFonts w:ascii="Arial" w:cs="Arial" w:eastAsia="Arial" w:hAnsi="Arial"/>
          <w:sz w:val="20"/>
          <w:szCs w:val="20"/>
          <w:color w:val="auto"/>
        </w:rPr>
      </w:pPr>
    </w:p>
    <w:p>
      <w:pPr>
        <w:jc w:val="both"/>
        <w:ind w:left="580" w:firstLine="725"/>
        <w:spacing w:after="0" w:line="246" w:lineRule="auto"/>
        <w:tabs>
          <w:tab w:leader="none" w:pos="1957"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8" w:lineRule="exact"/>
        <w:rPr>
          <w:rFonts w:ascii="Arial" w:cs="Arial" w:eastAsia="Arial" w:hAnsi="Arial"/>
          <w:sz w:val="20"/>
          <w:szCs w:val="20"/>
          <w:color w:val="auto"/>
        </w:rPr>
      </w:pPr>
    </w:p>
    <w:p>
      <w:pPr>
        <w:ind w:left="580" w:firstLine="670"/>
        <w:spacing w:after="0" w:line="260" w:lineRule="auto"/>
        <w:tabs>
          <w:tab w:leader="none" w:pos="1957"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98" w:lineRule="exact"/>
        <w:rPr>
          <w:sz w:val="20"/>
          <w:szCs w:val="20"/>
          <w:color w:val="auto"/>
        </w:rPr>
      </w:pPr>
    </w:p>
    <w:p>
      <w:pPr>
        <w:jc w:val="both"/>
        <w:ind w:firstLine="684"/>
        <w:spacing w:after="0" w:line="257" w:lineRule="auto"/>
        <w:rPr>
          <w:sz w:val="20"/>
          <w:szCs w:val="20"/>
          <w:color w:val="auto"/>
        </w:rPr>
      </w:pPr>
      <w:r>
        <w:rPr>
          <w:rFonts w:ascii="Arial" w:cs="Arial" w:eastAsia="Arial" w:hAnsi="Arial"/>
          <w:sz w:val="19"/>
          <w:szCs w:val="19"/>
          <w:color w:val="auto"/>
        </w:rPr>
        <w:t xml:space="preserve">Section 10.20. </w:t>
      </w:r>
      <w:r>
        <w:rPr>
          <w:rFonts w:ascii="Arial" w:cs="Arial" w:eastAsia="Arial" w:hAnsi="Arial"/>
          <w:sz w:val="19"/>
          <w:szCs w:val="19"/>
          <w:b w:val="1"/>
          <w:bCs w:val="1"/>
          <w:color w:val="auto"/>
        </w:rPr>
        <w:t>Electronic Signatures.</w:t>
      </w:r>
      <w:r>
        <w:rPr>
          <w:rFonts w:ascii="Arial" w:cs="Arial" w:eastAsia="Arial" w:hAnsi="Arial"/>
          <w:sz w:val="19"/>
          <w:szCs w:val="19"/>
          <w:color w:val="auto"/>
        </w:rPr>
        <w:t xml:space="preserve"> This Agreement and any document, amendment, approval, consent, information, notice, certificate, request, statement, disclosure or authorization related to this Agreement (each a “</w:t>
      </w:r>
      <w:r>
        <w:rPr>
          <w:rFonts w:ascii="Arial" w:cs="Arial" w:eastAsia="Arial" w:hAnsi="Arial"/>
          <w:sz w:val="19"/>
          <w:szCs w:val="19"/>
          <w:u w:val="single" w:color="auto"/>
          <w:color w:val="auto"/>
        </w:rPr>
        <w:t>Communication</w:t>
      </w:r>
      <w:r>
        <w:rPr>
          <w:rFonts w:ascii="Arial" w:cs="Arial" w:eastAsia="Arial" w:hAnsi="Arial"/>
          <w:sz w:val="19"/>
          <w:szCs w:val="19"/>
          <w:color w:val="auto"/>
        </w:rPr>
        <w:t>”), including Communications required to be in writing, may be in the form of an Electronic Record and may be executed using Electronic Signatures. Each of the parties hereto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35" w:name="page136"/>
    <w:bookmarkEnd w:id="135"/>
    <w:p>
      <w:pPr>
        <w:jc w:val="both"/>
        <w:spacing w:after="0" w:line="269" w:lineRule="auto"/>
        <w:rPr>
          <w:sz w:val="20"/>
          <w:szCs w:val="20"/>
          <w:color w:val="auto"/>
        </w:rPr>
      </w:pPr>
      <w:r>
        <w:rPr>
          <w:rFonts w:ascii="Arial" w:cs="Arial" w:eastAsia="Arial" w:hAnsi="Arial"/>
          <w:sz w:val="18"/>
          <w:szCs w:val="18"/>
          <w:color w:val="auto"/>
        </w:rPr>
        <w:t>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(“Electronic Copy”),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the Borrower without further verification and (b) upon the request of the Administrative Agent, any Electronic Signature shall be promptly followed by a manually executed counterpart thereof. For purposes hereof, “</w:t>
      </w:r>
      <w:r>
        <w:rPr>
          <w:rFonts w:ascii="Arial" w:cs="Arial" w:eastAsia="Arial" w:hAnsi="Arial"/>
          <w:sz w:val="18"/>
          <w:szCs w:val="18"/>
          <w:u w:val="single" w:color="auto"/>
          <w:color w:val="auto"/>
        </w:rPr>
        <w:t>Electronic</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202" w:lineRule="exact"/>
        <w:rPr>
          <w:sz w:val="20"/>
          <w:szCs w:val="20"/>
          <w:color w:val="auto"/>
        </w:rPr>
      </w:pPr>
    </w:p>
    <w:p>
      <w:pPr>
        <w:ind w:firstLine="396"/>
        <w:spacing w:after="0" w:line="248" w:lineRule="auto"/>
        <w:rPr>
          <w:sz w:val="20"/>
          <w:szCs w:val="20"/>
          <w:color w:val="auto"/>
        </w:rPr>
      </w:pPr>
      <w:r>
        <w:rPr>
          <w:rFonts w:ascii="Arial" w:cs="Arial" w:eastAsia="Arial" w:hAnsi="Arial"/>
          <w:sz w:val="20"/>
          <w:szCs w:val="20"/>
          <w:color w:val="auto"/>
        </w:rPr>
        <w:t xml:space="preserve">Section 10.21. </w:t>
      </w:r>
      <w:r>
        <w:rPr>
          <w:rFonts w:ascii="Arial" w:cs="Arial" w:eastAsia="Arial" w:hAnsi="Arial"/>
          <w:sz w:val="20"/>
          <w:szCs w:val="20"/>
          <w:b w:val="1"/>
          <w:bCs w:val="1"/>
          <w:color w:val="auto"/>
        </w:rPr>
        <w:t>ENTIRE AGREEMENT</w:t>
      </w:r>
      <w:r>
        <w:rPr>
          <w:rFonts w:ascii="Arial" w:cs="Arial" w:eastAsia="Arial" w:hAnsi="Arial"/>
          <w:sz w:val="20"/>
          <w:szCs w:val="20"/>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2084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720840" cy="24892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LEFT INTENTIONALLY BLANK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ectPr>
          <w:pgSz w:w="11900" w:h="16838" w:orient="portrait"/>
          <w:cols w:equalWidth="0" w:num="1">
            <w:col w:w="9980"/>
          </w:cols>
          <w:pgMar w:left="980" w:top="892" w:right="939" w:bottom="1440" w:gutter="0" w:footer="0" w:header="0"/>
        </w:sect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FIDELITY NATIONAL FINANCIAL, INC.</w:t>
      </w:r>
    </w:p>
    <w:p>
      <w:pPr>
        <w:spacing w:after="0" w:line="200" w:lineRule="exact"/>
        <w:rPr>
          <w:sz w:val="20"/>
          <w:szCs w:val="20"/>
          <w:color w:val="auto"/>
        </w:rPr>
      </w:pPr>
    </w:p>
    <w:p>
      <w:pPr>
        <w:spacing w:after="0" w:line="37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L. Gravelle</w:t>
      </w:r>
    </w:p>
    <w:p>
      <w:pPr>
        <w:spacing w:after="0" w:line="10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Michael L. Gravelle</w:t>
      </w:r>
    </w:p>
    <w:p>
      <w:pPr>
        <w:spacing w:after="0" w:line="10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567690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980" w:top="892" w:right="939" w:bottom="1440" w:gutter="0" w:footer="0" w:header="0"/>
          <w:type w:val="continuous"/>
        </w:sectPr>
      </w:pPr>
    </w:p>
    <w:bookmarkStart w:id="137" w:name="page138"/>
    <w:bookmarkEnd w:id="137"/>
    <w:p>
      <w:pPr>
        <w:ind w:left="2780"/>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Aamir Saleem</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Aamir Saleem</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996315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138" w:name="page139"/>
    <w:bookmarkEnd w:id="138"/>
    <w:p>
      <w:pPr>
        <w:jc w:val="center"/>
        <w:ind w:right="59"/>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 a Lender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 Choi</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Chris Choi</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567690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39" w:name="page140"/>
    <w:bookmarkEnd w:id="139"/>
    <w:p>
      <w:pPr>
        <w:ind w:left="278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S. Mintzer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James S. Mintzer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9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type w:val="continuous"/>
        </w:sectPr>
      </w:pPr>
    </w:p>
    <w:bookmarkStart w:id="140" w:name="page141"/>
    <w:bookmarkEnd w:id="140"/>
    <w:p>
      <w:pPr>
        <w:ind w:left="2780"/>
        <w:spacing w:after="0"/>
        <w:rPr>
          <w:sz w:val="20"/>
          <w:szCs w:val="20"/>
          <w:color w:val="auto"/>
        </w:rPr>
      </w:pPr>
      <w:r>
        <w:rPr>
          <w:rFonts w:ascii="Arial" w:cs="Arial" w:eastAsia="Arial" w:hAnsi="Arial"/>
          <w:sz w:val="19"/>
          <w:szCs w:val="19"/>
          <w:b w:val="1"/>
          <w:bCs w:val="1"/>
          <w:color w:val="auto"/>
        </w:rPr>
        <w:t xml:space="preserve">U.S. BANK NATIONAL ASSOCIATION, </w:t>
      </w:r>
      <w:r>
        <w:rPr>
          <w:rFonts w:ascii="Arial" w:cs="Arial" w:eastAsia="Arial" w:hAnsi="Arial"/>
          <w:sz w:val="19"/>
          <w:szCs w:val="19"/>
          <w:color w:val="auto"/>
        </w:rPr>
        <w:t>as a Lender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F. Cooper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James F. Cooper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Sr.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1" w:name="page142"/>
    <w:bookmarkEnd w:id="141"/>
    <w:p>
      <w:pPr>
        <w:ind w:left="2780"/>
        <w:spacing w:after="0"/>
        <w:rPr>
          <w:sz w:val="20"/>
          <w:szCs w:val="20"/>
          <w:color w:val="auto"/>
        </w:rPr>
      </w:pPr>
      <w:r>
        <w:rPr>
          <w:rFonts w:ascii="Arial" w:cs="Arial" w:eastAsia="Arial" w:hAnsi="Arial"/>
          <w:sz w:val="18"/>
          <w:szCs w:val="18"/>
          <w:b w:val="1"/>
          <w:bCs w:val="1"/>
          <w:color w:val="auto"/>
        </w:rPr>
        <w:t xml:space="preserve">Citibank N.A.,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Maryann Antolino</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Name: Maryann Antolino</w:t>
      </w:r>
    </w:p>
    <w:p>
      <w:pPr>
        <w:spacing w:after="0" w:line="1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SVP</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2" w:name="page143"/>
    <w:bookmarkEnd w:id="142"/>
    <w:p>
      <w:pPr>
        <w:ind w:left="2780"/>
        <w:spacing w:after="0"/>
        <w:rPr>
          <w:sz w:val="20"/>
          <w:szCs w:val="20"/>
          <w:color w:val="auto"/>
        </w:rPr>
      </w:pPr>
      <w:r>
        <w:rPr>
          <w:rFonts w:ascii="Arial" w:cs="Arial" w:eastAsia="Arial" w:hAnsi="Arial"/>
          <w:sz w:val="18"/>
          <w:szCs w:val="18"/>
          <w:b w:val="1"/>
          <w:bCs w:val="1"/>
          <w:color w:val="auto"/>
        </w:rPr>
        <w:t xml:space="preserve">CITIZENS BANK, N.A.,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Karmyn Paul</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Karmyn Paul</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3" w:name="page144"/>
    <w:bookmarkEnd w:id="143"/>
    <w:p>
      <w:pPr>
        <w:ind w:left="2780"/>
        <w:spacing w:after="0"/>
        <w:rPr>
          <w:sz w:val="20"/>
          <w:szCs w:val="20"/>
          <w:color w:val="auto"/>
        </w:rPr>
      </w:pPr>
      <w:r>
        <w:rPr>
          <w:rFonts w:ascii="Arial" w:cs="Arial" w:eastAsia="Arial" w:hAnsi="Arial"/>
          <w:sz w:val="16"/>
          <w:szCs w:val="16"/>
          <w:b w:val="1"/>
          <w:bCs w:val="1"/>
          <w:color w:val="auto"/>
        </w:rPr>
        <w:t xml:space="preserve">Regions Bank, </w:t>
      </w:r>
      <w:r>
        <w:rPr>
          <w:rFonts w:ascii="Arial" w:cs="Arial" w:eastAsia="Arial" w:hAnsi="Arial"/>
          <w:sz w:val="16"/>
          <w:szCs w:val="16"/>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Tyler Tirpak</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Tyler Tirpak</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Associate</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4" w:name="page145"/>
    <w:bookmarkEnd w:id="144"/>
    <w:p>
      <w:pPr>
        <w:ind w:left="2780"/>
        <w:spacing w:after="0"/>
        <w:rPr>
          <w:sz w:val="20"/>
          <w:szCs w:val="20"/>
          <w:color w:val="auto"/>
        </w:rPr>
      </w:pPr>
      <w:r>
        <w:rPr>
          <w:rFonts w:ascii="Arial" w:cs="Arial" w:eastAsia="Arial" w:hAnsi="Arial"/>
          <w:sz w:val="19"/>
          <w:szCs w:val="19"/>
          <w:b w:val="1"/>
          <w:bCs w:val="1"/>
          <w:color w:val="auto"/>
        </w:rPr>
        <w:t>MUFG UNION BANK, N.A.</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Rajiv Ranjan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Rajiv Ranjan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5" w:name="page146"/>
    <w:bookmarkEnd w:id="145"/>
    <w:p>
      <w:pPr>
        <w:ind w:left="2780"/>
        <w:spacing w:after="0"/>
        <w:rPr>
          <w:sz w:val="20"/>
          <w:szCs w:val="20"/>
          <w:color w:val="auto"/>
        </w:rPr>
      </w:pPr>
      <w:r>
        <w:rPr>
          <w:rFonts w:ascii="Arial" w:cs="Arial" w:eastAsia="Arial" w:hAnsi="Arial"/>
          <w:sz w:val="20"/>
          <w:szCs w:val="20"/>
          <w:b w:val="1"/>
          <w:bCs w:val="1"/>
          <w:color w:val="auto"/>
        </w:rPr>
        <w:t xml:space="preserve">Bank of the West, </w:t>
      </w:r>
      <w:r>
        <w:rPr>
          <w:rFonts w:ascii="Arial" w:cs="Arial" w:eastAsia="Arial" w:hAnsi="Arial"/>
          <w:sz w:val="20"/>
          <w:szCs w:val="20"/>
          <w:color w:val="auto"/>
        </w:rPr>
        <w:t>as a Lender</w:t>
      </w:r>
    </w:p>
    <w:p>
      <w:pPr>
        <w:spacing w:after="0" w:line="200" w:lineRule="exact"/>
        <w:rPr>
          <w:sz w:val="20"/>
          <w:szCs w:val="20"/>
          <w:color w:val="auto"/>
        </w:rPr>
      </w:pP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Dale Paterson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Dale Paterson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Director</w:t>
      </w:r>
    </w:p>
    <w:p>
      <w:pPr>
        <w:spacing w:after="0" w:line="324" w:lineRule="exact"/>
        <w:rPr>
          <w:sz w:val="20"/>
          <w:szCs w:val="20"/>
          <w:color w:val="auto"/>
        </w:rPr>
      </w:pPr>
    </w:p>
    <w:p>
      <w:pPr>
        <w:ind w:left="2780"/>
        <w:spacing w:after="0"/>
        <w:rPr>
          <w:sz w:val="20"/>
          <w:szCs w:val="20"/>
          <w:color w:val="auto"/>
        </w:rPr>
      </w:pPr>
      <w:r>
        <w:rPr>
          <w:rFonts w:ascii="Arial" w:cs="Arial" w:eastAsia="Arial" w:hAnsi="Arial"/>
          <w:sz w:val="18"/>
          <w:szCs w:val="18"/>
          <w:i w:val="1"/>
          <w:iCs w:val="1"/>
          <w:color w:val="auto"/>
        </w:rPr>
        <w:t>[For Lenders requiring a second signature block]</w:t>
      </w:r>
    </w:p>
    <w:p>
      <w:pPr>
        <w:spacing w:after="0" w:line="3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Charlene A. Davidson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Charlene Davidson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567690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146" w:name="page147"/>
    <w:bookmarkEnd w:id="146"/>
    <w:p>
      <w:pPr>
        <w:ind w:left="2780"/>
        <w:spacing w:after="0"/>
        <w:rPr>
          <w:sz w:val="20"/>
          <w:szCs w:val="20"/>
          <w:color w:val="auto"/>
        </w:rPr>
      </w:pPr>
      <w:r>
        <w:rPr>
          <w:rFonts w:ascii="Arial" w:cs="Arial" w:eastAsia="Arial" w:hAnsi="Arial"/>
          <w:sz w:val="18"/>
          <w:szCs w:val="18"/>
          <w:b w:val="1"/>
          <w:bCs w:val="1"/>
          <w:color w:val="auto"/>
        </w:rPr>
        <w:t xml:space="preserve">BMO Harris Bank N.A.,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Sean Ball</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Sean Ball</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7" w:name="page148"/>
    <w:bookmarkEnd w:id="147"/>
    <w:p>
      <w:pPr>
        <w:ind w:left="2780"/>
        <w:spacing w:after="0"/>
        <w:rPr>
          <w:sz w:val="20"/>
          <w:szCs w:val="20"/>
          <w:color w:val="auto"/>
        </w:rPr>
      </w:pPr>
      <w:r>
        <w:rPr>
          <w:rFonts w:ascii="Arial" w:cs="Arial" w:eastAsia="Arial" w:hAnsi="Arial"/>
          <w:sz w:val="18"/>
          <w:szCs w:val="18"/>
          <w:b w:val="1"/>
          <w:bCs w:val="1"/>
          <w:color w:val="auto"/>
        </w:rPr>
        <w:t xml:space="preserve">Fifth Third Bank, National Association,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C. Sargent</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Matthew C. Sargent</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8" w:name="page149"/>
    <w:bookmarkEnd w:id="148"/>
    <w:p>
      <w:pPr>
        <w:ind w:left="2780"/>
        <w:spacing w:after="0"/>
        <w:rPr>
          <w:sz w:val="20"/>
          <w:szCs w:val="20"/>
          <w:color w:val="auto"/>
        </w:rPr>
      </w:pPr>
      <w:r>
        <w:rPr>
          <w:rFonts w:ascii="Arial" w:cs="Arial" w:eastAsia="Arial" w:hAnsi="Arial"/>
          <w:sz w:val="16"/>
          <w:szCs w:val="16"/>
          <w:b w:val="1"/>
          <w:bCs w:val="1"/>
          <w:color w:val="auto"/>
        </w:rPr>
        <w:t xml:space="preserve">PNC Bank, National Association, </w:t>
      </w:r>
      <w:r>
        <w:rPr>
          <w:rFonts w:ascii="Arial" w:cs="Arial" w:eastAsia="Arial" w:hAnsi="Arial"/>
          <w:sz w:val="16"/>
          <w:szCs w:val="16"/>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Gisella Del Frate</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Gisella Del Frate</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49" w:name="page150"/>
    <w:bookmarkEnd w:id="149"/>
    <w:p>
      <w:pPr>
        <w:jc w:val="center"/>
        <w:ind w:right="-100"/>
        <w:spacing w:after="0"/>
        <w:rPr>
          <w:sz w:val="20"/>
          <w:szCs w:val="20"/>
          <w:color w:val="auto"/>
        </w:rPr>
      </w:pPr>
      <w:r>
        <w:rPr>
          <w:rFonts w:ascii="Arial" w:cs="Arial" w:eastAsia="Arial" w:hAnsi="Arial"/>
          <w:sz w:val="18"/>
          <w:szCs w:val="18"/>
          <w:b w:val="1"/>
          <w:bCs w:val="1"/>
          <w:color w:val="auto"/>
        </w:rPr>
        <w:t xml:space="preserve">WELLS FARGO BANK, N.A.,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Grainne M. Pergolini</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Grainne M. Pergolini</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50" w:name="page151"/>
    <w:bookmarkEnd w:id="150"/>
    <w:p>
      <w:pPr>
        <w:jc w:val="center"/>
        <w:ind w:right="239"/>
        <w:spacing w:after="0"/>
        <w:rPr>
          <w:sz w:val="20"/>
          <w:szCs w:val="20"/>
          <w:color w:val="auto"/>
        </w:rPr>
      </w:pPr>
      <w:r>
        <w:rPr>
          <w:rFonts w:ascii="Arial" w:cs="Arial" w:eastAsia="Arial" w:hAnsi="Arial"/>
          <w:sz w:val="19"/>
          <w:szCs w:val="19"/>
          <w:b w:val="1"/>
          <w:bCs w:val="1"/>
          <w:color w:val="auto"/>
        </w:rPr>
        <w:t xml:space="preserve">CITY NATIONAL BANK, </w:t>
      </w:r>
      <w:r>
        <w:rPr>
          <w:rFonts w:ascii="Arial" w:cs="Arial" w:eastAsia="Arial" w:hAnsi="Arial"/>
          <w:sz w:val="19"/>
          <w:szCs w:val="19"/>
          <w:color w:val="auto"/>
        </w:rPr>
        <w:t>as a Lender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Forrest McGann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Forrest McGann</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Credit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582295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51" w:name="page152"/>
    <w:bookmarkEnd w:id="151"/>
    <w:p>
      <w:pPr>
        <w:ind w:left="2780"/>
        <w:spacing w:after="0"/>
        <w:rPr>
          <w:sz w:val="20"/>
          <w:szCs w:val="20"/>
          <w:color w:val="auto"/>
        </w:rPr>
      </w:pPr>
      <w:r>
        <w:rPr>
          <w:rFonts w:ascii="Arial" w:cs="Arial" w:eastAsia="Arial" w:hAnsi="Arial"/>
          <w:sz w:val="19"/>
          <w:szCs w:val="19"/>
          <w:b w:val="1"/>
          <w:bCs w:val="1"/>
          <w:color w:val="auto"/>
        </w:rPr>
        <w:t xml:space="preserve">ASSOCIATED BANK, NATIONAL ASSOCIATION, </w:t>
      </w:r>
      <w:r>
        <w:rPr>
          <w:rFonts w:ascii="Arial" w:cs="Arial" w:eastAsia="Arial" w:hAnsi="Arial"/>
          <w:sz w:val="19"/>
          <w:szCs w:val="19"/>
          <w:color w:val="auto"/>
        </w:rPr>
        <w:t>as a Lender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Liliana Huerta Correa</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Liliana Huerta Correa</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9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type w:val="continuous"/>
        </w:sectPr>
      </w:pPr>
    </w:p>
    <w:bookmarkStart w:id="152" w:name="page153"/>
    <w:bookmarkEnd w:id="152"/>
    <w:p>
      <w:pPr>
        <w:ind w:left="2780"/>
        <w:spacing w:after="0"/>
        <w:rPr>
          <w:sz w:val="20"/>
          <w:szCs w:val="20"/>
          <w:color w:val="auto"/>
        </w:rPr>
      </w:pPr>
      <w:r>
        <w:rPr>
          <w:rFonts w:ascii="Arial" w:cs="Arial" w:eastAsia="Arial" w:hAnsi="Arial"/>
          <w:sz w:val="16"/>
          <w:szCs w:val="16"/>
          <w:b w:val="1"/>
          <w:bCs w:val="1"/>
          <w:color w:val="auto"/>
        </w:rPr>
        <w:t xml:space="preserve">BBVA USA, </w:t>
      </w:r>
      <w:r>
        <w:rPr>
          <w:rFonts w:ascii="Arial" w:cs="Arial" w:eastAsia="Arial" w:hAnsi="Arial"/>
          <w:sz w:val="16"/>
          <w:szCs w:val="16"/>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 Ray</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Steve Ray</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9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type w:val="continuous"/>
        </w:sectPr>
      </w:pPr>
    </w:p>
    <w:bookmarkStart w:id="153" w:name="page154"/>
    <w:bookmarkEnd w:id="153"/>
    <w:p>
      <w:pPr>
        <w:ind w:left="2780"/>
        <w:spacing w:after="0"/>
        <w:rPr>
          <w:sz w:val="20"/>
          <w:szCs w:val="20"/>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 Lender</w:t>
      </w:r>
    </w:p>
    <w:p>
      <w:pPr>
        <w:spacing w:after="0" w:line="200" w:lineRule="exact"/>
        <w:rPr>
          <w:sz w:val="20"/>
          <w:szCs w:val="20"/>
          <w:color w:val="auto"/>
        </w:rPr>
      </w:pPr>
    </w:p>
    <w:p>
      <w:pPr>
        <w:spacing w:after="0" w:line="3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Hampton Smith</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Hampton Smith</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32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Marguerite L. Lebon</w:t>
      </w:r>
    </w:p>
    <w:p>
      <w:pPr>
        <w:spacing w:after="0" w:line="11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Name: Marguerite L. Lebon</w:t>
      </w:r>
    </w:p>
    <w:p>
      <w:pPr>
        <w:spacing w:after="0" w:line="1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54" w:name="page155"/>
    <w:bookmarkEnd w:id="154"/>
    <w:p>
      <w:pPr>
        <w:jc w:val="center"/>
        <w:ind w:right="-80"/>
        <w:spacing w:after="0"/>
        <w:rPr>
          <w:sz w:val="20"/>
          <w:szCs w:val="20"/>
          <w:color w:val="auto"/>
        </w:rPr>
      </w:pPr>
      <w:r>
        <w:rPr>
          <w:rFonts w:ascii="Arial" w:cs="Arial" w:eastAsia="Arial" w:hAnsi="Arial"/>
          <w:sz w:val="16"/>
          <w:szCs w:val="16"/>
          <w:b w:val="1"/>
          <w:bCs w:val="1"/>
          <w:color w:val="auto"/>
        </w:rPr>
        <w:t xml:space="preserve">BOKF, NA dba Bank of Texas, </w:t>
      </w:r>
      <w:r>
        <w:rPr>
          <w:rFonts w:ascii="Arial" w:cs="Arial" w:eastAsia="Arial" w:hAnsi="Arial"/>
          <w:sz w:val="16"/>
          <w:szCs w:val="16"/>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Mike Meredith</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Mike Meredith</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55" w:name="page156"/>
    <w:bookmarkEnd w:id="155"/>
    <w:p>
      <w:pPr>
        <w:ind w:left="2780"/>
        <w:spacing w:after="0"/>
        <w:rPr>
          <w:sz w:val="20"/>
          <w:szCs w:val="20"/>
          <w:color w:val="auto"/>
        </w:rPr>
      </w:pPr>
      <w:r>
        <w:rPr>
          <w:rFonts w:ascii="Arial" w:cs="Arial" w:eastAsia="Arial" w:hAnsi="Arial"/>
          <w:sz w:val="19"/>
          <w:szCs w:val="19"/>
          <w:b w:val="1"/>
          <w:bCs w:val="1"/>
          <w:color w:val="auto"/>
        </w:rPr>
        <w:t xml:space="preserve">CAPITAL ONE, NATIONAL ASSOCIATION, </w:t>
      </w:r>
      <w:r>
        <w:rPr>
          <w:rFonts w:ascii="Arial" w:cs="Arial" w:eastAsia="Arial" w:hAnsi="Arial"/>
          <w:sz w:val="19"/>
          <w:szCs w:val="19"/>
          <w:color w:val="auto"/>
        </w:rPr>
        <w:t>as a Lender</w:t>
      </w:r>
    </w:p>
    <w:p>
      <w:pPr>
        <w:spacing w:after="0" w:line="2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Lawler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Lawler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56" w:name="page157"/>
    <w:bookmarkEnd w:id="156"/>
    <w:p>
      <w:pPr>
        <w:ind w:left="2780"/>
        <w:spacing w:after="0"/>
        <w:rPr>
          <w:sz w:val="20"/>
          <w:szCs w:val="20"/>
          <w:color w:val="auto"/>
        </w:rPr>
      </w:pPr>
      <w:r>
        <w:rPr>
          <w:rFonts w:ascii="Arial" w:cs="Arial" w:eastAsia="Arial" w:hAnsi="Arial"/>
          <w:sz w:val="18"/>
          <w:szCs w:val="18"/>
          <w:b w:val="1"/>
          <w:bCs w:val="1"/>
          <w:color w:val="auto"/>
        </w:rPr>
        <w:t xml:space="preserve">CIBC BANK USA, </w:t>
      </w:r>
      <w:r>
        <w:rPr>
          <w:rFonts w:ascii="Arial" w:cs="Arial" w:eastAsia="Arial" w:hAnsi="Arial"/>
          <w:sz w:val="18"/>
          <w:szCs w:val="18"/>
          <w:color w:val="auto"/>
        </w:rPr>
        <w:t>as a Lender</w:t>
      </w:r>
    </w:p>
    <w:p>
      <w:pPr>
        <w:spacing w:after="0" w:line="24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Palmer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Daniel A. Palmer</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2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type w:val="continuous"/>
        </w:sectPr>
      </w:pPr>
    </w:p>
    <w:bookmarkStart w:id="157" w:name="page158"/>
    <w:bookmarkEnd w:id="157"/>
    <w:tbl>
      <w:tblPr>
        <w:tblLayout w:type="fixed"/>
        <w:tblInd w:w="10" w:type="dxa"/>
        <w:tblCellMar>
          <w:top w:w="0" w:type="dxa"/>
          <w:left w:w="0" w:type="dxa"/>
          <w:bottom w:w="0" w:type="dxa"/>
          <w:right w:w="0" w:type="dxa"/>
        </w:tblCellMar>
      </w:tblPr>
      <w:tr>
        <w:trPr>
          <w:trHeight w:val="250"/>
        </w:trPr>
        <w:tc>
          <w:tcPr>
            <w:tcW w:w="3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40" w:type="dxa"/>
            <w:vAlign w:val="bottom"/>
          </w:tcPr>
          <w:p>
            <w:pPr>
              <w:ind w:left="560"/>
              <w:spacing w:after="0"/>
              <w:rPr>
                <w:sz w:val="20"/>
                <w:szCs w:val="20"/>
                <w:color w:val="auto"/>
              </w:rPr>
            </w:pPr>
            <w:r>
              <w:rPr>
                <w:rFonts w:ascii="Arial" w:cs="Arial" w:eastAsia="Arial" w:hAnsi="Arial"/>
                <w:sz w:val="20"/>
                <w:szCs w:val="20"/>
                <w:b w:val="1"/>
                <w:bCs w:val="1"/>
                <w:i w:val="1"/>
                <w:iCs w:val="1"/>
                <w:color w:val="231F20"/>
              </w:rPr>
              <w:t>SCHEDULE 2.01</w:t>
            </w:r>
          </w:p>
        </w:tc>
      </w:tr>
      <w:tr>
        <w:trPr>
          <w:trHeight w:val="527"/>
        </w:trPr>
        <w:tc>
          <w:tcPr>
            <w:tcW w:w="3560" w:type="dxa"/>
            <w:vAlign w:val="bottom"/>
          </w:tcPr>
          <w:p>
            <w:pPr>
              <w:spacing w:after="0"/>
              <w:rPr>
                <w:sz w:val="24"/>
                <w:szCs w:val="24"/>
                <w:color w:val="auto"/>
              </w:rPr>
            </w:pPr>
          </w:p>
        </w:tc>
        <w:tc>
          <w:tcPr>
            <w:tcW w:w="3960" w:type="dxa"/>
            <w:vAlign w:val="bottom"/>
            <w:gridSpan w:val="2"/>
          </w:tcPr>
          <w:p>
            <w:pPr>
              <w:jc w:val="center"/>
              <w:ind w:right="1641"/>
              <w:spacing w:after="0"/>
              <w:rPr>
                <w:sz w:val="20"/>
                <w:szCs w:val="20"/>
                <w:color w:val="auto"/>
              </w:rPr>
            </w:pPr>
            <w:r>
              <w:rPr>
                <w:rFonts w:ascii="Arial" w:cs="Arial" w:eastAsia="Arial" w:hAnsi="Arial"/>
                <w:sz w:val="20"/>
                <w:szCs w:val="20"/>
                <w:b w:val="1"/>
                <w:bCs w:val="1"/>
                <w:color w:val="231F20"/>
              </w:rPr>
              <w:t>COMMITMENTS</w:t>
            </w:r>
          </w:p>
        </w:tc>
        <w:tc>
          <w:tcPr>
            <w:tcW w:w="2940" w:type="dxa"/>
            <w:vAlign w:val="bottom"/>
          </w:tcPr>
          <w:p>
            <w:pPr>
              <w:spacing w:after="0"/>
              <w:rPr>
                <w:sz w:val="24"/>
                <w:szCs w:val="24"/>
                <w:color w:val="auto"/>
              </w:rPr>
            </w:pPr>
          </w:p>
        </w:tc>
      </w:tr>
      <w:tr>
        <w:trPr>
          <w:trHeight w:val="256"/>
        </w:trPr>
        <w:tc>
          <w:tcPr>
            <w:tcW w:w="7520" w:type="dxa"/>
            <w:vAlign w:val="bottom"/>
            <w:gridSpan w:val="3"/>
          </w:tcPr>
          <w:p>
            <w:pPr>
              <w:jc w:val="center"/>
              <w:ind w:left="1741"/>
              <w:spacing w:after="0"/>
              <w:rPr>
                <w:sz w:val="20"/>
                <w:szCs w:val="20"/>
                <w:color w:val="auto"/>
              </w:rPr>
            </w:pPr>
            <w:r>
              <w:rPr>
                <w:rFonts w:ascii="Arial" w:cs="Arial" w:eastAsia="Arial" w:hAnsi="Arial"/>
                <w:sz w:val="20"/>
                <w:szCs w:val="20"/>
                <w:b w:val="1"/>
                <w:bCs w:val="1"/>
                <w:color w:val="231F20"/>
                <w:w w:val="98"/>
              </w:rPr>
              <w:t>AND APPLICABLE PERCENTAGES</w:t>
            </w:r>
          </w:p>
        </w:tc>
        <w:tc>
          <w:tcPr>
            <w:tcW w:w="2940" w:type="dxa"/>
            <w:vAlign w:val="bottom"/>
          </w:tcPr>
          <w:p>
            <w:pPr>
              <w:spacing w:after="0"/>
              <w:rPr>
                <w:sz w:val="22"/>
                <w:szCs w:val="22"/>
                <w:color w:val="auto"/>
              </w:rPr>
            </w:pPr>
          </w:p>
        </w:tc>
      </w:tr>
      <w:tr>
        <w:trPr>
          <w:trHeight w:val="23"/>
        </w:trPr>
        <w:tc>
          <w:tcPr>
            <w:tcW w:w="35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980" w:type="dxa"/>
            <w:vAlign w:val="bottom"/>
            <w:tcBorders>
              <w:bottom w:val="single" w:sz="8" w:color="231F20"/>
            </w:tcBorders>
          </w:tcPr>
          <w:p>
            <w:pPr>
              <w:spacing w:after="0"/>
              <w:rPr>
                <w:sz w:val="2"/>
                <w:szCs w:val="2"/>
                <w:color w:val="auto"/>
              </w:rPr>
            </w:pPr>
          </w:p>
        </w:tc>
        <w:tc>
          <w:tcPr>
            <w:tcW w:w="2940" w:type="dxa"/>
            <w:vAlign w:val="bottom"/>
            <w:tcBorders>
              <w:bottom w:val="single" w:sz="8" w:color="231F20"/>
            </w:tcBorders>
          </w:tcPr>
          <w:p>
            <w:pPr>
              <w:spacing w:after="0"/>
              <w:rPr>
                <w:sz w:val="2"/>
                <w:szCs w:val="2"/>
                <w:color w:val="auto"/>
              </w:rPr>
            </w:pPr>
          </w:p>
        </w:tc>
      </w:tr>
      <w:tr>
        <w:trPr>
          <w:trHeight w:val="282"/>
        </w:trPr>
        <w:tc>
          <w:tcPr>
            <w:tcW w:w="3560" w:type="dxa"/>
            <w:vAlign w:val="bottom"/>
            <w:tcBorders>
              <w:left w:val="single" w:sz="8" w:color="231F20"/>
              <w:bottom w:val="single" w:sz="8" w:color="DCDDDE"/>
            </w:tcBorders>
            <w:shd w:val="clear" w:color="auto" w:fill="DCDDDE"/>
          </w:tcPr>
          <w:p>
            <w:pPr>
              <w:ind w:left="1960"/>
              <w:spacing w:after="0"/>
              <w:rPr>
                <w:sz w:val="20"/>
                <w:szCs w:val="20"/>
                <w:color w:val="auto"/>
              </w:rPr>
            </w:pPr>
            <w:r>
              <w:rPr>
                <w:rFonts w:ascii="Arial" w:cs="Arial" w:eastAsia="Arial" w:hAnsi="Arial"/>
                <w:sz w:val="20"/>
                <w:szCs w:val="20"/>
                <w:b w:val="1"/>
                <w:bCs w:val="1"/>
                <w:color w:val="231F20"/>
              </w:rPr>
              <w:t>Lender</w:t>
            </w:r>
          </w:p>
        </w:tc>
        <w:tc>
          <w:tcPr>
            <w:tcW w:w="980" w:type="dxa"/>
            <w:vAlign w:val="bottom"/>
            <w:tcBorders>
              <w:bottom w:val="single" w:sz="8" w:color="DCDDDE"/>
              <w:right w:val="single" w:sz="8" w:color="231F20"/>
            </w:tcBorders>
            <w:shd w:val="clear" w:color="auto" w:fill="DCDDDE"/>
          </w:tcPr>
          <w:p>
            <w:pPr>
              <w:spacing w:after="0"/>
              <w:rPr>
                <w:sz w:val="24"/>
                <w:szCs w:val="24"/>
                <w:color w:val="auto"/>
              </w:rPr>
            </w:pPr>
          </w:p>
        </w:tc>
        <w:tc>
          <w:tcPr>
            <w:tcW w:w="2980" w:type="dxa"/>
            <w:vAlign w:val="bottom"/>
            <w:tcBorders>
              <w:bottom w:val="single" w:sz="8" w:color="DCDDDE"/>
              <w:right w:val="single" w:sz="8" w:color="231F20"/>
            </w:tcBorders>
            <w:shd w:val="clear" w:color="auto" w:fill="DCDDDE"/>
          </w:tcPr>
          <w:p>
            <w:pPr>
              <w:ind w:left="640"/>
              <w:spacing w:after="0"/>
              <w:rPr>
                <w:sz w:val="20"/>
                <w:szCs w:val="20"/>
                <w:color w:val="auto"/>
              </w:rPr>
            </w:pPr>
            <w:r>
              <w:rPr>
                <w:rFonts w:ascii="Arial" w:cs="Arial" w:eastAsia="Arial" w:hAnsi="Arial"/>
                <w:sz w:val="20"/>
                <w:szCs w:val="20"/>
                <w:b w:val="1"/>
                <w:bCs w:val="1"/>
                <w:color w:val="231F20"/>
              </w:rPr>
              <w:t>Initial Commitment</w:t>
            </w:r>
          </w:p>
        </w:tc>
        <w:tc>
          <w:tcPr>
            <w:tcW w:w="2940" w:type="dxa"/>
            <w:vAlign w:val="bottom"/>
            <w:tcBorders>
              <w:bottom w:val="single" w:sz="8" w:color="DCDDDE"/>
              <w:right w:val="single" w:sz="8" w:color="231F20"/>
            </w:tcBorders>
            <w:shd w:val="clear" w:color="auto" w:fill="DCDDDE"/>
          </w:tcPr>
          <w:p>
            <w:pPr>
              <w:ind w:left="520"/>
              <w:spacing w:after="0"/>
              <w:rPr>
                <w:sz w:val="20"/>
                <w:szCs w:val="20"/>
                <w:color w:val="auto"/>
              </w:rPr>
            </w:pPr>
            <w:r>
              <w:rPr>
                <w:rFonts w:ascii="Arial" w:cs="Arial" w:eastAsia="Arial" w:hAnsi="Arial"/>
                <w:sz w:val="20"/>
                <w:szCs w:val="20"/>
                <w:b w:val="1"/>
                <w:bCs w:val="1"/>
                <w:color w:val="231F20"/>
              </w:rPr>
              <w:t>Applicable Percentage</w:t>
            </w:r>
          </w:p>
        </w:tc>
      </w:tr>
      <w:tr>
        <w:trPr>
          <w:trHeight w:val="254"/>
        </w:trPr>
        <w:tc>
          <w:tcPr>
            <w:tcW w:w="3560" w:type="dxa"/>
            <w:vAlign w:val="bottom"/>
            <w:tcBorders>
              <w:top w:val="single" w:sz="8" w:color="231F20"/>
              <w:left w:val="single" w:sz="8" w:color="231F20"/>
            </w:tcBorders>
          </w:tcPr>
          <w:p>
            <w:pPr>
              <w:ind w:left="40"/>
              <w:spacing w:after="0"/>
              <w:rPr>
                <w:sz w:val="20"/>
                <w:szCs w:val="20"/>
                <w:color w:val="auto"/>
              </w:rPr>
            </w:pPr>
            <w:r>
              <w:rPr>
                <w:rFonts w:ascii="Arial" w:cs="Arial" w:eastAsia="Arial" w:hAnsi="Arial"/>
                <w:sz w:val="20"/>
                <w:szCs w:val="20"/>
                <w:color w:val="231F20"/>
              </w:rPr>
              <w:t>Bank of America, N.A.</w:t>
            </w:r>
          </w:p>
        </w:tc>
        <w:tc>
          <w:tcPr>
            <w:tcW w:w="980" w:type="dxa"/>
            <w:vAlign w:val="bottom"/>
            <w:tcBorders>
              <w:top w:val="single" w:sz="8" w:color="231F20"/>
              <w:right w:val="single" w:sz="8" w:color="231F20"/>
            </w:tcBorders>
          </w:tcPr>
          <w:p>
            <w:pPr>
              <w:spacing w:after="0"/>
              <w:rPr>
                <w:sz w:val="22"/>
                <w:szCs w:val="22"/>
                <w:color w:val="auto"/>
              </w:rPr>
            </w:pPr>
          </w:p>
        </w:tc>
        <w:tc>
          <w:tcPr>
            <w:tcW w:w="2980" w:type="dxa"/>
            <w:vAlign w:val="bottom"/>
            <w:tcBorders>
              <w:top w:val="single" w:sz="8" w:color="231F20"/>
              <w:right w:val="single" w:sz="8" w:color="231F20"/>
            </w:tcBorders>
          </w:tcPr>
          <w:p>
            <w:pPr>
              <w:jc w:val="center"/>
              <w:spacing w:after="0"/>
              <w:rPr>
                <w:sz w:val="20"/>
                <w:szCs w:val="20"/>
                <w:color w:val="auto"/>
              </w:rPr>
            </w:pPr>
            <w:r>
              <w:rPr>
                <w:rFonts w:ascii="Arial" w:cs="Arial" w:eastAsia="Arial" w:hAnsi="Arial"/>
                <w:sz w:val="20"/>
                <w:szCs w:val="20"/>
                <w:color w:val="231F20"/>
                <w:w w:val="89"/>
              </w:rPr>
              <w:t>$90,000,000.00</w:t>
            </w:r>
          </w:p>
        </w:tc>
        <w:tc>
          <w:tcPr>
            <w:tcW w:w="2940" w:type="dxa"/>
            <w:vAlign w:val="bottom"/>
            <w:tcBorders>
              <w:top w:val="single" w:sz="8" w:color="231F20"/>
              <w:right w:val="single" w:sz="8" w:color="231F20"/>
            </w:tcBorders>
          </w:tcPr>
          <w:p>
            <w:pPr>
              <w:jc w:val="center"/>
              <w:spacing w:after="0"/>
              <w:rPr>
                <w:sz w:val="20"/>
                <w:szCs w:val="20"/>
                <w:color w:val="auto"/>
              </w:rPr>
            </w:pPr>
            <w:r>
              <w:rPr>
                <w:rFonts w:ascii="Arial" w:cs="Arial" w:eastAsia="Arial" w:hAnsi="Arial"/>
                <w:sz w:val="20"/>
                <w:szCs w:val="20"/>
                <w:color w:val="231F20"/>
                <w:w w:val="91"/>
              </w:rPr>
              <w:t>9.00%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JPMorgan Chase Bank, N.A.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$90,000,000.00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9.00%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U.S. Bank NA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$90,000,000.00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9.00%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Citibank, N.A.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$70,000,000.00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7.00%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Citizens Bank, N.A.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$70,000,000.00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7.00%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Regions Bank</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$70,000,000.00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7.00%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MUFG Union Bank, N.A.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$65,000,000.00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6.50%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Bank of the West</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$55,000,000.00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5.50%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BMO Harris Bank N.A.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$55,000,000.00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5.50%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Fifth Third Bank, National Association</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$55,000,000.00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5.50%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PNC Bank, National Association</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$55,000,000.00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5.50%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w w:val="99"/>
              </w:rPr>
              <w:t>Wells Fargo Bank, National Association</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$55,000,000.00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5.50%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City National Bank</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$30,000,000.00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3.00%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Associated Bank, National Association</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$25,000,000.00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2.50%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BBVA USA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$25,000,000.00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2.50%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BNP Paribas</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$25,000,000.00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2.50%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BOKF, NA dba Bank of Texas</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$25,000,000.00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2.50%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Capital One, National Association</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$25,000,000.00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2.50%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color w:val="231F20"/>
              </w:rPr>
              <w:t>CIBC Bank USA</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9"/>
              </w:rPr>
              <w:t>$25,000,000.00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2.50%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r>
        <w:trPr>
          <w:trHeight w:val="254"/>
        </w:trPr>
        <w:tc>
          <w:tcPr>
            <w:tcW w:w="3560" w:type="dxa"/>
            <w:vAlign w:val="bottom"/>
            <w:tcBorders>
              <w:left w:val="single" w:sz="8" w:color="231F20"/>
            </w:tcBorders>
          </w:tcPr>
          <w:p>
            <w:pPr>
              <w:ind w:left="40"/>
              <w:spacing w:after="0"/>
              <w:rPr>
                <w:sz w:val="20"/>
                <w:szCs w:val="20"/>
                <w:color w:val="auto"/>
              </w:rPr>
            </w:pPr>
            <w:r>
              <w:rPr>
                <w:rFonts w:ascii="Arial" w:cs="Arial" w:eastAsia="Arial" w:hAnsi="Arial"/>
                <w:sz w:val="20"/>
                <w:szCs w:val="20"/>
                <w:b w:val="1"/>
                <w:bCs w:val="1"/>
                <w:color w:val="231F20"/>
              </w:rPr>
              <w:t>Total</w:t>
            </w:r>
          </w:p>
        </w:tc>
        <w:tc>
          <w:tcPr>
            <w:tcW w:w="980" w:type="dxa"/>
            <w:vAlign w:val="bottom"/>
            <w:tcBorders>
              <w:right w:val="single" w:sz="8" w:color="231F20"/>
            </w:tcBorders>
          </w:tcPr>
          <w:p>
            <w:pPr>
              <w:spacing w:after="0"/>
              <w:rPr>
                <w:sz w:val="22"/>
                <w:szCs w:val="22"/>
                <w:color w:val="auto"/>
              </w:rPr>
            </w:pPr>
          </w:p>
        </w:tc>
        <w:tc>
          <w:tcPr>
            <w:tcW w:w="298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88"/>
              </w:rPr>
              <w:t>$1,000,000,000.00</w:t>
            </w:r>
          </w:p>
        </w:tc>
        <w:tc>
          <w:tcPr>
            <w:tcW w:w="2940" w:type="dxa"/>
            <w:vAlign w:val="bottom"/>
            <w:tcBorders>
              <w:right w:val="single" w:sz="8" w:color="231F20"/>
            </w:tcBorders>
          </w:tcPr>
          <w:p>
            <w:pPr>
              <w:jc w:val="center"/>
              <w:spacing w:after="0"/>
              <w:rPr>
                <w:sz w:val="20"/>
                <w:szCs w:val="20"/>
                <w:color w:val="auto"/>
              </w:rPr>
            </w:pPr>
            <w:r>
              <w:rPr>
                <w:rFonts w:ascii="Arial" w:cs="Arial" w:eastAsia="Arial" w:hAnsi="Arial"/>
                <w:sz w:val="20"/>
                <w:szCs w:val="20"/>
                <w:color w:val="231F20"/>
                <w:w w:val="91"/>
              </w:rPr>
              <w:t>100.00%</w:t>
            </w:r>
          </w:p>
        </w:tc>
      </w:tr>
      <w:tr>
        <w:trPr>
          <w:trHeight w:val="23"/>
        </w:trPr>
        <w:tc>
          <w:tcPr>
            <w:tcW w:w="3560" w:type="dxa"/>
            <w:vAlign w:val="bottom"/>
            <w:tcBorders>
              <w:left w:val="single" w:sz="8" w:color="231F20"/>
              <w:bottom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2980" w:type="dxa"/>
            <w:vAlign w:val="bottom"/>
            <w:tcBorders>
              <w:bottom w:val="single" w:sz="8" w:color="231F20"/>
              <w:right w:val="single" w:sz="8" w:color="231F20"/>
            </w:tcBorders>
          </w:tcPr>
          <w:p>
            <w:pPr>
              <w:spacing w:after="0"/>
              <w:rPr>
                <w:sz w:val="2"/>
                <w:szCs w:val="2"/>
                <w:color w:val="auto"/>
              </w:rPr>
            </w:pPr>
          </w:p>
        </w:tc>
        <w:tc>
          <w:tcPr>
            <w:tcW w:w="2940" w:type="dxa"/>
            <w:vAlign w:val="bottom"/>
            <w:tcBorders>
              <w:bottom w:val="single" w:sz="8" w:color="231F20"/>
              <w:right w:val="single" w:sz="8" w:color="231F2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460"/>
          </w:cols>
          <w:pgMar w:left="720" w:top="96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60"/>
        <w:spacing w:after="0"/>
        <w:rPr>
          <w:sz w:val="20"/>
          <w:szCs w:val="20"/>
          <w:color w:val="auto"/>
        </w:rPr>
      </w:pPr>
      <w:r>
        <w:rPr>
          <w:rFonts w:ascii="Arial" w:cs="Arial" w:eastAsia="Arial" w:hAnsi="Arial"/>
          <w:sz w:val="15"/>
          <w:szCs w:val="15"/>
          <w:color w:val="231F20"/>
        </w:rPr>
        <w:t>Schedule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593725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720" w:top="960" w:right="719" w:bottom="1440" w:gutter="0" w:footer="0" w:header="0"/>
          <w:type w:val="continuous"/>
        </w:sectPr>
      </w:pPr>
    </w:p>
    <w:bookmarkStart w:id="158" w:name="page159"/>
    <w:bookmarkEnd w:id="158"/>
    <w:p>
      <w:pPr>
        <w:jc w:val="right"/>
        <w:ind w:right="199"/>
        <w:spacing w:after="0"/>
        <w:rPr>
          <w:sz w:val="20"/>
          <w:szCs w:val="20"/>
          <w:color w:val="auto"/>
        </w:rPr>
      </w:pPr>
      <w:r>
        <w:rPr>
          <w:rFonts w:ascii="Arial" w:cs="Arial" w:eastAsia="Arial" w:hAnsi="Arial"/>
          <w:sz w:val="20"/>
          <w:szCs w:val="20"/>
          <w:b w:val="1"/>
          <w:bCs w:val="1"/>
          <w:i w:val="1"/>
          <w:iCs w:val="1"/>
          <w:color w:val="231F20"/>
        </w:rPr>
        <w:t>SCHEDULE 5.05</w:t>
      </w:r>
    </w:p>
    <w:p>
      <w:pPr>
        <w:spacing w:after="0" w:line="318" w:lineRule="exact"/>
        <w:rPr>
          <w:sz w:val="20"/>
          <w:szCs w:val="20"/>
          <w:color w:val="auto"/>
        </w:rPr>
      </w:pPr>
    </w:p>
    <w:p>
      <w:pPr>
        <w:ind w:left="1266"/>
        <w:spacing w:after="0"/>
        <w:rPr>
          <w:sz w:val="20"/>
          <w:szCs w:val="20"/>
          <w:color w:val="auto"/>
        </w:rPr>
      </w:pPr>
      <w:r>
        <w:rPr>
          <w:rFonts w:ascii="Arial" w:cs="Arial" w:eastAsia="Arial" w:hAnsi="Arial"/>
          <w:sz w:val="20"/>
          <w:szCs w:val="20"/>
          <w:b w:val="1"/>
          <w:bCs w:val="1"/>
          <w:color w:val="231F20"/>
        </w:rPr>
        <w:t>SUPPLEMENT TO INTERIM FINANCIAL STATEMENTS</w:t>
      </w:r>
    </w:p>
    <w:p>
      <w:pPr>
        <w:spacing w:after="0" w:line="262" w:lineRule="exact"/>
        <w:rPr>
          <w:sz w:val="20"/>
          <w:szCs w:val="20"/>
          <w:color w:val="auto"/>
        </w:rPr>
      </w:pPr>
    </w:p>
    <w:p>
      <w:pPr>
        <w:ind w:left="306" w:hanging="306"/>
        <w:spacing w:after="0"/>
        <w:tabs>
          <w:tab w:leader="none" w:pos="306" w:val="left"/>
        </w:tabs>
        <w:numPr>
          <w:ilvl w:val="0"/>
          <w:numId w:val="139"/>
        </w:numPr>
        <w:rPr>
          <w:rFonts w:ascii="Arial" w:cs="Arial" w:eastAsia="Arial" w:hAnsi="Arial"/>
          <w:sz w:val="20"/>
          <w:szCs w:val="20"/>
          <w:color w:val="auto"/>
        </w:rPr>
      </w:pPr>
      <w:r>
        <w:rPr>
          <w:rFonts w:ascii="Arial" w:cs="Arial" w:eastAsia="Arial" w:hAnsi="Arial"/>
          <w:sz w:val="20"/>
          <w:szCs w:val="20"/>
          <w:color w:val="231F20"/>
        </w:rPr>
        <w:t>The Indebtedness listed on Schedule 7.04.</w:t>
      </w:r>
    </w:p>
    <w:p>
      <w:pPr>
        <w:spacing w:after="0" w:line="256" w:lineRule="exact"/>
        <w:rPr>
          <w:rFonts w:ascii="Arial" w:cs="Arial" w:eastAsia="Arial" w:hAnsi="Arial"/>
          <w:sz w:val="20"/>
          <w:szCs w:val="20"/>
          <w:color w:val="auto"/>
        </w:rPr>
      </w:pPr>
    </w:p>
    <w:p>
      <w:pPr>
        <w:ind w:left="326" w:right="479" w:hanging="326"/>
        <w:spacing w:after="0" w:line="260" w:lineRule="auto"/>
        <w:tabs>
          <w:tab w:leader="none" w:pos="315" w:val="left"/>
        </w:tabs>
        <w:numPr>
          <w:ilvl w:val="0"/>
          <w:numId w:val="139"/>
        </w:numPr>
        <w:rPr>
          <w:rFonts w:ascii="Arial" w:cs="Arial" w:eastAsia="Arial" w:hAnsi="Arial"/>
          <w:sz w:val="20"/>
          <w:szCs w:val="20"/>
          <w:color w:val="auto"/>
        </w:rPr>
      </w:pPr>
      <w:r>
        <w:rPr>
          <w:rFonts w:ascii="Arial" w:cs="Arial" w:eastAsia="Arial" w:hAnsi="Arial"/>
          <w:sz w:val="20"/>
          <w:szCs w:val="20"/>
          <w:color w:val="231F20"/>
        </w:rPr>
        <w:t>Indebtedness and other material liabilities, direct or contingent, of the Borrower and its Subsidiaries as publicly disclosed in filings with the SEC.</w:t>
      </w:r>
    </w:p>
    <w:p>
      <w:pPr>
        <w:sectPr>
          <w:pgSz w:w="11900" w:h="16838" w:orient="portrait"/>
          <w:cols w:equalWidth="0" w:num="1">
            <w:col w:w="9605"/>
          </w:cols>
          <w:pgMar w:left="854" w:top="9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66"/>
        <w:spacing w:after="0"/>
        <w:rPr>
          <w:sz w:val="20"/>
          <w:szCs w:val="20"/>
          <w:color w:val="auto"/>
        </w:rPr>
      </w:pPr>
      <w:r>
        <w:rPr>
          <w:rFonts w:ascii="Arial" w:cs="Arial" w:eastAsia="Arial" w:hAnsi="Arial"/>
          <w:sz w:val="15"/>
          <w:szCs w:val="15"/>
          <w:color w:val="231F20"/>
        </w:rPr>
        <w:t>Schedule 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593725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5"/>
          </w:cols>
          <w:pgMar w:left="854" w:top="960" w:right="1440" w:bottom="1440" w:gutter="0" w:footer="0" w:header="0"/>
          <w:type w:val="continuous"/>
        </w:sectPr>
      </w:pPr>
    </w:p>
    <w:bookmarkStart w:id="159" w:name="page160"/>
    <w:bookmarkEnd w:id="159"/>
    <w:p>
      <w:pPr>
        <w:jc w:val="right"/>
        <w:ind w:right="199"/>
        <w:spacing w:after="0"/>
        <w:rPr>
          <w:sz w:val="20"/>
          <w:szCs w:val="20"/>
          <w:color w:val="auto"/>
        </w:rPr>
      </w:pPr>
      <w:r>
        <w:rPr>
          <w:rFonts w:ascii="Arial" w:cs="Arial" w:eastAsia="Arial" w:hAnsi="Arial"/>
          <w:sz w:val="20"/>
          <w:szCs w:val="20"/>
          <w:b w:val="1"/>
          <w:bCs w:val="1"/>
          <w:i w:val="1"/>
          <w:iCs w:val="1"/>
          <w:color w:val="231F20"/>
        </w:rPr>
        <w:t>SCHEDULE 5.06</w:t>
      </w:r>
    </w:p>
    <w:p>
      <w:pPr>
        <w:spacing w:after="0" w:line="318"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231F20"/>
        </w:rPr>
        <w:t>EXISTING LITIGATION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231F20"/>
        </w:rPr>
        <w:t>1. Any actions, suits, or proceedings publicly disclosed in filings with the SEC.</w:t>
      </w:r>
    </w:p>
    <w:p>
      <w:pPr>
        <w:sectPr>
          <w:pgSz w:w="11900" w:h="16838" w:orient="portrait"/>
          <w:cols w:equalWidth="0" w:num="1">
            <w:col w:w="9599"/>
          </w:cols>
          <w:pgMar w:left="860" w:top="12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Arial" w:cs="Arial" w:eastAsia="Arial" w:hAnsi="Arial"/>
          <w:sz w:val="15"/>
          <w:szCs w:val="15"/>
          <w:color w:val="231F20"/>
        </w:rPr>
        <w:t>Schedule 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593725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99"/>
          </w:cols>
          <w:pgMar w:left="860" w:top="1203" w:right="1440" w:bottom="1440" w:gutter="0" w:footer="0" w:header="0"/>
          <w:type w:val="continuous"/>
        </w:sectPr>
      </w:pPr>
    </w:p>
    <w:bookmarkStart w:id="160" w:name="page161"/>
    <w:bookmarkEnd w:id="160"/>
    <w:p>
      <w:pPr>
        <w:jc w:val="right"/>
        <w:ind w:right="199"/>
        <w:spacing w:after="0"/>
        <w:rPr>
          <w:sz w:val="20"/>
          <w:szCs w:val="20"/>
          <w:color w:val="auto"/>
        </w:rPr>
      </w:pPr>
      <w:r>
        <w:rPr>
          <w:rFonts w:ascii="Arial" w:cs="Arial" w:eastAsia="Arial" w:hAnsi="Arial"/>
          <w:sz w:val="20"/>
          <w:szCs w:val="20"/>
          <w:b w:val="1"/>
          <w:bCs w:val="1"/>
          <w:i w:val="1"/>
          <w:iCs w:val="1"/>
          <w:color w:val="231F20"/>
        </w:rPr>
        <w:t>SCHEDULE 5.12</w:t>
      </w:r>
    </w:p>
    <w:p>
      <w:pPr>
        <w:spacing w:after="0" w:line="318"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231F20"/>
        </w:rPr>
        <w:t>ERISA MATTERS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231F20"/>
        </w:rPr>
        <w:t>None.</w:t>
      </w:r>
    </w:p>
    <w:p>
      <w:pPr>
        <w:sectPr>
          <w:pgSz w:w="11900" w:h="16838" w:orient="portrait"/>
          <w:cols w:equalWidth="0" w:num="1">
            <w:col w:w="9279"/>
          </w:cols>
          <w:pgMar w:left="1180" w:top="1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5"/>
          <w:szCs w:val="15"/>
          <w:color w:val="231F20"/>
        </w:rPr>
        <w:t>Schedule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593725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79"/>
          </w:cols>
          <w:pgMar w:left="1180" w:top="1284" w:right="1440" w:bottom="144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20"/>
          <w:szCs w:val="20"/>
          <w:b w:val="1"/>
          <w:bCs w:val="1"/>
          <w:i w:val="1"/>
          <w:iCs w:val="1"/>
          <w:color w:val="auto"/>
        </w:rPr>
        <w:t>SCHEDULE 5.14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*Denotes a Material Subsidiary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Denotes an Insurance Subsidiary</w:t>
      </w:r>
    </w:p>
    <w:p>
      <w:pPr>
        <w:spacing w:after="0"/>
        <w:rPr>
          <w:sz w:val="20"/>
          <w:szCs w:val="20"/>
          <w:color w:val="auto"/>
        </w:rPr>
      </w:pPr>
      <w:r>
        <w:rPr>
          <w:rFonts w:ascii="Arial" w:cs="Arial" w:eastAsia="Arial" w:hAnsi="Arial"/>
          <w:sz w:val="20"/>
          <w:szCs w:val="20"/>
          <w:color w:val="auto"/>
        </w:rPr>
        <w:t>*/** Denotes a Subsidiary that is both a Material Subsidiary and an Insurance Subsidiary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Achieve Title Agency, LLC (51%)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ACT Title Agency LLC (51%)</w:t>
      </w:r>
    </w:p>
    <w:p>
      <w:pPr>
        <w:spacing w:after="0"/>
        <w:rPr>
          <w:sz w:val="20"/>
          <w:szCs w:val="20"/>
          <w:color w:val="auto"/>
        </w:rPr>
      </w:pPr>
      <w:r>
        <w:rPr>
          <w:rFonts w:ascii="Arial" w:cs="Arial" w:eastAsia="Arial" w:hAnsi="Arial"/>
          <w:sz w:val="20"/>
          <w:szCs w:val="20"/>
          <w:color w:val="auto"/>
        </w:rPr>
        <w:t>AESOP Exchange Corporation</w:t>
      </w:r>
    </w:p>
    <w:p>
      <w:pPr>
        <w:spacing w:after="0"/>
        <w:rPr>
          <w:sz w:val="20"/>
          <w:szCs w:val="20"/>
          <w:color w:val="auto"/>
        </w:rPr>
      </w:pPr>
      <w:r>
        <w:rPr>
          <w:rFonts w:ascii="Arial" w:cs="Arial" w:eastAsia="Arial" w:hAnsi="Arial"/>
          <w:sz w:val="20"/>
          <w:szCs w:val="20"/>
          <w:color w:val="auto"/>
        </w:rPr>
        <w:t>Agent Pronto, LLC</w:t>
      </w:r>
    </w:p>
    <w:p>
      <w:pPr>
        <w:spacing w:after="0"/>
        <w:rPr>
          <w:sz w:val="20"/>
          <w:szCs w:val="20"/>
          <w:color w:val="auto"/>
        </w:rPr>
      </w:pPr>
      <w:r>
        <w:rPr>
          <w:rFonts w:ascii="Arial" w:cs="Arial" w:eastAsia="Arial" w:hAnsi="Arial"/>
          <w:sz w:val="20"/>
          <w:szCs w:val="20"/>
          <w:color w:val="auto"/>
        </w:rPr>
        <w:t>AIS Alamo Insurance Services, Inc.</w:t>
      </w:r>
    </w:p>
    <w:p>
      <w:pPr>
        <w:spacing w:after="0"/>
        <w:rPr>
          <w:sz w:val="20"/>
          <w:szCs w:val="20"/>
          <w:color w:val="auto"/>
        </w:rPr>
      </w:pPr>
      <w:r>
        <w:rPr>
          <w:rFonts w:ascii="Arial" w:cs="Arial" w:eastAsia="Arial" w:hAnsi="Arial"/>
          <w:sz w:val="20"/>
          <w:szCs w:val="20"/>
          <w:color w:val="auto"/>
        </w:rPr>
        <w:t>Alamo Title Company</w:t>
      </w:r>
    </w:p>
    <w:p>
      <w:pPr>
        <w:spacing w:after="0"/>
        <w:rPr>
          <w:sz w:val="20"/>
          <w:szCs w:val="20"/>
          <w:color w:val="auto"/>
        </w:rPr>
      </w:pPr>
      <w:r>
        <w:rPr>
          <w:rFonts w:ascii="Arial" w:cs="Arial" w:eastAsia="Arial" w:hAnsi="Arial"/>
          <w:sz w:val="20"/>
          <w:szCs w:val="20"/>
          <w:color w:val="auto"/>
        </w:rPr>
        <w:t>Alamo Title Holding Company</w:t>
      </w:r>
    </w:p>
    <w:p>
      <w:pPr>
        <w:spacing w:after="0"/>
        <w:rPr>
          <w:sz w:val="20"/>
          <w:szCs w:val="20"/>
          <w:color w:val="auto"/>
        </w:rPr>
      </w:pPr>
      <w:r>
        <w:rPr>
          <w:rFonts w:ascii="Arial" w:cs="Arial" w:eastAsia="Arial" w:hAnsi="Arial"/>
          <w:sz w:val="20"/>
          <w:szCs w:val="20"/>
          <w:color w:val="auto"/>
        </w:rPr>
        <w:t>**Alamo Title Insurance ("ATI")</w:t>
      </w:r>
    </w:p>
    <w:p>
      <w:pPr>
        <w:spacing w:after="0"/>
        <w:rPr>
          <w:sz w:val="20"/>
          <w:szCs w:val="20"/>
          <w:color w:val="auto"/>
        </w:rPr>
      </w:pPr>
      <w:r>
        <w:rPr>
          <w:rFonts w:ascii="Arial" w:cs="Arial" w:eastAsia="Arial" w:hAnsi="Arial"/>
          <w:sz w:val="20"/>
          <w:szCs w:val="20"/>
          <w:color w:val="auto"/>
        </w:rPr>
        <w:t>Alexander Title Agency, Incorporated</w:t>
      </w:r>
    </w:p>
    <w:p>
      <w:pPr>
        <w:spacing w:after="0"/>
        <w:rPr>
          <w:sz w:val="20"/>
          <w:szCs w:val="20"/>
          <w:color w:val="auto"/>
        </w:rPr>
      </w:pPr>
      <w:r>
        <w:rPr>
          <w:rFonts w:ascii="Arial" w:cs="Arial" w:eastAsia="Arial" w:hAnsi="Arial"/>
          <w:sz w:val="20"/>
          <w:szCs w:val="20"/>
          <w:color w:val="auto"/>
        </w:rPr>
        <w:t>All Counties Courier, Inc. (30%)</w:t>
      </w:r>
    </w:p>
    <w:p>
      <w:pPr>
        <w:spacing w:after="0"/>
        <w:rPr>
          <w:sz w:val="20"/>
          <w:szCs w:val="20"/>
          <w:color w:val="auto"/>
        </w:rPr>
      </w:pPr>
      <w:r>
        <w:rPr>
          <w:rFonts w:ascii="Arial" w:cs="Arial" w:eastAsia="Arial" w:hAnsi="Arial"/>
          <w:sz w:val="20"/>
          <w:szCs w:val="20"/>
          <w:color w:val="auto"/>
        </w:rPr>
        <w:t>All Seasons Escrow (51%)</w:t>
      </w:r>
    </w:p>
    <w:p>
      <w:pPr>
        <w:spacing w:after="0"/>
        <w:rPr>
          <w:sz w:val="20"/>
          <w:szCs w:val="20"/>
          <w:color w:val="auto"/>
        </w:rPr>
      </w:pPr>
      <w:r>
        <w:rPr>
          <w:rFonts w:ascii="Arial" w:cs="Arial" w:eastAsia="Arial" w:hAnsi="Arial"/>
          <w:sz w:val="20"/>
          <w:szCs w:val="20"/>
          <w:color w:val="auto"/>
        </w:rPr>
        <w:t>Amarillo Data, Inc. (66.6%)</w:t>
      </w:r>
    </w:p>
    <w:p>
      <w:pPr>
        <w:spacing w:after="0"/>
        <w:rPr>
          <w:sz w:val="20"/>
          <w:szCs w:val="20"/>
          <w:color w:val="auto"/>
        </w:rPr>
      </w:pPr>
      <w:r>
        <w:rPr>
          <w:rFonts w:ascii="Arial" w:cs="Arial" w:eastAsia="Arial" w:hAnsi="Arial"/>
          <w:sz w:val="20"/>
          <w:szCs w:val="20"/>
          <w:color w:val="auto"/>
        </w:rPr>
        <w:t>AMC Settlement Services, LLC (22%)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American Heritage Title Agency,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American Title Company</w:t>
      </w:r>
    </w:p>
    <w:p>
      <w:pPr>
        <w:spacing w:after="0"/>
        <w:rPr>
          <w:sz w:val="20"/>
          <w:szCs w:val="20"/>
          <w:color w:val="auto"/>
        </w:rPr>
      </w:pPr>
      <w:r>
        <w:rPr>
          <w:rFonts w:ascii="Arial" w:cs="Arial" w:eastAsia="Arial" w:hAnsi="Arial"/>
          <w:sz w:val="20"/>
          <w:szCs w:val="20"/>
          <w:color w:val="auto"/>
        </w:rPr>
        <w:t>American Title Group, Inc.</w:t>
      </w:r>
    </w:p>
    <w:p>
      <w:pPr>
        <w:spacing w:after="0"/>
        <w:rPr>
          <w:sz w:val="20"/>
          <w:szCs w:val="20"/>
          <w:color w:val="auto"/>
        </w:rPr>
      </w:pPr>
      <w:r>
        <w:rPr>
          <w:rFonts w:ascii="Arial" w:cs="Arial" w:eastAsia="Arial" w:hAnsi="Arial"/>
          <w:sz w:val="20"/>
          <w:szCs w:val="20"/>
          <w:color w:val="auto"/>
        </w:rPr>
        <w:t>Amerititle Downtown, LLC</w:t>
      </w:r>
    </w:p>
    <w:p>
      <w:pPr>
        <w:spacing w:after="0"/>
        <w:rPr>
          <w:sz w:val="20"/>
          <w:szCs w:val="20"/>
          <w:color w:val="auto"/>
        </w:rPr>
      </w:pPr>
      <w:r>
        <w:rPr>
          <w:rFonts w:ascii="Arial" w:cs="Arial" w:eastAsia="Arial" w:hAnsi="Arial"/>
          <w:sz w:val="20"/>
          <w:szCs w:val="20"/>
          <w:color w:val="auto"/>
        </w:rPr>
        <w:t>ATM Holdings, LLC</w:t>
      </w:r>
    </w:p>
    <w:p>
      <w:pPr>
        <w:spacing w:after="0"/>
        <w:rPr>
          <w:sz w:val="20"/>
          <w:szCs w:val="20"/>
          <w:color w:val="auto"/>
        </w:rPr>
      </w:pPr>
      <w:r>
        <w:rPr>
          <w:rFonts w:ascii="Arial" w:cs="Arial" w:eastAsia="Arial" w:hAnsi="Arial"/>
          <w:sz w:val="20"/>
          <w:szCs w:val="20"/>
          <w:color w:val="auto"/>
        </w:rPr>
        <w:t>Austin Data, Inc. (33.3%)</w:t>
      </w:r>
    </w:p>
    <w:p>
      <w:pPr>
        <w:spacing w:after="0"/>
        <w:rPr>
          <w:sz w:val="20"/>
          <w:szCs w:val="20"/>
          <w:color w:val="auto"/>
        </w:rPr>
      </w:pPr>
      <w:r>
        <w:rPr>
          <w:rFonts w:ascii="Arial" w:cs="Arial" w:eastAsia="Arial" w:hAnsi="Arial"/>
          <w:sz w:val="20"/>
          <w:szCs w:val="20"/>
          <w:color w:val="auto"/>
        </w:rPr>
        <w:t>Austin Title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Bancserv,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Baton Rouge Title Company, Inc.</w:t>
      </w:r>
    </w:p>
    <w:p>
      <w:pPr>
        <w:spacing w:after="0"/>
        <w:rPr>
          <w:sz w:val="20"/>
          <w:szCs w:val="20"/>
          <w:color w:val="auto"/>
        </w:rPr>
      </w:pPr>
      <w:r>
        <w:rPr>
          <w:rFonts w:ascii="Arial" w:cs="Arial" w:eastAsia="Arial" w:hAnsi="Arial"/>
          <w:sz w:val="20"/>
          <w:szCs w:val="20"/>
          <w:color w:val="auto"/>
        </w:rPr>
        <w:t>Beacon Title Agency LLC (51%)</w:t>
      </w:r>
    </w:p>
    <w:p>
      <w:pPr>
        <w:spacing w:after="0"/>
        <w:rPr>
          <w:sz w:val="20"/>
          <w:szCs w:val="20"/>
          <w:color w:val="auto"/>
        </w:rPr>
      </w:pPr>
      <w:r>
        <w:rPr>
          <w:rFonts w:ascii="Arial" w:cs="Arial" w:eastAsia="Arial" w:hAnsi="Arial"/>
          <w:sz w:val="20"/>
          <w:szCs w:val="20"/>
          <w:color w:val="auto"/>
        </w:rPr>
        <w:t>Berrien County Title Agency, LLC (50.1%)</w:t>
      </w:r>
    </w:p>
    <w:p>
      <w:pPr>
        <w:spacing w:after="0"/>
        <w:rPr>
          <w:sz w:val="20"/>
          <w:szCs w:val="20"/>
          <w:color w:val="auto"/>
        </w:rPr>
      </w:pPr>
      <w:r>
        <w:rPr>
          <w:rFonts w:ascii="Arial" w:cs="Arial" w:eastAsia="Arial" w:hAnsi="Arial"/>
          <w:sz w:val="20"/>
          <w:szCs w:val="20"/>
          <w:color w:val="auto"/>
        </w:rPr>
        <w:t>BHC&amp;M, Ltd.</w:t>
      </w:r>
    </w:p>
    <w:p>
      <w:pPr>
        <w:spacing w:after="0"/>
        <w:rPr>
          <w:sz w:val="20"/>
          <w:szCs w:val="20"/>
          <w:color w:val="auto"/>
        </w:rPr>
      </w:pPr>
      <w:r>
        <w:rPr>
          <w:rFonts w:ascii="Arial" w:cs="Arial" w:eastAsia="Arial" w:hAnsi="Arial"/>
          <w:sz w:val="20"/>
          <w:szCs w:val="20"/>
          <w:color w:val="auto"/>
        </w:rPr>
        <w:t>Blue Ridge Title/CTIC, LLC (20%)</w:t>
      </w:r>
    </w:p>
    <w:p>
      <w:pPr>
        <w:spacing w:after="0"/>
        <w:rPr>
          <w:sz w:val="20"/>
          <w:szCs w:val="20"/>
          <w:color w:val="auto"/>
        </w:rPr>
      </w:pPr>
      <w:r>
        <w:rPr>
          <w:rFonts w:ascii="Arial" w:cs="Arial" w:eastAsia="Arial" w:hAnsi="Arial"/>
          <w:sz w:val="20"/>
          <w:szCs w:val="20"/>
          <w:color w:val="auto"/>
        </w:rPr>
        <w:t>BPG Holdings, LLC</w:t>
      </w:r>
    </w:p>
    <w:p>
      <w:pPr>
        <w:spacing w:after="0"/>
        <w:rPr>
          <w:sz w:val="20"/>
          <w:szCs w:val="20"/>
          <w:color w:val="auto"/>
        </w:rPr>
      </w:pPr>
      <w:r>
        <w:rPr>
          <w:rFonts w:ascii="Arial" w:cs="Arial" w:eastAsia="Arial" w:hAnsi="Arial"/>
          <w:sz w:val="20"/>
          <w:szCs w:val="20"/>
          <w:color w:val="auto"/>
        </w:rPr>
        <w:t>BPG Inspection, LLC</w:t>
      </w:r>
    </w:p>
    <w:p>
      <w:pPr>
        <w:spacing w:after="0"/>
        <w:rPr>
          <w:sz w:val="20"/>
          <w:szCs w:val="20"/>
          <w:color w:val="auto"/>
        </w:rPr>
      </w:pPr>
      <w:r>
        <w:rPr>
          <w:rFonts w:ascii="Arial" w:cs="Arial" w:eastAsia="Arial" w:hAnsi="Arial"/>
          <w:sz w:val="20"/>
          <w:szCs w:val="20"/>
          <w:color w:val="auto"/>
        </w:rPr>
        <w:t>Burnet Title of Indiana, LLC (25%)</w:t>
      </w:r>
    </w:p>
    <w:p>
      <w:pPr>
        <w:spacing w:after="0"/>
        <w:rPr>
          <w:sz w:val="20"/>
          <w:szCs w:val="20"/>
          <w:color w:val="auto"/>
        </w:rPr>
      </w:pPr>
      <w:r>
        <w:rPr>
          <w:rFonts w:ascii="Arial" w:cs="Arial" w:eastAsia="Arial" w:hAnsi="Arial"/>
          <w:sz w:val="20"/>
          <w:szCs w:val="20"/>
          <w:color w:val="auto"/>
        </w:rPr>
        <w:t>Buyers Protection Group,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Cancellation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Chelsea Title Company</w:t>
      </w:r>
    </w:p>
    <w:p>
      <w:pPr>
        <w:spacing w:after="0"/>
        <w:rPr>
          <w:sz w:val="20"/>
          <w:szCs w:val="20"/>
          <w:color w:val="auto"/>
        </w:rPr>
      </w:pPr>
      <w:r>
        <w:rPr>
          <w:rFonts w:ascii="Arial" w:cs="Arial" w:eastAsia="Arial" w:hAnsi="Arial"/>
          <w:sz w:val="20"/>
          <w:szCs w:val="20"/>
          <w:color w:val="auto"/>
        </w:rPr>
        <w:t>Chicago Land Agency Services, Inc. (49.9%)</w:t>
      </w:r>
    </w:p>
    <w:p>
      <w:pPr>
        <w:spacing w:after="0"/>
        <w:rPr>
          <w:sz w:val="20"/>
          <w:szCs w:val="20"/>
          <w:color w:val="auto"/>
        </w:rPr>
      </w:pPr>
      <w:r>
        <w:rPr>
          <w:rFonts w:ascii="Arial" w:cs="Arial" w:eastAsia="Arial" w:hAnsi="Arial"/>
          <w:sz w:val="20"/>
          <w:szCs w:val="20"/>
          <w:color w:val="auto"/>
        </w:rPr>
        <w:t>Chicago Lawyers Insurance Services, Inc.</w:t>
      </w:r>
    </w:p>
    <w:p>
      <w:pPr>
        <w:sectPr>
          <w:pgSz w:w="11900" w:h="16838" w:orient="portrait"/>
          <w:cols w:equalWidth="0" w:num="1">
            <w:col w:w="11240"/>
          </w:cols>
          <w:pgMar w:left="320" w:top="1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5.14 - 1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20"/>
          <w:szCs w:val="20"/>
          <w:color w:val="auto"/>
        </w:rPr>
        <w:t>Chicago Title Agency Holding,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Chicago Title Agency, Inc.</w:t>
      </w:r>
    </w:p>
    <w:p>
      <w:pPr>
        <w:spacing w:after="0"/>
        <w:rPr>
          <w:sz w:val="20"/>
          <w:szCs w:val="20"/>
          <w:color w:val="auto"/>
        </w:rPr>
      </w:pPr>
      <w:r>
        <w:rPr>
          <w:rFonts w:ascii="Arial" w:cs="Arial" w:eastAsia="Arial" w:hAnsi="Arial"/>
          <w:sz w:val="20"/>
          <w:szCs w:val="20"/>
          <w:color w:val="auto"/>
        </w:rPr>
        <w:t>Chicago Title and Trust Company</w:t>
      </w:r>
    </w:p>
    <w:p>
      <w:pPr>
        <w:spacing w:after="0"/>
        <w:rPr>
          <w:sz w:val="20"/>
          <w:szCs w:val="20"/>
          <w:color w:val="auto"/>
        </w:rPr>
      </w:pPr>
      <w:r>
        <w:rPr>
          <w:rFonts w:ascii="Arial" w:cs="Arial" w:eastAsia="Arial" w:hAnsi="Arial"/>
          <w:sz w:val="20"/>
          <w:szCs w:val="20"/>
          <w:color w:val="auto"/>
        </w:rPr>
        <w:t>Chicago Title Company</w:t>
      </w:r>
    </w:p>
    <w:p>
      <w:pPr>
        <w:spacing w:after="0"/>
        <w:rPr>
          <w:sz w:val="20"/>
          <w:szCs w:val="20"/>
          <w:color w:val="auto"/>
        </w:rPr>
      </w:pPr>
      <w:r>
        <w:rPr>
          <w:rFonts w:ascii="Arial" w:cs="Arial" w:eastAsia="Arial" w:hAnsi="Arial"/>
          <w:sz w:val="20"/>
          <w:szCs w:val="20"/>
          <w:color w:val="auto"/>
        </w:rPr>
        <w:t>Chicago Title Company of Oregon</w:t>
      </w:r>
    </w:p>
    <w:p>
      <w:pPr>
        <w:spacing w:after="0"/>
        <w:rPr>
          <w:sz w:val="20"/>
          <w:szCs w:val="20"/>
          <w:color w:val="auto"/>
        </w:rPr>
      </w:pPr>
      <w:r>
        <w:rPr>
          <w:rFonts w:ascii="Arial" w:cs="Arial" w:eastAsia="Arial" w:hAnsi="Arial"/>
          <w:sz w:val="20"/>
          <w:szCs w:val="20"/>
          <w:color w:val="auto"/>
        </w:rPr>
        <w:t>Chicago Title Company of Washington</w:t>
      </w:r>
    </w:p>
    <w:p>
      <w:pPr>
        <w:spacing w:after="0"/>
        <w:rPr>
          <w:sz w:val="20"/>
          <w:szCs w:val="20"/>
          <w:color w:val="auto"/>
        </w:rPr>
      </w:pPr>
      <w:r>
        <w:rPr>
          <w:rFonts w:ascii="Arial" w:cs="Arial" w:eastAsia="Arial" w:hAnsi="Arial"/>
          <w:sz w:val="20"/>
          <w:szCs w:val="20"/>
          <w:color w:val="auto"/>
        </w:rPr>
        <w:t>Chicago Title Company, LLC (DE)</w:t>
      </w:r>
    </w:p>
    <w:p>
      <w:pPr>
        <w:spacing w:after="0"/>
        <w:rPr>
          <w:sz w:val="20"/>
          <w:szCs w:val="20"/>
          <w:color w:val="auto"/>
        </w:rPr>
      </w:pPr>
      <w:r>
        <w:rPr>
          <w:rFonts w:ascii="Arial" w:cs="Arial" w:eastAsia="Arial" w:hAnsi="Arial"/>
          <w:sz w:val="20"/>
          <w:szCs w:val="20"/>
          <w:color w:val="auto"/>
        </w:rPr>
        <w:t>Chicago Title Company, LLC (MT)</w:t>
      </w:r>
    </w:p>
    <w:p>
      <w:pPr>
        <w:spacing w:after="0"/>
        <w:rPr>
          <w:sz w:val="20"/>
          <w:szCs w:val="20"/>
          <w:color w:val="auto"/>
        </w:rPr>
      </w:pPr>
      <w:r>
        <w:rPr>
          <w:rFonts w:ascii="Arial" w:cs="Arial" w:eastAsia="Arial" w:hAnsi="Arial"/>
          <w:sz w:val="20"/>
          <w:szCs w:val="20"/>
          <w:color w:val="auto"/>
        </w:rPr>
        <w:t>*/**Chicago Title Insurance Company</w:t>
      </w:r>
    </w:p>
    <w:p>
      <w:pPr>
        <w:spacing w:after="0"/>
        <w:rPr>
          <w:sz w:val="20"/>
          <w:szCs w:val="20"/>
          <w:color w:val="auto"/>
        </w:rPr>
      </w:pPr>
      <w:r>
        <w:rPr>
          <w:rFonts w:ascii="Arial" w:cs="Arial" w:eastAsia="Arial" w:hAnsi="Arial"/>
          <w:sz w:val="20"/>
          <w:szCs w:val="20"/>
          <w:color w:val="auto"/>
        </w:rPr>
        <w:t>Chicago Title Insurance Services, LLC</w:t>
      </w:r>
    </w:p>
    <w:p>
      <w:pPr>
        <w:spacing w:after="0"/>
        <w:rPr>
          <w:sz w:val="20"/>
          <w:szCs w:val="20"/>
          <w:color w:val="auto"/>
        </w:rPr>
      </w:pPr>
      <w:r>
        <w:rPr>
          <w:rFonts w:ascii="Arial" w:cs="Arial" w:eastAsia="Arial" w:hAnsi="Arial"/>
          <w:sz w:val="20"/>
          <w:szCs w:val="20"/>
          <w:color w:val="auto"/>
        </w:rPr>
        <w:t>Chicago Title Land Trust Company</w:t>
      </w:r>
    </w:p>
    <w:p>
      <w:pPr>
        <w:spacing w:after="0"/>
        <w:rPr>
          <w:sz w:val="20"/>
          <w:szCs w:val="20"/>
          <w:color w:val="auto"/>
        </w:rPr>
      </w:pPr>
      <w:r>
        <w:rPr>
          <w:rFonts w:ascii="Arial" w:cs="Arial" w:eastAsia="Arial" w:hAnsi="Arial"/>
          <w:sz w:val="20"/>
          <w:szCs w:val="20"/>
          <w:color w:val="auto"/>
        </w:rPr>
        <w:t>Chicago Title of Colorado, Inc.</w:t>
      </w:r>
    </w:p>
    <w:p>
      <w:pPr>
        <w:spacing w:after="0"/>
        <w:rPr>
          <w:sz w:val="20"/>
          <w:szCs w:val="20"/>
          <w:color w:val="auto"/>
        </w:rPr>
      </w:pPr>
      <w:r>
        <w:rPr>
          <w:rFonts w:ascii="Arial" w:cs="Arial" w:eastAsia="Arial" w:hAnsi="Arial"/>
          <w:sz w:val="20"/>
          <w:szCs w:val="20"/>
          <w:color w:val="auto"/>
        </w:rPr>
        <w:t>Chicago Title of Michigan, Inc.</w:t>
      </w:r>
    </w:p>
    <w:p>
      <w:pPr>
        <w:spacing w:after="0"/>
        <w:rPr>
          <w:sz w:val="20"/>
          <w:szCs w:val="20"/>
          <w:color w:val="auto"/>
        </w:rPr>
      </w:pPr>
      <w:r>
        <w:rPr>
          <w:rFonts w:ascii="Arial" w:cs="Arial" w:eastAsia="Arial" w:hAnsi="Arial"/>
          <w:sz w:val="20"/>
          <w:szCs w:val="20"/>
          <w:color w:val="auto"/>
        </w:rPr>
        <w:t>Chicago Title of Nevada, Inc.</w:t>
      </w:r>
    </w:p>
    <w:p>
      <w:pPr>
        <w:spacing w:after="0"/>
        <w:rPr>
          <w:sz w:val="20"/>
          <w:szCs w:val="20"/>
          <w:color w:val="auto"/>
        </w:rPr>
      </w:pPr>
      <w:r>
        <w:rPr>
          <w:rFonts w:ascii="Arial" w:cs="Arial" w:eastAsia="Arial" w:hAnsi="Arial"/>
          <w:sz w:val="20"/>
          <w:szCs w:val="20"/>
          <w:color w:val="auto"/>
        </w:rPr>
        <w:t>Chicago Title of Texas, LLC</w:t>
      </w:r>
    </w:p>
    <w:p>
      <w:pPr>
        <w:spacing w:after="0"/>
        <w:rPr>
          <w:sz w:val="20"/>
          <w:szCs w:val="20"/>
          <w:color w:val="auto"/>
        </w:rPr>
      </w:pPr>
      <w:r>
        <w:rPr>
          <w:rFonts w:ascii="Arial" w:cs="Arial" w:eastAsia="Arial" w:hAnsi="Arial"/>
          <w:sz w:val="20"/>
          <w:szCs w:val="20"/>
          <w:color w:val="auto"/>
        </w:rPr>
        <w:t>Chicago Title Oklahoma Co.</w:t>
      </w:r>
    </w:p>
    <w:p>
      <w:pPr>
        <w:spacing w:after="0"/>
        <w:rPr>
          <w:sz w:val="20"/>
          <w:szCs w:val="20"/>
          <w:color w:val="auto"/>
        </w:rPr>
      </w:pPr>
      <w:r>
        <w:rPr>
          <w:rFonts w:ascii="Arial" w:cs="Arial" w:eastAsia="Arial" w:hAnsi="Arial"/>
          <w:sz w:val="20"/>
          <w:szCs w:val="20"/>
          <w:color w:val="auto"/>
        </w:rPr>
        <w:t>Chicago Title Timeshare Company</w:t>
      </w:r>
    </w:p>
    <w:p>
      <w:pPr>
        <w:spacing w:after="0"/>
        <w:rPr>
          <w:sz w:val="20"/>
          <w:szCs w:val="20"/>
          <w:color w:val="auto"/>
        </w:rPr>
      </w:pPr>
      <w:r>
        <w:rPr>
          <w:rFonts w:ascii="Arial" w:cs="Arial" w:eastAsia="Arial" w:hAnsi="Arial"/>
          <w:sz w:val="20"/>
          <w:szCs w:val="20"/>
          <w:color w:val="auto"/>
        </w:rPr>
        <w:t>Chicago Title Timeshare Land Trust, Inc.</w:t>
      </w:r>
    </w:p>
    <w:p>
      <w:pPr>
        <w:spacing w:after="0"/>
        <w:rPr>
          <w:sz w:val="20"/>
          <w:szCs w:val="20"/>
          <w:color w:val="auto"/>
        </w:rPr>
      </w:pPr>
      <w:r>
        <w:rPr>
          <w:rFonts w:ascii="Arial" w:cs="Arial" w:eastAsia="Arial" w:hAnsi="Arial"/>
          <w:sz w:val="20"/>
          <w:szCs w:val="20"/>
          <w:color w:val="auto"/>
        </w:rPr>
        <w:t>CINC RE Company LLC</w:t>
      </w:r>
    </w:p>
    <w:p>
      <w:pPr>
        <w:spacing w:after="0"/>
        <w:rPr>
          <w:sz w:val="20"/>
          <w:szCs w:val="20"/>
          <w:color w:val="auto"/>
        </w:rPr>
      </w:pPr>
      <w:r>
        <w:rPr>
          <w:rFonts w:ascii="Arial" w:cs="Arial" w:eastAsia="Arial" w:hAnsi="Arial"/>
          <w:sz w:val="20"/>
          <w:szCs w:val="20"/>
          <w:color w:val="auto"/>
        </w:rPr>
        <w:t>CINC Superior Holdings LLC (99.7%)</w:t>
      </w:r>
    </w:p>
    <w:p>
      <w:pPr>
        <w:spacing w:after="0"/>
        <w:rPr>
          <w:sz w:val="20"/>
          <w:szCs w:val="20"/>
          <w:color w:val="auto"/>
        </w:rPr>
      </w:pPr>
      <w:r>
        <w:rPr>
          <w:rFonts w:ascii="Arial" w:cs="Arial" w:eastAsia="Arial" w:hAnsi="Arial"/>
          <w:sz w:val="20"/>
          <w:szCs w:val="20"/>
          <w:color w:val="auto"/>
        </w:rPr>
        <w:t>CKW Title, LLC (51%)</w:t>
      </w:r>
    </w:p>
    <w:p>
      <w:pPr>
        <w:spacing w:after="0"/>
        <w:rPr>
          <w:sz w:val="20"/>
          <w:szCs w:val="20"/>
          <w:color w:val="auto"/>
        </w:rPr>
      </w:pPr>
      <w:r>
        <w:rPr>
          <w:rFonts w:ascii="Arial" w:cs="Arial" w:eastAsia="Arial" w:hAnsi="Arial"/>
          <w:sz w:val="20"/>
          <w:szCs w:val="20"/>
          <w:color w:val="auto"/>
        </w:rPr>
        <w:t>Cleveland County Abstract &amp; Title Company, LLC</w:t>
      </w:r>
    </w:p>
    <w:p>
      <w:pPr>
        <w:spacing w:after="0"/>
        <w:rPr>
          <w:sz w:val="20"/>
          <w:szCs w:val="20"/>
          <w:color w:val="auto"/>
        </w:rPr>
      </w:pPr>
      <w:r>
        <w:rPr>
          <w:rFonts w:ascii="Arial" w:cs="Arial" w:eastAsia="Arial" w:hAnsi="Arial"/>
          <w:sz w:val="20"/>
          <w:szCs w:val="20"/>
          <w:color w:val="auto"/>
        </w:rPr>
        <w:t>Coastline Title Agency, LLC (43.8%)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Commerce Velocity (India) Private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Commercial Settlements, Inc.</w:t>
      </w:r>
    </w:p>
    <w:p>
      <w:pPr>
        <w:spacing w:after="0"/>
        <w:rPr>
          <w:sz w:val="20"/>
          <w:szCs w:val="20"/>
          <w:color w:val="auto"/>
        </w:rPr>
      </w:pPr>
      <w:r>
        <w:rPr>
          <w:rFonts w:ascii="Arial" w:cs="Arial" w:eastAsia="Arial" w:hAnsi="Arial"/>
          <w:sz w:val="20"/>
          <w:szCs w:val="20"/>
          <w:color w:val="auto"/>
        </w:rPr>
        <w:t>Commonwealth Fidelity Insurance Services, LLC</w:t>
      </w:r>
    </w:p>
    <w:p>
      <w:pPr>
        <w:spacing w:after="0"/>
        <w:rPr>
          <w:sz w:val="20"/>
          <w:szCs w:val="20"/>
          <w:color w:val="auto"/>
        </w:rPr>
      </w:pPr>
      <w:r>
        <w:rPr>
          <w:rFonts w:ascii="Arial" w:cs="Arial" w:eastAsia="Arial" w:hAnsi="Arial"/>
          <w:sz w:val="20"/>
          <w:szCs w:val="20"/>
          <w:color w:val="auto"/>
        </w:rPr>
        <w:t>Commonwealth Land Title Company</w:t>
      </w:r>
    </w:p>
    <w:p>
      <w:pPr>
        <w:spacing w:after="0"/>
        <w:rPr>
          <w:sz w:val="20"/>
          <w:szCs w:val="20"/>
          <w:color w:val="auto"/>
        </w:rPr>
      </w:pPr>
      <w:r>
        <w:rPr>
          <w:rFonts w:ascii="Arial" w:cs="Arial" w:eastAsia="Arial" w:hAnsi="Arial"/>
          <w:sz w:val="20"/>
          <w:szCs w:val="20"/>
          <w:color w:val="auto"/>
        </w:rPr>
        <w:t>Commonwealth Land Title Company, LLC</w:t>
      </w:r>
    </w:p>
    <w:p>
      <w:pPr>
        <w:spacing w:after="0"/>
        <w:rPr>
          <w:sz w:val="20"/>
          <w:szCs w:val="20"/>
          <w:color w:val="auto"/>
        </w:rPr>
      </w:pPr>
      <w:r>
        <w:rPr>
          <w:rFonts w:ascii="Arial" w:cs="Arial" w:eastAsia="Arial" w:hAnsi="Arial"/>
          <w:sz w:val="20"/>
          <w:szCs w:val="20"/>
          <w:color w:val="auto"/>
        </w:rPr>
        <w:t>*/**Commonwealth Land Title Insurance Company</w:t>
      </w:r>
    </w:p>
    <w:p>
      <w:pPr>
        <w:spacing w:after="0"/>
        <w:rPr>
          <w:sz w:val="20"/>
          <w:szCs w:val="20"/>
          <w:color w:val="auto"/>
        </w:rPr>
      </w:pPr>
      <w:r>
        <w:rPr>
          <w:rFonts w:ascii="Arial" w:cs="Arial" w:eastAsia="Arial" w:hAnsi="Arial"/>
          <w:sz w:val="20"/>
          <w:szCs w:val="20"/>
          <w:color w:val="auto"/>
        </w:rPr>
        <w:t>Commonwealth Land Title Insurance Services, LLC</w:t>
      </w:r>
    </w:p>
    <w:p>
      <w:pPr>
        <w:spacing w:after="0"/>
        <w:rPr>
          <w:sz w:val="20"/>
          <w:szCs w:val="20"/>
          <w:color w:val="auto"/>
        </w:rPr>
      </w:pPr>
      <w:r>
        <w:rPr>
          <w:rFonts w:ascii="Arial" w:cs="Arial" w:eastAsia="Arial" w:hAnsi="Arial"/>
          <w:sz w:val="20"/>
          <w:szCs w:val="20"/>
          <w:color w:val="auto"/>
        </w:rPr>
        <w:t>Commonwealth Lawyers Title Agency Holding, LLC</w:t>
      </w:r>
    </w:p>
    <w:p>
      <w:pPr>
        <w:spacing w:after="0"/>
        <w:rPr>
          <w:sz w:val="20"/>
          <w:szCs w:val="20"/>
          <w:color w:val="auto"/>
        </w:rPr>
      </w:pPr>
      <w:r>
        <w:rPr>
          <w:rFonts w:ascii="Arial" w:cs="Arial" w:eastAsia="Arial" w:hAnsi="Arial"/>
          <w:sz w:val="20"/>
          <w:szCs w:val="20"/>
          <w:color w:val="auto"/>
        </w:rPr>
        <w:t>Commonwealth Title Company</w:t>
      </w:r>
    </w:p>
    <w:p>
      <w:pPr>
        <w:spacing w:after="0"/>
        <w:rPr>
          <w:sz w:val="20"/>
          <w:szCs w:val="20"/>
          <w:color w:val="auto"/>
        </w:rPr>
      </w:pPr>
      <w:r>
        <w:rPr>
          <w:rFonts w:ascii="Arial" w:cs="Arial" w:eastAsia="Arial" w:hAnsi="Arial"/>
          <w:sz w:val="20"/>
          <w:szCs w:val="20"/>
          <w:color w:val="auto"/>
        </w:rPr>
        <w:t>Commonwealth Title of Dallas, Inc.</w:t>
      </w:r>
    </w:p>
    <w:p>
      <w:pPr>
        <w:spacing w:after="0"/>
        <w:rPr>
          <w:sz w:val="20"/>
          <w:szCs w:val="20"/>
          <w:color w:val="auto"/>
        </w:rPr>
      </w:pPr>
      <w:r>
        <w:rPr>
          <w:rFonts w:ascii="Arial" w:cs="Arial" w:eastAsia="Arial" w:hAnsi="Arial"/>
          <w:sz w:val="20"/>
          <w:szCs w:val="20"/>
          <w:color w:val="auto"/>
        </w:rPr>
        <w:t>Commonwealth Title of Houston, Inc.</w:t>
      </w:r>
    </w:p>
    <w:p>
      <w:pPr>
        <w:spacing w:after="0"/>
        <w:rPr>
          <w:sz w:val="20"/>
          <w:szCs w:val="20"/>
          <w:color w:val="auto"/>
        </w:rPr>
      </w:pPr>
      <w:r>
        <w:rPr>
          <w:rFonts w:ascii="Arial" w:cs="Arial" w:eastAsia="Arial" w:hAnsi="Arial"/>
          <w:sz w:val="20"/>
          <w:szCs w:val="20"/>
          <w:color w:val="auto"/>
        </w:rPr>
        <w:t>Computerized Title Records of Sonoma County LLC (40%)</w:t>
      </w:r>
    </w:p>
    <w:p>
      <w:pPr>
        <w:spacing w:after="0"/>
        <w:rPr>
          <w:sz w:val="20"/>
          <w:szCs w:val="20"/>
          <w:color w:val="auto"/>
        </w:rPr>
      </w:pPr>
      <w:r>
        <w:rPr>
          <w:rFonts w:ascii="Arial" w:cs="Arial" w:eastAsia="Arial" w:hAnsi="Arial"/>
          <w:sz w:val="20"/>
          <w:szCs w:val="20"/>
          <w:color w:val="auto"/>
        </w:rPr>
        <w:t>Coronet Insurance Agency, LLC (40%)</w:t>
      </w:r>
    </w:p>
    <w:p>
      <w:pPr>
        <w:spacing w:after="0"/>
        <w:rPr>
          <w:sz w:val="20"/>
          <w:szCs w:val="20"/>
          <w:color w:val="auto"/>
        </w:rPr>
      </w:pPr>
      <w:r>
        <w:rPr>
          <w:rFonts w:ascii="Arial" w:cs="Arial" w:eastAsia="Arial" w:hAnsi="Arial"/>
          <w:sz w:val="20"/>
          <w:szCs w:val="20"/>
          <w:color w:val="auto"/>
        </w:rPr>
        <w:t>CT/Nevada Holding Company</w:t>
      </w:r>
    </w:p>
    <w:p>
      <w:pPr>
        <w:spacing w:after="0"/>
        <w:rPr>
          <w:sz w:val="20"/>
          <w:szCs w:val="20"/>
          <w:color w:val="auto"/>
        </w:rPr>
      </w:pPr>
      <w:r>
        <w:rPr>
          <w:rFonts w:ascii="Arial" w:cs="Arial" w:eastAsia="Arial" w:hAnsi="Arial"/>
          <w:sz w:val="20"/>
          <w:szCs w:val="20"/>
          <w:color w:val="auto"/>
        </w:rPr>
        <w:t>CTC GP,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Dane County Title Company,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DOCX, LLC</w:t>
      </w:r>
    </w:p>
    <w:p>
      <w:pPr>
        <w:spacing w:after="0"/>
        <w:rPr>
          <w:sz w:val="20"/>
          <w:szCs w:val="20"/>
          <w:color w:val="auto"/>
        </w:rPr>
      </w:pPr>
      <w:r>
        <w:rPr>
          <w:rFonts w:ascii="Arial" w:cs="Arial" w:eastAsia="Arial" w:hAnsi="Arial"/>
          <w:sz w:val="20"/>
          <w:szCs w:val="20"/>
          <w:color w:val="auto"/>
        </w:rPr>
        <w:t>Donlen Exchange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2" w:right="1440"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color w:val="auto"/>
        </w:rPr>
        <w:t>EC Purchasing.com,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Elements Escrow, Inc. (60%)</w:t>
      </w:r>
    </w:p>
    <w:p>
      <w:pPr>
        <w:spacing w:after="0"/>
        <w:rPr>
          <w:sz w:val="20"/>
          <w:szCs w:val="20"/>
          <w:color w:val="auto"/>
        </w:rPr>
      </w:pPr>
      <w:r>
        <w:rPr>
          <w:rFonts w:ascii="Arial" w:cs="Arial" w:eastAsia="Arial" w:hAnsi="Arial"/>
          <w:sz w:val="20"/>
          <w:szCs w:val="20"/>
          <w:color w:val="auto"/>
        </w:rPr>
        <w:t>Endeavor Title Agency, LLC (51%)</w:t>
      </w:r>
    </w:p>
    <w:p>
      <w:pPr>
        <w:spacing w:after="0"/>
        <w:rPr>
          <w:sz w:val="20"/>
          <w:szCs w:val="20"/>
          <w:color w:val="auto"/>
        </w:rPr>
      </w:pPr>
      <w:r>
        <w:rPr>
          <w:rFonts w:ascii="Arial" w:cs="Arial" w:eastAsia="Arial" w:hAnsi="Arial"/>
          <w:sz w:val="20"/>
          <w:szCs w:val="20"/>
          <w:color w:val="auto"/>
        </w:rPr>
        <w:t>Enterprise Fleet Management Exchange, Inc.</w:t>
      </w:r>
    </w:p>
    <w:p>
      <w:pPr>
        <w:spacing w:after="0"/>
        <w:rPr>
          <w:sz w:val="20"/>
          <w:szCs w:val="20"/>
          <w:color w:val="auto"/>
        </w:rPr>
      </w:pPr>
      <w:r>
        <w:rPr>
          <w:rFonts w:ascii="Arial" w:cs="Arial" w:eastAsia="Arial" w:hAnsi="Arial"/>
          <w:sz w:val="20"/>
          <w:szCs w:val="20"/>
          <w:color w:val="auto"/>
        </w:rPr>
        <w:t>Enterprise Title, LLC (19.9%)</w:t>
      </w:r>
    </w:p>
    <w:p>
      <w:pPr>
        <w:spacing w:after="0"/>
        <w:rPr>
          <w:sz w:val="20"/>
          <w:szCs w:val="20"/>
          <w:color w:val="auto"/>
        </w:rPr>
      </w:pPr>
      <w:r>
        <w:rPr>
          <w:rFonts w:ascii="Arial" w:cs="Arial" w:eastAsia="Arial" w:hAnsi="Arial"/>
          <w:sz w:val="20"/>
          <w:szCs w:val="20"/>
          <w:color w:val="auto"/>
        </w:rPr>
        <w:t>Equitable National Title Group, LLC (19.9%)</w:t>
      </w:r>
    </w:p>
    <w:p>
      <w:pPr>
        <w:spacing w:after="0"/>
        <w:rPr>
          <w:sz w:val="20"/>
          <w:szCs w:val="20"/>
          <w:color w:val="auto"/>
        </w:rPr>
      </w:pPr>
      <w:r>
        <w:rPr>
          <w:rFonts w:ascii="Arial" w:cs="Arial" w:eastAsia="Arial" w:hAnsi="Arial"/>
          <w:sz w:val="20"/>
          <w:szCs w:val="20"/>
          <w:color w:val="auto"/>
        </w:rPr>
        <w:t>Escrow Experts, Inc. (51%)</w:t>
      </w:r>
    </w:p>
    <w:p>
      <w:pPr>
        <w:spacing w:after="0"/>
        <w:rPr>
          <w:sz w:val="20"/>
          <w:szCs w:val="20"/>
          <w:color w:val="auto"/>
        </w:rPr>
      </w:pPr>
      <w:r>
        <w:rPr>
          <w:rFonts w:ascii="Arial" w:cs="Arial" w:eastAsia="Arial" w:hAnsi="Arial"/>
          <w:sz w:val="20"/>
          <w:szCs w:val="20"/>
          <w:color w:val="auto"/>
        </w:rPr>
        <w:t>Executive Title Agency Corp.</w:t>
      </w:r>
    </w:p>
    <w:p>
      <w:pPr>
        <w:spacing w:after="0"/>
        <w:rPr>
          <w:sz w:val="20"/>
          <w:szCs w:val="20"/>
          <w:color w:val="auto"/>
        </w:rPr>
      </w:pPr>
      <w:r>
        <w:rPr>
          <w:rFonts w:ascii="Arial" w:cs="Arial" w:eastAsia="Arial" w:hAnsi="Arial"/>
          <w:sz w:val="20"/>
          <w:szCs w:val="20"/>
          <w:color w:val="auto"/>
        </w:rPr>
        <w:t>Exos Loan Closing Services, LLC</w:t>
      </w:r>
    </w:p>
    <w:p>
      <w:pPr>
        <w:spacing w:after="0"/>
        <w:rPr>
          <w:sz w:val="20"/>
          <w:szCs w:val="20"/>
          <w:color w:val="auto"/>
        </w:rPr>
      </w:pPr>
      <w:r>
        <w:rPr>
          <w:rFonts w:ascii="Arial" w:cs="Arial" w:eastAsia="Arial" w:hAnsi="Arial"/>
          <w:sz w:val="20"/>
          <w:szCs w:val="20"/>
          <w:color w:val="auto"/>
        </w:rPr>
        <w:t>Exos Technologies, LLC</w:t>
      </w:r>
    </w:p>
    <w:p>
      <w:pPr>
        <w:spacing w:after="0"/>
        <w:rPr>
          <w:sz w:val="20"/>
          <w:szCs w:val="20"/>
          <w:color w:val="auto"/>
        </w:rPr>
      </w:pPr>
      <w:r>
        <w:rPr>
          <w:rFonts w:ascii="Arial" w:cs="Arial" w:eastAsia="Arial" w:hAnsi="Arial"/>
          <w:sz w:val="20"/>
          <w:szCs w:val="20"/>
          <w:color w:val="auto"/>
        </w:rPr>
        <w:t>Exos Valuations,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 I Corp.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 II Corp.</w:t>
      </w:r>
    </w:p>
    <w:p>
      <w:pPr>
        <w:spacing w:after="0"/>
        <w:rPr>
          <w:sz w:val="20"/>
          <w:szCs w:val="20"/>
          <w:color w:val="auto"/>
        </w:rPr>
      </w:pPr>
      <w:r>
        <w:rPr>
          <w:rFonts w:ascii="Arial" w:cs="Arial" w:eastAsia="Arial" w:hAnsi="Arial"/>
          <w:sz w:val="20"/>
          <w:szCs w:val="20"/>
          <w:color w:val="auto"/>
        </w:rPr>
        <w:t>Fidelity Affiliates, LLC</w:t>
      </w:r>
    </w:p>
    <w:p>
      <w:pPr>
        <w:spacing w:after="0"/>
        <w:rPr>
          <w:sz w:val="20"/>
          <w:szCs w:val="20"/>
          <w:color w:val="auto"/>
        </w:rPr>
      </w:pPr>
      <w:r>
        <w:rPr>
          <w:rFonts w:ascii="Arial" w:cs="Arial" w:eastAsia="Arial" w:hAnsi="Arial"/>
          <w:sz w:val="20"/>
          <w:szCs w:val="20"/>
          <w:color w:val="auto"/>
        </w:rPr>
        <w:t>Fidelity Asset Management, Inc.</w:t>
      </w:r>
    </w:p>
    <w:p>
      <w:pPr>
        <w:spacing w:after="0"/>
        <w:rPr>
          <w:sz w:val="20"/>
          <w:szCs w:val="20"/>
          <w:color w:val="auto"/>
        </w:rPr>
      </w:pPr>
      <w:r>
        <w:rPr>
          <w:rFonts w:ascii="Arial" w:cs="Arial" w:eastAsia="Arial" w:hAnsi="Arial"/>
          <w:sz w:val="20"/>
          <w:szCs w:val="20"/>
          <w:color w:val="auto"/>
        </w:rPr>
        <w:t>Fidelity Inspection &amp; Consulting Services, Inc.</w:t>
      </w:r>
    </w:p>
    <w:p>
      <w:pPr>
        <w:spacing w:after="0"/>
        <w:rPr>
          <w:sz w:val="20"/>
          <w:szCs w:val="20"/>
          <w:color w:val="auto"/>
        </w:rPr>
      </w:pPr>
      <w:r>
        <w:rPr>
          <w:rFonts w:ascii="Arial" w:cs="Arial" w:eastAsia="Arial" w:hAnsi="Arial"/>
          <w:sz w:val="20"/>
          <w:szCs w:val="20"/>
          <w:color w:val="auto"/>
        </w:rPr>
        <w:t>Fidelity National Agency Solutions of Arkansas, LLC</w:t>
      </w:r>
    </w:p>
    <w:p>
      <w:pPr>
        <w:spacing w:after="0"/>
        <w:rPr>
          <w:sz w:val="20"/>
          <w:szCs w:val="20"/>
          <w:color w:val="auto"/>
        </w:rPr>
      </w:pPr>
      <w:r>
        <w:rPr>
          <w:rFonts w:ascii="Arial" w:cs="Arial" w:eastAsia="Arial" w:hAnsi="Arial"/>
          <w:sz w:val="20"/>
          <w:szCs w:val="20"/>
          <w:color w:val="auto"/>
        </w:rPr>
        <w:t>Fidelity National Agency Solutions, LLC</w:t>
      </w:r>
    </w:p>
    <w:p>
      <w:pPr>
        <w:spacing w:after="0"/>
        <w:rPr>
          <w:sz w:val="20"/>
          <w:szCs w:val="20"/>
          <w:color w:val="auto"/>
        </w:rPr>
      </w:pPr>
      <w:r>
        <w:rPr>
          <w:rFonts w:ascii="Arial" w:cs="Arial" w:eastAsia="Arial" w:hAnsi="Arial"/>
          <w:sz w:val="20"/>
          <w:szCs w:val="20"/>
          <w:color w:val="auto"/>
        </w:rPr>
        <w:t>Fidelity National Disclosure Source,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**Fidelity National Home Warranty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Fidelity National Home Warranty Smart Homes, LLC</w:t>
      </w:r>
    </w:p>
    <w:p>
      <w:pPr>
        <w:spacing w:after="0"/>
        <w:rPr>
          <w:sz w:val="20"/>
          <w:szCs w:val="20"/>
          <w:color w:val="auto"/>
        </w:rPr>
      </w:pPr>
      <w:r>
        <w:rPr>
          <w:rFonts w:ascii="Arial" w:cs="Arial" w:eastAsia="Arial" w:hAnsi="Arial"/>
          <w:sz w:val="20"/>
          <w:szCs w:val="20"/>
          <w:color w:val="auto"/>
        </w:rPr>
        <w:t>Fidelity National Management Services, LLC</w:t>
      </w:r>
    </w:p>
    <w:p>
      <w:pPr>
        <w:spacing w:after="0"/>
        <w:rPr>
          <w:sz w:val="20"/>
          <w:szCs w:val="20"/>
          <w:color w:val="auto"/>
        </w:rPr>
      </w:pPr>
      <w:r>
        <w:rPr>
          <w:rFonts w:ascii="Arial" w:cs="Arial" w:eastAsia="Arial" w:hAnsi="Arial"/>
          <w:sz w:val="20"/>
          <w:szCs w:val="20"/>
          <w:color w:val="auto"/>
        </w:rPr>
        <w:t>Fidelity National Services, Inc.</w:t>
      </w:r>
    </w:p>
    <w:p>
      <w:pPr>
        <w:spacing w:after="0"/>
        <w:rPr>
          <w:sz w:val="20"/>
          <w:szCs w:val="20"/>
          <w:color w:val="auto"/>
        </w:rPr>
      </w:pPr>
      <w:r>
        <w:rPr>
          <w:rFonts w:ascii="Arial" w:cs="Arial" w:eastAsia="Arial" w:hAnsi="Arial"/>
          <w:sz w:val="20"/>
          <w:szCs w:val="20"/>
          <w:color w:val="auto"/>
        </w:rPr>
        <w:t>Fidelity National Title &amp; Escrow of Hawaii, Inc.</w:t>
      </w:r>
    </w:p>
    <w:p>
      <w:pPr>
        <w:spacing w:after="0"/>
        <w:rPr>
          <w:sz w:val="20"/>
          <w:szCs w:val="20"/>
          <w:color w:val="auto"/>
        </w:rPr>
      </w:pPr>
      <w:r>
        <w:rPr>
          <w:rFonts w:ascii="Arial" w:cs="Arial" w:eastAsia="Arial" w:hAnsi="Arial"/>
          <w:sz w:val="20"/>
          <w:szCs w:val="20"/>
          <w:color w:val="auto"/>
        </w:rPr>
        <w:t>Fidelity National Title Agency Holding, LLC</w:t>
      </w:r>
    </w:p>
    <w:p>
      <w:pPr>
        <w:spacing w:after="0"/>
        <w:rPr>
          <w:sz w:val="20"/>
          <w:szCs w:val="20"/>
          <w:color w:val="auto"/>
        </w:rPr>
      </w:pPr>
      <w:r>
        <w:rPr>
          <w:rFonts w:ascii="Arial" w:cs="Arial" w:eastAsia="Arial" w:hAnsi="Arial"/>
          <w:sz w:val="20"/>
          <w:szCs w:val="20"/>
          <w:color w:val="auto"/>
        </w:rPr>
        <w:t>Fidelity National Title Agency of Nevada, Inc.</w:t>
      </w:r>
    </w:p>
    <w:p>
      <w:pPr>
        <w:spacing w:after="0"/>
        <w:rPr>
          <w:sz w:val="20"/>
          <w:szCs w:val="20"/>
          <w:color w:val="auto"/>
        </w:rPr>
      </w:pPr>
      <w:r>
        <w:rPr>
          <w:rFonts w:ascii="Arial" w:cs="Arial" w:eastAsia="Arial" w:hAnsi="Arial"/>
          <w:sz w:val="20"/>
          <w:szCs w:val="20"/>
          <w:color w:val="auto"/>
        </w:rPr>
        <w:t>Fidelity National Title Agency of Utah, LLC</w:t>
      </w:r>
    </w:p>
    <w:p>
      <w:pPr>
        <w:spacing w:after="0"/>
        <w:rPr>
          <w:sz w:val="20"/>
          <w:szCs w:val="20"/>
          <w:color w:val="auto"/>
        </w:rPr>
      </w:pPr>
      <w:r>
        <w:rPr>
          <w:rFonts w:ascii="Arial" w:cs="Arial" w:eastAsia="Arial" w:hAnsi="Arial"/>
          <w:sz w:val="20"/>
          <w:szCs w:val="20"/>
          <w:color w:val="auto"/>
        </w:rPr>
        <w:t>Fidelity National Title Agency, Inc.</w:t>
      </w:r>
    </w:p>
    <w:p>
      <w:pPr>
        <w:spacing w:after="0"/>
        <w:rPr>
          <w:sz w:val="20"/>
          <w:szCs w:val="20"/>
          <w:color w:val="auto"/>
        </w:rPr>
      </w:pPr>
      <w:r>
        <w:rPr>
          <w:rFonts w:ascii="Arial" w:cs="Arial" w:eastAsia="Arial" w:hAnsi="Arial"/>
          <w:sz w:val="20"/>
          <w:szCs w:val="20"/>
          <w:color w:val="auto"/>
        </w:rPr>
        <w:t>Fidelity National Title Agency, Inc.</w:t>
      </w:r>
    </w:p>
    <w:p>
      <w:pPr>
        <w:spacing w:after="0"/>
        <w:rPr>
          <w:sz w:val="20"/>
          <w:szCs w:val="20"/>
          <w:color w:val="auto"/>
        </w:rPr>
      </w:pPr>
      <w:r>
        <w:rPr>
          <w:rFonts w:ascii="Arial" w:cs="Arial" w:eastAsia="Arial" w:hAnsi="Arial"/>
          <w:sz w:val="20"/>
          <w:szCs w:val="20"/>
          <w:color w:val="auto"/>
        </w:rPr>
        <w:t>Fidelity National Title Company (CA)</w:t>
      </w:r>
    </w:p>
    <w:p>
      <w:pPr>
        <w:spacing w:after="0"/>
        <w:rPr>
          <w:sz w:val="20"/>
          <w:szCs w:val="20"/>
          <w:color w:val="auto"/>
        </w:rPr>
      </w:pPr>
      <w:r>
        <w:rPr>
          <w:rFonts w:ascii="Arial" w:cs="Arial" w:eastAsia="Arial" w:hAnsi="Arial"/>
          <w:sz w:val="20"/>
          <w:szCs w:val="20"/>
          <w:color w:val="auto"/>
        </w:rPr>
        <w:t>Fidelity National Title Company (CO)</w:t>
      </w:r>
    </w:p>
    <w:p>
      <w:pPr>
        <w:spacing w:after="0"/>
        <w:rPr>
          <w:sz w:val="20"/>
          <w:szCs w:val="20"/>
          <w:color w:val="auto"/>
        </w:rPr>
      </w:pPr>
      <w:r>
        <w:rPr>
          <w:rFonts w:ascii="Arial" w:cs="Arial" w:eastAsia="Arial" w:hAnsi="Arial"/>
          <w:sz w:val="20"/>
          <w:szCs w:val="20"/>
          <w:color w:val="auto"/>
        </w:rPr>
        <w:t>Fidelity National Title Company of California</w:t>
      </w:r>
    </w:p>
    <w:p>
      <w:pPr>
        <w:spacing w:after="0"/>
        <w:rPr>
          <w:sz w:val="20"/>
          <w:szCs w:val="20"/>
          <w:color w:val="auto"/>
        </w:rPr>
      </w:pPr>
      <w:r>
        <w:rPr>
          <w:rFonts w:ascii="Arial" w:cs="Arial" w:eastAsia="Arial" w:hAnsi="Arial"/>
          <w:sz w:val="20"/>
          <w:szCs w:val="20"/>
          <w:color w:val="auto"/>
        </w:rPr>
        <w:t>Fidelity National Title Company of Flathead Valley, LLC</w:t>
      </w:r>
    </w:p>
    <w:p>
      <w:pPr>
        <w:spacing w:after="0"/>
        <w:rPr>
          <w:sz w:val="20"/>
          <w:szCs w:val="20"/>
          <w:color w:val="auto"/>
        </w:rPr>
      </w:pPr>
      <w:r>
        <w:rPr>
          <w:rFonts w:ascii="Arial" w:cs="Arial" w:eastAsia="Arial" w:hAnsi="Arial"/>
          <w:sz w:val="20"/>
          <w:szCs w:val="20"/>
          <w:color w:val="auto"/>
        </w:rPr>
        <w:t>Fidelity National Title Company of Oregon</w:t>
      </w:r>
    </w:p>
    <w:p>
      <w:pPr>
        <w:spacing w:after="0"/>
        <w:rPr>
          <w:sz w:val="20"/>
          <w:szCs w:val="20"/>
          <w:color w:val="auto"/>
        </w:rPr>
      </w:pPr>
      <w:r>
        <w:rPr>
          <w:rFonts w:ascii="Arial" w:cs="Arial" w:eastAsia="Arial" w:hAnsi="Arial"/>
          <w:sz w:val="20"/>
          <w:szCs w:val="20"/>
          <w:color w:val="auto"/>
        </w:rPr>
        <w:t>Fidelity National Title Company of Washington, Inc.</w:t>
      </w:r>
    </w:p>
    <w:p>
      <w:pPr>
        <w:spacing w:after="0"/>
        <w:rPr>
          <w:sz w:val="20"/>
          <w:szCs w:val="20"/>
          <w:color w:val="auto"/>
        </w:rPr>
      </w:pPr>
      <w:r>
        <w:rPr>
          <w:rFonts w:ascii="Arial" w:cs="Arial" w:eastAsia="Arial" w:hAnsi="Arial"/>
          <w:sz w:val="20"/>
          <w:szCs w:val="20"/>
          <w:color w:val="auto"/>
        </w:rPr>
        <w:t>Fidelity National Title Company, LLC</w:t>
      </w:r>
    </w:p>
    <w:p>
      <w:pPr>
        <w:spacing w:after="0"/>
        <w:rPr>
          <w:sz w:val="20"/>
          <w:szCs w:val="20"/>
          <w:color w:val="auto"/>
        </w:rPr>
      </w:pPr>
      <w:r>
        <w:rPr>
          <w:rFonts w:ascii="Arial" w:cs="Arial" w:eastAsia="Arial" w:hAnsi="Arial"/>
          <w:sz w:val="20"/>
          <w:szCs w:val="20"/>
          <w:color w:val="auto"/>
        </w:rPr>
        <w:t>Fidelity National Title Group of Puerto Rico, Inc.</w:t>
      </w:r>
    </w:p>
    <w:p>
      <w:pPr>
        <w:spacing w:after="0"/>
        <w:rPr>
          <w:sz w:val="20"/>
          <w:szCs w:val="20"/>
          <w:color w:val="auto"/>
        </w:rPr>
      </w:pPr>
      <w:r>
        <w:rPr>
          <w:rFonts w:ascii="Arial" w:cs="Arial" w:eastAsia="Arial" w:hAnsi="Arial"/>
          <w:sz w:val="20"/>
          <w:szCs w:val="20"/>
          <w:color w:val="auto"/>
        </w:rPr>
        <w:t>*Fidelity National Title Group, Inc.</w:t>
      </w:r>
    </w:p>
    <w:p>
      <w:pPr>
        <w:spacing w:after="0"/>
        <w:rPr>
          <w:sz w:val="20"/>
          <w:szCs w:val="20"/>
          <w:color w:val="auto"/>
        </w:rPr>
      </w:pPr>
      <w:r>
        <w:rPr>
          <w:rFonts w:ascii="Arial" w:cs="Arial" w:eastAsia="Arial" w:hAnsi="Arial"/>
          <w:sz w:val="20"/>
          <w:szCs w:val="20"/>
          <w:color w:val="auto"/>
        </w:rPr>
        <w:t>*/**Fidelity National Title Insurance Company</w:t>
      </w:r>
    </w:p>
    <w:p>
      <w:pPr>
        <w:spacing w:after="0"/>
        <w:rPr>
          <w:sz w:val="20"/>
          <w:szCs w:val="20"/>
          <w:color w:val="auto"/>
        </w:rPr>
      </w:pPr>
      <w:r>
        <w:rPr>
          <w:rFonts w:ascii="Arial" w:cs="Arial" w:eastAsia="Arial" w:hAnsi="Arial"/>
          <w:sz w:val="20"/>
          <w:szCs w:val="20"/>
          <w:color w:val="auto"/>
        </w:rPr>
        <w:t>Fidelity National Title Insurance Services, LLC</w:t>
      </w:r>
    </w:p>
    <w:p>
      <w:pPr>
        <w:spacing w:after="0"/>
        <w:rPr>
          <w:sz w:val="20"/>
          <w:szCs w:val="20"/>
          <w:color w:val="auto"/>
        </w:rPr>
      </w:pPr>
      <w:r>
        <w:rPr>
          <w:rFonts w:ascii="Arial" w:cs="Arial" w:eastAsia="Arial" w:hAnsi="Arial"/>
          <w:sz w:val="20"/>
          <w:szCs w:val="20"/>
          <w:color w:val="auto"/>
        </w:rPr>
        <w:t>Fidelity National Title of Florida, Inc.</w:t>
      </w:r>
    </w:p>
    <w:p>
      <w:pPr>
        <w:spacing w:after="0"/>
        <w:rPr>
          <w:sz w:val="20"/>
          <w:szCs w:val="20"/>
          <w:color w:val="auto"/>
        </w:rPr>
      </w:pPr>
      <w:r>
        <w:rPr>
          <w:rFonts w:ascii="Arial" w:cs="Arial" w:eastAsia="Arial" w:hAnsi="Arial"/>
          <w:sz w:val="20"/>
          <w:szCs w:val="20"/>
          <w:color w:val="auto"/>
        </w:rPr>
        <w:t>Fidelity National Title of New Mexico,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Fidelity Residential Solutions,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Fidelity Ticor Insurance Services, Inc.</w:t>
      </w:r>
    </w:p>
    <w:p>
      <w:pPr>
        <w:spacing w:after="0"/>
        <w:rPr>
          <w:sz w:val="20"/>
          <w:szCs w:val="20"/>
          <w:color w:val="auto"/>
        </w:rPr>
      </w:pPr>
      <w:r>
        <w:rPr>
          <w:rFonts w:ascii="Arial" w:cs="Arial" w:eastAsia="Arial" w:hAnsi="Arial"/>
          <w:sz w:val="20"/>
          <w:szCs w:val="20"/>
          <w:color w:val="auto"/>
        </w:rPr>
        <w:t>FIP Title Agency, LLC (50.1%)</w:t>
      </w:r>
    </w:p>
    <w:p>
      <w:pPr>
        <w:spacing w:after="0"/>
        <w:rPr>
          <w:sz w:val="20"/>
          <w:szCs w:val="20"/>
          <w:color w:val="auto"/>
        </w:rPr>
      </w:pPr>
      <w:r>
        <w:rPr>
          <w:rFonts w:ascii="Arial" w:cs="Arial" w:eastAsia="Arial" w:hAnsi="Arial"/>
          <w:sz w:val="20"/>
          <w:szCs w:val="20"/>
          <w:color w:val="auto"/>
        </w:rPr>
        <w:t>First National Financial Title Services of Alabama, Inc.</w:t>
      </w:r>
    </w:p>
    <w:p>
      <w:pPr>
        <w:spacing w:after="0"/>
        <w:rPr>
          <w:sz w:val="20"/>
          <w:szCs w:val="20"/>
          <w:color w:val="auto"/>
        </w:rPr>
      </w:pPr>
      <w:r>
        <w:rPr>
          <w:rFonts w:ascii="Arial" w:cs="Arial" w:eastAsia="Arial" w:hAnsi="Arial"/>
          <w:sz w:val="20"/>
          <w:szCs w:val="20"/>
          <w:color w:val="auto"/>
        </w:rPr>
        <w:t>First National Financial Title Services, LLC</w:t>
      </w:r>
    </w:p>
    <w:p>
      <w:pPr>
        <w:spacing w:after="0"/>
        <w:rPr>
          <w:sz w:val="20"/>
          <w:szCs w:val="20"/>
          <w:color w:val="auto"/>
        </w:rPr>
      </w:pPr>
      <w:r>
        <w:rPr>
          <w:rFonts w:ascii="Arial" w:cs="Arial" w:eastAsia="Arial" w:hAnsi="Arial"/>
          <w:sz w:val="20"/>
          <w:szCs w:val="20"/>
          <w:color w:val="auto"/>
        </w:rPr>
        <w:t>First Reliant Title Agency, LLC (51%)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First Title,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FNF Canada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FNF Charter Title Company</w:t>
      </w:r>
    </w:p>
    <w:p>
      <w:pPr>
        <w:spacing w:after="0"/>
        <w:rPr>
          <w:sz w:val="20"/>
          <w:szCs w:val="20"/>
          <w:color w:val="auto"/>
        </w:rPr>
      </w:pPr>
      <w:r>
        <w:rPr>
          <w:rFonts w:ascii="Arial" w:cs="Arial" w:eastAsia="Arial" w:hAnsi="Arial"/>
          <w:sz w:val="20"/>
          <w:szCs w:val="20"/>
          <w:color w:val="auto"/>
        </w:rPr>
        <w:t>FNF Escrow Holdings II, LLC</w:t>
      </w:r>
    </w:p>
    <w:p>
      <w:pPr>
        <w:spacing w:after="0"/>
        <w:rPr>
          <w:sz w:val="20"/>
          <w:szCs w:val="20"/>
          <w:color w:val="auto"/>
        </w:rPr>
      </w:pPr>
      <w:r>
        <w:rPr>
          <w:rFonts w:ascii="Arial" w:cs="Arial" w:eastAsia="Arial" w:hAnsi="Arial"/>
          <w:sz w:val="20"/>
          <w:szCs w:val="20"/>
          <w:color w:val="auto"/>
        </w:rPr>
        <w:t>FNF Escrow Holdings, LLC</w:t>
      </w:r>
    </w:p>
    <w:p>
      <w:pPr>
        <w:spacing w:after="0"/>
        <w:rPr>
          <w:sz w:val="20"/>
          <w:szCs w:val="20"/>
          <w:color w:val="auto"/>
        </w:rPr>
      </w:pPr>
      <w:r>
        <w:rPr>
          <w:rFonts w:ascii="Arial" w:cs="Arial" w:eastAsia="Arial" w:hAnsi="Arial"/>
          <w:sz w:val="20"/>
          <w:szCs w:val="20"/>
          <w:color w:val="auto"/>
        </w:rPr>
        <w:t>FNF India Private Limited</w:t>
      </w:r>
    </w:p>
    <w:p>
      <w:pPr>
        <w:spacing w:after="0"/>
        <w:rPr>
          <w:sz w:val="20"/>
          <w:szCs w:val="20"/>
          <w:color w:val="auto"/>
        </w:rPr>
      </w:pPr>
      <w:r>
        <w:rPr>
          <w:rFonts w:ascii="Arial" w:cs="Arial" w:eastAsia="Arial" w:hAnsi="Arial"/>
          <w:sz w:val="20"/>
          <w:szCs w:val="20"/>
          <w:color w:val="auto"/>
        </w:rPr>
        <w:t>FNF Intellectual Property Holdings, Inc.</w:t>
      </w:r>
    </w:p>
    <w:p>
      <w:pPr>
        <w:spacing w:after="0"/>
        <w:rPr>
          <w:sz w:val="20"/>
          <w:szCs w:val="20"/>
          <w:color w:val="auto"/>
        </w:rPr>
      </w:pPr>
      <w:r>
        <w:rPr>
          <w:rFonts w:ascii="Arial" w:cs="Arial" w:eastAsia="Arial" w:hAnsi="Arial"/>
          <w:sz w:val="20"/>
          <w:szCs w:val="20"/>
          <w:color w:val="auto"/>
        </w:rPr>
        <w:t>FNF International Holdings, Inc.</w:t>
      </w:r>
    </w:p>
    <w:p>
      <w:pPr>
        <w:spacing w:after="0"/>
        <w:rPr>
          <w:sz w:val="20"/>
          <w:szCs w:val="20"/>
          <w:color w:val="auto"/>
        </w:rPr>
      </w:pPr>
      <w:r>
        <w:rPr>
          <w:rFonts w:ascii="Arial" w:cs="Arial" w:eastAsia="Arial" w:hAnsi="Arial"/>
          <w:sz w:val="20"/>
          <w:szCs w:val="20"/>
          <w:color w:val="auto"/>
        </w:rPr>
        <w:t>FNF International, Mauritius</w:t>
      </w:r>
    </w:p>
    <w:p>
      <w:pPr>
        <w:spacing w:after="0"/>
        <w:rPr>
          <w:sz w:val="20"/>
          <w:szCs w:val="20"/>
          <w:color w:val="auto"/>
        </w:rPr>
      </w:pPr>
      <w:r>
        <w:rPr>
          <w:rFonts w:ascii="Arial" w:cs="Arial" w:eastAsia="Arial" w:hAnsi="Arial"/>
          <w:sz w:val="20"/>
          <w:szCs w:val="20"/>
          <w:color w:val="auto"/>
        </w:rPr>
        <w:t>FNF Lawyers Title of Amarillo, Inc.</w:t>
      </w:r>
    </w:p>
    <w:p>
      <w:pPr>
        <w:spacing w:after="0"/>
        <w:rPr>
          <w:sz w:val="20"/>
          <w:szCs w:val="20"/>
          <w:color w:val="auto"/>
        </w:rPr>
      </w:pPr>
      <w:r>
        <w:rPr>
          <w:rFonts w:ascii="Arial" w:cs="Arial" w:eastAsia="Arial" w:hAnsi="Arial"/>
          <w:sz w:val="20"/>
          <w:szCs w:val="20"/>
          <w:color w:val="auto"/>
        </w:rPr>
        <w:t>FNF Lawyers Title of Texas, Inc.</w:t>
      </w:r>
    </w:p>
    <w:p>
      <w:pPr>
        <w:spacing w:after="0"/>
        <w:rPr>
          <w:sz w:val="20"/>
          <w:szCs w:val="20"/>
          <w:color w:val="auto"/>
        </w:rPr>
      </w:pPr>
      <w:r>
        <w:rPr>
          <w:rFonts w:ascii="Arial" w:cs="Arial" w:eastAsia="Arial" w:hAnsi="Arial"/>
          <w:sz w:val="20"/>
          <w:szCs w:val="20"/>
          <w:color w:val="auto"/>
        </w:rPr>
        <w:t>FNF RE Technology Holdings, LLC</w:t>
      </w:r>
    </w:p>
    <w:p>
      <w:pPr>
        <w:spacing w:after="0"/>
        <w:rPr>
          <w:sz w:val="20"/>
          <w:szCs w:val="20"/>
          <w:color w:val="auto"/>
        </w:rPr>
      </w:pPr>
      <w:r>
        <w:rPr>
          <w:rFonts w:ascii="Arial" w:cs="Arial" w:eastAsia="Arial" w:hAnsi="Arial"/>
          <w:sz w:val="20"/>
          <w:szCs w:val="20"/>
          <w:color w:val="auto"/>
        </w:rPr>
        <w:t>FNF Security Acquisition, Inc.</w:t>
      </w:r>
    </w:p>
    <w:p>
      <w:pPr>
        <w:spacing w:after="0"/>
        <w:rPr>
          <w:sz w:val="20"/>
          <w:szCs w:val="20"/>
          <w:color w:val="auto"/>
        </w:rPr>
      </w:pPr>
      <w:r>
        <w:rPr>
          <w:rFonts w:ascii="Arial" w:cs="Arial" w:eastAsia="Arial" w:hAnsi="Arial"/>
          <w:sz w:val="20"/>
          <w:szCs w:val="20"/>
          <w:color w:val="auto"/>
        </w:rPr>
        <w:t>FNF Title International Holding Company</w:t>
      </w:r>
    </w:p>
    <w:p>
      <w:pPr>
        <w:spacing w:after="0"/>
        <w:rPr>
          <w:sz w:val="20"/>
          <w:szCs w:val="20"/>
          <w:color w:val="auto"/>
        </w:rPr>
      </w:pPr>
      <w:r>
        <w:rPr>
          <w:rFonts w:ascii="Arial" w:cs="Arial" w:eastAsia="Arial" w:hAnsi="Arial"/>
          <w:sz w:val="20"/>
          <w:szCs w:val="20"/>
          <w:color w:val="auto"/>
        </w:rPr>
        <w:t>FNF UTC, LLC</w:t>
      </w:r>
    </w:p>
    <w:p>
      <w:pPr>
        <w:spacing w:after="0"/>
        <w:rPr>
          <w:sz w:val="20"/>
          <w:szCs w:val="20"/>
          <w:color w:val="auto"/>
        </w:rPr>
      </w:pPr>
      <w:r>
        <w:rPr>
          <w:rFonts w:ascii="Arial" w:cs="Arial" w:eastAsia="Arial" w:hAnsi="Arial"/>
          <w:sz w:val="20"/>
          <w:szCs w:val="20"/>
          <w:color w:val="auto"/>
        </w:rPr>
        <w:t>FNF West Texas Abstract &amp; Title Company,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FNMS Management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*FNTG Holdings, LLC</w:t>
      </w:r>
    </w:p>
    <w:p>
      <w:pPr>
        <w:spacing w:after="0"/>
        <w:rPr>
          <w:sz w:val="20"/>
          <w:szCs w:val="20"/>
          <w:color w:val="auto"/>
        </w:rPr>
      </w:pPr>
      <w:r>
        <w:rPr>
          <w:rFonts w:ascii="Arial" w:cs="Arial" w:eastAsia="Arial" w:hAnsi="Arial"/>
          <w:sz w:val="20"/>
          <w:szCs w:val="20"/>
          <w:color w:val="auto"/>
        </w:rPr>
        <w:t>FNTG National Record Centers, Inc.</w:t>
      </w:r>
    </w:p>
    <w:p>
      <w:pPr>
        <w:spacing w:after="0"/>
        <w:rPr>
          <w:sz w:val="20"/>
          <w:szCs w:val="20"/>
          <w:color w:val="auto"/>
        </w:rPr>
      </w:pPr>
      <w:r>
        <w:rPr>
          <w:rFonts w:ascii="Arial" w:cs="Arial" w:eastAsia="Arial" w:hAnsi="Arial"/>
          <w:sz w:val="20"/>
          <w:szCs w:val="20"/>
          <w:color w:val="auto"/>
        </w:rPr>
        <w:t>FNTS Holdings, LLC</w:t>
      </w:r>
    </w:p>
    <w:p>
      <w:pPr>
        <w:spacing w:after="0"/>
        <w:rPr>
          <w:sz w:val="20"/>
          <w:szCs w:val="20"/>
          <w:color w:val="auto"/>
        </w:rPr>
      </w:pPr>
      <w:r>
        <w:rPr>
          <w:rFonts w:ascii="Arial" w:cs="Arial" w:eastAsia="Arial" w:hAnsi="Arial"/>
          <w:sz w:val="20"/>
          <w:szCs w:val="20"/>
          <w:color w:val="auto"/>
        </w:rPr>
        <w:t>Fortuna Service Company, LLC</w:t>
      </w:r>
    </w:p>
    <w:p>
      <w:pPr>
        <w:spacing w:after="0"/>
        <w:rPr>
          <w:sz w:val="20"/>
          <w:szCs w:val="20"/>
          <w:color w:val="auto"/>
        </w:rPr>
      </w:pPr>
      <w:r>
        <w:rPr>
          <w:rFonts w:ascii="Arial" w:cs="Arial" w:eastAsia="Arial" w:hAnsi="Arial"/>
          <w:sz w:val="20"/>
          <w:szCs w:val="20"/>
          <w:color w:val="auto"/>
        </w:rPr>
        <w:t>FRA Real Estate Assistance,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Georgetown Data, Inc. (16.67%)</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Glacier Lake Properties, LLC</w:t>
      </w:r>
    </w:p>
    <w:p>
      <w:pPr>
        <w:spacing w:after="0"/>
        <w:rPr>
          <w:sz w:val="20"/>
          <w:szCs w:val="20"/>
          <w:color w:val="auto"/>
        </w:rPr>
      </w:pPr>
      <w:r>
        <w:rPr>
          <w:rFonts w:ascii="Arial" w:cs="Arial" w:eastAsia="Arial" w:hAnsi="Arial"/>
          <w:sz w:val="20"/>
          <w:szCs w:val="20"/>
          <w:color w:val="auto"/>
        </w:rPr>
        <w:t>Grand Oaks Title Agency, LLC (51%)</w:t>
      </w:r>
    </w:p>
    <w:p>
      <w:pPr>
        <w:spacing w:after="0"/>
        <w:rPr>
          <w:sz w:val="20"/>
          <w:szCs w:val="20"/>
          <w:color w:val="auto"/>
        </w:rPr>
      </w:pPr>
      <w:r>
        <w:rPr>
          <w:rFonts w:ascii="Arial" w:cs="Arial" w:eastAsia="Arial" w:hAnsi="Arial"/>
          <w:sz w:val="20"/>
          <w:szCs w:val="20"/>
          <w:color w:val="auto"/>
        </w:rPr>
        <w:t>Greenridge Title Agency, LLC (50%)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Harbour Title Company (50%)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Hayrick Holdings Inc.</w:t>
      </w:r>
    </w:p>
    <w:p>
      <w:pPr>
        <w:spacing w:after="0"/>
        <w:rPr>
          <w:sz w:val="20"/>
          <w:szCs w:val="20"/>
          <w:color w:val="auto"/>
        </w:rPr>
      </w:pPr>
      <w:r>
        <w:rPr>
          <w:rFonts w:ascii="Arial" w:cs="Arial" w:eastAsia="Arial" w:hAnsi="Arial"/>
          <w:sz w:val="20"/>
          <w:szCs w:val="20"/>
          <w:color w:val="auto"/>
        </w:rPr>
        <w:t>HBN Media, Inc., d/b/a Commissions Inc.</w:t>
      </w:r>
    </w:p>
    <w:p>
      <w:pPr>
        <w:spacing w:after="0"/>
        <w:rPr>
          <w:sz w:val="20"/>
          <w:szCs w:val="20"/>
          <w:color w:val="auto"/>
        </w:rPr>
      </w:pPr>
      <w:r>
        <w:rPr>
          <w:rFonts w:ascii="Arial" w:cs="Arial" w:eastAsia="Arial" w:hAnsi="Arial"/>
          <w:sz w:val="20"/>
          <w:szCs w:val="20"/>
          <w:color w:val="auto"/>
        </w:rPr>
        <w:t>Hertz Car Exchange Inc.</w:t>
      </w:r>
    </w:p>
    <w:p>
      <w:pPr>
        <w:spacing w:after="0"/>
        <w:rPr>
          <w:sz w:val="20"/>
          <w:szCs w:val="20"/>
          <w:color w:val="auto"/>
        </w:rPr>
      </w:pPr>
      <w:r>
        <w:rPr>
          <w:rFonts w:ascii="Arial" w:cs="Arial" w:eastAsia="Arial" w:hAnsi="Arial"/>
          <w:sz w:val="20"/>
          <w:szCs w:val="20"/>
          <w:color w:val="auto"/>
        </w:rPr>
        <w:t>Hudson &amp; Marshall Auction Services, Inc.</w:t>
      </w:r>
    </w:p>
    <w:p>
      <w:pPr>
        <w:spacing w:after="0"/>
        <w:rPr>
          <w:sz w:val="20"/>
          <w:szCs w:val="20"/>
          <w:color w:val="auto"/>
        </w:rPr>
      </w:pPr>
      <w:r>
        <w:rPr>
          <w:rFonts w:ascii="Arial" w:cs="Arial" w:eastAsia="Arial" w:hAnsi="Arial"/>
          <w:sz w:val="20"/>
          <w:szCs w:val="20"/>
          <w:color w:val="auto"/>
        </w:rPr>
        <w:t>Hudson &amp; Marshall,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Huntington Title Services, LLC (51%)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Imaged Library Co., L.L.C. (26.31%)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Index Partners, LLC (58.3%)</w:t>
      </w:r>
    </w:p>
    <w:p>
      <w:pPr>
        <w:spacing w:after="0"/>
        <w:rPr>
          <w:sz w:val="20"/>
          <w:szCs w:val="20"/>
          <w:color w:val="auto"/>
        </w:rPr>
      </w:pPr>
      <w:r>
        <w:rPr>
          <w:rFonts w:ascii="Arial" w:cs="Arial" w:eastAsia="Arial" w:hAnsi="Arial"/>
          <w:sz w:val="20"/>
          <w:szCs w:val="20"/>
          <w:color w:val="auto"/>
        </w:rPr>
        <w:t>Indiana Land Trust Company</w:t>
      </w:r>
    </w:p>
    <w:p>
      <w:pPr>
        <w:spacing w:after="0"/>
        <w:rPr>
          <w:sz w:val="20"/>
          <w:szCs w:val="20"/>
          <w:color w:val="auto"/>
        </w:rPr>
      </w:pPr>
      <w:r>
        <w:rPr>
          <w:rFonts w:ascii="Arial" w:cs="Arial" w:eastAsia="Arial" w:hAnsi="Arial"/>
          <w:sz w:val="20"/>
          <w:szCs w:val="20"/>
          <w:color w:val="auto"/>
        </w:rPr>
        <w:t>Indiana Residential Nominee Services,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Integrity Title Agency of Ohio &amp; Michigan, Ltd. (50.1%)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Investment Property Exchange Services, Inc.</w:t>
      </w:r>
    </w:p>
    <w:p>
      <w:pPr>
        <w:spacing w:after="0"/>
        <w:rPr>
          <w:sz w:val="20"/>
          <w:szCs w:val="20"/>
          <w:color w:val="auto"/>
        </w:rPr>
      </w:pPr>
      <w:r>
        <w:rPr>
          <w:rFonts w:ascii="Arial" w:cs="Arial" w:eastAsia="Arial" w:hAnsi="Arial"/>
          <w:sz w:val="20"/>
          <w:szCs w:val="20"/>
          <w:color w:val="auto"/>
        </w:rPr>
        <w:t>IPX1031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J. Rockcliff,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Joint Plant of Marin County LLC (25%)</w:t>
      </w:r>
    </w:p>
    <w:p>
      <w:pPr>
        <w:spacing w:after="0"/>
        <w:rPr>
          <w:sz w:val="20"/>
          <w:szCs w:val="20"/>
          <w:color w:val="auto"/>
        </w:rPr>
      </w:pPr>
      <w:r>
        <w:rPr>
          <w:rFonts w:ascii="Arial" w:cs="Arial" w:eastAsia="Arial" w:hAnsi="Arial"/>
          <w:sz w:val="20"/>
          <w:szCs w:val="20"/>
          <w:color w:val="auto"/>
        </w:rPr>
        <w:t>Joint Plant of San Mateo County II, LLC (42.12%)</w:t>
      </w:r>
    </w:p>
    <w:p>
      <w:pPr>
        <w:spacing w:after="0"/>
        <w:rPr>
          <w:sz w:val="20"/>
          <w:szCs w:val="20"/>
          <w:color w:val="auto"/>
        </w:rPr>
      </w:pPr>
      <w:r>
        <w:rPr>
          <w:rFonts w:ascii="Arial" w:cs="Arial" w:eastAsia="Arial" w:hAnsi="Arial"/>
          <w:sz w:val="20"/>
          <w:szCs w:val="20"/>
          <w:color w:val="auto"/>
        </w:rPr>
        <w:t>Joint Title Plant of Santa Clara County, LLC (30%)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L C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Land Canada Limited (51%)</w:t>
      </w:r>
    </w:p>
    <w:p>
      <w:pPr>
        <w:spacing w:after="0"/>
        <w:rPr>
          <w:sz w:val="20"/>
          <w:szCs w:val="20"/>
          <w:color w:val="auto"/>
        </w:rPr>
      </w:pPr>
      <w:r>
        <w:rPr>
          <w:rFonts w:ascii="Arial" w:cs="Arial" w:eastAsia="Arial" w:hAnsi="Arial"/>
          <w:sz w:val="20"/>
          <w:szCs w:val="20"/>
          <w:color w:val="auto"/>
        </w:rPr>
        <w:t>Land Title Agency, Inc.</w:t>
      </w:r>
    </w:p>
    <w:p>
      <w:pPr>
        <w:spacing w:after="0"/>
        <w:rPr>
          <w:sz w:val="20"/>
          <w:szCs w:val="20"/>
          <w:color w:val="auto"/>
        </w:rPr>
      </w:pPr>
      <w:r>
        <w:rPr>
          <w:rFonts w:ascii="Arial" w:cs="Arial" w:eastAsia="Arial" w:hAnsi="Arial"/>
          <w:sz w:val="20"/>
          <w:szCs w:val="20"/>
          <w:color w:val="auto"/>
        </w:rPr>
        <w:t>Land Title Company of Kitsap County (48.127%)</w:t>
      </w:r>
    </w:p>
    <w:p>
      <w:pPr>
        <w:spacing w:after="0"/>
        <w:rPr>
          <w:sz w:val="20"/>
          <w:szCs w:val="20"/>
          <w:color w:val="auto"/>
        </w:rPr>
      </w:pPr>
      <w:r>
        <w:rPr>
          <w:rFonts w:ascii="Arial" w:cs="Arial" w:eastAsia="Arial" w:hAnsi="Arial"/>
          <w:sz w:val="20"/>
          <w:szCs w:val="20"/>
          <w:color w:val="auto"/>
        </w:rPr>
        <w:t>Landcastle Acquisition Corp.</w:t>
      </w:r>
    </w:p>
    <w:p>
      <w:pPr>
        <w:spacing w:after="0"/>
        <w:rPr>
          <w:sz w:val="20"/>
          <w:szCs w:val="20"/>
          <w:color w:val="auto"/>
        </w:rPr>
      </w:pPr>
      <w:r>
        <w:rPr>
          <w:rFonts w:ascii="Arial" w:cs="Arial" w:eastAsia="Arial" w:hAnsi="Arial"/>
          <w:sz w:val="20"/>
          <w:szCs w:val="20"/>
          <w:color w:val="auto"/>
        </w:rPr>
        <w:t>LandCastle Michigan LLC</w:t>
      </w:r>
    </w:p>
    <w:p>
      <w:pPr>
        <w:spacing w:after="0"/>
        <w:rPr>
          <w:sz w:val="20"/>
          <w:szCs w:val="20"/>
          <w:color w:val="auto"/>
        </w:rPr>
      </w:pPr>
      <w:r>
        <w:rPr>
          <w:rFonts w:ascii="Arial" w:cs="Arial" w:eastAsia="Arial" w:hAnsi="Arial"/>
          <w:sz w:val="20"/>
          <w:szCs w:val="20"/>
          <w:color w:val="auto"/>
        </w:rPr>
        <w:t>LandCastle Title Group, LLC</w:t>
      </w:r>
    </w:p>
    <w:p>
      <w:pPr>
        <w:spacing w:after="0"/>
        <w:rPr>
          <w:sz w:val="20"/>
          <w:szCs w:val="20"/>
          <w:color w:val="auto"/>
        </w:rPr>
      </w:pPr>
      <w:r>
        <w:rPr>
          <w:rFonts w:ascii="Arial" w:cs="Arial" w:eastAsia="Arial" w:hAnsi="Arial"/>
          <w:sz w:val="20"/>
          <w:szCs w:val="20"/>
          <w:color w:val="auto"/>
        </w:rPr>
        <w:t>LandCastle Title, LLC</w:t>
      </w:r>
    </w:p>
    <w:p>
      <w:pPr>
        <w:spacing w:after="0"/>
        <w:rPr>
          <w:sz w:val="20"/>
          <w:szCs w:val="20"/>
          <w:color w:val="auto"/>
        </w:rPr>
      </w:pPr>
      <w:r>
        <w:rPr>
          <w:rFonts w:ascii="Arial" w:cs="Arial" w:eastAsia="Arial" w:hAnsi="Arial"/>
          <w:sz w:val="20"/>
          <w:szCs w:val="20"/>
          <w:color w:val="auto"/>
        </w:rPr>
        <w:t>Lawyers Title Company</w:t>
      </w:r>
    </w:p>
    <w:p>
      <w:pPr>
        <w:spacing w:after="0"/>
        <w:rPr>
          <w:sz w:val="20"/>
          <w:szCs w:val="20"/>
          <w:color w:val="auto"/>
        </w:rPr>
      </w:pPr>
      <w:r>
        <w:rPr>
          <w:rFonts w:ascii="Arial" w:cs="Arial" w:eastAsia="Arial" w:hAnsi="Arial"/>
          <w:sz w:val="20"/>
          <w:szCs w:val="20"/>
          <w:color w:val="auto"/>
        </w:rPr>
        <w:t>Lawyers Title of Arizona, Inc.</w:t>
      </w:r>
    </w:p>
    <w:p>
      <w:pPr>
        <w:spacing w:after="0"/>
        <w:rPr>
          <w:sz w:val="20"/>
          <w:szCs w:val="20"/>
          <w:color w:val="auto"/>
        </w:rPr>
      </w:pPr>
      <w:r>
        <w:rPr>
          <w:rFonts w:ascii="Arial" w:cs="Arial" w:eastAsia="Arial" w:hAnsi="Arial"/>
          <w:sz w:val="20"/>
          <w:szCs w:val="20"/>
          <w:color w:val="auto"/>
        </w:rPr>
        <w:t>Lawyers Title of Nevada, Inc.</w:t>
      </w:r>
    </w:p>
    <w:p>
      <w:pPr>
        <w:spacing w:after="0"/>
        <w:rPr>
          <w:sz w:val="20"/>
          <w:szCs w:val="20"/>
          <w:color w:val="auto"/>
        </w:rPr>
      </w:pPr>
      <w:r>
        <w:rPr>
          <w:rFonts w:ascii="Arial" w:cs="Arial" w:eastAsia="Arial" w:hAnsi="Arial"/>
          <w:sz w:val="20"/>
          <w:szCs w:val="20"/>
          <w:color w:val="auto"/>
        </w:rPr>
        <w:t>Lawyers Title of Oregon, LLC</w:t>
      </w:r>
    </w:p>
    <w:p>
      <w:pPr>
        <w:spacing w:after="0"/>
        <w:rPr>
          <w:sz w:val="20"/>
          <w:szCs w:val="20"/>
          <w:color w:val="auto"/>
        </w:rPr>
      </w:pPr>
      <w:r>
        <w:rPr>
          <w:rFonts w:ascii="Arial" w:cs="Arial" w:eastAsia="Arial" w:hAnsi="Arial"/>
          <w:sz w:val="20"/>
          <w:szCs w:val="20"/>
          <w:color w:val="auto"/>
        </w:rPr>
        <w:t>Lawyers Title Realty Services, Inc.</w:t>
      </w:r>
    </w:p>
    <w:p>
      <w:pPr>
        <w:spacing w:after="0"/>
        <w:rPr>
          <w:sz w:val="20"/>
          <w:szCs w:val="20"/>
          <w:color w:val="auto"/>
        </w:rPr>
      </w:pPr>
      <w:r>
        <w:rPr>
          <w:rFonts w:ascii="Arial" w:cs="Arial" w:eastAsia="Arial" w:hAnsi="Arial"/>
          <w:sz w:val="20"/>
          <w:szCs w:val="20"/>
          <w:color w:val="auto"/>
        </w:rPr>
        <w:t>LBH National Corporation (19.9%) (dba Shorewood Realtors)</w:t>
      </w:r>
    </w:p>
    <w:p>
      <w:pPr>
        <w:spacing w:after="0"/>
        <w:rPr>
          <w:sz w:val="20"/>
          <w:szCs w:val="20"/>
          <w:color w:val="auto"/>
        </w:rPr>
      </w:pPr>
      <w:r>
        <w:rPr>
          <w:rFonts w:ascii="Arial" w:cs="Arial" w:eastAsia="Arial" w:hAnsi="Arial"/>
          <w:sz w:val="20"/>
          <w:szCs w:val="20"/>
          <w:color w:val="auto"/>
        </w:rPr>
        <w:t>LCTG Holdings, LLC</w:t>
      </w:r>
    </w:p>
    <w:p>
      <w:pPr>
        <w:spacing w:after="0"/>
        <w:rPr>
          <w:sz w:val="20"/>
          <w:szCs w:val="20"/>
          <w:color w:val="auto"/>
        </w:rPr>
      </w:pPr>
      <w:r>
        <w:rPr>
          <w:rFonts w:ascii="Arial" w:cs="Arial" w:eastAsia="Arial" w:hAnsi="Arial"/>
          <w:sz w:val="20"/>
          <w:szCs w:val="20"/>
          <w:color w:val="auto"/>
        </w:rPr>
        <w:t>Liberty Title &amp; Escrow Company, LLC</w:t>
      </w:r>
    </w:p>
    <w:p>
      <w:pPr>
        <w:spacing w:after="0"/>
        <w:rPr>
          <w:sz w:val="20"/>
          <w:szCs w:val="20"/>
          <w:color w:val="auto"/>
        </w:rPr>
      </w:pPr>
      <w:r>
        <w:rPr>
          <w:rFonts w:ascii="Arial" w:cs="Arial" w:eastAsia="Arial" w:hAnsi="Arial"/>
          <w:sz w:val="20"/>
          <w:szCs w:val="20"/>
          <w:color w:val="auto"/>
        </w:rPr>
        <w:t>Liberty Title &amp; Escrow of Arkansas, LLC</w:t>
      </w:r>
    </w:p>
    <w:p>
      <w:pPr>
        <w:spacing w:after="0"/>
        <w:rPr>
          <w:sz w:val="20"/>
          <w:szCs w:val="20"/>
          <w:color w:val="auto"/>
        </w:rPr>
      </w:pPr>
      <w:r>
        <w:rPr>
          <w:rFonts w:ascii="Arial" w:cs="Arial" w:eastAsia="Arial" w:hAnsi="Arial"/>
          <w:sz w:val="20"/>
          <w:szCs w:val="20"/>
          <w:color w:val="auto"/>
        </w:rPr>
        <w:t>Liberty Title &amp; Escrow of Maryland, LLC</w:t>
      </w:r>
    </w:p>
    <w:p>
      <w:pPr>
        <w:spacing w:after="0"/>
        <w:rPr>
          <w:sz w:val="20"/>
          <w:szCs w:val="20"/>
          <w:color w:val="auto"/>
        </w:rPr>
      </w:pPr>
      <w:r>
        <w:rPr>
          <w:rFonts w:ascii="Arial" w:cs="Arial" w:eastAsia="Arial" w:hAnsi="Arial"/>
          <w:sz w:val="20"/>
          <w:szCs w:val="20"/>
          <w:color w:val="auto"/>
        </w:rPr>
        <w:t>LoanCare, LLC</w:t>
      </w:r>
    </w:p>
    <w:p>
      <w:pPr>
        <w:spacing w:after="0"/>
        <w:rPr>
          <w:sz w:val="20"/>
          <w:szCs w:val="20"/>
          <w:color w:val="auto"/>
        </w:rPr>
      </w:pPr>
      <w:r>
        <w:rPr>
          <w:rFonts w:ascii="Arial" w:cs="Arial" w:eastAsia="Arial" w:hAnsi="Arial"/>
          <w:sz w:val="20"/>
          <w:szCs w:val="20"/>
          <w:color w:val="auto"/>
        </w:rPr>
        <w:t>Longworth-Insured Title Agency, L.L.C. (51%)</w:t>
      </w:r>
    </w:p>
    <w:p>
      <w:pPr>
        <w:spacing w:after="0"/>
        <w:rPr>
          <w:sz w:val="20"/>
          <w:szCs w:val="20"/>
          <w:color w:val="auto"/>
        </w:rPr>
      </w:pPr>
      <w:r>
        <w:rPr>
          <w:rFonts w:ascii="Arial" w:cs="Arial" w:eastAsia="Arial" w:hAnsi="Arial"/>
          <w:sz w:val="20"/>
          <w:szCs w:val="20"/>
          <w:color w:val="auto"/>
        </w:rPr>
        <w:t>LRT Record Services, LLC</w:t>
      </w:r>
    </w:p>
    <w:p>
      <w:pPr>
        <w:spacing w:after="0"/>
        <w:rPr>
          <w:sz w:val="20"/>
          <w:szCs w:val="20"/>
          <w:color w:val="auto"/>
        </w:rPr>
      </w:pPr>
      <w:r>
        <w:rPr>
          <w:rFonts w:ascii="Arial" w:cs="Arial" w:eastAsia="Arial" w:hAnsi="Arial"/>
          <w:sz w:val="20"/>
          <w:szCs w:val="20"/>
          <w:color w:val="auto"/>
        </w:rPr>
        <w:t>LTC Sub,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Maine Residential Nominee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Manchester Development Corporation</w:t>
      </w:r>
    </w:p>
    <w:p>
      <w:pPr>
        <w:spacing w:after="0"/>
        <w:rPr>
          <w:sz w:val="20"/>
          <w:szCs w:val="20"/>
          <w:color w:val="auto"/>
        </w:rPr>
      </w:pPr>
      <w:r>
        <w:rPr>
          <w:rFonts w:ascii="Arial" w:cs="Arial" w:eastAsia="Arial" w:hAnsi="Arial"/>
          <w:sz w:val="20"/>
          <w:szCs w:val="20"/>
          <w:color w:val="auto"/>
        </w:rPr>
        <w:t>Marin County Joint Plant (25%)</w:t>
      </w:r>
    </w:p>
    <w:p>
      <w:pPr>
        <w:spacing w:after="0"/>
        <w:rPr>
          <w:sz w:val="20"/>
          <w:szCs w:val="20"/>
          <w:color w:val="auto"/>
        </w:rPr>
      </w:pPr>
      <w:r>
        <w:rPr>
          <w:rFonts w:ascii="Arial" w:cs="Arial" w:eastAsia="Arial" w:hAnsi="Arial"/>
          <w:sz w:val="20"/>
          <w:szCs w:val="20"/>
          <w:color w:val="auto"/>
        </w:rPr>
        <w:t>Massachusetts Residential Nominee Services, LLC</w:t>
      </w:r>
    </w:p>
    <w:p>
      <w:pPr>
        <w:spacing w:after="0"/>
        <w:rPr>
          <w:sz w:val="20"/>
          <w:szCs w:val="20"/>
          <w:color w:val="auto"/>
        </w:rPr>
      </w:pPr>
      <w:r>
        <w:rPr>
          <w:rFonts w:ascii="Arial" w:cs="Arial" w:eastAsia="Arial" w:hAnsi="Arial"/>
          <w:sz w:val="20"/>
          <w:szCs w:val="20"/>
          <w:color w:val="auto"/>
        </w:rPr>
        <w:t>McNamara,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color w:val="auto"/>
        </w:rPr>
        <w:t>Memphis, TN Joint Plant, LLC (75%)</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Mercury Settlement Services of Utah, Inc.</w:t>
      </w:r>
    </w:p>
    <w:p>
      <w:pPr>
        <w:spacing w:after="0"/>
        <w:rPr>
          <w:sz w:val="20"/>
          <w:szCs w:val="20"/>
          <w:color w:val="auto"/>
        </w:rPr>
      </w:pPr>
      <w:r>
        <w:rPr>
          <w:rFonts w:ascii="Arial" w:cs="Arial" w:eastAsia="Arial" w:hAnsi="Arial"/>
          <w:sz w:val="20"/>
          <w:szCs w:val="20"/>
          <w:color w:val="auto"/>
        </w:rPr>
        <w:t>Michigan Shoreline Title Agency, LLC (44.1%)</w:t>
      </w:r>
    </w:p>
    <w:p>
      <w:pPr>
        <w:spacing w:after="0"/>
        <w:rPr>
          <w:sz w:val="20"/>
          <w:szCs w:val="20"/>
          <w:color w:val="auto"/>
        </w:rPr>
      </w:pPr>
      <w:r>
        <w:rPr>
          <w:rFonts w:ascii="Arial" w:cs="Arial" w:eastAsia="Arial" w:hAnsi="Arial"/>
          <w:sz w:val="20"/>
          <w:szCs w:val="20"/>
          <w:color w:val="auto"/>
        </w:rPr>
        <w:t>Mission Trails Escrow, Inc.</w:t>
      </w:r>
    </w:p>
    <w:p>
      <w:pPr>
        <w:spacing w:after="0"/>
        <w:rPr>
          <w:sz w:val="20"/>
          <w:szCs w:val="20"/>
          <w:color w:val="auto"/>
        </w:rPr>
      </w:pPr>
      <w:r>
        <w:rPr>
          <w:rFonts w:ascii="Arial" w:cs="Arial" w:eastAsia="Arial" w:hAnsi="Arial"/>
          <w:sz w:val="20"/>
          <w:szCs w:val="20"/>
          <w:color w:val="auto"/>
        </w:rPr>
        <w:t>Monaco Title Agency, LLC (51%)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National Alliance Marketing Group,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National Link of Alabama, L.L.C.</w:t>
      </w:r>
    </w:p>
    <w:p>
      <w:pPr>
        <w:spacing w:after="0"/>
        <w:rPr>
          <w:sz w:val="20"/>
          <w:szCs w:val="20"/>
          <w:color w:val="auto"/>
        </w:rPr>
      </w:pPr>
      <w:r>
        <w:rPr>
          <w:rFonts w:ascii="Arial" w:cs="Arial" w:eastAsia="Arial" w:hAnsi="Arial"/>
          <w:sz w:val="20"/>
          <w:szCs w:val="20"/>
          <w:color w:val="auto"/>
        </w:rPr>
        <w:t>National Link, L.L.C. (49.8%)</w:t>
      </w:r>
    </w:p>
    <w:p>
      <w:pPr>
        <w:spacing w:after="0"/>
        <w:rPr>
          <w:sz w:val="20"/>
          <w:szCs w:val="20"/>
          <w:color w:val="auto"/>
        </w:rPr>
      </w:pPr>
      <w:r>
        <w:rPr>
          <w:rFonts w:ascii="Arial" w:cs="Arial" w:eastAsia="Arial" w:hAnsi="Arial"/>
          <w:sz w:val="20"/>
          <w:szCs w:val="20"/>
          <w:color w:val="auto"/>
        </w:rPr>
        <w:t>National Link, L.P. (49.8%)</w:t>
      </w:r>
    </w:p>
    <w:p>
      <w:pPr>
        <w:spacing w:after="0"/>
        <w:rPr>
          <w:sz w:val="20"/>
          <w:szCs w:val="20"/>
          <w:color w:val="auto"/>
        </w:rPr>
      </w:pPr>
      <w:r>
        <w:rPr>
          <w:rFonts w:ascii="Arial" w:cs="Arial" w:eastAsia="Arial" w:hAnsi="Arial"/>
          <w:sz w:val="20"/>
          <w:szCs w:val="20"/>
          <w:color w:val="auto"/>
        </w:rPr>
        <w:t>National Residential Nominee Services Inc.</w:t>
      </w:r>
    </w:p>
    <w:p>
      <w:pPr>
        <w:spacing w:after="0"/>
        <w:rPr>
          <w:sz w:val="20"/>
          <w:szCs w:val="20"/>
          <w:color w:val="auto"/>
        </w:rPr>
      </w:pPr>
      <w:r>
        <w:rPr>
          <w:rFonts w:ascii="Arial" w:cs="Arial" w:eastAsia="Arial" w:hAnsi="Arial"/>
          <w:sz w:val="20"/>
          <w:szCs w:val="20"/>
          <w:color w:val="auto"/>
        </w:rPr>
        <w:t>National Residential Nominee Services of Canada, Inc.</w:t>
      </w:r>
    </w:p>
    <w:p>
      <w:pPr>
        <w:spacing w:after="0"/>
        <w:rPr>
          <w:sz w:val="20"/>
          <w:szCs w:val="20"/>
          <w:color w:val="auto"/>
        </w:rPr>
      </w:pPr>
      <w:r>
        <w:rPr>
          <w:rFonts w:ascii="Arial" w:cs="Arial" w:eastAsia="Arial" w:hAnsi="Arial"/>
          <w:sz w:val="20"/>
          <w:szCs w:val="20"/>
          <w:color w:val="auto"/>
        </w:rPr>
        <w:t>National Safe Harbor Exchanges, Inc.</w:t>
      </w:r>
    </w:p>
    <w:p>
      <w:pPr>
        <w:spacing w:after="0"/>
        <w:rPr>
          <w:sz w:val="20"/>
          <w:szCs w:val="20"/>
          <w:color w:val="auto"/>
        </w:rPr>
      </w:pPr>
      <w:r>
        <w:rPr>
          <w:rFonts w:ascii="Arial" w:cs="Arial" w:eastAsia="Arial" w:hAnsi="Arial"/>
          <w:sz w:val="20"/>
          <w:szCs w:val="20"/>
          <w:color w:val="auto"/>
        </w:rPr>
        <w:t>**National Title Insurance of New York Inc.</w:t>
      </w:r>
    </w:p>
    <w:p>
      <w:pPr>
        <w:spacing w:after="0"/>
        <w:rPr>
          <w:sz w:val="20"/>
          <w:szCs w:val="20"/>
          <w:color w:val="auto"/>
        </w:rPr>
      </w:pPr>
      <w:r>
        <w:rPr>
          <w:rFonts w:ascii="Arial" w:cs="Arial" w:eastAsia="Arial" w:hAnsi="Arial"/>
          <w:sz w:val="20"/>
          <w:szCs w:val="20"/>
          <w:color w:val="auto"/>
        </w:rPr>
        <w:t>NationalLink Valuations, LLC</w:t>
      </w:r>
    </w:p>
    <w:p>
      <w:pPr>
        <w:spacing w:after="0"/>
        <w:rPr>
          <w:sz w:val="20"/>
          <w:szCs w:val="20"/>
          <w:color w:val="auto"/>
        </w:rPr>
      </w:pPr>
      <w:r>
        <w:rPr>
          <w:rFonts w:ascii="Arial" w:cs="Arial" w:eastAsia="Arial" w:hAnsi="Arial"/>
          <w:sz w:val="20"/>
          <w:szCs w:val="20"/>
          <w:color w:val="auto"/>
        </w:rPr>
        <w:t>Nationwide Settlement Source, L.L.C.</w:t>
      </w:r>
    </w:p>
    <w:p>
      <w:pPr>
        <w:spacing w:after="0"/>
        <w:rPr>
          <w:sz w:val="20"/>
          <w:szCs w:val="20"/>
          <w:color w:val="auto"/>
        </w:rPr>
      </w:pPr>
      <w:r>
        <w:rPr>
          <w:rFonts w:ascii="Arial" w:cs="Arial" w:eastAsia="Arial" w:hAnsi="Arial"/>
          <w:sz w:val="20"/>
          <w:szCs w:val="20"/>
          <w:color w:val="auto"/>
        </w:rPr>
        <w:t>Nationwide Settlement Source, L.P.</w:t>
      </w:r>
    </w:p>
    <w:p>
      <w:pPr>
        <w:spacing w:after="0"/>
        <w:rPr>
          <w:sz w:val="20"/>
          <w:szCs w:val="20"/>
          <w:color w:val="auto"/>
        </w:rPr>
      </w:pPr>
      <w:r>
        <w:rPr>
          <w:rFonts w:ascii="Arial" w:cs="Arial" w:eastAsia="Arial" w:hAnsi="Arial"/>
          <w:sz w:val="20"/>
          <w:szCs w:val="20"/>
          <w:color w:val="auto"/>
        </w:rPr>
        <w:t>New York Land Services, Inc.</w:t>
      </w:r>
    </w:p>
    <w:p>
      <w:pPr>
        <w:spacing w:after="0"/>
        <w:rPr>
          <w:sz w:val="20"/>
          <w:szCs w:val="20"/>
          <w:color w:val="auto"/>
        </w:rPr>
      </w:pPr>
      <w:r>
        <w:rPr>
          <w:rFonts w:ascii="Arial" w:cs="Arial" w:eastAsia="Arial" w:hAnsi="Arial"/>
          <w:sz w:val="20"/>
          <w:szCs w:val="20"/>
          <w:color w:val="auto"/>
        </w:rPr>
        <w:t>NextAce Corporation</w:t>
      </w:r>
    </w:p>
    <w:p>
      <w:pPr>
        <w:spacing w:after="0"/>
        <w:rPr>
          <w:sz w:val="20"/>
          <w:szCs w:val="20"/>
          <w:color w:val="auto"/>
        </w:rPr>
      </w:pPr>
      <w:r>
        <w:rPr>
          <w:rFonts w:ascii="Arial" w:cs="Arial" w:eastAsia="Arial" w:hAnsi="Arial"/>
          <w:sz w:val="20"/>
          <w:szCs w:val="20"/>
          <w:color w:val="auto"/>
        </w:rPr>
        <w:t>Nipomo Acquisition, LLC</w:t>
      </w:r>
    </w:p>
    <w:p>
      <w:pPr>
        <w:spacing w:after="0"/>
        <w:rPr>
          <w:sz w:val="20"/>
          <w:szCs w:val="20"/>
          <w:color w:val="auto"/>
        </w:rPr>
      </w:pPr>
      <w:r>
        <w:rPr>
          <w:rFonts w:ascii="Arial" w:cs="Arial" w:eastAsia="Arial" w:hAnsi="Arial"/>
          <w:sz w:val="20"/>
          <w:szCs w:val="20"/>
          <w:color w:val="auto"/>
        </w:rPr>
        <w:t>Northern Nevada Title Company</w:t>
      </w:r>
    </w:p>
    <w:p>
      <w:pPr>
        <w:spacing w:after="0"/>
        <w:rPr>
          <w:sz w:val="20"/>
          <w:szCs w:val="20"/>
          <w:color w:val="auto"/>
        </w:rPr>
      </w:pPr>
      <w:r>
        <w:rPr>
          <w:rFonts w:ascii="Arial" w:cs="Arial" w:eastAsia="Arial" w:hAnsi="Arial"/>
          <w:sz w:val="20"/>
          <w:szCs w:val="20"/>
          <w:color w:val="auto"/>
        </w:rPr>
        <w:t>Novare National Settlement Service of Maryland, LLC</w:t>
      </w:r>
    </w:p>
    <w:p>
      <w:pPr>
        <w:spacing w:after="0"/>
        <w:rPr>
          <w:sz w:val="20"/>
          <w:szCs w:val="20"/>
          <w:color w:val="auto"/>
        </w:rPr>
      </w:pPr>
      <w:r>
        <w:rPr>
          <w:rFonts w:ascii="Arial" w:cs="Arial" w:eastAsia="Arial" w:hAnsi="Arial"/>
          <w:sz w:val="20"/>
          <w:szCs w:val="20"/>
          <w:color w:val="auto"/>
        </w:rPr>
        <w:t>Novare National Settlement Service, LLC</w:t>
      </w:r>
    </w:p>
    <w:p>
      <w:pPr>
        <w:spacing w:after="0"/>
        <w:rPr>
          <w:sz w:val="20"/>
          <w:szCs w:val="20"/>
          <w:color w:val="auto"/>
        </w:rPr>
      </w:pPr>
      <w:r>
        <w:rPr>
          <w:rFonts w:ascii="Arial" w:cs="Arial" w:eastAsia="Arial" w:hAnsi="Arial"/>
          <w:sz w:val="20"/>
          <w:szCs w:val="20"/>
          <w:color w:val="auto"/>
        </w:rPr>
        <w:t>Novare National Title Insurance Agency of Utah, LLC</w:t>
      </w:r>
    </w:p>
    <w:p>
      <w:pPr>
        <w:spacing w:after="0"/>
        <w:rPr>
          <w:sz w:val="20"/>
          <w:szCs w:val="20"/>
          <w:color w:val="auto"/>
        </w:rPr>
      </w:pPr>
      <w:r>
        <w:rPr>
          <w:rFonts w:ascii="Arial" w:cs="Arial" w:eastAsia="Arial" w:hAnsi="Arial"/>
          <w:sz w:val="20"/>
          <w:szCs w:val="20"/>
          <w:color w:val="auto"/>
        </w:rPr>
        <w:t>Novare Settlement Holdings, LLC (80%)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Ohio Great Northern Title Agency LLC (51%)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OnePointCity, LLC</w:t>
      </w:r>
    </w:p>
    <w:p>
      <w:pPr>
        <w:spacing w:after="0"/>
        <w:rPr>
          <w:sz w:val="20"/>
          <w:szCs w:val="20"/>
          <w:color w:val="auto"/>
        </w:rPr>
      </w:pPr>
      <w:r>
        <w:rPr>
          <w:rFonts w:ascii="Arial" w:cs="Arial" w:eastAsia="Arial" w:hAnsi="Arial"/>
          <w:sz w:val="20"/>
          <w:szCs w:val="20"/>
          <w:color w:val="auto"/>
        </w:rPr>
        <w:t>Outsourcing Architects Canada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Pacific Coast Title Company (40%)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PC Agent Group, Inc.</w:t>
      </w:r>
    </w:p>
    <w:p>
      <w:pPr>
        <w:spacing w:after="0"/>
        <w:rPr>
          <w:sz w:val="20"/>
          <w:szCs w:val="20"/>
          <w:color w:val="auto"/>
        </w:rPr>
      </w:pPr>
      <w:r>
        <w:rPr>
          <w:rFonts w:ascii="Arial" w:cs="Arial" w:eastAsia="Arial" w:hAnsi="Arial"/>
          <w:sz w:val="20"/>
          <w:szCs w:val="20"/>
          <w:color w:val="auto"/>
        </w:rPr>
        <w:t>Performance Title &amp; Escrow, LLC (50.01%)</w:t>
      </w:r>
    </w:p>
    <w:p>
      <w:pPr>
        <w:spacing w:after="0"/>
        <w:rPr>
          <w:sz w:val="20"/>
          <w:szCs w:val="20"/>
          <w:color w:val="auto"/>
        </w:rPr>
      </w:pPr>
      <w:r>
        <w:rPr>
          <w:rFonts w:ascii="Arial" w:cs="Arial" w:eastAsia="Arial" w:hAnsi="Arial"/>
          <w:sz w:val="20"/>
          <w:szCs w:val="20"/>
          <w:color w:val="auto"/>
        </w:rPr>
        <w:t>Preferred Choice Escrow (62.04%)</w:t>
      </w:r>
    </w:p>
    <w:p>
      <w:pPr>
        <w:spacing w:after="0"/>
        <w:rPr>
          <w:sz w:val="20"/>
          <w:szCs w:val="20"/>
          <w:color w:val="auto"/>
        </w:rPr>
      </w:pPr>
      <w:r>
        <w:rPr>
          <w:rFonts w:ascii="Arial" w:cs="Arial" w:eastAsia="Arial" w:hAnsi="Arial"/>
          <w:sz w:val="20"/>
          <w:szCs w:val="20"/>
          <w:color w:val="auto"/>
        </w:rPr>
        <w:t>Prestige Title, LLC (51%)</w:t>
      </w:r>
    </w:p>
    <w:p>
      <w:pPr>
        <w:spacing w:after="0"/>
        <w:rPr>
          <w:sz w:val="20"/>
          <w:szCs w:val="20"/>
          <w:color w:val="auto"/>
        </w:rPr>
      </w:pPr>
      <w:r>
        <w:rPr>
          <w:rFonts w:ascii="Arial" w:cs="Arial" w:eastAsia="Arial" w:hAnsi="Arial"/>
          <w:sz w:val="20"/>
          <w:szCs w:val="20"/>
          <w:color w:val="auto"/>
        </w:rPr>
        <w:t>Prime Title Agency LLC (77%)</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RBA Title Services, LLC (51%)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RE Texas Services, LLC</w:t>
      </w:r>
    </w:p>
    <w:p>
      <w:pPr>
        <w:spacing w:after="0"/>
        <w:rPr>
          <w:sz w:val="20"/>
          <w:szCs w:val="20"/>
          <w:color w:val="auto"/>
        </w:rPr>
      </w:pPr>
      <w:r>
        <w:rPr>
          <w:rFonts w:ascii="Arial" w:cs="Arial" w:eastAsia="Arial" w:hAnsi="Arial"/>
          <w:sz w:val="20"/>
          <w:szCs w:val="20"/>
          <w:color w:val="auto"/>
        </w:rPr>
        <w:t>Real Geeks, LLC (97.9625%)</w:t>
      </w:r>
    </w:p>
    <w:p>
      <w:pPr>
        <w:spacing w:after="0"/>
        <w:rPr>
          <w:sz w:val="20"/>
          <w:szCs w:val="20"/>
          <w:color w:val="auto"/>
        </w:rPr>
      </w:pPr>
      <w:r>
        <w:rPr>
          <w:rFonts w:ascii="Arial" w:cs="Arial" w:eastAsia="Arial" w:hAnsi="Arial"/>
          <w:sz w:val="20"/>
          <w:szCs w:val="20"/>
          <w:color w:val="auto"/>
        </w:rPr>
        <w:t>RealInfo, L.L.C.</w:t>
      </w:r>
    </w:p>
    <w:p>
      <w:pPr>
        <w:spacing w:after="0"/>
        <w:rPr>
          <w:sz w:val="20"/>
          <w:szCs w:val="20"/>
          <w:color w:val="auto"/>
        </w:rPr>
      </w:pPr>
      <w:r>
        <w:rPr>
          <w:rFonts w:ascii="Arial" w:cs="Arial" w:eastAsia="Arial" w:hAnsi="Arial"/>
          <w:sz w:val="20"/>
          <w:szCs w:val="20"/>
          <w:color w:val="auto"/>
        </w:rPr>
        <w:t>Recodat Co. (25%)</w:t>
      </w:r>
    </w:p>
    <w:p>
      <w:pPr>
        <w:spacing w:after="0"/>
        <w:rPr>
          <w:sz w:val="20"/>
          <w:szCs w:val="20"/>
          <w:color w:val="auto"/>
        </w:rPr>
      </w:pPr>
      <w:r>
        <w:rPr>
          <w:rFonts w:ascii="Arial" w:cs="Arial" w:eastAsia="Arial" w:hAnsi="Arial"/>
          <w:sz w:val="20"/>
          <w:szCs w:val="20"/>
          <w:color w:val="auto"/>
        </w:rPr>
        <w:t>Region Title, LLC (35%)</w:t>
      </w:r>
    </w:p>
    <w:p>
      <w:pPr>
        <w:spacing w:after="0"/>
        <w:rPr>
          <w:sz w:val="20"/>
          <w:szCs w:val="20"/>
          <w:color w:val="auto"/>
        </w:rPr>
      </w:pPr>
      <w:r>
        <w:rPr>
          <w:rFonts w:ascii="Arial" w:cs="Arial" w:eastAsia="Arial" w:hAnsi="Arial"/>
          <w:sz w:val="20"/>
          <w:szCs w:val="20"/>
          <w:color w:val="auto"/>
        </w:rPr>
        <w:t>Reliance Title Agency LLC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River Valley Abstract &amp; Title,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Rockcliff Referral Network, Inc.</w:t>
      </w:r>
    </w:p>
    <w:p>
      <w:pPr>
        <w:spacing w:after="0"/>
        <w:rPr>
          <w:sz w:val="20"/>
          <w:szCs w:val="20"/>
          <w:color w:val="auto"/>
        </w:rPr>
      </w:pPr>
      <w:r>
        <w:rPr>
          <w:rFonts w:ascii="Arial" w:cs="Arial" w:eastAsia="Arial" w:hAnsi="Arial"/>
          <w:sz w:val="20"/>
          <w:szCs w:val="20"/>
          <w:color w:val="auto"/>
        </w:rPr>
        <w:t>Rockford Title Agency, LLC (45.5%)</w:t>
      </w:r>
    </w:p>
    <w:p>
      <w:pPr>
        <w:spacing w:after="0"/>
        <w:rPr>
          <w:sz w:val="20"/>
          <w:szCs w:val="20"/>
          <w:color w:val="auto"/>
        </w:rPr>
      </w:pPr>
      <w:r>
        <w:rPr>
          <w:rFonts w:ascii="Arial" w:cs="Arial" w:eastAsia="Arial" w:hAnsi="Arial"/>
          <w:sz w:val="20"/>
          <w:szCs w:val="20"/>
          <w:color w:val="auto"/>
        </w:rPr>
        <w:t>Rocky Mountain Aviation, LLC</w:t>
      </w:r>
    </w:p>
    <w:p>
      <w:pPr>
        <w:spacing w:after="0"/>
        <w:rPr>
          <w:sz w:val="20"/>
          <w:szCs w:val="20"/>
          <w:color w:val="auto"/>
        </w:rPr>
      </w:pPr>
      <w:r>
        <w:rPr>
          <w:rFonts w:ascii="Arial" w:cs="Arial" w:eastAsia="Arial" w:hAnsi="Arial"/>
          <w:sz w:val="20"/>
          <w:szCs w:val="20"/>
          <w:color w:val="auto"/>
        </w:rPr>
        <w:t>Rocky Mountain Support Services,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S-K-L-D Title Services Inc. (14.73%)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S.D.C. Title Agency, LLC (50.1%)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SCF Exchange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Seasons Title Agency, LLC (35%)</w:t>
      </w:r>
    </w:p>
    <w:p>
      <w:pPr>
        <w:spacing w:after="0"/>
        <w:rPr>
          <w:sz w:val="20"/>
          <w:szCs w:val="20"/>
          <w:color w:val="auto"/>
        </w:rPr>
      </w:pPr>
      <w:r>
        <w:rPr>
          <w:rFonts w:ascii="Arial" w:cs="Arial" w:eastAsia="Arial" w:hAnsi="Arial"/>
          <w:sz w:val="20"/>
          <w:szCs w:val="20"/>
          <w:color w:val="auto"/>
        </w:rPr>
        <w:t>Security Insurance Services, LLC</w:t>
      </w:r>
    </w:p>
    <w:p>
      <w:pPr>
        <w:spacing w:after="0"/>
        <w:rPr>
          <w:sz w:val="20"/>
          <w:szCs w:val="20"/>
          <w:color w:val="auto"/>
        </w:rPr>
      </w:pPr>
      <w:r>
        <w:rPr>
          <w:rFonts w:ascii="Arial" w:cs="Arial" w:eastAsia="Arial" w:hAnsi="Arial"/>
          <w:sz w:val="20"/>
          <w:szCs w:val="20"/>
          <w:color w:val="auto"/>
        </w:rPr>
        <w:t>Security Title Agency, Inc.</w:t>
      </w:r>
    </w:p>
    <w:p>
      <w:pPr>
        <w:spacing w:after="0"/>
        <w:rPr>
          <w:sz w:val="20"/>
          <w:szCs w:val="20"/>
          <w:color w:val="auto"/>
        </w:rPr>
      </w:pPr>
      <w:r>
        <w:rPr>
          <w:rFonts w:ascii="Arial" w:cs="Arial" w:eastAsia="Arial" w:hAnsi="Arial"/>
          <w:sz w:val="20"/>
          <w:szCs w:val="20"/>
          <w:color w:val="auto"/>
        </w:rPr>
        <w:t>Security Title Guaranty Co.</w:t>
      </w:r>
    </w:p>
    <w:p>
      <w:pPr>
        <w:spacing w:after="0"/>
        <w:rPr>
          <w:sz w:val="20"/>
          <w:szCs w:val="20"/>
          <w:color w:val="auto"/>
        </w:rPr>
      </w:pPr>
      <w:r>
        <w:rPr>
          <w:rFonts w:ascii="Arial" w:cs="Arial" w:eastAsia="Arial" w:hAnsi="Arial"/>
          <w:sz w:val="20"/>
          <w:szCs w:val="20"/>
          <w:color w:val="auto"/>
        </w:rPr>
        <w:t>Sereno Properties Holdings, LLC (33.16%)</w:t>
      </w:r>
    </w:p>
    <w:p>
      <w:pPr>
        <w:spacing w:after="0"/>
        <w:rPr>
          <w:sz w:val="20"/>
          <w:szCs w:val="20"/>
          <w:color w:val="auto"/>
        </w:rPr>
      </w:pPr>
      <w:r>
        <w:rPr>
          <w:rFonts w:ascii="Arial" w:cs="Arial" w:eastAsia="Arial" w:hAnsi="Arial"/>
          <w:sz w:val="20"/>
          <w:szCs w:val="20"/>
          <w:color w:val="auto"/>
        </w:rPr>
        <w:t>ServiceLink Agency Sales and Posting, LLC</w:t>
      </w:r>
    </w:p>
    <w:p>
      <w:pPr>
        <w:spacing w:after="0"/>
        <w:rPr>
          <w:sz w:val="20"/>
          <w:szCs w:val="20"/>
          <w:color w:val="auto"/>
        </w:rPr>
      </w:pPr>
      <w:r>
        <w:rPr>
          <w:rFonts w:ascii="Arial" w:cs="Arial" w:eastAsia="Arial" w:hAnsi="Arial"/>
          <w:sz w:val="20"/>
          <w:szCs w:val="20"/>
          <w:color w:val="auto"/>
        </w:rPr>
        <w:t>ServiceLink Asset Management Solutions, LLC</w:t>
      </w:r>
    </w:p>
    <w:p>
      <w:pPr>
        <w:spacing w:after="0"/>
        <w:rPr>
          <w:sz w:val="20"/>
          <w:szCs w:val="20"/>
          <w:color w:val="auto"/>
        </w:rPr>
      </w:pPr>
      <w:r>
        <w:rPr>
          <w:rFonts w:ascii="Arial" w:cs="Arial" w:eastAsia="Arial" w:hAnsi="Arial"/>
          <w:sz w:val="20"/>
          <w:szCs w:val="20"/>
          <w:color w:val="auto"/>
        </w:rPr>
        <w:t>ServiceLink Auction, LLC (DE)</w:t>
      </w:r>
    </w:p>
    <w:p>
      <w:pPr>
        <w:spacing w:after="0"/>
        <w:rPr>
          <w:sz w:val="20"/>
          <w:szCs w:val="20"/>
          <w:color w:val="auto"/>
        </w:rPr>
      </w:pPr>
      <w:r>
        <w:rPr>
          <w:rFonts w:ascii="Arial" w:cs="Arial" w:eastAsia="Arial" w:hAnsi="Arial"/>
          <w:sz w:val="20"/>
          <w:szCs w:val="20"/>
          <w:color w:val="auto"/>
        </w:rPr>
        <w:t>ServiceLink Auction, LLC (VA)</w:t>
      </w:r>
    </w:p>
    <w:p>
      <w:pPr>
        <w:spacing w:after="0"/>
        <w:rPr>
          <w:sz w:val="20"/>
          <w:szCs w:val="20"/>
          <w:color w:val="auto"/>
        </w:rPr>
      </w:pPr>
      <w:r>
        <w:rPr>
          <w:rFonts w:ascii="Arial" w:cs="Arial" w:eastAsia="Arial" w:hAnsi="Arial"/>
          <w:sz w:val="20"/>
          <w:szCs w:val="20"/>
          <w:color w:val="auto"/>
        </w:rPr>
        <w:t>ServiceLink Default Abstract Solutions, LLC</w:t>
      </w:r>
    </w:p>
    <w:p>
      <w:pPr>
        <w:spacing w:after="0"/>
        <w:rPr>
          <w:sz w:val="20"/>
          <w:szCs w:val="20"/>
          <w:color w:val="auto"/>
        </w:rPr>
      </w:pPr>
      <w:r>
        <w:rPr>
          <w:rFonts w:ascii="Arial" w:cs="Arial" w:eastAsia="Arial" w:hAnsi="Arial"/>
          <w:sz w:val="20"/>
          <w:szCs w:val="20"/>
          <w:color w:val="auto"/>
        </w:rPr>
        <w:t>ServiceLink Default Services, LLC</w:t>
      </w:r>
    </w:p>
    <w:p>
      <w:pPr>
        <w:spacing w:after="0"/>
        <w:rPr>
          <w:sz w:val="20"/>
          <w:szCs w:val="20"/>
          <w:color w:val="auto"/>
        </w:rPr>
      </w:pPr>
      <w:r>
        <w:rPr>
          <w:rFonts w:ascii="Arial" w:cs="Arial" w:eastAsia="Arial" w:hAnsi="Arial"/>
          <w:sz w:val="20"/>
          <w:szCs w:val="20"/>
          <w:color w:val="auto"/>
        </w:rPr>
        <w:t>ServiceLink Field Services, LLC</w:t>
      </w:r>
    </w:p>
    <w:p>
      <w:pPr>
        <w:spacing w:after="0"/>
        <w:rPr>
          <w:sz w:val="20"/>
          <w:szCs w:val="20"/>
          <w:color w:val="auto"/>
        </w:rPr>
      </w:pPr>
      <w:r>
        <w:rPr>
          <w:rFonts w:ascii="Arial" w:cs="Arial" w:eastAsia="Arial" w:hAnsi="Arial"/>
          <w:sz w:val="20"/>
          <w:szCs w:val="20"/>
          <w:color w:val="auto"/>
        </w:rPr>
        <w:t>*ServiceLink Holdings, Inc.</w:t>
      </w:r>
    </w:p>
    <w:p>
      <w:pPr>
        <w:spacing w:after="0"/>
        <w:rPr>
          <w:sz w:val="20"/>
          <w:szCs w:val="20"/>
          <w:color w:val="auto"/>
        </w:rPr>
      </w:pPr>
      <w:r>
        <w:rPr>
          <w:rFonts w:ascii="Arial" w:cs="Arial" w:eastAsia="Arial" w:hAnsi="Arial"/>
          <w:sz w:val="20"/>
          <w:szCs w:val="20"/>
          <w:color w:val="auto"/>
        </w:rPr>
        <w:t>ServiceLink Holdings, LLC (79.08%)</w:t>
      </w:r>
    </w:p>
    <w:p>
      <w:pPr>
        <w:spacing w:after="0"/>
        <w:rPr>
          <w:sz w:val="20"/>
          <w:szCs w:val="20"/>
          <w:color w:val="auto"/>
        </w:rPr>
      </w:pPr>
      <w:r>
        <w:rPr>
          <w:rFonts w:ascii="Arial" w:cs="Arial" w:eastAsia="Arial" w:hAnsi="Arial"/>
          <w:sz w:val="20"/>
          <w:szCs w:val="20"/>
          <w:color w:val="auto"/>
        </w:rPr>
        <w:t>ServiceLink IP Holding Company, LLC</w:t>
      </w:r>
    </w:p>
    <w:p>
      <w:pPr>
        <w:spacing w:after="0"/>
        <w:rPr>
          <w:sz w:val="20"/>
          <w:szCs w:val="20"/>
          <w:color w:val="auto"/>
        </w:rPr>
      </w:pPr>
      <w:r>
        <w:rPr>
          <w:rFonts w:ascii="Arial" w:cs="Arial" w:eastAsia="Arial" w:hAnsi="Arial"/>
          <w:sz w:val="20"/>
          <w:szCs w:val="20"/>
          <w:color w:val="auto"/>
        </w:rPr>
        <w:t>ServiceLink Loss Mitigation Services, LLC</w:t>
      </w:r>
    </w:p>
    <w:p>
      <w:pPr>
        <w:spacing w:after="0"/>
        <w:rPr>
          <w:sz w:val="20"/>
          <w:szCs w:val="20"/>
          <w:color w:val="auto"/>
        </w:rPr>
      </w:pPr>
      <w:r>
        <w:rPr>
          <w:rFonts w:ascii="Arial" w:cs="Arial" w:eastAsia="Arial" w:hAnsi="Arial"/>
          <w:sz w:val="20"/>
          <w:szCs w:val="20"/>
          <w:color w:val="auto"/>
        </w:rPr>
        <w:t>ServiceLink Management Company, LLC</w:t>
      </w:r>
    </w:p>
    <w:p>
      <w:pPr>
        <w:spacing w:after="0"/>
        <w:rPr>
          <w:sz w:val="20"/>
          <w:szCs w:val="20"/>
          <w:color w:val="auto"/>
        </w:rPr>
      </w:pPr>
      <w:r>
        <w:rPr>
          <w:rFonts w:ascii="Arial" w:cs="Arial" w:eastAsia="Arial" w:hAnsi="Arial"/>
          <w:sz w:val="20"/>
          <w:szCs w:val="20"/>
          <w:color w:val="auto"/>
        </w:rPr>
        <w:t>ServiceLink National Flood, LLC</w:t>
      </w:r>
    </w:p>
    <w:p>
      <w:pPr>
        <w:spacing w:after="0"/>
        <w:rPr>
          <w:sz w:val="20"/>
          <w:szCs w:val="20"/>
          <w:color w:val="auto"/>
        </w:rPr>
      </w:pPr>
      <w:r>
        <w:rPr>
          <w:rFonts w:ascii="Arial" w:cs="Arial" w:eastAsia="Arial" w:hAnsi="Arial"/>
          <w:sz w:val="20"/>
          <w:szCs w:val="20"/>
          <w:color w:val="auto"/>
        </w:rPr>
        <w:t>ServiceLink NLS, LLC</w:t>
      </w:r>
    </w:p>
    <w:p>
      <w:pPr>
        <w:spacing w:after="0"/>
        <w:rPr>
          <w:sz w:val="20"/>
          <w:szCs w:val="20"/>
          <w:color w:val="auto"/>
        </w:rPr>
      </w:pPr>
      <w:r>
        <w:rPr>
          <w:rFonts w:ascii="Arial" w:cs="Arial" w:eastAsia="Arial" w:hAnsi="Arial"/>
          <w:sz w:val="20"/>
          <w:szCs w:val="20"/>
          <w:color w:val="auto"/>
        </w:rPr>
        <w:t>ServiceLink of Arkansas, LLC</w:t>
      </w:r>
    </w:p>
    <w:p>
      <w:pPr>
        <w:spacing w:after="0"/>
        <w:rPr>
          <w:sz w:val="20"/>
          <w:szCs w:val="20"/>
          <w:color w:val="auto"/>
        </w:rPr>
      </w:pPr>
      <w:r>
        <w:rPr>
          <w:rFonts w:ascii="Arial" w:cs="Arial" w:eastAsia="Arial" w:hAnsi="Arial"/>
          <w:sz w:val="20"/>
          <w:szCs w:val="20"/>
          <w:color w:val="auto"/>
        </w:rPr>
        <w:t>ServiceLink of Texas, LLC</w:t>
      </w:r>
    </w:p>
    <w:p>
      <w:pPr>
        <w:spacing w:after="0"/>
        <w:rPr>
          <w:sz w:val="20"/>
          <w:szCs w:val="20"/>
          <w:color w:val="auto"/>
        </w:rPr>
      </w:pPr>
      <w:r>
        <w:rPr>
          <w:rFonts w:ascii="Arial" w:cs="Arial" w:eastAsia="Arial" w:hAnsi="Arial"/>
          <w:sz w:val="20"/>
          <w:szCs w:val="20"/>
          <w:color w:val="auto"/>
        </w:rPr>
        <w:t>ServiceLink Process Solutions, LLC</w:t>
      </w:r>
    </w:p>
    <w:p>
      <w:pPr>
        <w:spacing w:after="0"/>
        <w:rPr>
          <w:sz w:val="20"/>
          <w:szCs w:val="20"/>
          <w:color w:val="auto"/>
        </w:rPr>
      </w:pPr>
      <w:r>
        <w:rPr>
          <w:rFonts w:ascii="Arial" w:cs="Arial" w:eastAsia="Arial" w:hAnsi="Arial"/>
          <w:sz w:val="20"/>
          <w:szCs w:val="20"/>
          <w:color w:val="auto"/>
        </w:rPr>
        <w:t>ServiceLink Services Management, Inc.</w:t>
      </w:r>
    </w:p>
    <w:p>
      <w:pPr>
        <w:spacing w:after="0"/>
        <w:rPr>
          <w:sz w:val="20"/>
          <w:szCs w:val="20"/>
          <w:color w:val="auto"/>
        </w:rPr>
      </w:pPr>
      <w:r>
        <w:rPr>
          <w:rFonts w:ascii="Arial" w:cs="Arial" w:eastAsia="Arial" w:hAnsi="Arial"/>
          <w:sz w:val="20"/>
          <w:szCs w:val="20"/>
          <w:color w:val="auto"/>
        </w:rPr>
        <w:t>ServiceLink Services, LLC</w:t>
      </w:r>
    </w:p>
    <w:p>
      <w:pPr>
        <w:spacing w:after="0"/>
        <w:rPr>
          <w:sz w:val="20"/>
          <w:szCs w:val="20"/>
          <w:color w:val="auto"/>
        </w:rPr>
      </w:pPr>
      <w:r>
        <w:rPr>
          <w:rFonts w:ascii="Arial" w:cs="Arial" w:eastAsia="Arial" w:hAnsi="Arial"/>
          <w:sz w:val="20"/>
          <w:szCs w:val="20"/>
          <w:color w:val="auto"/>
        </w:rPr>
        <w:t>ServiceLink Title Agency, Inc.</w:t>
      </w:r>
    </w:p>
    <w:p>
      <w:pPr>
        <w:spacing w:after="0"/>
        <w:rPr>
          <w:sz w:val="20"/>
          <w:szCs w:val="20"/>
          <w:color w:val="auto"/>
        </w:rPr>
      </w:pPr>
      <w:r>
        <w:rPr>
          <w:rFonts w:ascii="Arial" w:cs="Arial" w:eastAsia="Arial" w:hAnsi="Arial"/>
          <w:sz w:val="20"/>
          <w:szCs w:val="20"/>
          <w:color w:val="auto"/>
        </w:rPr>
        <w:t>ServiceLink Title Agency, LLC</w:t>
      </w:r>
    </w:p>
    <w:p>
      <w:pPr>
        <w:spacing w:after="0"/>
        <w:rPr>
          <w:sz w:val="20"/>
          <w:szCs w:val="20"/>
          <w:color w:val="auto"/>
        </w:rPr>
      </w:pPr>
      <w:r>
        <w:rPr>
          <w:rFonts w:ascii="Arial" w:cs="Arial" w:eastAsia="Arial" w:hAnsi="Arial"/>
          <w:sz w:val="20"/>
          <w:szCs w:val="20"/>
          <w:color w:val="auto"/>
        </w:rPr>
        <w:t>ServiceLink Title Company</w:t>
      </w:r>
    </w:p>
    <w:p>
      <w:pPr>
        <w:spacing w:after="0"/>
        <w:rPr>
          <w:sz w:val="20"/>
          <w:szCs w:val="20"/>
          <w:color w:val="auto"/>
        </w:rPr>
      </w:pPr>
      <w:r>
        <w:rPr>
          <w:rFonts w:ascii="Arial" w:cs="Arial" w:eastAsia="Arial" w:hAnsi="Arial"/>
          <w:sz w:val="20"/>
          <w:szCs w:val="20"/>
          <w:color w:val="auto"/>
        </w:rPr>
        <w:t>ServiceLink Title Company of Alabama, LLC</w:t>
      </w:r>
    </w:p>
    <w:p>
      <w:pPr>
        <w:spacing w:after="0"/>
        <w:rPr>
          <w:sz w:val="20"/>
          <w:szCs w:val="20"/>
          <w:color w:val="auto"/>
        </w:rPr>
      </w:pPr>
      <w:r>
        <w:rPr>
          <w:rFonts w:ascii="Arial" w:cs="Arial" w:eastAsia="Arial" w:hAnsi="Arial"/>
          <w:sz w:val="20"/>
          <w:szCs w:val="20"/>
          <w:color w:val="auto"/>
        </w:rPr>
        <w:t>ServiceLink Title Company of Oregon, LLC</w:t>
      </w:r>
    </w:p>
    <w:p>
      <w:pPr>
        <w:spacing w:after="0"/>
        <w:rPr>
          <w:sz w:val="20"/>
          <w:szCs w:val="20"/>
          <w:color w:val="auto"/>
        </w:rPr>
      </w:pPr>
      <w:r>
        <w:rPr>
          <w:rFonts w:ascii="Arial" w:cs="Arial" w:eastAsia="Arial" w:hAnsi="Arial"/>
          <w:sz w:val="20"/>
          <w:szCs w:val="20"/>
          <w:color w:val="auto"/>
        </w:rPr>
        <w:t>ServiceLink Title Insurance Agency of Utah, LLC</w:t>
      </w:r>
    </w:p>
    <w:p>
      <w:pPr>
        <w:spacing w:after="0"/>
        <w:rPr>
          <w:sz w:val="20"/>
          <w:szCs w:val="20"/>
          <w:color w:val="auto"/>
        </w:rPr>
      </w:pPr>
      <w:r>
        <w:rPr>
          <w:rFonts w:ascii="Arial" w:cs="Arial" w:eastAsia="Arial" w:hAnsi="Arial"/>
          <w:sz w:val="20"/>
          <w:szCs w:val="20"/>
          <w:color w:val="auto"/>
        </w:rPr>
        <w:t>ServiceLink Valuation Solutions, LLC</w:t>
      </w:r>
    </w:p>
    <w:p>
      <w:pPr>
        <w:spacing w:after="0"/>
        <w:rPr>
          <w:sz w:val="20"/>
          <w:szCs w:val="20"/>
          <w:color w:val="auto"/>
        </w:rPr>
      </w:pPr>
      <w:r>
        <w:rPr>
          <w:rFonts w:ascii="Arial" w:cs="Arial" w:eastAsia="Arial" w:hAnsi="Arial"/>
          <w:sz w:val="20"/>
          <w:szCs w:val="20"/>
          <w:color w:val="auto"/>
        </w:rPr>
        <w:t>ServiceLink, LLC</w:t>
      </w:r>
    </w:p>
    <w:p>
      <w:pPr>
        <w:spacing w:after="0"/>
        <w:rPr>
          <w:sz w:val="20"/>
          <w:szCs w:val="20"/>
          <w:color w:val="auto"/>
        </w:rPr>
      </w:pPr>
      <w:r>
        <w:rPr>
          <w:rFonts w:ascii="Arial" w:cs="Arial" w:eastAsia="Arial" w:hAnsi="Arial"/>
          <w:sz w:val="20"/>
          <w:szCs w:val="20"/>
          <w:color w:val="auto"/>
        </w:rPr>
        <w:t>Shalimar Escrow, Inc. (51%)</w:t>
      </w:r>
    </w:p>
    <w:p>
      <w:pPr>
        <w:spacing w:after="0"/>
        <w:rPr>
          <w:sz w:val="20"/>
          <w:szCs w:val="20"/>
          <w:color w:val="auto"/>
        </w:rPr>
      </w:pPr>
      <w:r>
        <w:rPr>
          <w:rFonts w:ascii="Arial" w:cs="Arial" w:eastAsia="Arial" w:hAnsi="Arial"/>
          <w:sz w:val="20"/>
          <w:szCs w:val="20"/>
          <w:color w:val="auto"/>
        </w:rPr>
        <w:t>SkySlope, Inc. (67%)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SL National TaxNet,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SoftPro, LLC</w:t>
      </w:r>
    </w:p>
    <w:p>
      <w:pPr>
        <w:spacing w:after="0"/>
        <w:rPr>
          <w:sz w:val="20"/>
          <w:szCs w:val="20"/>
          <w:color w:val="auto"/>
        </w:rPr>
      </w:pPr>
      <w:r>
        <w:rPr>
          <w:rFonts w:ascii="Arial" w:cs="Arial" w:eastAsia="Arial" w:hAnsi="Arial"/>
          <w:sz w:val="20"/>
          <w:szCs w:val="20"/>
          <w:color w:val="auto"/>
        </w:rPr>
        <w:t>Solaris Escrow, Inc.</w:t>
      </w:r>
    </w:p>
    <w:p>
      <w:pPr>
        <w:spacing w:after="0"/>
        <w:rPr>
          <w:sz w:val="20"/>
          <w:szCs w:val="20"/>
          <w:color w:val="auto"/>
        </w:rPr>
      </w:pPr>
      <w:r>
        <w:rPr>
          <w:rFonts w:ascii="Arial" w:cs="Arial" w:eastAsia="Arial" w:hAnsi="Arial"/>
          <w:sz w:val="20"/>
          <w:szCs w:val="20"/>
          <w:color w:val="auto"/>
        </w:rPr>
        <w:t>Southwest Michigan Title Agency, LLC (50%)</w:t>
      </w:r>
    </w:p>
    <w:p>
      <w:pPr>
        <w:spacing w:after="0"/>
        <w:rPr>
          <w:sz w:val="20"/>
          <w:szCs w:val="20"/>
          <w:color w:val="auto"/>
        </w:rPr>
      </w:pPr>
      <w:r>
        <w:rPr>
          <w:rFonts w:ascii="Arial" w:cs="Arial" w:eastAsia="Arial" w:hAnsi="Arial"/>
          <w:sz w:val="20"/>
          <w:szCs w:val="20"/>
          <w:color w:val="auto"/>
        </w:rPr>
        <w:t>Star One Title Agency, LLC (51%)</w:t>
      </w:r>
    </w:p>
    <w:p>
      <w:pPr>
        <w:spacing w:after="0"/>
        <w:rPr>
          <w:sz w:val="20"/>
          <w:szCs w:val="20"/>
          <w:color w:val="auto"/>
        </w:rPr>
      </w:pPr>
      <w:r>
        <w:rPr>
          <w:rFonts w:ascii="Arial" w:cs="Arial" w:eastAsia="Arial" w:hAnsi="Arial"/>
          <w:sz w:val="20"/>
          <w:szCs w:val="20"/>
          <w:color w:val="auto"/>
        </w:rPr>
        <w:t>StarTex Title Agency, LLC</w:t>
      </w:r>
    </w:p>
    <w:p>
      <w:pPr>
        <w:spacing w:after="0"/>
        <w:rPr>
          <w:sz w:val="20"/>
          <w:szCs w:val="20"/>
          <w:color w:val="auto"/>
        </w:rPr>
      </w:pPr>
      <w:r>
        <w:rPr>
          <w:rFonts w:ascii="Arial" w:cs="Arial" w:eastAsia="Arial" w:hAnsi="Arial"/>
          <w:sz w:val="20"/>
          <w:szCs w:val="20"/>
          <w:color w:val="auto"/>
        </w:rPr>
        <w:t>Stetler Title Agency, LLC (50%)</w:t>
      </w:r>
    </w:p>
    <w:p>
      <w:pPr>
        <w:spacing w:after="0"/>
        <w:rPr>
          <w:sz w:val="20"/>
          <w:szCs w:val="20"/>
          <w:color w:val="auto"/>
        </w:rPr>
      </w:pPr>
      <w:r>
        <w:rPr>
          <w:rFonts w:ascii="Arial" w:cs="Arial" w:eastAsia="Arial" w:hAnsi="Arial"/>
          <w:sz w:val="20"/>
          <w:szCs w:val="20"/>
          <w:color w:val="auto"/>
        </w:rPr>
        <w:t>Strategic Property Investments, Inc.</w:t>
      </w:r>
    </w:p>
    <w:p>
      <w:pPr>
        <w:spacing w:after="0"/>
        <w:rPr>
          <w:sz w:val="20"/>
          <w:szCs w:val="20"/>
          <w:color w:val="auto"/>
        </w:rPr>
      </w:pPr>
      <w:r>
        <w:rPr>
          <w:rFonts w:ascii="Arial" w:cs="Arial" w:eastAsia="Arial" w:hAnsi="Arial"/>
          <w:sz w:val="20"/>
          <w:szCs w:val="20"/>
          <w:color w:val="auto"/>
        </w:rPr>
        <w:t>STS Agency, LLC (50.1%)</w:t>
      </w:r>
    </w:p>
    <w:p>
      <w:pPr>
        <w:spacing w:after="0"/>
        <w:rPr>
          <w:sz w:val="20"/>
          <w:szCs w:val="20"/>
          <w:color w:val="auto"/>
        </w:rPr>
      </w:pPr>
      <w:r>
        <w:rPr>
          <w:rFonts w:ascii="Arial" w:cs="Arial" w:eastAsia="Arial" w:hAnsi="Arial"/>
          <w:sz w:val="20"/>
          <w:szCs w:val="20"/>
          <w:color w:val="auto"/>
        </w:rPr>
        <w:t>Success Title Agency, LLC (50.1%)</w:t>
      </w:r>
    </w:p>
    <w:p>
      <w:pPr>
        <w:spacing w:after="0"/>
        <w:rPr>
          <w:sz w:val="20"/>
          <w:szCs w:val="20"/>
          <w:color w:val="auto"/>
        </w:rPr>
      </w:pPr>
      <w:r>
        <w:rPr>
          <w:rFonts w:ascii="Arial" w:cs="Arial" w:eastAsia="Arial" w:hAnsi="Arial"/>
          <w:sz w:val="20"/>
          <w:szCs w:val="20"/>
          <w:color w:val="auto"/>
        </w:rPr>
        <w:t>Sunbelt Realty, Inc. (19.9%)</w:t>
      </w:r>
    </w:p>
    <w:p>
      <w:pPr>
        <w:spacing w:after="0"/>
        <w:rPr>
          <w:sz w:val="20"/>
          <w:szCs w:val="20"/>
          <w:color w:val="auto"/>
        </w:rPr>
      </w:pPr>
      <w:r>
        <w:rPr>
          <w:rFonts w:ascii="Arial" w:cs="Arial" w:eastAsia="Arial" w:hAnsi="Arial"/>
          <w:sz w:val="20"/>
          <w:szCs w:val="20"/>
          <w:color w:val="auto"/>
        </w:rPr>
        <w:t>Superior Data Services, Inc.</w:t>
      </w:r>
    </w:p>
    <w:p>
      <w:pPr>
        <w:spacing w:after="0"/>
        <w:rPr>
          <w:sz w:val="20"/>
          <w:szCs w:val="20"/>
          <w:color w:val="auto"/>
        </w:rPr>
      </w:pPr>
      <w:r>
        <w:rPr>
          <w:rFonts w:ascii="Arial" w:cs="Arial" w:eastAsia="Arial" w:hAnsi="Arial"/>
          <w:sz w:val="20"/>
          <w:szCs w:val="20"/>
          <w:color w:val="auto"/>
        </w:rPr>
        <w:t>Synergy Title, LLC (51%)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 G. Exchange,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 G. Super Exchange Corp.</w:t>
      </w:r>
    </w:p>
    <w:p>
      <w:pPr>
        <w:spacing w:after="0"/>
        <w:rPr>
          <w:sz w:val="20"/>
          <w:szCs w:val="20"/>
          <w:color w:val="auto"/>
        </w:rPr>
      </w:pPr>
      <w:r>
        <w:rPr>
          <w:rFonts w:ascii="Arial" w:cs="Arial" w:eastAsia="Arial" w:hAnsi="Arial"/>
          <w:sz w:val="20"/>
          <w:szCs w:val="20"/>
          <w:color w:val="auto"/>
        </w:rPr>
        <w:t>T.G.C. Exchange, Limited</w:t>
      </w:r>
    </w:p>
    <w:p>
      <w:pPr>
        <w:spacing w:after="0"/>
        <w:rPr>
          <w:sz w:val="20"/>
          <w:szCs w:val="20"/>
          <w:color w:val="auto"/>
        </w:rPr>
      </w:pPr>
      <w:r>
        <w:rPr>
          <w:rFonts w:ascii="Arial" w:cs="Arial" w:eastAsia="Arial" w:hAnsi="Arial"/>
          <w:sz w:val="20"/>
          <w:szCs w:val="20"/>
          <w:color w:val="auto"/>
        </w:rPr>
        <w:t>The Herman Group, LLC (19.9%)</w:t>
      </w:r>
    </w:p>
    <w:p>
      <w:pPr>
        <w:spacing w:after="0"/>
        <w:rPr>
          <w:sz w:val="20"/>
          <w:szCs w:val="20"/>
          <w:color w:val="auto"/>
        </w:rPr>
      </w:pPr>
      <w:r>
        <w:rPr>
          <w:rFonts w:ascii="Arial" w:cs="Arial" w:eastAsia="Arial" w:hAnsi="Arial"/>
          <w:sz w:val="20"/>
          <w:szCs w:val="20"/>
          <w:color w:val="auto"/>
        </w:rPr>
        <w:t>The Maryland Title Guarantee Company</w:t>
      </w:r>
    </w:p>
    <w:p>
      <w:pPr>
        <w:spacing w:after="0"/>
        <w:rPr>
          <w:sz w:val="20"/>
          <w:szCs w:val="20"/>
          <w:color w:val="auto"/>
        </w:rPr>
      </w:pPr>
      <w:r>
        <w:rPr>
          <w:rFonts w:ascii="Arial" w:cs="Arial" w:eastAsia="Arial" w:hAnsi="Arial"/>
          <w:sz w:val="20"/>
          <w:szCs w:val="20"/>
          <w:color w:val="auto"/>
        </w:rPr>
        <w:t>The Title Guarantee Company</w:t>
      </w:r>
    </w:p>
    <w:p>
      <w:pPr>
        <w:spacing w:after="0"/>
        <w:rPr>
          <w:sz w:val="20"/>
          <w:szCs w:val="20"/>
          <w:color w:val="auto"/>
        </w:rPr>
      </w:pPr>
      <w:r>
        <w:rPr>
          <w:rFonts w:ascii="Arial" w:cs="Arial" w:eastAsia="Arial" w:hAnsi="Arial"/>
          <w:sz w:val="20"/>
          <w:szCs w:val="20"/>
          <w:color w:val="auto"/>
        </w:rPr>
        <w:t>Threshold Title Company</w:t>
      </w:r>
    </w:p>
    <w:p>
      <w:pPr>
        <w:spacing w:after="0"/>
        <w:rPr>
          <w:sz w:val="20"/>
          <w:szCs w:val="20"/>
          <w:color w:val="auto"/>
        </w:rPr>
      </w:pPr>
      <w:r>
        <w:rPr>
          <w:rFonts w:ascii="Arial" w:cs="Arial" w:eastAsia="Arial" w:hAnsi="Arial"/>
          <w:sz w:val="20"/>
          <w:szCs w:val="20"/>
          <w:color w:val="auto"/>
        </w:rPr>
        <w:t>Ticor Asset Management, LLC</w:t>
      </w:r>
    </w:p>
    <w:p>
      <w:pPr>
        <w:spacing w:after="0"/>
        <w:rPr>
          <w:sz w:val="20"/>
          <w:szCs w:val="20"/>
          <w:color w:val="auto"/>
        </w:rPr>
      </w:pPr>
      <w:r>
        <w:rPr>
          <w:rFonts w:ascii="Arial" w:cs="Arial" w:eastAsia="Arial" w:hAnsi="Arial"/>
          <w:sz w:val="20"/>
          <w:szCs w:val="20"/>
          <w:color w:val="auto"/>
        </w:rPr>
        <w:t>Ticor Title Company</w:t>
      </w:r>
    </w:p>
    <w:p>
      <w:pPr>
        <w:spacing w:after="0"/>
        <w:rPr>
          <w:sz w:val="20"/>
          <w:szCs w:val="20"/>
          <w:color w:val="auto"/>
        </w:rPr>
      </w:pPr>
      <w:r>
        <w:rPr>
          <w:rFonts w:ascii="Arial" w:cs="Arial" w:eastAsia="Arial" w:hAnsi="Arial"/>
          <w:sz w:val="20"/>
          <w:szCs w:val="20"/>
          <w:color w:val="auto"/>
        </w:rPr>
        <w:t>Ticor Title Company of California</w:t>
      </w:r>
    </w:p>
    <w:p>
      <w:pPr>
        <w:spacing w:after="0"/>
        <w:rPr>
          <w:sz w:val="20"/>
          <w:szCs w:val="20"/>
          <w:color w:val="auto"/>
        </w:rPr>
      </w:pPr>
      <w:r>
        <w:rPr>
          <w:rFonts w:ascii="Arial" w:cs="Arial" w:eastAsia="Arial" w:hAnsi="Arial"/>
          <w:sz w:val="20"/>
          <w:szCs w:val="20"/>
          <w:color w:val="auto"/>
        </w:rPr>
        <w:t>Ticor Title Company of Oregon</w:t>
      </w:r>
    </w:p>
    <w:p>
      <w:pPr>
        <w:spacing w:after="0"/>
        <w:rPr>
          <w:sz w:val="20"/>
          <w:szCs w:val="20"/>
          <w:color w:val="auto"/>
        </w:rPr>
      </w:pPr>
      <w:r>
        <w:rPr>
          <w:rFonts w:ascii="Arial" w:cs="Arial" w:eastAsia="Arial" w:hAnsi="Arial"/>
          <w:sz w:val="20"/>
          <w:szCs w:val="20"/>
          <w:color w:val="auto"/>
        </w:rPr>
        <w:t>Ticor Title of Colorado, Inc.</w:t>
      </w:r>
    </w:p>
    <w:p>
      <w:pPr>
        <w:spacing w:after="0"/>
        <w:rPr>
          <w:sz w:val="20"/>
          <w:szCs w:val="20"/>
          <w:color w:val="auto"/>
        </w:rPr>
      </w:pPr>
      <w:r>
        <w:rPr>
          <w:rFonts w:ascii="Arial" w:cs="Arial" w:eastAsia="Arial" w:hAnsi="Arial"/>
          <w:sz w:val="20"/>
          <w:szCs w:val="20"/>
          <w:color w:val="auto"/>
        </w:rPr>
        <w:t>Ticor Title of Nevada, Inc.</w:t>
      </w:r>
    </w:p>
    <w:p>
      <w:pPr>
        <w:spacing w:after="0"/>
        <w:rPr>
          <w:sz w:val="20"/>
          <w:szCs w:val="20"/>
          <w:color w:val="auto"/>
        </w:rPr>
      </w:pPr>
      <w:r>
        <w:rPr>
          <w:rFonts w:ascii="Arial" w:cs="Arial" w:eastAsia="Arial" w:hAnsi="Arial"/>
          <w:sz w:val="20"/>
          <w:szCs w:val="20"/>
          <w:color w:val="auto"/>
        </w:rPr>
        <w:t>Title Closing Services, LLC (17.5%)</w:t>
      </w:r>
    </w:p>
    <w:p>
      <w:pPr>
        <w:spacing w:after="0"/>
        <w:rPr>
          <w:sz w:val="20"/>
          <w:szCs w:val="20"/>
          <w:color w:val="auto"/>
        </w:rPr>
      </w:pPr>
      <w:r>
        <w:rPr>
          <w:rFonts w:ascii="Arial" w:cs="Arial" w:eastAsia="Arial" w:hAnsi="Arial"/>
          <w:sz w:val="20"/>
          <w:szCs w:val="20"/>
          <w:color w:val="auto"/>
        </w:rPr>
        <w:t>Title Data, Inc. (47.36%)</w:t>
      </w:r>
    </w:p>
    <w:p>
      <w:pPr>
        <w:spacing w:after="0"/>
        <w:rPr>
          <w:sz w:val="20"/>
          <w:szCs w:val="20"/>
          <w:color w:val="auto"/>
        </w:rPr>
      </w:pPr>
      <w:r>
        <w:rPr>
          <w:rFonts w:ascii="Arial" w:cs="Arial" w:eastAsia="Arial" w:hAnsi="Arial"/>
          <w:sz w:val="20"/>
          <w:szCs w:val="20"/>
          <w:color w:val="auto"/>
        </w:rPr>
        <w:t>Title Guaranty Escrow Services, Inc. (90%)</w:t>
      </w:r>
    </w:p>
    <w:p>
      <w:pPr>
        <w:spacing w:after="0"/>
        <w:rPr>
          <w:sz w:val="20"/>
          <w:szCs w:val="20"/>
          <w:color w:val="auto"/>
        </w:rPr>
      </w:pPr>
      <w:r>
        <w:rPr>
          <w:rFonts w:ascii="Arial" w:cs="Arial" w:eastAsia="Arial" w:hAnsi="Arial"/>
          <w:sz w:val="20"/>
          <w:szCs w:val="20"/>
          <w:color w:val="auto"/>
        </w:rPr>
        <w:t>Title Guaranty of Hawaii, LLC (90%)</w:t>
      </w:r>
    </w:p>
    <w:p>
      <w:pPr>
        <w:spacing w:after="0"/>
        <w:rPr>
          <w:sz w:val="20"/>
          <w:szCs w:val="20"/>
          <w:color w:val="auto"/>
        </w:rPr>
      </w:pPr>
      <w:r>
        <w:rPr>
          <w:rFonts w:ascii="Arial" w:cs="Arial" w:eastAsia="Arial" w:hAnsi="Arial"/>
          <w:sz w:val="20"/>
          <w:szCs w:val="20"/>
          <w:color w:val="auto"/>
        </w:rPr>
        <w:t>Title Plant Corporation (20%)</w:t>
      </w:r>
    </w:p>
    <w:p>
      <w:pPr>
        <w:spacing w:after="0"/>
        <w:rPr>
          <w:sz w:val="20"/>
          <w:szCs w:val="20"/>
          <w:color w:val="auto"/>
        </w:rPr>
      </w:pPr>
      <w:r>
        <w:rPr>
          <w:rFonts w:ascii="Arial" w:cs="Arial" w:eastAsia="Arial" w:hAnsi="Arial"/>
          <w:sz w:val="20"/>
          <w:szCs w:val="20"/>
          <w:color w:val="auto"/>
        </w:rPr>
        <w:t>Title Plant of Santa Fe LLC (31%)</w:t>
      </w:r>
    </w:p>
    <w:p>
      <w:pPr>
        <w:spacing w:after="0"/>
        <w:rPr>
          <w:sz w:val="20"/>
          <w:szCs w:val="20"/>
          <w:color w:val="auto"/>
        </w:rPr>
      </w:pPr>
      <w:r>
        <w:rPr>
          <w:rFonts w:ascii="Arial" w:cs="Arial" w:eastAsia="Arial" w:hAnsi="Arial"/>
          <w:sz w:val="20"/>
          <w:szCs w:val="20"/>
          <w:color w:val="auto"/>
        </w:rPr>
        <w:t>Title Reinsurance Company (62.60%)</w:t>
      </w:r>
    </w:p>
    <w:p>
      <w:pPr>
        <w:spacing w:after="0"/>
        <w:rPr>
          <w:sz w:val="20"/>
          <w:szCs w:val="20"/>
          <w:color w:val="auto"/>
        </w:rPr>
      </w:pPr>
      <w:r>
        <w:rPr>
          <w:rFonts w:ascii="Arial" w:cs="Arial" w:eastAsia="Arial" w:hAnsi="Arial"/>
          <w:sz w:val="20"/>
          <w:szCs w:val="20"/>
          <w:color w:val="auto"/>
        </w:rPr>
        <w:t>Title Services, L.C. (47%)</w:t>
      </w:r>
    </w:p>
    <w:p>
      <w:pPr>
        <w:spacing w:after="0"/>
        <w:rPr>
          <w:sz w:val="20"/>
          <w:szCs w:val="20"/>
          <w:color w:val="auto"/>
        </w:rPr>
      </w:pPr>
      <w:r>
        <w:rPr>
          <w:rFonts w:ascii="Arial" w:cs="Arial" w:eastAsia="Arial" w:hAnsi="Arial"/>
          <w:sz w:val="20"/>
          <w:szCs w:val="20"/>
          <w:color w:val="auto"/>
        </w:rPr>
        <w:t>TitleWave Southeast, LLC</w:t>
      </w:r>
    </w:p>
    <w:p>
      <w:pPr>
        <w:spacing w:after="0"/>
        <w:rPr>
          <w:sz w:val="20"/>
          <w:szCs w:val="20"/>
          <w:color w:val="auto"/>
        </w:rPr>
      </w:pPr>
      <w:r>
        <w:rPr>
          <w:rFonts w:ascii="Arial" w:cs="Arial" w:eastAsia="Arial" w:hAnsi="Arial"/>
          <w:sz w:val="20"/>
          <w:szCs w:val="20"/>
          <w:color w:val="auto"/>
        </w:rPr>
        <w:t>Top Notch Title Agency, LLC (51%)</w:t>
      </w:r>
    </w:p>
    <w:p>
      <w:pPr>
        <w:spacing w:after="0"/>
        <w:rPr>
          <w:sz w:val="20"/>
          <w:szCs w:val="20"/>
          <w:color w:val="auto"/>
        </w:rPr>
      </w:pPr>
      <w:r>
        <w:rPr>
          <w:rFonts w:ascii="Arial" w:cs="Arial" w:eastAsia="Arial" w:hAnsi="Arial"/>
          <w:sz w:val="20"/>
          <w:szCs w:val="20"/>
          <w:color w:val="auto"/>
        </w:rPr>
        <w:t>Tower Title, LLC (51%)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Transnation Title &amp; Escrow,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Tri-City Title Agency LLC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879"/>
        <w:spacing w:after="0"/>
        <w:rPr>
          <w:sz w:val="20"/>
          <w:szCs w:val="20"/>
          <w:color w:val="auto"/>
        </w:rPr>
      </w:pPr>
      <w:r>
        <w:rPr>
          <w:rFonts w:ascii="Arial" w:cs="Arial" w:eastAsia="Arial" w:hAnsi="Arial"/>
          <w:sz w:val="18"/>
          <w:szCs w:val="18"/>
          <w:color w:val="auto"/>
        </w:rPr>
        <w:t>Schedule 5.14 - 8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69" w:name="page170"/>
    <w:bookmarkEnd w:id="169"/>
    <w:p>
      <w:pPr>
        <w:spacing w:after="0"/>
        <w:rPr>
          <w:sz w:val="20"/>
          <w:szCs w:val="20"/>
          <w:color w:val="auto"/>
        </w:rPr>
      </w:pPr>
      <w:r>
        <w:rPr>
          <w:rFonts w:ascii="Arial" w:cs="Arial" w:eastAsia="Arial" w:hAnsi="Arial"/>
          <w:sz w:val="20"/>
          <w:szCs w:val="20"/>
          <w:color w:val="auto"/>
        </w:rPr>
        <w:t>United Financial Management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United Lender Services Corp. (PA)</w:t>
      </w:r>
    </w:p>
    <w:p>
      <w:pPr>
        <w:spacing w:after="0"/>
        <w:rPr>
          <w:sz w:val="20"/>
          <w:szCs w:val="20"/>
          <w:color w:val="auto"/>
        </w:rPr>
      </w:pPr>
      <w:r>
        <w:rPr>
          <w:rFonts w:ascii="Arial" w:cs="Arial" w:eastAsia="Arial" w:hAnsi="Arial"/>
          <w:sz w:val="20"/>
          <w:szCs w:val="20"/>
          <w:color w:val="auto"/>
        </w:rPr>
        <w:t>United Title Company, Inc.</w:t>
      </w:r>
    </w:p>
    <w:p>
      <w:pPr>
        <w:spacing w:after="0"/>
        <w:rPr>
          <w:sz w:val="20"/>
          <w:szCs w:val="20"/>
          <w:color w:val="auto"/>
        </w:rPr>
      </w:pPr>
      <w:r>
        <w:rPr>
          <w:rFonts w:ascii="Arial" w:cs="Arial" w:eastAsia="Arial" w:hAnsi="Arial"/>
          <w:sz w:val="20"/>
          <w:szCs w:val="20"/>
          <w:color w:val="auto"/>
        </w:rPr>
        <w:t>United Title of Nevada, Inc.</w:t>
      </w:r>
    </w:p>
    <w:p>
      <w:pPr>
        <w:spacing w:after="0"/>
        <w:rPr>
          <w:sz w:val="20"/>
          <w:szCs w:val="20"/>
          <w:color w:val="auto"/>
        </w:rPr>
      </w:pPr>
      <w:r>
        <w:rPr>
          <w:rFonts w:ascii="Arial" w:cs="Arial" w:eastAsia="Arial" w:hAnsi="Arial"/>
          <w:sz w:val="20"/>
          <w:szCs w:val="20"/>
          <w:color w:val="auto"/>
        </w:rPr>
        <w:t>USA Digital Solutions,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Vermont Residential Nominee Services, LLC</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Versal Escrow Services, Inc. (60%)</w:t>
      </w:r>
    </w:p>
    <w:p>
      <w:pPr>
        <w:spacing w:after="0"/>
        <w:rPr>
          <w:sz w:val="20"/>
          <w:szCs w:val="20"/>
          <w:color w:val="auto"/>
        </w:rPr>
      </w:pPr>
      <w:r>
        <w:rPr>
          <w:rFonts w:ascii="Arial" w:cs="Arial" w:eastAsia="Arial" w:hAnsi="Arial"/>
          <w:sz w:val="20"/>
          <w:szCs w:val="20"/>
          <w:color w:val="auto"/>
        </w:rPr>
        <w:t>Vexco, LLC</w:t>
      </w:r>
    </w:p>
    <w:p>
      <w:pPr>
        <w:spacing w:after="0"/>
        <w:rPr>
          <w:sz w:val="20"/>
          <w:szCs w:val="20"/>
          <w:color w:val="auto"/>
        </w:rPr>
      </w:pPr>
      <w:r>
        <w:rPr>
          <w:rFonts w:ascii="Arial" w:cs="Arial" w:eastAsia="Arial" w:hAnsi="Arial"/>
          <w:sz w:val="20"/>
          <w:szCs w:val="20"/>
          <w:color w:val="auto"/>
        </w:rPr>
        <w:t>Vicente Escrow Company (61%)</w:t>
      </w:r>
    </w:p>
    <w:p>
      <w:pPr>
        <w:spacing w:after="0"/>
        <w:rPr>
          <w:sz w:val="20"/>
          <w:szCs w:val="20"/>
          <w:color w:val="auto"/>
        </w:rPr>
      </w:pPr>
      <w:r>
        <w:rPr>
          <w:rFonts w:ascii="Arial" w:cs="Arial" w:eastAsia="Arial" w:hAnsi="Arial"/>
          <w:sz w:val="18"/>
          <w:szCs w:val="18"/>
          <w:color w:val="auto"/>
        </w:rPr>
        <w:t>Vicente Management Company, LLC (61%)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Village Escrow Services, Inc. (55%)</w:t>
      </w:r>
    </w:p>
    <w:p>
      <w:pPr>
        <w:spacing w:after="0"/>
        <w:rPr>
          <w:sz w:val="20"/>
          <w:szCs w:val="20"/>
          <w:color w:val="auto"/>
        </w:rPr>
      </w:pPr>
      <w:r>
        <w:rPr>
          <w:rFonts w:ascii="Arial" w:cs="Arial" w:eastAsia="Arial" w:hAnsi="Arial"/>
          <w:sz w:val="20"/>
          <w:szCs w:val="20"/>
          <w:color w:val="auto"/>
        </w:rPr>
        <w:t>Village Resort, LLC</w:t>
      </w:r>
    </w:p>
    <w:p>
      <w:pPr>
        <w:spacing w:after="0"/>
        <w:rPr>
          <w:sz w:val="20"/>
          <w:szCs w:val="20"/>
          <w:color w:val="auto"/>
        </w:rPr>
      </w:pPr>
      <w:r>
        <w:rPr>
          <w:rFonts w:ascii="Arial" w:cs="Arial" w:eastAsia="Arial" w:hAnsi="Arial"/>
          <w:sz w:val="20"/>
          <w:szCs w:val="20"/>
          <w:color w:val="auto"/>
        </w:rPr>
        <w:t>VIP Title Agency II, LLC (51%)</w:t>
      </w:r>
    </w:p>
    <w:p>
      <w:pPr>
        <w:spacing w:after="0"/>
        <w:rPr>
          <w:sz w:val="20"/>
          <w:szCs w:val="20"/>
          <w:color w:val="auto"/>
        </w:rPr>
      </w:pPr>
      <w:r>
        <w:rPr>
          <w:rFonts w:ascii="Arial" w:cs="Arial" w:eastAsia="Arial" w:hAnsi="Arial"/>
          <w:sz w:val="20"/>
          <w:szCs w:val="20"/>
          <w:color w:val="auto"/>
        </w:rPr>
        <w:t>Vision Global Solutions,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Western Title &amp; Escrow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Whitehawk, LLC</w:t>
      </w:r>
    </w:p>
    <w:p>
      <w:pPr>
        <w:spacing w:after="0"/>
        <w:rPr>
          <w:sz w:val="20"/>
          <w:szCs w:val="20"/>
          <w:color w:val="auto"/>
        </w:rPr>
      </w:pPr>
      <w:r>
        <w:rPr>
          <w:rFonts w:ascii="Arial" w:cs="Arial" w:eastAsia="Arial" w:hAnsi="Arial"/>
          <w:sz w:val="20"/>
          <w:szCs w:val="20"/>
          <w:color w:val="auto"/>
        </w:rPr>
        <w:t>Woodland Title Agency, LLC (MI) (40%)</w:t>
      </w:r>
    </w:p>
    <w:p>
      <w:pPr>
        <w:spacing w:after="0"/>
        <w:rPr>
          <w:sz w:val="20"/>
          <w:szCs w:val="20"/>
          <w:color w:val="auto"/>
        </w:rPr>
      </w:pPr>
      <w:r>
        <w:rPr>
          <w:rFonts w:ascii="Arial" w:cs="Arial" w:eastAsia="Arial" w:hAnsi="Arial"/>
          <w:sz w:val="19"/>
          <w:szCs w:val="19"/>
          <w:color w:val="auto"/>
        </w:rPr>
        <w:t>Woodland Title Agency, LLC (OH) (51%)</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WT Tax Service, LLC</w:t>
      </w:r>
    </w:p>
    <w:p>
      <w:pPr>
        <w:sectPr>
          <w:pgSz w:w="11900" w:h="16838" w:orient="portrait"/>
          <w:cols w:equalWidth="0" w:num="1">
            <w:col w:w="10139"/>
          </w:cols>
          <w:pgMar w:left="32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Schedule 5.14 - 9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type w:val="continuous"/>
        </w:sectPr>
      </w:pPr>
    </w:p>
    <w:bookmarkStart w:id="170" w:name="page171"/>
    <w:bookmarkEnd w:id="170"/>
    <w:p>
      <w:pPr>
        <w:jc w:val="right"/>
        <w:ind w:right="199"/>
        <w:spacing w:after="0"/>
        <w:rPr>
          <w:sz w:val="20"/>
          <w:szCs w:val="20"/>
          <w:color w:val="auto"/>
        </w:rPr>
      </w:pPr>
      <w:r>
        <w:rPr>
          <w:rFonts w:ascii="Arial" w:cs="Arial" w:eastAsia="Arial" w:hAnsi="Arial"/>
          <w:sz w:val="20"/>
          <w:szCs w:val="20"/>
          <w:b w:val="1"/>
          <w:bCs w:val="1"/>
          <w:i w:val="1"/>
          <w:iCs w:val="1"/>
          <w:color w:val="231F20"/>
        </w:rPr>
        <w:t>SCHEDULE 7.01</w:t>
      </w:r>
    </w:p>
    <w:p>
      <w:pPr>
        <w:spacing w:after="0" w:line="318" w:lineRule="exact"/>
        <w:rPr>
          <w:sz w:val="20"/>
          <w:szCs w:val="20"/>
          <w:color w:val="auto"/>
        </w:rPr>
      </w:pPr>
    </w:p>
    <w:p>
      <w:pPr>
        <w:ind w:left="3086"/>
        <w:spacing w:after="0"/>
        <w:rPr>
          <w:sz w:val="20"/>
          <w:szCs w:val="20"/>
          <w:color w:val="auto"/>
        </w:rPr>
      </w:pPr>
      <w:r>
        <w:rPr>
          <w:rFonts w:ascii="Arial" w:cs="Arial" w:eastAsia="Arial" w:hAnsi="Arial"/>
          <w:sz w:val="20"/>
          <w:szCs w:val="20"/>
          <w:b w:val="1"/>
          <w:bCs w:val="1"/>
          <w:color w:val="231F20"/>
        </w:rPr>
        <w:t>EXISTING LIENS</w:t>
      </w:r>
    </w:p>
    <w:p>
      <w:pPr>
        <w:spacing w:after="0" w:line="262" w:lineRule="exact"/>
        <w:rPr>
          <w:sz w:val="20"/>
          <w:szCs w:val="20"/>
          <w:color w:val="auto"/>
        </w:rPr>
      </w:pPr>
    </w:p>
    <w:p>
      <w:pPr>
        <w:ind w:left="306" w:hanging="306"/>
        <w:spacing w:after="0"/>
        <w:tabs>
          <w:tab w:leader="none" w:pos="306" w:val="left"/>
        </w:tabs>
        <w:numPr>
          <w:ilvl w:val="0"/>
          <w:numId w:val="140"/>
        </w:numPr>
        <w:rPr>
          <w:rFonts w:ascii="Arial" w:cs="Arial" w:eastAsia="Arial" w:hAnsi="Arial"/>
          <w:sz w:val="20"/>
          <w:szCs w:val="20"/>
          <w:color w:val="auto"/>
        </w:rPr>
      </w:pPr>
      <w:r>
        <w:rPr>
          <w:rFonts w:ascii="Arial" w:cs="Arial" w:eastAsia="Arial" w:hAnsi="Arial"/>
          <w:sz w:val="20"/>
          <w:szCs w:val="20"/>
          <w:color w:val="231F20"/>
        </w:rPr>
        <w:t>Liens on the assets of the Borrower and its Subsidiaries, as publicly disclosed in filings with the SEC.</w:t>
      </w:r>
    </w:p>
    <w:p>
      <w:pPr>
        <w:spacing w:after="0" w:line="15" w:lineRule="exact"/>
        <w:rPr>
          <w:rFonts w:ascii="Arial" w:cs="Arial" w:eastAsia="Arial" w:hAnsi="Arial"/>
          <w:sz w:val="20"/>
          <w:szCs w:val="20"/>
          <w:color w:val="auto"/>
        </w:rPr>
      </w:pPr>
    </w:p>
    <w:p>
      <w:pPr>
        <w:ind w:left="306" w:hanging="306"/>
        <w:spacing w:after="0"/>
        <w:tabs>
          <w:tab w:leader="none" w:pos="306" w:val="left"/>
        </w:tabs>
        <w:numPr>
          <w:ilvl w:val="0"/>
          <w:numId w:val="140"/>
        </w:numPr>
        <w:rPr>
          <w:rFonts w:ascii="Arial" w:cs="Arial" w:eastAsia="Arial" w:hAnsi="Arial"/>
          <w:sz w:val="20"/>
          <w:szCs w:val="20"/>
          <w:color w:val="auto"/>
        </w:rPr>
      </w:pPr>
      <w:r>
        <w:rPr>
          <w:rFonts w:ascii="Arial" w:cs="Arial" w:eastAsia="Arial" w:hAnsi="Arial"/>
          <w:sz w:val="20"/>
          <w:szCs w:val="20"/>
          <w:color w:val="231F20"/>
        </w:rPr>
        <w:t>Liens securing the Indebtedness listed on Schedule 7.04.</w:t>
      </w:r>
    </w:p>
    <w:p>
      <w:pPr>
        <w:sectPr>
          <w:pgSz w:w="11900" w:h="16838" w:orient="portrait"/>
          <w:cols w:equalWidth="0" w:num="1">
            <w:col w:w="9605"/>
          </w:cols>
          <w:pgMar w:left="854" w:top="12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26"/>
        <w:spacing w:after="0"/>
        <w:rPr>
          <w:sz w:val="20"/>
          <w:szCs w:val="20"/>
          <w:color w:val="auto"/>
        </w:rPr>
      </w:pPr>
      <w:r>
        <w:rPr>
          <w:rFonts w:ascii="Arial" w:cs="Arial" w:eastAsia="Arial" w:hAnsi="Arial"/>
          <w:sz w:val="15"/>
          <w:szCs w:val="15"/>
          <w:color w:val="231F20"/>
        </w:rPr>
        <w:t>Schedule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593725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5"/>
          </w:cols>
          <w:pgMar w:left="854" w:top="1203" w:right="1440" w:bottom="1440" w:gutter="0" w:footer="0" w:header="0"/>
          <w:type w:val="continuous"/>
        </w:sectPr>
      </w:pPr>
    </w:p>
    <w:bookmarkStart w:id="171" w:name="page172"/>
    <w:bookmarkEnd w:id="171"/>
    <w:p>
      <w:pPr>
        <w:jc w:val="right"/>
        <w:ind w:right="199"/>
        <w:spacing w:after="0"/>
        <w:rPr>
          <w:sz w:val="20"/>
          <w:szCs w:val="20"/>
          <w:color w:val="auto"/>
        </w:rPr>
      </w:pPr>
      <w:r>
        <w:rPr>
          <w:rFonts w:ascii="Arial" w:cs="Arial" w:eastAsia="Arial" w:hAnsi="Arial"/>
          <w:sz w:val="20"/>
          <w:szCs w:val="20"/>
          <w:b w:val="1"/>
          <w:bCs w:val="1"/>
          <w:i w:val="1"/>
          <w:iCs w:val="1"/>
          <w:color w:val="231F20"/>
        </w:rPr>
        <w:t>SCHEDULE 7.02</w:t>
      </w:r>
    </w:p>
    <w:p>
      <w:pPr>
        <w:spacing w:after="0" w:line="31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231F20"/>
        </w:rPr>
        <w:t>CONSOLIDATIONS AND MERGERS; SALES OF ASSETS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231F20"/>
        </w:rPr>
        <w:t>1. The FGL Acquisition</w:t>
      </w:r>
    </w:p>
    <w:p>
      <w:pPr>
        <w:sectPr>
          <w:pgSz w:w="11900" w:h="16838" w:orient="portrait"/>
          <w:cols w:equalWidth="0" w:num="1">
            <w:col w:w="9599"/>
          </w:cols>
          <w:pgMar w:left="860" w:top="1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5"/>
          <w:szCs w:val="15"/>
          <w:color w:val="231F20"/>
        </w:rPr>
        <w:t>Schedule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593725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99"/>
          </w:cols>
          <w:pgMar w:left="860" w:top="1284" w:right="1440" w:bottom="1440" w:gutter="0" w:footer="0" w:header="0"/>
          <w:type w:val="continuous"/>
        </w:sectPr>
      </w:pPr>
    </w:p>
    <w:bookmarkStart w:id="172" w:name="page173"/>
    <w:bookmarkEnd w:id="172"/>
    <w:p>
      <w:pPr>
        <w:jc w:val="right"/>
        <w:ind w:right="199"/>
        <w:spacing w:after="0"/>
        <w:rPr>
          <w:sz w:val="20"/>
          <w:szCs w:val="20"/>
          <w:color w:val="auto"/>
        </w:rPr>
      </w:pPr>
      <w:r>
        <w:rPr>
          <w:rFonts w:ascii="Arial" w:cs="Arial" w:eastAsia="Arial" w:hAnsi="Arial"/>
          <w:sz w:val="20"/>
          <w:szCs w:val="20"/>
          <w:b w:val="1"/>
          <w:bCs w:val="1"/>
          <w:i w:val="1"/>
          <w:iCs w:val="1"/>
          <w:color w:val="231F20"/>
        </w:rPr>
        <w:t>SCHEDULE 7.04</w:t>
      </w:r>
    </w:p>
    <w:p>
      <w:pPr>
        <w:spacing w:after="0" w:line="318" w:lineRule="exact"/>
        <w:rPr>
          <w:sz w:val="20"/>
          <w:szCs w:val="20"/>
          <w:color w:val="auto"/>
        </w:rPr>
      </w:pPr>
    </w:p>
    <w:p>
      <w:pPr>
        <w:ind w:left="2586"/>
        <w:spacing w:after="0"/>
        <w:rPr>
          <w:sz w:val="20"/>
          <w:szCs w:val="20"/>
          <w:color w:val="auto"/>
        </w:rPr>
      </w:pPr>
      <w:r>
        <w:rPr>
          <w:rFonts w:ascii="Arial" w:cs="Arial" w:eastAsia="Arial" w:hAnsi="Arial"/>
          <w:sz w:val="20"/>
          <w:szCs w:val="20"/>
          <w:b w:val="1"/>
          <w:bCs w:val="1"/>
          <w:color w:val="231F20"/>
        </w:rPr>
        <w:t>EXISTING INDEBTEDNESS</w:t>
      </w:r>
    </w:p>
    <w:p>
      <w:pPr>
        <w:spacing w:after="0" w:line="262" w:lineRule="exact"/>
        <w:rPr>
          <w:sz w:val="20"/>
          <w:szCs w:val="20"/>
          <w:color w:val="auto"/>
        </w:rPr>
      </w:pPr>
    </w:p>
    <w:p>
      <w:pPr>
        <w:ind w:left="326" w:hanging="326"/>
        <w:spacing w:after="0"/>
        <w:tabs>
          <w:tab w:leader="none" w:pos="326" w:val="left"/>
        </w:tabs>
        <w:numPr>
          <w:ilvl w:val="0"/>
          <w:numId w:val="141"/>
        </w:numPr>
        <w:rPr>
          <w:rFonts w:ascii="Arial" w:cs="Arial" w:eastAsia="Arial" w:hAnsi="Arial"/>
          <w:sz w:val="19"/>
          <w:szCs w:val="19"/>
          <w:color w:val="auto"/>
        </w:rPr>
      </w:pPr>
      <w:r>
        <w:rPr>
          <w:rFonts w:ascii="Arial" w:cs="Arial" w:eastAsia="Arial" w:hAnsi="Arial"/>
          <w:sz w:val="19"/>
          <w:szCs w:val="19"/>
          <w:color w:val="231F20"/>
        </w:rPr>
        <w:t>Indebtedness of the Borrower and its Subsidiaries, as publicly disclosed in filings with the SEC, including:</w:t>
      </w:r>
    </w:p>
    <w:p>
      <w:pPr>
        <w:spacing w:after="0" w:line="27" w:lineRule="exact"/>
        <w:rPr>
          <w:rFonts w:ascii="Arial" w:cs="Arial" w:eastAsia="Arial" w:hAnsi="Arial"/>
          <w:sz w:val="19"/>
          <w:szCs w:val="19"/>
          <w:color w:val="auto"/>
        </w:rPr>
      </w:pPr>
    </w:p>
    <w:p>
      <w:pPr>
        <w:ind w:left="326"/>
        <w:spacing w:after="0"/>
        <w:rPr>
          <w:rFonts w:ascii="Arial" w:cs="Arial" w:eastAsia="Arial" w:hAnsi="Arial"/>
          <w:sz w:val="19"/>
          <w:szCs w:val="19"/>
          <w:color w:val="auto"/>
        </w:rPr>
      </w:pPr>
      <w:r>
        <w:rPr>
          <w:rFonts w:ascii="Arial" w:cs="Arial" w:eastAsia="Arial" w:hAnsi="Arial"/>
          <w:sz w:val="20"/>
          <w:szCs w:val="20"/>
          <w:color w:val="auto"/>
        </w:rPr>
        <w:t>a.</w:t>
      </w:r>
      <w:r>
        <w:rPr>
          <w:rFonts w:ascii="Arial" w:cs="Arial" w:eastAsia="Arial" w:hAnsi="Arial"/>
          <w:sz w:val="18"/>
          <w:szCs w:val="18"/>
          <w:color w:val="231F20"/>
        </w:rPr>
        <w:t>The Existing Credit Agreement</w:t>
      </w:r>
    </w:p>
    <w:p>
      <w:pPr>
        <w:sectPr>
          <w:pgSz w:w="11900" w:h="16838" w:orient="portrait"/>
          <w:cols w:equalWidth="0" w:num="1">
            <w:col w:w="9605"/>
          </w:cols>
          <w:pgMar w:left="854" w:top="9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26"/>
        <w:spacing w:after="0"/>
        <w:rPr>
          <w:sz w:val="20"/>
          <w:szCs w:val="20"/>
          <w:color w:val="auto"/>
        </w:rPr>
      </w:pPr>
      <w:r>
        <w:rPr>
          <w:rFonts w:ascii="Arial" w:cs="Arial" w:eastAsia="Arial" w:hAnsi="Arial"/>
          <w:sz w:val="15"/>
          <w:szCs w:val="15"/>
          <w:color w:val="231F20"/>
        </w:rPr>
        <w:t>Schedule 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593725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5"/>
          </w:cols>
          <w:pgMar w:left="854" w:top="960" w:right="1440" w:bottom="1440" w:gutter="0" w:footer="0" w:header="0"/>
          <w:type w:val="continuous"/>
        </w:sectPr>
      </w:pPr>
    </w:p>
    <w:bookmarkStart w:id="173" w:name="page174"/>
    <w:bookmarkEnd w:id="173"/>
    <w:p>
      <w:pPr>
        <w:jc w:val="right"/>
        <w:ind w:right="199"/>
        <w:spacing w:after="0"/>
        <w:rPr>
          <w:sz w:val="20"/>
          <w:szCs w:val="20"/>
          <w:color w:val="auto"/>
        </w:rPr>
      </w:pPr>
      <w:r>
        <w:rPr>
          <w:rFonts w:ascii="Arial" w:cs="Arial" w:eastAsia="Arial" w:hAnsi="Arial"/>
          <w:sz w:val="20"/>
          <w:szCs w:val="20"/>
          <w:b w:val="1"/>
          <w:bCs w:val="1"/>
          <w:i w:val="1"/>
          <w:iCs w:val="1"/>
          <w:color w:val="231F20"/>
        </w:rPr>
        <w:t>SCHEDULE 7.05</w:t>
      </w:r>
    </w:p>
    <w:p>
      <w:pPr>
        <w:spacing w:after="0" w:line="318" w:lineRule="exact"/>
        <w:rPr>
          <w:sz w:val="20"/>
          <w:szCs w:val="20"/>
          <w:color w:val="auto"/>
        </w:rPr>
      </w:pPr>
    </w:p>
    <w:p>
      <w:pPr>
        <w:ind w:left="2506"/>
        <w:spacing w:after="0"/>
        <w:rPr>
          <w:sz w:val="20"/>
          <w:szCs w:val="20"/>
          <w:color w:val="auto"/>
        </w:rPr>
      </w:pPr>
      <w:r>
        <w:rPr>
          <w:rFonts w:ascii="Arial" w:cs="Arial" w:eastAsia="Arial" w:hAnsi="Arial"/>
          <w:sz w:val="20"/>
          <w:szCs w:val="20"/>
          <w:b w:val="1"/>
          <w:bCs w:val="1"/>
          <w:color w:val="231F20"/>
        </w:rPr>
        <w:t>AFFILIATE TRANSACTIONS</w:t>
      </w:r>
    </w:p>
    <w:p>
      <w:pPr>
        <w:spacing w:after="0" w:line="262" w:lineRule="exact"/>
        <w:rPr>
          <w:sz w:val="20"/>
          <w:szCs w:val="20"/>
          <w:color w:val="auto"/>
        </w:rPr>
      </w:pPr>
    </w:p>
    <w:p>
      <w:pPr>
        <w:ind w:left="326" w:hanging="326"/>
        <w:spacing w:after="0"/>
        <w:tabs>
          <w:tab w:leader="none" w:pos="326" w:val="left"/>
        </w:tabs>
        <w:numPr>
          <w:ilvl w:val="0"/>
          <w:numId w:val="142"/>
        </w:numPr>
        <w:rPr>
          <w:rFonts w:ascii="Arial" w:cs="Arial" w:eastAsia="Arial" w:hAnsi="Arial"/>
          <w:sz w:val="20"/>
          <w:szCs w:val="20"/>
          <w:color w:val="auto"/>
        </w:rPr>
      </w:pPr>
      <w:r>
        <w:rPr>
          <w:rFonts w:ascii="Arial" w:cs="Arial" w:eastAsia="Arial" w:hAnsi="Arial"/>
          <w:sz w:val="20"/>
          <w:szCs w:val="20"/>
          <w:color w:val="231F20"/>
        </w:rPr>
        <w:t>Affiliate transactions of the Borrower and its Subsidiaries as publicly disclosed in filings with the SEC.</w:t>
      </w:r>
    </w:p>
    <w:p>
      <w:pPr>
        <w:spacing w:after="0" w:line="256" w:lineRule="exact"/>
        <w:rPr>
          <w:rFonts w:ascii="Arial" w:cs="Arial" w:eastAsia="Arial" w:hAnsi="Arial"/>
          <w:sz w:val="20"/>
          <w:szCs w:val="20"/>
          <w:color w:val="auto"/>
        </w:rPr>
      </w:pPr>
    </w:p>
    <w:p>
      <w:pPr>
        <w:jc w:val="both"/>
        <w:ind w:left="326" w:right="199" w:hanging="326"/>
        <w:spacing w:after="0" w:line="255" w:lineRule="auto"/>
        <w:tabs>
          <w:tab w:leader="none" w:pos="325" w:val="left"/>
        </w:tabs>
        <w:numPr>
          <w:ilvl w:val="0"/>
          <w:numId w:val="142"/>
        </w:numPr>
        <w:rPr>
          <w:rFonts w:ascii="Arial" w:cs="Arial" w:eastAsia="Arial" w:hAnsi="Arial"/>
          <w:sz w:val="19"/>
          <w:szCs w:val="19"/>
          <w:color w:val="auto"/>
        </w:rPr>
      </w:pPr>
      <w:r>
        <w:rPr>
          <w:rFonts w:ascii="Arial" w:cs="Arial" w:eastAsia="Arial" w:hAnsi="Arial"/>
          <w:sz w:val="19"/>
          <w:szCs w:val="19"/>
          <w:color w:val="231F20"/>
        </w:rPr>
        <w:t>That certain Third Amended and Restated Limited Liability Company Agreement of ServiceLink Holdings, LLC, dated as of July 20, 2015 (the “</w:t>
      </w:r>
      <w:r>
        <w:rPr>
          <w:rFonts w:ascii="Arial" w:cs="Arial" w:eastAsia="Arial" w:hAnsi="Arial"/>
          <w:sz w:val="19"/>
          <w:szCs w:val="19"/>
          <w:u w:val="single" w:color="auto"/>
          <w:color w:val="231F20"/>
        </w:rPr>
        <w:t>ServiceLink LLC Agreement</w:t>
      </w:r>
      <w:r>
        <w:rPr>
          <w:rFonts w:ascii="Arial" w:cs="Arial" w:eastAsia="Arial" w:hAnsi="Arial"/>
          <w:sz w:val="19"/>
          <w:szCs w:val="19"/>
          <w:color w:val="231F20"/>
        </w:rPr>
        <w:t>”), by and among ServiceLink Holdings, LLC, a Delaware limited liability company (f/k/a Black Knight Financial Services II, LLC), THL Black Knight II (A) Holding Corp., a Delaware corporation, THL Black Knight II (B) Holding Corp., a Delaware corporation, THL Black Knight II (C) Holding Corp., a Delaware corporation, THL Black Knight II (D) Holding Corp., a Delaware corporation, THL Black Knight II (E) Holding Corp., a Delaware corporation, THL Investors Black Knight II (A) Holding Corp., a Delaware corporation, THL Investors Black Knight II (B) Holding Corp., a Delaware corporation, THL Equity Fund VI Investors (BKFS) III, L.P., a Delaware limited partnership, THL Equity Fund VI Investors (BKFS-LM), LLC, a Delaware limited liability company, and THL Equity Fund VI Investors (BKFS-NB), LLC, a Delaware limited liability company, ServiceLink Holdings, Inc., a Delaware corporation, Fidelity National Financial, Inc., a Delaware corporation (solely for the purposes of Article IX, Article XI and Article XVI thereof), and the other persons set forth on the signature pages thereto.</w:t>
      </w:r>
    </w:p>
    <w:p>
      <w:pPr>
        <w:spacing w:after="0" w:line="211" w:lineRule="exact"/>
        <w:rPr>
          <w:rFonts w:ascii="Arial" w:cs="Arial" w:eastAsia="Arial" w:hAnsi="Arial"/>
          <w:sz w:val="19"/>
          <w:szCs w:val="19"/>
          <w:color w:val="auto"/>
        </w:rPr>
      </w:pPr>
    </w:p>
    <w:p>
      <w:pPr>
        <w:ind w:left="326" w:hanging="326"/>
        <w:spacing w:after="0"/>
        <w:tabs>
          <w:tab w:leader="none" w:pos="326" w:val="left"/>
        </w:tabs>
        <w:numPr>
          <w:ilvl w:val="0"/>
          <w:numId w:val="142"/>
        </w:numPr>
        <w:rPr>
          <w:rFonts w:ascii="Arial" w:cs="Arial" w:eastAsia="Arial" w:hAnsi="Arial"/>
          <w:sz w:val="18"/>
          <w:szCs w:val="18"/>
          <w:color w:val="auto"/>
        </w:rPr>
      </w:pPr>
      <w:r>
        <w:rPr>
          <w:rFonts w:ascii="Arial" w:cs="Arial" w:eastAsia="Arial" w:hAnsi="Arial"/>
          <w:sz w:val="18"/>
          <w:szCs w:val="18"/>
          <w:color w:val="231F20"/>
        </w:rPr>
        <w:t>(i) Any agreement in substantially similar form as item 2 above between the Borrower and the sponsors with such</w:t>
      </w:r>
    </w:p>
    <w:p>
      <w:pPr>
        <w:spacing w:after="0" w:line="38" w:lineRule="exact"/>
        <w:rPr>
          <w:sz w:val="20"/>
          <w:szCs w:val="20"/>
          <w:color w:val="auto"/>
        </w:rPr>
      </w:pPr>
    </w:p>
    <w:p>
      <w:pPr>
        <w:ind w:left="326"/>
        <w:spacing w:after="0"/>
        <w:rPr>
          <w:sz w:val="20"/>
          <w:szCs w:val="20"/>
          <w:color w:val="auto"/>
        </w:rPr>
      </w:pPr>
      <w:r>
        <w:rPr>
          <w:rFonts w:ascii="Arial" w:cs="Arial" w:eastAsia="Arial" w:hAnsi="Arial"/>
          <w:sz w:val="20"/>
          <w:szCs w:val="20"/>
          <w:color w:val="231F20"/>
        </w:rPr>
        <w:t>changes that are not materially adverse to the interests of the Lenders and</w:t>
      </w:r>
    </w:p>
    <w:p>
      <w:pPr>
        <w:ind w:left="326" w:right="439" w:hanging="185"/>
        <w:spacing w:after="0" w:line="244" w:lineRule="auto"/>
        <w:rPr>
          <w:sz w:val="20"/>
          <w:szCs w:val="20"/>
          <w:color w:val="auto"/>
        </w:rPr>
      </w:pPr>
      <w:r>
        <w:rPr>
          <w:rFonts w:ascii="Arial" w:cs="Arial" w:eastAsia="Arial" w:hAnsi="Arial"/>
          <w:sz w:val="20"/>
          <w:szCs w:val="20"/>
          <w:color w:val="auto"/>
        </w:rPr>
        <w:t>(i)</w:t>
      </w:r>
      <w:r>
        <w:rPr>
          <w:rFonts w:ascii="Arial" w:cs="Arial" w:eastAsia="Arial" w:hAnsi="Arial"/>
          <w:sz w:val="20"/>
          <w:szCs w:val="20"/>
          <w:color w:val="231F20"/>
        </w:rPr>
        <w:t>any other agreement between the Borrower and the sponsors that is reasonably acceptable to the Administrative</w:t>
      </w:r>
      <w:r>
        <w:rPr>
          <w:rFonts w:ascii="Arial" w:cs="Arial" w:eastAsia="Arial" w:hAnsi="Arial"/>
          <w:sz w:val="20"/>
          <w:szCs w:val="20"/>
          <w:color w:val="auto"/>
        </w:rPr>
        <w:t xml:space="preserve"> </w:t>
      </w:r>
      <w:r>
        <w:rPr>
          <w:rFonts w:ascii="Arial" w:cs="Arial" w:eastAsia="Arial" w:hAnsi="Arial"/>
          <w:sz w:val="20"/>
          <w:szCs w:val="20"/>
          <w:color w:val="231F20"/>
        </w:rPr>
        <w:t>Agent (such consent not to be unreasonably withheld, delayed or conditioned).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86"/>
        <w:spacing w:after="0"/>
        <w:rPr>
          <w:sz w:val="20"/>
          <w:szCs w:val="20"/>
          <w:color w:val="auto"/>
        </w:rPr>
      </w:pPr>
      <w:r>
        <w:rPr>
          <w:rFonts w:ascii="Arial" w:cs="Arial" w:eastAsia="Arial" w:hAnsi="Arial"/>
          <w:sz w:val="18"/>
          <w:szCs w:val="18"/>
          <w:color w:val="231F20"/>
        </w:rPr>
        <w:t>Schedule 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572135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5"/>
          </w:cols>
          <w:pgMar w:left="854" w:top="960"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i w:val="1"/>
          <w:iCs w:val="1"/>
          <w:color w:val="231F20"/>
        </w:rPr>
        <w:t>EXHIBIT A</w:t>
      </w:r>
    </w:p>
    <w:p>
      <w:pPr>
        <w:spacing w:after="0" w:line="241"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231F20"/>
        </w:rPr>
        <w:t>FORM OF LOAN NOTICE</w:t>
      </w:r>
    </w:p>
    <w:p>
      <w:pPr>
        <w:spacing w:after="0" w:line="253" w:lineRule="exact"/>
        <w:rPr>
          <w:sz w:val="20"/>
          <w:szCs w:val="20"/>
          <w:color w:val="auto"/>
        </w:rPr>
      </w:pPr>
    </w:p>
    <w:p>
      <w:pPr>
        <w:ind w:left="8340"/>
        <w:spacing w:after="0"/>
        <w:rPr>
          <w:sz w:val="20"/>
          <w:szCs w:val="20"/>
          <w:color w:val="auto"/>
        </w:rPr>
      </w:pPr>
      <w:r>
        <w:rPr>
          <w:rFonts w:ascii="Arial" w:cs="Arial" w:eastAsia="Arial" w:hAnsi="Arial"/>
          <w:sz w:val="19"/>
          <w:szCs w:val="19"/>
          <w:color w:val="231F20"/>
        </w:rPr>
        <w:t>Date:</w:t>
      </w:r>
      <w:r>
        <w:rPr>
          <w:rFonts w:ascii="Arial" w:cs="Arial" w:eastAsia="Arial" w:hAnsi="Arial"/>
          <w:sz w:val="19"/>
          <w:szCs w:val="19"/>
          <w:u w:val="single" w:color="auto"/>
          <w:color w:val="231F20"/>
        </w:rPr>
        <w:t>_______________,_____</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231F20"/>
        </w:rPr>
        <w:t>To: Bank of America, N.A., as Administrative Agent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231F20"/>
        </w:rPr>
        <w:t>Ladies and Gentlemen:</w:t>
      </w:r>
    </w:p>
    <w:p>
      <w:pPr>
        <w:spacing w:after="0" w:line="125" w:lineRule="exact"/>
        <w:rPr>
          <w:sz w:val="20"/>
          <w:szCs w:val="20"/>
          <w:color w:val="auto"/>
        </w:rPr>
      </w:pPr>
    </w:p>
    <w:p>
      <w:pPr>
        <w:jc w:val="both"/>
        <w:ind w:right="1300" w:firstLine="648"/>
        <w:spacing w:after="0" w:line="263" w:lineRule="auto"/>
        <w:rPr>
          <w:sz w:val="20"/>
          <w:szCs w:val="20"/>
          <w:color w:val="auto"/>
        </w:rPr>
      </w:pPr>
      <w:r>
        <w:rPr>
          <w:rFonts w:ascii="Arial" w:cs="Arial" w:eastAsia="Arial" w:hAnsi="Arial"/>
          <w:sz w:val="21"/>
          <w:szCs w:val="21"/>
          <w:color w:val="231F20"/>
        </w:rPr>
        <w:t>Reference is made to that certain Term Loan Credit Agreement, dated as of April 22, 2020 (as amended, restated, amended and restated, extended, supplemented or otherwise modified from time to time, the “</w:t>
      </w:r>
      <w:r>
        <w:rPr>
          <w:rFonts w:ascii="Arial" w:cs="Arial" w:eastAsia="Arial" w:hAnsi="Arial"/>
          <w:sz w:val="21"/>
          <w:szCs w:val="21"/>
          <w:u w:val="single" w:color="auto"/>
          <w:color w:val="231F20"/>
        </w:rPr>
        <w:t>Agreement</w:t>
      </w:r>
      <w:r>
        <w:rPr>
          <w:rFonts w:ascii="Arial" w:cs="Arial" w:eastAsia="Arial" w:hAnsi="Arial"/>
          <w:sz w:val="21"/>
          <w:szCs w:val="21"/>
          <w:color w:val="231F20"/>
        </w:rPr>
        <w:t>;” the terms defined therein, and not otherwise defined herein, being used herein as therein defined), among Fidelity National Financial, Inc., a Delaware corporation (the “</w:t>
      </w:r>
      <w:r>
        <w:rPr>
          <w:rFonts w:ascii="Arial" w:cs="Arial" w:eastAsia="Arial" w:hAnsi="Arial"/>
          <w:sz w:val="21"/>
          <w:szCs w:val="21"/>
          <w:u w:val="single" w:color="auto"/>
          <w:color w:val="231F20"/>
        </w:rPr>
        <w:t>Borrower</w:t>
      </w:r>
      <w:r>
        <w:rPr>
          <w:rFonts w:ascii="Arial" w:cs="Arial" w:eastAsia="Arial" w:hAnsi="Arial"/>
          <w:sz w:val="21"/>
          <w:szCs w:val="21"/>
          <w:color w:val="231F20"/>
        </w:rPr>
        <w:t>”), the Lenders from time to time party thereto and Bank of America, N.A., as Administrative Agent.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231F20"/>
        </w:rPr>
        <w:t>The undersigned hereby requests (select one):</w:t>
      </w:r>
    </w:p>
    <w:p>
      <w:pPr>
        <w:spacing w:after="0" w:line="260" w:lineRule="exact"/>
        <w:rPr>
          <w:sz w:val="20"/>
          <w:szCs w:val="20"/>
          <w:color w:val="auto"/>
        </w:rPr>
      </w:pPr>
    </w:p>
    <w:p>
      <w:pPr>
        <w:ind w:left="960"/>
        <w:spacing w:after="0"/>
        <w:rPr>
          <w:sz w:val="20"/>
          <w:szCs w:val="20"/>
          <w:color w:val="auto"/>
        </w:rPr>
      </w:pPr>
      <w:r>
        <w:rPr>
          <w:rFonts w:ascii="Arial" w:cs="Arial" w:eastAsia="Arial" w:hAnsi="Arial"/>
          <w:sz w:val="22"/>
          <w:szCs w:val="22"/>
          <w:color w:val="231F20"/>
        </w:rPr>
        <w:t>A Borrowing of Loans A conversion or continuation of Loans</w:t>
      </w:r>
    </w:p>
    <w:p>
      <w:pPr>
        <w:spacing w:after="0" w:line="260" w:lineRule="exact"/>
        <w:rPr>
          <w:sz w:val="20"/>
          <w:szCs w:val="20"/>
          <w:color w:val="auto"/>
        </w:rPr>
      </w:pPr>
    </w:p>
    <w:p>
      <w:pPr>
        <w:ind w:left="1280" w:hanging="642"/>
        <w:spacing w:after="0"/>
        <w:tabs>
          <w:tab w:leader="none" w:pos="1280" w:val="left"/>
        </w:tabs>
        <w:numPr>
          <w:ilvl w:val="0"/>
          <w:numId w:val="143"/>
        </w:numPr>
        <w:rPr>
          <w:rFonts w:ascii="Arial" w:cs="Arial" w:eastAsia="Arial" w:hAnsi="Arial"/>
          <w:sz w:val="20"/>
          <w:szCs w:val="20"/>
          <w:color w:val="auto"/>
        </w:rPr>
      </w:pPr>
      <w:r>
        <w:rPr>
          <w:rFonts w:ascii="Arial" w:cs="Arial" w:eastAsia="Arial" w:hAnsi="Arial"/>
          <w:sz w:val="22"/>
          <w:szCs w:val="22"/>
          <w:color w:val="231F20"/>
        </w:rPr>
        <w:t>On</w:t>
      </w:r>
      <w:r>
        <w:rPr>
          <w:rFonts w:ascii="Arial" w:cs="Arial" w:eastAsia="Arial" w:hAnsi="Arial"/>
          <w:sz w:val="22"/>
          <w:szCs w:val="22"/>
          <w:u w:val="single" w:color="auto"/>
          <w:color w:val="231F20"/>
        </w:rPr>
        <w:t>__________________________</w:t>
      </w:r>
      <w:r>
        <w:rPr>
          <w:rFonts w:ascii="Arial" w:cs="Arial" w:eastAsia="Arial" w:hAnsi="Arial"/>
          <w:sz w:val="22"/>
          <w:szCs w:val="22"/>
          <w:color w:val="231F20"/>
        </w:rPr>
        <w:t>(a Business Day).</w:t>
      </w:r>
    </w:p>
    <w:p>
      <w:pPr>
        <w:spacing w:after="0" w:line="246" w:lineRule="exact"/>
        <w:rPr>
          <w:rFonts w:ascii="Arial" w:cs="Arial" w:eastAsia="Arial" w:hAnsi="Arial"/>
          <w:sz w:val="20"/>
          <w:szCs w:val="20"/>
          <w:color w:val="auto"/>
        </w:rPr>
      </w:pPr>
    </w:p>
    <w:p>
      <w:pPr>
        <w:ind w:left="1280" w:hanging="642"/>
        <w:spacing w:after="0"/>
        <w:tabs>
          <w:tab w:leader="none" w:pos="1280" w:val="left"/>
        </w:tabs>
        <w:numPr>
          <w:ilvl w:val="0"/>
          <w:numId w:val="143"/>
        </w:numPr>
        <w:rPr>
          <w:rFonts w:ascii="Arial" w:cs="Arial" w:eastAsia="Arial" w:hAnsi="Arial"/>
          <w:sz w:val="20"/>
          <w:szCs w:val="20"/>
          <w:color w:val="auto"/>
        </w:rPr>
      </w:pPr>
      <w:r>
        <w:rPr>
          <w:rFonts w:ascii="Arial" w:cs="Arial" w:eastAsia="Arial" w:hAnsi="Arial"/>
          <w:sz w:val="22"/>
          <w:szCs w:val="22"/>
          <w:color w:val="231F20"/>
        </w:rPr>
        <w:t>In the amount of $</w:t>
      </w:r>
      <w:r>
        <w:rPr>
          <w:rFonts w:ascii="Arial" w:cs="Arial" w:eastAsia="Arial" w:hAnsi="Arial"/>
          <w:sz w:val="22"/>
          <w:szCs w:val="22"/>
          <w:u w:val="single" w:color="auto"/>
          <w:color w:val="231F20"/>
        </w:rPr>
        <w:t>______________</w:t>
      </w:r>
      <w:r>
        <w:rPr>
          <w:rFonts w:ascii="Arial" w:cs="Arial" w:eastAsia="Arial" w:hAnsi="Arial"/>
          <w:sz w:val="22"/>
          <w:szCs w:val="22"/>
          <w:color w:val="231F20"/>
        </w:rPr>
        <w:t>.</w:t>
      </w:r>
    </w:p>
    <w:p>
      <w:pPr>
        <w:spacing w:after="0" w:line="260" w:lineRule="exact"/>
        <w:rPr>
          <w:rFonts w:ascii="Arial" w:cs="Arial" w:eastAsia="Arial" w:hAnsi="Arial"/>
          <w:sz w:val="20"/>
          <w:szCs w:val="20"/>
          <w:color w:val="auto"/>
        </w:rPr>
      </w:pPr>
    </w:p>
    <w:p>
      <w:pPr>
        <w:ind w:left="1280" w:hanging="642"/>
        <w:spacing w:after="0"/>
        <w:tabs>
          <w:tab w:leader="none" w:pos="1280" w:val="left"/>
        </w:tabs>
        <w:numPr>
          <w:ilvl w:val="0"/>
          <w:numId w:val="143"/>
        </w:numPr>
        <w:rPr>
          <w:rFonts w:ascii="Arial" w:cs="Arial" w:eastAsia="Arial" w:hAnsi="Arial"/>
          <w:sz w:val="20"/>
          <w:szCs w:val="20"/>
          <w:color w:val="auto"/>
        </w:rPr>
      </w:pPr>
      <w:r>
        <w:rPr>
          <w:rFonts w:ascii="Arial" w:cs="Arial" w:eastAsia="Arial" w:hAnsi="Arial"/>
          <w:sz w:val="22"/>
          <w:szCs w:val="22"/>
          <w:color w:val="231F20"/>
        </w:rPr>
        <w:t>Comprised of</w:t>
      </w:r>
      <w:r>
        <w:rPr>
          <w:rFonts w:ascii="Arial" w:cs="Arial" w:eastAsia="Arial" w:hAnsi="Arial"/>
          <w:sz w:val="22"/>
          <w:szCs w:val="22"/>
          <w:u w:val="single" w:color="auto"/>
          <w:color w:val="231F20"/>
        </w:rPr>
        <w:t>__________________</w:t>
      </w:r>
      <w:r>
        <w:rPr>
          <w:rFonts w:ascii="Arial" w:cs="Arial" w:eastAsia="Arial" w:hAnsi="Arial"/>
          <w:sz w:val="22"/>
          <w:szCs w:val="22"/>
          <w:color w:val="231F20"/>
        </w:rPr>
        <w:t>.</w:t>
      </w:r>
    </w:p>
    <w:p>
      <w:pPr>
        <w:spacing w:after="0" w:line="21"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2"/>
          <w:szCs w:val="22"/>
          <w:color w:val="231F20"/>
        </w:rPr>
        <w:t>[Type of Loan requested or to be converted or continued]</w:t>
      </w:r>
    </w:p>
    <w:p>
      <w:pPr>
        <w:spacing w:after="0" w:line="242" w:lineRule="exact"/>
        <w:rPr>
          <w:rFonts w:ascii="Arial" w:cs="Arial" w:eastAsia="Arial" w:hAnsi="Arial"/>
          <w:sz w:val="20"/>
          <w:szCs w:val="20"/>
          <w:color w:val="auto"/>
        </w:rPr>
      </w:pPr>
    </w:p>
    <w:p>
      <w:pPr>
        <w:ind w:left="1280" w:hanging="642"/>
        <w:spacing w:after="0"/>
        <w:tabs>
          <w:tab w:leader="none" w:pos="1280" w:val="left"/>
        </w:tabs>
        <w:numPr>
          <w:ilvl w:val="0"/>
          <w:numId w:val="143"/>
        </w:numPr>
        <w:rPr>
          <w:rFonts w:ascii="Arial" w:cs="Arial" w:eastAsia="Arial" w:hAnsi="Arial"/>
          <w:sz w:val="20"/>
          <w:szCs w:val="20"/>
          <w:color w:val="auto"/>
        </w:rPr>
      </w:pPr>
      <w:r>
        <w:rPr>
          <w:rFonts w:ascii="Arial" w:cs="Arial" w:eastAsia="Arial" w:hAnsi="Arial"/>
          <w:sz w:val="22"/>
          <w:szCs w:val="22"/>
          <w:color w:val="231F20"/>
        </w:rPr>
        <w:t>For Eurodollar Rate Loans: with an Interest Period of</w:t>
      </w:r>
      <w:r>
        <w:rPr>
          <w:rFonts w:ascii="Arial" w:cs="Arial" w:eastAsia="Arial" w:hAnsi="Arial"/>
          <w:sz w:val="22"/>
          <w:szCs w:val="22"/>
          <w:u w:val="single" w:color="auto"/>
          <w:color w:val="231F20"/>
        </w:rPr>
        <w:t>_______</w:t>
      </w:r>
      <w:r>
        <w:rPr>
          <w:rFonts w:ascii="Arial" w:cs="Arial" w:eastAsia="Arial" w:hAnsi="Arial"/>
          <w:sz w:val="22"/>
          <w:szCs w:val="22"/>
          <w:color w:val="231F20"/>
        </w:rPr>
        <w:t>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231F20"/>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20"/>
        <w:spacing w:after="0"/>
        <w:rPr>
          <w:sz w:val="20"/>
          <w:szCs w:val="20"/>
          <w:color w:val="auto"/>
        </w:rPr>
      </w:pPr>
      <w:r>
        <w:rPr>
          <w:rFonts w:ascii="Arial" w:cs="Arial" w:eastAsia="Arial" w:hAnsi="Arial"/>
          <w:sz w:val="22"/>
          <w:szCs w:val="22"/>
          <w:color w:val="231F20"/>
        </w:rPr>
        <w:t>By:___Name:________________________</w:t>
      </w: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231F20"/>
        </w:rPr>
        <w:t>Title:________________________</w:t>
      </w:r>
    </w:p>
    <w:p>
      <w:pPr>
        <w:sectPr>
          <w:pgSz w:w="11900" w:h="16838" w:orient="portrait"/>
          <w:cols w:equalWidth="0" w:num="1">
            <w:col w:w="11020"/>
          </w:cols>
          <w:pgMar w:left="540" w:top="9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231F20"/>
        </w:rPr>
        <w:t>A - 1</w:t>
      </w:r>
    </w:p>
    <w:p>
      <w:pPr>
        <w:spacing w:after="0" w:line="23"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231F20"/>
        </w:rPr>
        <w:t>Form of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955" w:right="339" w:bottom="1440" w:gutter="0" w:footer="0" w:header="0"/>
          <w:type w:val="continuous"/>
        </w:sectPr>
      </w:pPr>
    </w:p>
    <w:bookmarkStart w:id="175" w:name="page176"/>
    <w:bookmarkEnd w:id="175"/>
    <w:p>
      <w:pPr>
        <w:jc w:val="right"/>
        <w:ind w:right="199"/>
        <w:spacing w:after="0"/>
        <w:rPr>
          <w:sz w:val="20"/>
          <w:szCs w:val="20"/>
          <w:color w:val="auto"/>
        </w:rPr>
      </w:pPr>
      <w:r>
        <w:rPr>
          <w:rFonts w:ascii="Arial" w:cs="Arial" w:eastAsia="Arial" w:hAnsi="Arial"/>
          <w:sz w:val="22"/>
          <w:szCs w:val="22"/>
          <w:b w:val="1"/>
          <w:bCs w:val="1"/>
          <w:i w:val="1"/>
          <w:iCs w:val="1"/>
          <w:color w:val="231F20"/>
        </w:rPr>
        <w:t>EXHIBIT B</w:t>
      </w:r>
    </w:p>
    <w:p>
      <w:pPr>
        <w:spacing w:after="0" w:line="260" w:lineRule="exact"/>
        <w:rPr>
          <w:sz w:val="20"/>
          <w:szCs w:val="20"/>
          <w:color w:val="auto"/>
        </w:rPr>
      </w:pPr>
    </w:p>
    <w:p>
      <w:pPr>
        <w:ind w:left="3640"/>
        <w:spacing w:after="0"/>
        <w:rPr>
          <w:sz w:val="20"/>
          <w:szCs w:val="20"/>
          <w:color w:val="auto"/>
        </w:rPr>
      </w:pPr>
      <w:r>
        <w:rPr>
          <w:rFonts w:ascii="Arial" w:cs="Arial" w:eastAsia="Arial" w:hAnsi="Arial"/>
          <w:sz w:val="22"/>
          <w:szCs w:val="22"/>
          <w:color w:val="231F20"/>
        </w:rPr>
        <w:t>[RESERVED]</w:t>
      </w:r>
    </w:p>
    <w:p>
      <w:pPr>
        <w:sectPr>
          <w:pgSz w:w="11900" w:h="16838" w:orient="portrait"/>
          <w:cols w:equalWidth="0" w:num="1">
            <w:col w:w="9019"/>
          </w:cols>
          <w:pgMar w:left="1440" w:top="11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Arial" w:cs="Arial" w:eastAsia="Arial" w:hAnsi="Arial"/>
          <w:sz w:val="17"/>
          <w:szCs w:val="17"/>
          <w:color w:val="231F20"/>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579120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8" w:right="1440" w:bottom="1440" w:gutter="0" w:footer="0" w:header="0"/>
          <w:type w:val="continuous"/>
        </w:sectPr>
      </w:pPr>
    </w:p>
    <w:bookmarkStart w:id="176" w:name="page177"/>
    <w:bookmarkEnd w:id="176"/>
    <w:p>
      <w:pPr>
        <w:ind w:left="8620"/>
        <w:spacing w:after="0"/>
        <w:rPr>
          <w:sz w:val="20"/>
          <w:szCs w:val="20"/>
          <w:color w:val="auto"/>
        </w:rPr>
      </w:pPr>
      <w:r>
        <w:rPr>
          <w:rFonts w:ascii="Arial" w:cs="Arial" w:eastAsia="Arial" w:hAnsi="Arial"/>
          <w:sz w:val="22"/>
          <w:szCs w:val="22"/>
          <w:b w:val="1"/>
          <w:bCs w:val="1"/>
          <w:i w:val="1"/>
          <w:iCs w:val="1"/>
          <w:color w:val="231F20"/>
        </w:rPr>
        <w:t>EXHIBIT 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231F20"/>
        </w:rPr>
        <w:t>FORM OF NOTE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231F20"/>
        </w:rPr>
        <w:t>FOR VALUE RECEIVED, the undersigned (the “</w:t>
      </w:r>
      <w:r>
        <w:rPr>
          <w:rFonts w:ascii="Arial" w:cs="Arial" w:eastAsia="Arial" w:hAnsi="Arial"/>
          <w:sz w:val="22"/>
          <w:szCs w:val="22"/>
          <w:u w:val="single" w:color="auto"/>
          <w:color w:val="231F20"/>
        </w:rPr>
        <w:t>Borrower</w:t>
      </w:r>
      <w:r>
        <w:rPr>
          <w:rFonts w:ascii="Arial" w:cs="Arial" w:eastAsia="Arial" w:hAnsi="Arial"/>
          <w:sz w:val="22"/>
          <w:szCs w:val="22"/>
          <w:color w:val="231F20"/>
        </w:rPr>
        <w:t>”) hereby promises to pay 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u w:val="single" w:color="auto"/>
          <w:color w:val="231F20"/>
        </w:rPr>
        <w:t>_______________</w:t>
      </w:r>
      <w:r>
        <w:rPr>
          <w:rFonts w:ascii="Arial" w:cs="Arial" w:eastAsia="Arial" w:hAnsi="Arial"/>
          <w:sz w:val="19"/>
          <w:szCs w:val="19"/>
          <w:color w:val="231F20"/>
        </w:rPr>
        <w:t>or its registered assigns (the “</w:t>
      </w:r>
      <w:r>
        <w:rPr>
          <w:rFonts w:ascii="Arial" w:cs="Arial" w:eastAsia="Arial" w:hAnsi="Arial"/>
          <w:sz w:val="19"/>
          <w:szCs w:val="19"/>
          <w:u w:val="single" w:color="auto"/>
          <w:color w:val="231F20"/>
        </w:rPr>
        <w:t>Lender</w:t>
      </w:r>
      <w:r>
        <w:rPr>
          <w:rFonts w:ascii="Arial" w:cs="Arial" w:eastAsia="Arial" w:hAnsi="Arial"/>
          <w:sz w:val="19"/>
          <w:szCs w:val="19"/>
          <w:color w:val="231F20"/>
        </w:rPr>
        <w:t>”), in accordance with the provisions of the Agreement</w:t>
      </w:r>
    </w:p>
    <w:p>
      <w:pPr>
        <w:spacing w:after="0" w:line="38" w:lineRule="exact"/>
        <w:rPr>
          <w:sz w:val="20"/>
          <w:szCs w:val="20"/>
          <w:color w:val="auto"/>
        </w:rPr>
      </w:pPr>
    </w:p>
    <w:p>
      <w:pPr>
        <w:jc w:val="both"/>
        <w:ind w:right="199"/>
        <w:spacing w:after="0" w:line="258" w:lineRule="auto"/>
        <w:rPr>
          <w:sz w:val="20"/>
          <w:szCs w:val="20"/>
          <w:color w:val="auto"/>
        </w:rPr>
      </w:pPr>
      <w:r>
        <w:rPr>
          <w:rFonts w:ascii="Arial" w:cs="Arial" w:eastAsia="Arial" w:hAnsi="Arial"/>
          <w:sz w:val="21"/>
          <w:szCs w:val="21"/>
          <w:color w:val="231F20"/>
        </w:rPr>
        <w:t>(as hereinafter defined), the principal amount as is outstanding from time to time under that certain Term Loan Credit Agreement, dated as of April 22, 2020 (as amended, restated, amended and restated, extended, supplemented or otherwise modified from time to time, the “</w:t>
      </w:r>
      <w:r>
        <w:rPr>
          <w:rFonts w:ascii="Arial" w:cs="Arial" w:eastAsia="Arial" w:hAnsi="Arial"/>
          <w:sz w:val="21"/>
          <w:szCs w:val="21"/>
          <w:u w:val="single" w:color="auto"/>
          <w:color w:val="231F20"/>
        </w:rPr>
        <w:t>Agreement</w:t>
      </w:r>
      <w:r>
        <w:rPr>
          <w:rFonts w:ascii="Arial" w:cs="Arial" w:eastAsia="Arial" w:hAnsi="Arial"/>
          <w:sz w:val="21"/>
          <w:szCs w:val="21"/>
          <w:color w:val="231F20"/>
        </w:rPr>
        <w:t>;” the terms defined therein, and not otherwise defined herein, being used herein as therein defined), among the Borrower, the Lenders from time to time party thereto and Bank of America, N.A., as Administrative Agent.</w:t>
      </w:r>
    </w:p>
    <w:p>
      <w:pPr>
        <w:spacing w:after="0" w:line="223" w:lineRule="exact"/>
        <w:rPr>
          <w:sz w:val="20"/>
          <w:szCs w:val="20"/>
          <w:color w:val="auto"/>
        </w:rPr>
      </w:pPr>
    </w:p>
    <w:p>
      <w:pPr>
        <w:jc w:val="both"/>
        <w:ind w:right="199" w:firstLine="648"/>
        <w:spacing w:after="0" w:line="292" w:lineRule="auto"/>
        <w:rPr>
          <w:sz w:val="20"/>
          <w:szCs w:val="20"/>
          <w:color w:val="auto"/>
        </w:rPr>
      </w:pPr>
      <w:r>
        <w:rPr>
          <w:rFonts w:ascii="Arial" w:cs="Arial" w:eastAsia="Arial" w:hAnsi="Arial"/>
          <w:sz w:val="19"/>
          <w:szCs w:val="19"/>
          <w:color w:val="231F20"/>
        </w:rPr>
        <w:t>The Borrower promises to pay interest on the unpaid principal amount of each Loan from the date of such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pursuant to the Agreement, such unpaid amount shall bear interest, to be paid upon demand, from the due date thereof until the date of actual payment (and before as well as after judgment) computed at the per annum rate set forth in the Agreement.</w:t>
      </w:r>
    </w:p>
    <w:p>
      <w:pPr>
        <w:spacing w:after="0" w:line="191"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9"/>
          <w:szCs w:val="19"/>
          <w:color w:val="231F20"/>
        </w:rPr>
        <w:t>This Note is one of the Notes referred to in the Agreement, is entitled to the benefits thereof and may be prepaid in whole or in part subject to the terms and conditions provided therein. Upon the occurrence and during the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 Notwithstanding the foregoing, the failure of the Lender to make any such recordation or endorsement shall not affect the obligations of the Borrower under this Note or under the Agreement.</w:t>
      </w:r>
    </w:p>
    <w:p>
      <w:pPr>
        <w:spacing w:after="0" w:line="184" w:lineRule="exact"/>
        <w:rPr>
          <w:sz w:val="20"/>
          <w:szCs w:val="20"/>
          <w:color w:val="auto"/>
        </w:rPr>
      </w:pPr>
    </w:p>
    <w:p>
      <w:pPr>
        <w:jc w:val="both"/>
        <w:ind w:right="199" w:firstLine="648"/>
        <w:spacing w:after="0" w:line="287" w:lineRule="auto"/>
        <w:rPr>
          <w:sz w:val="20"/>
          <w:szCs w:val="20"/>
          <w:color w:val="auto"/>
        </w:rPr>
      </w:pPr>
      <w:r>
        <w:rPr>
          <w:rFonts w:ascii="Arial" w:cs="Arial" w:eastAsia="Arial" w:hAnsi="Arial"/>
          <w:sz w:val="21"/>
          <w:szCs w:val="21"/>
          <w:color w:val="231F20"/>
        </w:rPr>
        <w:t>The Borrower, for itself and its successors and assigns, hereby waives diligence, presentment, protest and demand and notice of protest, demand, dishonor and non-payment of this Note.</w:t>
      </w:r>
    </w:p>
    <w:p>
      <w:pPr>
        <w:spacing w:after="0" w:line="192" w:lineRule="exact"/>
        <w:rPr>
          <w:sz w:val="20"/>
          <w:szCs w:val="20"/>
          <w:color w:val="auto"/>
        </w:rPr>
      </w:pPr>
    </w:p>
    <w:p>
      <w:pPr>
        <w:jc w:val="both"/>
        <w:ind w:right="199" w:firstLine="648"/>
        <w:spacing w:after="0" w:line="263" w:lineRule="auto"/>
        <w:rPr>
          <w:sz w:val="20"/>
          <w:szCs w:val="20"/>
          <w:color w:val="auto"/>
        </w:rPr>
      </w:pPr>
      <w:r>
        <w:rPr>
          <w:rFonts w:ascii="Arial" w:cs="Arial" w:eastAsia="Arial" w:hAnsi="Arial"/>
          <w:sz w:val="22"/>
          <w:szCs w:val="22"/>
          <w:color w:val="231F20"/>
        </w:rPr>
        <w:t>THIS NOTE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C - 1</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563245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19"/>
          </w:cols>
          <w:pgMar w:left="540" w:top="1279" w:right="1440" w:bottom="1440" w:gutter="0" w:footer="0" w:header="0"/>
        </w:sectPr>
      </w:pPr>
    </w:p>
    <w:bookmarkStart w:id="177" w:name="page178"/>
    <w:bookmarkEnd w:id="177"/>
    <w:p>
      <w:pPr>
        <w:ind w:left="2980"/>
        <w:spacing w:after="0"/>
        <w:rPr>
          <w:sz w:val="20"/>
          <w:szCs w:val="20"/>
          <w:color w:val="auto"/>
        </w:rPr>
      </w:pPr>
      <w:r>
        <w:rPr>
          <w:rFonts w:ascii="Arial" w:cs="Arial" w:eastAsia="Arial" w:hAnsi="Arial"/>
          <w:sz w:val="22"/>
          <w:szCs w:val="22"/>
          <w:b w:val="1"/>
          <w:bCs w:val="1"/>
          <w:color w:val="231F20"/>
        </w:rPr>
        <w:t>FIDELITY NATIONAL FINANCIAL, INC.</w:t>
      </w:r>
    </w:p>
    <w:p>
      <w:pPr>
        <w:sectPr>
          <w:pgSz w:w="11900" w:h="16838" w:orient="portrait"/>
          <w:cols w:equalWidth="0" w:num="1">
            <w:col w:w="9019"/>
          </w:cols>
          <w:pgMar w:left="1440" w:top="11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20"/>
        <w:spacing w:after="0"/>
        <w:rPr>
          <w:sz w:val="20"/>
          <w:szCs w:val="20"/>
          <w:color w:val="auto"/>
        </w:rPr>
      </w:pPr>
      <w:r>
        <w:rPr>
          <w:rFonts w:ascii="Arial" w:cs="Arial" w:eastAsia="Arial" w:hAnsi="Arial"/>
          <w:sz w:val="19"/>
          <w:szCs w:val="19"/>
          <w:color w:val="231F20"/>
        </w:rPr>
        <w:t>By:_Name:__________________________</w:t>
      </w:r>
    </w:p>
    <w:p>
      <w:pPr>
        <w:spacing w:after="0" w:line="241" w:lineRule="exact"/>
        <w:rPr>
          <w:sz w:val="20"/>
          <w:szCs w:val="20"/>
          <w:color w:val="auto"/>
        </w:rPr>
      </w:pPr>
    </w:p>
    <w:p>
      <w:pPr>
        <w:ind w:left="3440"/>
        <w:spacing w:after="0"/>
        <w:rPr>
          <w:sz w:val="20"/>
          <w:szCs w:val="20"/>
          <w:color w:val="auto"/>
        </w:rPr>
      </w:pPr>
      <w:r>
        <w:rPr>
          <w:rFonts w:ascii="Arial" w:cs="Arial" w:eastAsia="Arial" w:hAnsi="Arial"/>
          <w:sz w:val="19"/>
          <w:szCs w:val="19"/>
          <w:color w:val="231F20"/>
        </w:rPr>
        <w:t>Title:__________________________</w:t>
      </w:r>
    </w:p>
    <w:p>
      <w:pPr>
        <w:sectPr>
          <w:pgSz w:w="11900" w:h="16838" w:orient="portrait"/>
          <w:cols w:equalWidth="0" w:num="1">
            <w:col w:w="9019"/>
          </w:cols>
          <w:pgMar w:left="1440" w:top="11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577850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80"/>
        </w:trPr>
        <w:tc>
          <w:tcPr>
            <w:tcW w:w="560" w:type="dxa"/>
            <w:vAlign w:val="bottom"/>
          </w:tcPr>
          <w:p>
            <w:pPr>
              <w:spacing w:after="0"/>
              <w:rPr>
                <w:sz w:val="24"/>
                <w:szCs w:val="24"/>
                <w:color w:val="auto"/>
              </w:rPr>
            </w:pPr>
          </w:p>
        </w:tc>
        <w:tc>
          <w:tcPr>
            <w:tcW w:w="5980" w:type="dxa"/>
            <w:vAlign w:val="bottom"/>
            <w:gridSpan w:val="4"/>
          </w:tcPr>
          <w:p>
            <w:pPr>
              <w:ind w:left="100"/>
              <w:spacing w:after="0"/>
              <w:rPr>
                <w:sz w:val="20"/>
                <w:szCs w:val="20"/>
                <w:color w:val="auto"/>
              </w:rPr>
            </w:pPr>
            <w:r>
              <w:rPr>
                <w:rFonts w:ascii="Arial" w:cs="Arial" w:eastAsia="Arial" w:hAnsi="Arial"/>
                <w:sz w:val="22"/>
                <w:szCs w:val="22"/>
                <w:b w:val="1"/>
                <w:bCs w:val="1"/>
                <w:color w:val="231F20"/>
              </w:rPr>
              <w:t>LOANS AND PAYMENTS WITH RESPECT THERETO</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560" w:type="dxa"/>
            <w:vAlign w:val="bottom"/>
          </w:tcPr>
          <w:p>
            <w:pPr>
              <w:spacing w:after="0"/>
              <w:rPr>
                <w:sz w:val="20"/>
                <w:szCs w:val="20"/>
                <w:color w:val="auto"/>
              </w:rPr>
            </w:pPr>
            <w:r>
              <w:rPr>
                <w:rFonts w:ascii="Arial" w:cs="Arial" w:eastAsia="Arial" w:hAnsi="Arial"/>
                <w:sz w:val="22"/>
                <w:szCs w:val="22"/>
                <w:b w:val="1"/>
                <w:bCs w:val="1"/>
                <w:color w:val="auto"/>
              </w:rPr>
              <w:t>Date</w:t>
            </w:r>
          </w:p>
        </w:tc>
        <w:tc>
          <w:tcPr>
            <w:tcW w:w="16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Type of</w:t>
            </w:r>
          </w:p>
        </w:tc>
        <w:tc>
          <w:tcPr>
            <w:tcW w:w="1480" w:type="dxa"/>
            <w:vAlign w:val="bottom"/>
          </w:tcPr>
          <w:p>
            <w:pPr>
              <w:ind w:left="200"/>
              <w:spacing w:after="0"/>
              <w:rPr>
                <w:sz w:val="20"/>
                <w:szCs w:val="20"/>
                <w:color w:val="auto"/>
              </w:rPr>
            </w:pPr>
            <w:r>
              <w:rPr>
                <w:rFonts w:ascii="Arial" w:cs="Arial" w:eastAsia="Arial" w:hAnsi="Arial"/>
                <w:sz w:val="22"/>
                <w:szCs w:val="22"/>
                <w:b w:val="1"/>
                <w:bCs w:val="1"/>
                <w:color w:val="auto"/>
              </w:rPr>
              <w:t>Amount of</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End of</w:t>
            </w:r>
          </w:p>
        </w:tc>
        <w:tc>
          <w:tcPr>
            <w:tcW w:w="160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140" w:type="dxa"/>
            <w:vAlign w:val="bottom"/>
          </w:tcPr>
          <w:p>
            <w:pPr>
              <w:ind w:left="320"/>
              <w:spacing w:after="0"/>
              <w:rPr>
                <w:sz w:val="20"/>
                <w:szCs w:val="20"/>
                <w:color w:val="auto"/>
              </w:rPr>
            </w:pPr>
            <w:r>
              <w:rPr>
                <w:rFonts w:ascii="Arial" w:cs="Arial" w:eastAsia="Arial" w:hAnsi="Arial"/>
                <w:sz w:val="22"/>
                <w:szCs w:val="22"/>
                <w:b w:val="1"/>
                <w:bCs w:val="1"/>
                <w:color w:val="auto"/>
                <w:w w:val="89"/>
              </w:rPr>
              <w:t>Notation</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680" w:type="dxa"/>
            <w:vAlign w:val="bottom"/>
          </w:tcPr>
          <w:p>
            <w:pPr>
              <w:jc w:val="center"/>
              <w:ind w:left="152"/>
              <w:spacing w:after="0" w:line="243" w:lineRule="exact"/>
              <w:rPr>
                <w:sz w:val="20"/>
                <w:szCs w:val="20"/>
                <w:color w:val="auto"/>
              </w:rPr>
            </w:pPr>
            <w:r>
              <w:rPr>
                <w:rFonts w:ascii="Arial" w:cs="Arial" w:eastAsia="Arial" w:hAnsi="Arial"/>
                <w:sz w:val="22"/>
                <w:szCs w:val="22"/>
                <w:b w:val="1"/>
                <w:bCs w:val="1"/>
                <w:color w:val="auto"/>
                <w:w w:val="92"/>
              </w:rPr>
              <w:t>Loan Made</w:t>
            </w:r>
          </w:p>
        </w:tc>
        <w:tc>
          <w:tcPr>
            <w:tcW w:w="148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Loan Made</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Interest</w:t>
            </w:r>
          </w:p>
        </w:tc>
        <w:tc>
          <w:tcPr>
            <w:tcW w:w="1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Principal or</w:t>
            </w: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Principal</w:t>
            </w:r>
          </w:p>
        </w:tc>
        <w:tc>
          <w:tcPr>
            <w:tcW w:w="11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w w:val="90"/>
              </w:rPr>
              <w:t>Made By</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Period</w:t>
            </w:r>
          </w:p>
        </w:tc>
        <w:tc>
          <w:tcPr>
            <w:tcW w:w="1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Interest</w:t>
            </w: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Balance</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Paid This</w:t>
            </w: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This Date</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5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5520"/>
        <w:spacing w:after="0"/>
        <w:rPr>
          <w:sz w:val="20"/>
          <w:szCs w:val="20"/>
          <w:color w:val="auto"/>
        </w:rPr>
      </w:pPr>
      <w:r>
        <w:rPr>
          <w:rFonts w:ascii="Arial" w:cs="Arial" w:eastAsia="Arial" w:hAnsi="Arial"/>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1555750</wp:posOffset>
            </wp:positionV>
            <wp:extent cx="6249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1384300</wp:posOffset>
            </wp:positionV>
            <wp:extent cx="62490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1212850</wp:posOffset>
            </wp:positionV>
            <wp:extent cx="6249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1041400</wp:posOffset>
            </wp:positionV>
            <wp:extent cx="62490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869950</wp:posOffset>
            </wp:positionV>
            <wp:extent cx="62490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698500</wp:posOffset>
            </wp:positionV>
            <wp:extent cx="62490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527050</wp:posOffset>
            </wp:positionV>
            <wp:extent cx="62490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355600</wp:posOffset>
            </wp:positionV>
            <wp:extent cx="62490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184150</wp:posOffset>
            </wp:positionV>
            <wp:extent cx="62490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ectPr>
          <w:pgSz w:w="11900" w:h="16838" w:orient="portrait"/>
          <w:cols w:equalWidth="0" w:num="1">
            <w:col w:w="9380"/>
          </w:cols>
          <w:pgMar w:left="1360" w:top="1192"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C - 3</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577850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360" w:top="1192" w:right="1159" w:bottom="1440" w:gutter="0" w:footer="0" w:header="0"/>
          <w:type w:val="continuous"/>
        </w:sectPr>
      </w:pPr>
    </w:p>
    <w:bookmarkStart w:id="179" w:name="page180"/>
    <w:bookmarkEnd w:id="179"/>
    <w:p>
      <w:pPr>
        <w:jc w:val="right"/>
        <w:ind w:right="199"/>
        <w:spacing w:after="0"/>
        <w:rPr>
          <w:sz w:val="20"/>
          <w:szCs w:val="20"/>
          <w:color w:val="auto"/>
        </w:rPr>
      </w:pPr>
      <w:r>
        <w:rPr>
          <w:rFonts w:ascii="Arial" w:cs="Arial" w:eastAsia="Arial" w:hAnsi="Arial"/>
          <w:sz w:val="22"/>
          <w:szCs w:val="22"/>
          <w:b w:val="1"/>
          <w:bCs w:val="1"/>
          <w:i w:val="1"/>
          <w:iCs w:val="1"/>
          <w:color w:val="231F20"/>
        </w:rPr>
        <w:t>EXHIBIT D</w:t>
      </w:r>
    </w:p>
    <w:p>
      <w:pPr>
        <w:spacing w:after="0" w:line="260" w:lineRule="exact"/>
        <w:rPr>
          <w:sz w:val="20"/>
          <w:szCs w:val="20"/>
          <w:color w:val="auto"/>
        </w:rPr>
      </w:pPr>
    </w:p>
    <w:p>
      <w:pPr>
        <w:ind w:left="3640"/>
        <w:spacing w:after="0"/>
        <w:rPr>
          <w:sz w:val="20"/>
          <w:szCs w:val="20"/>
          <w:color w:val="auto"/>
        </w:rPr>
      </w:pPr>
      <w:r>
        <w:rPr>
          <w:rFonts w:ascii="Arial" w:cs="Arial" w:eastAsia="Arial" w:hAnsi="Arial"/>
          <w:sz w:val="22"/>
          <w:szCs w:val="22"/>
          <w:color w:val="231F20"/>
        </w:rPr>
        <w:t>[RESERVED]</w:t>
      </w:r>
    </w:p>
    <w:p>
      <w:pPr>
        <w:sectPr>
          <w:pgSz w:w="11900" w:h="16838" w:orient="portrait"/>
          <w:cols w:equalWidth="0" w:num="1">
            <w:col w:w="9019"/>
          </w:cols>
          <w:pgMar w:left="144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80"/>
        <w:spacing w:after="0"/>
        <w:rPr>
          <w:sz w:val="20"/>
          <w:szCs w:val="20"/>
          <w:color w:val="auto"/>
        </w:rPr>
      </w:pPr>
      <w:r>
        <w:rPr>
          <w:rFonts w:ascii="Arial" w:cs="Arial" w:eastAsia="Arial" w:hAnsi="Arial"/>
          <w:sz w:val="16"/>
          <w:szCs w:val="16"/>
          <w:color w:val="231F20"/>
        </w:rPr>
        <w:t>D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586740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type w:val="continuous"/>
        </w:sectPr>
      </w:pPr>
    </w:p>
    <w:bookmarkStart w:id="180" w:name="page181"/>
    <w:bookmarkEnd w:id="180"/>
    <w:p>
      <w:pPr>
        <w:ind w:left="8620"/>
        <w:spacing w:after="0"/>
        <w:rPr>
          <w:sz w:val="20"/>
          <w:szCs w:val="20"/>
          <w:color w:val="auto"/>
        </w:rPr>
      </w:pPr>
      <w:r>
        <w:rPr>
          <w:rFonts w:ascii="Arial" w:cs="Arial" w:eastAsia="Arial" w:hAnsi="Arial"/>
          <w:sz w:val="22"/>
          <w:szCs w:val="22"/>
          <w:b w:val="1"/>
          <w:bCs w:val="1"/>
          <w:i w:val="1"/>
          <w:iCs w:val="1"/>
          <w:color w:val="231F20"/>
        </w:rPr>
        <w:t>EXHIBIT E</w:t>
      </w:r>
    </w:p>
    <w:p>
      <w:pPr>
        <w:spacing w:after="0" w:line="254"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231F20"/>
        </w:rPr>
        <w:t>FORM OF COMPLIANCE CERTIFICATE</w:t>
      </w:r>
    </w:p>
    <w:p>
      <w:pPr>
        <w:spacing w:after="0" w:line="388" w:lineRule="exact"/>
        <w:rPr>
          <w:sz w:val="20"/>
          <w:szCs w:val="20"/>
          <w:color w:val="auto"/>
        </w:rPr>
      </w:pPr>
    </w:p>
    <w:p>
      <w:pPr>
        <w:ind w:left="4680"/>
        <w:spacing w:after="0"/>
        <w:rPr>
          <w:sz w:val="20"/>
          <w:szCs w:val="20"/>
          <w:color w:val="auto"/>
        </w:rPr>
      </w:pPr>
      <w:r>
        <w:rPr>
          <w:rFonts w:ascii="Arial" w:cs="Arial" w:eastAsia="Arial" w:hAnsi="Arial"/>
          <w:sz w:val="21"/>
          <w:szCs w:val="21"/>
          <w:color w:val="231F20"/>
        </w:rPr>
        <w:t xml:space="preserve">Financial Statement Date: </w:t>
      </w:r>
      <w:r>
        <w:rPr>
          <w:rFonts w:ascii="Arial" w:cs="Arial" w:eastAsia="Arial" w:hAnsi="Arial"/>
          <w:sz w:val="21"/>
          <w:szCs w:val="21"/>
          <w:u w:val="single" w:color="auto"/>
          <w:color w:val="231F20"/>
        </w:rPr>
        <w:t>______</w:t>
      </w:r>
      <w:r>
        <w:rPr>
          <w:rFonts w:ascii="Arial" w:cs="Arial" w:eastAsia="Arial" w:hAnsi="Arial"/>
          <w:sz w:val="21"/>
          <w:szCs w:val="21"/>
          <w:color w:val="231F20"/>
        </w:rPr>
        <w:t xml:space="preserve"> </w:t>
      </w:r>
      <w:r>
        <w:rPr>
          <w:rFonts w:ascii="Arial" w:cs="Arial" w:eastAsia="Arial" w:hAnsi="Arial"/>
          <w:sz w:val="18"/>
          <w:szCs w:val="18"/>
          <w:color w:val="231F20"/>
        </w:rPr>
        <w:t>To: Bank of America,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231F20"/>
        </w:rPr>
        <w:t>N.A., as Administrative Agent</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Ladies and Gentlemen:</w:t>
      </w:r>
    </w:p>
    <w:p>
      <w:pPr>
        <w:spacing w:after="0" w:line="243" w:lineRule="exact"/>
        <w:rPr>
          <w:sz w:val="20"/>
          <w:szCs w:val="20"/>
          <w:color w:val="auto"/>
        </w:rPr>
      </w:pPr>
    </w:p>
    <w:p>
      <w:pPr>
        <w:jc w:val="both"/>
        <w:ind w:right="199" w:firstLine="648"/>
        <w:spacing w:after="0" w:line="244" w:lineRule="auto"/>
        <w:rPr>
          <w:sz w:val="20"/>
          <w:szCs w:val="20"/>
          <w:color w:val="auto"/>
        </w:rPr>
      </w:pPr>
      <w:r>
        <w:rPr>
          <w:rFonts w:ascii="Arial" w:cs="Arial" w:eastAsia="Arial" w:hAnsi="Arial"/>
          <w:sz w:val="20"/>
          <w:szCs w:val="20"/>
          <w:color w:val="231F20"/>
        </w:rPr>
        <w:t>Reference is made to that certain Term Loan Credit Agreement, dated as of April 22, 2020 (as amended, restated, amended and restated, extended, supplemented or otherwise modified from time to time, the “</w:t>
      </w:r>
      <w:r>
        <w:rPr>
          <w:rFonts w:ascii="Arial" w:cs="Arial" w:eastAsia="Arial" w:hAnsi="Arial"/>
          <w:sz w:val="20"/>
          <w:szCs w:val="20"/>
          <w:u w:val="single" w:color="auto"/>
          <w:color w:val="231F20"/>
        </w:rPr>
        <w:t>Agreement</w:t>
      </w:r>
      <w:r>
        <w:rPr>
          <w:rFonts w:ascii="Arial" w:cs="Arial" w:eastAsia="Arial" w:hAnsi="Arial"/>
          <w:sz w:val="20"/>
          <w:szCs w:val="20"/>
          <w:color w:val="231F20"/>
        </w:rPr>
        <w:t>;” the terms defined therein, and not otherwise defined herein, being used herein as therein defined), among Fidelity National Financial, Inc., a Delaware corporation (the “</w:t>
      </w:r>
      <w:r>
        <w:rPr>
          <w:rFonts w:ascii="Arial" w:cs="Arial" w:eastAsia="Arial" w:hAnsi="Arial"/>
          <w:sz w:val="20"/>
          <w:szCs w:val="20"/>
          <w:u w:val="single" w:color="auto"/>
          <w:color w:val="231F20"/>
        </w:rPr>
        <w:t>Borrower</w:t>
      </w:r>
      <w:r>
        <w:rPr>
          <w:rFonts w:ascii="Arial" w:cs="Arial" w:eastAsia="Arial" w:hAnsi="Arial"/>
          <w:sz w:val="20"/>
          <w:szCs w:val="20"/>
          <w:color w:val="231F20"/>
        </w:rPr>
        <w:t>”), the Lenders from time to time party thereto and Bank of America, N.A., as Administrative Agent.</w:t>
      </w:r>
    </w:p>
    <w:p>
      <w:pPr>
        <w:spacing w:after="0" w:line="221" w:lineRule="exact"/>
        <w:rPr>
          <w:sz w:val="20"/>
          <w:szCs w:val="20"/>
          <w:color w:val="auto"/>
        </w:rPr>
      </w:pPr>
    </w:p>
    <w:p>
      <w:pPr>
        <w:jc w:val="both"/>
        <w:ind w:right="199" w:firstLine="648"/>
        <w:spacing w:after="0" w:line="250" w:lineRule="auto"/>
        <w:rPr>
          <w:sz w:val="20"/>
          <w:szCs w:val="20"/>
          <w:color w:val="auto"/>
        </w:rPr>
      </w:pPr>
      <w:r>
        <w:rPr>
          <w:rFonts w:ascii="Arial" w:cs="Arial" w:eastAsia="Arial" w:hAnsi="Arial"/>
          <w:sz w:val="20"/>
          <w:szCs w:val="20"/>
          <w:color w:val="231F20"/>
        </w:rPr>
        <w:t>The undersigned Responsible Officer hereby certifies as of the date hereof that he/she is the of the Borrower, and that, as such, he/she is authorized to execute and deliver this Compliance Certificate (this “</w:t>
      </w:r>
      <w:r>
        <w:rPr>
          <w:rFonts w:ascii="Arial" w:cs="Arial" w:eastAsia="Arial" w:hAnsi="Arial"/>
          <w:sz w:val="20"/>
          <w:szCs w:val="20"/>
          <w:u w:val="single" w:color="auto"/>
          <w:color w:val="231F20"/>
        </w:rPr>
        <w:t>Certificate</w:t>
      </w:r>
      <w:r>
        <w:rPr>
          <w:rFonts w:ascii="Arial" w:cs="Arial" w:eastAsia="Arial" w:hAnsi="Arial"/>
          <w:sz w:val="20"/>
          <w:szCs w:val="20"/>
          <w:color w:val="231F20"/>
        </w:rPr>
        <w:t>”) to the Administrative Agent on the behalf of the Borrower,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-325120</wp:posOffset>
            </wp:positionV>
            <wp:extent cx="311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20"/>
          <w:szCs w:val="20"/>
          <w:i w:val="1"/>
          <w:iCs w:val="1"/>
          <w:color w:val="231F20"/>
        </w:rPr>
        <w:t>[Use following paragraph 1 for fiscal year-end financial statements]</w:t>
      </w:r>
    </w:p>
    <w:p>
      <w:pPr>
        <w:spacing w:after="0" w:line="243" w:lineRule="exact"/>
        <w:rPr>
          <w:sz w:val="20"/>
          <w:szCs w:val="20"/>
          <w:color w:val="auto"/>
        </w:rPr>
      </w:pPr>
    </w:p>
    <w:p>
      <w:pPr>
        <w:jc w:val="both"/>
        <w:ind w:right="199" w:firstLine="638"/>
        <w:spacing w:after="0" w:line="250" w:lineRule="auto"/>
        <w:tabs>
          <w:tab w:leader="none" w:pos="856" w:val="left"/>
        </w:tabs>
        <w:numPr>
          <w:ilvl w:val="0"/>
          <w:numId w:val="144"/>
        </w:numPr>
        <w:rPr>
          <w:rFonts w:ascii="Arial" w:cs="Arial" w:eastAsia="Arial" w:hAnsi="Arial"/>
          <w:sz w:val="20"/>
          <w:szCs w:val="20"/>
          <w:color w:val="231F20"/>
        </w:rPr>
      </w:pPr>
      <w:r>
        <w:rPr>
          <w:rFonts w:ascii="Arial" w:cs="Arial" w:eastAsia="Arial" w:hAnsi="Arial"/>
          <w:sz w:val="20"/>
          <w:szCs w:val="20"/>
          <w:color w:val="231F20"/>
        </w:rPr>
        <w:t xml:space="preserve">Attached hereto as </w:t>
      </w:r>
      <w:r>
        <w:rPr>
          <w:rFonts w:ascii="Arial" w:cs="Arial" w:eastAsia="Arial" w:hAnsi="Arial"/>
          <w:sz w:val="20"/>
          <w:szCs w:val="20"/>
          <w:u w:val="single" w:color="auto"/>
          <w:color w:val="231F20"/>
        </w:rPr>
        <w:t>Schedule 1</w:t>
      </w:r>
      <w:r>
        <w:rPr>
          <w:rFonts w:ascii="Arial" w:cs="Arial" w:eastAsia="Arial" w:hAnsi="Arial"/>
          <w:sz w:val="20"/>
          <w:szCs w:val="20"/>
          <w:color w:val="231F20"/>
        </w:rPr>
        <w:t xml:space="preserve"> are the year-end audited financial statements required by </w:t>
      </w:r>
      <w:r>
        <w:rPr>
          <w:rFonts w:ascii="Arial" w:cs="Arial" w:eastAsia="Arial" w:hAnsi="Arial"/>
          <w:sz w:val="20"/>
          <w:szCs w:val="20"/>
          <w:u w:val="single" w:color="auto"/>
          <w:color w:val="231F20"/>
        </w:rPr>
        <w:t>Section 6.01(a)</w:t>
      </w:r>
      <w:r>
        <w:rPr>
          <w:rFonts w:ascii="Arial" w:cs="Arial" w:eastAsia="Arial" w:hAnsi="Arial"/>
          <w:sz w:val="20"/>
          <w:szCs w:val="20"/>
          <w:color w:val="231F20"/>
        </w:rPr>
        <w:t xml:space="preserve"> of the Agreement for the fiscal year of the Borrower ended as of the above date, together with the report and opinion of an independent certified public accountant required by such section.</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20"/>
          <w:szCs w:val="20"/>
          <w:i w:val="1"/>
          <w:iCs w:val="1"/>
          <w:color w:val="231F20"/>
        </w:rPr>
        <w:t>[Use following paragraph 1 for fiscal quarter-end financial statements]</w:t>
      </w:r>
    </w:p>
    <w:p>
      <w:pPr>
        <w:spacing w:after="0" w:line="243" w:lineRule="exact"/>
        <w:rPr>
          <w:sz w:val="20"/>
          <w:szCs w:val="20"/>
          <w:color w:val="auto"/>
        </w:rPr>
      </w:pPr>
    </w:p>
    <w:p>
      <w:pPr>
        <w:jc w:val="both"/>
        <w:ind w:right="199" w:firstLine="638"/>
        <w:spacing w:after="0" w:line="282" w:lineRule="auto"/>
        <w:tabs>
          <w:tab w:leader="none" w:pos="1093" w:val="left"/>
        </w:tabs>
        <w:numPr>
          <w:ilvl w:val="0"/>
          <w:numId w:val="145"/>
        </w:numPr>
        <w:rPr>
          <w:rFonts w:ascii="Arial" w:cs="Arial" w:eastAsia="Arial" w:hAnsi="Arial"/>
          <w:sz w:val="18"/>
          <w:szCs w:val="18"/>
          <w:color w:val="auto"/>
        </w:rPr>
      </w:pPr>
      <w:r>
        <w:rPr>
          <w:rFonts w:ascii="Arial" w:cs="Arial" w:eastAsia="Arial" w:hAnsi="Arial"/>
          <w:sz w:val="18"/>
          <w:szCs w:val="18"/>
          <w:color w:val="231F20"/>
        </w:rPr>
        <w:t xml:space="preserve">Attached hereto as </w:t>
      </w:r>
      <w:r>
        <w:rPr>
          <w:rFonts w:ascii="Arial" w:cs="Arial" w:eastAsia="Arial" w:hAnsi="Arial"/>
          <w:sz w:val="18"/>
          <w:szCs w:val="18"/>
          <w:u w:val="single" w:color="auto"/>
          <w:color w:val="231F20"/>
        </w:rPr>
        <w:t>Schedule 1</w:t>
      </w:r>
      <w:r>
        <w:rPr>
          <w:rFonts w:ascii="Arial" w:cs="Arial" w:eastAsia="Arial" w:hAnsi="Arial"/>
          <w:sz w:val="18"/>
          <w:szCs w:val="18"/>
          <w:color w:val="231F20"/>
        </w:rPr>
        <w:t xml:space="preserve"> are the unaudited financial statements required by </w:t>
      </w:r>
      <w:r>
        <w:rPr>
          <w:rFonts w:ascii="Arial" w:cs="Arial" w:eastAsia="Arial" w:hAnsi="Arial"/>
          <w:sz w:val="18"/>
          <w:szCs w:val="18"/>
          <w:u w:val="single" w:color="auto"/>
          <w:color w:val="231F20"/>
        </w:rPr>
        <w:t>Section 6.01(b)</w:t>
      </w:r>
      <w:r>
        <w:rPr>
          <w:rFonts w:ascii="Arial" w:cs="Arial" w:eastAsia="Arial" w:hAnsi="Arial"/>
          <w:sz w:val="18"/>
          <w:szCs w:val="18"/>
          <w:color w:val="231F20"/>
        </w:rPr>
        <w:t xml:space="preserve"> of the Agreement for the fiscal quarter of the Borrower ended as of the above date. Such financial statements fairly present the financial condition and results of operations of the Borrower and its Subsidiaries in accordance with GAAP as of such date and for such period, subject only to ordinary, good faith year-end audit adjustments and the absence of footnotes.</w:t>
      </w:r>
    </w:p>
    <w:p>
      <w:pPr>
        <w:spacing w:after="0" w:line="188" w:lineRule="exact"/>
        <w:rPr>
          <w:rFonts w:ascii="Arial" w:cs="Arial" w:eastAsia="Arial" w:hAnsi="Arial"/>
          <w:sz w:val="18"/>
          <w:szCs w:val="18"/>
          <w:color w:val="auto"/>
        </w:rPr>
      </w:pPr>
    </w:p>
    <w:p>
      <w:pPr>
        <w:jc w:val="both"/>
        <w:ind w:right="199" w:firstLine="638"/>
        <w:spacing w:after="0" w:line="269" w:lineRule="auto"/>
        <w:tabs>
          <w:tab w:leader="none" w:pos="1093" w:val="left"/>
        </w:tabs>
        <w:numPr>
          <w:ilvl w:val="0"/>
          <w:numId w:val="145"/>
        </w:numPr>
        <w:rPr>
          <w:rFonts w:ascii="Arial" w:cs="Arial" w:eastAsia="Arial" w:hAnsi="Arial"/>
          <w:sz w:val="19"/>
          <w:szCs w:val="19"/>
          <w:color w:val="auto"/>
        </w:rPr>
      </w:pPr>
      <w:r>
        <w:rPr>
          <w:rFonts w:ascii="Arial" w:cs="Arial" w:eastAsia="Arial" w:hAnsi="Arial"/>
          <w:sz w:val="19"/>
          <w:szCs w:val="19"/>
          <w:color w:val="231F20"/>
        </w:rPr>
        <w:t>The undersigned has reviewed and is familiar with the terms of the Agreement and has made, or has caused to be made under his/her supervision, a detailed review of the transactions and condition (financial or otherwise) of the Borrower during the accounting period covered by the attached financial statements.</w:t>
      </w:r>
    </w:p>
    <w:p>
      <w:pPr>
        <w:spacing w:after="0" w:line="196" w:lineRule="exact"/>
        <w:rPr>
          <w:rFonts w:ascii="Arial" w:cs="Arial" w:eastAsia="Arial" w:hAnsi="Arial"/>
          <w:sz w:val="19"/>
          <w:szCs w:val="19"/>
          <w:color w:val="auto"/>
        </w:rPr>
      </w:pPr>
    </w:p>
    <w:p>
      <w:pPr>
        <w:jc w:val="both"/>
        <w:ind w:right="199" w:firstLine="638"/>
        <w:spacing w:after="0" w:line="250" w:lineRule="auto"/>
        <w:tabs>
          <w:tab w:leader="none" w:pos="1093" w:val="left"/>
        </w:tabs>
        <w:numPr>
          <w:ilvl w:val="0"/>
          <w:numId w:val="145"/>
        </w:numPr>
        <w:rPr>
          <w:rFonts w:ascii="Arial" w:cs="Arial" w:eastAsia="Arial" w:hAnsi="Arial"/>
          <w:sz w:val="20"/>
          <w:szCs w:val="20"/>
          <w:color w:val="auto"/>
        </w:rPr>
      </w:pPr>
      <w:r>
        <w:rPr>
          <w:rFonts w:ascii="Arial" w:cs="Arial" w:eastAsia="Arial" w:hAnsi="Arial"/>
          <w:sz w:val="20"/>
          <w:szCs w:val="20"/>
          <w:color w:val="231F20"/>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231F20"/>
        </w:rPr>
        <w:t>[select one:]</w:t>
      </w:r>
    </w:p>
    <w:p>
      <w:pPr>
        <w:spacing w:after="0" w:line="200" w:lineRule="exact"/>
        <w:rPr>
          <w:sz w:val="20"/>
          <w:szCs w:val="20"/>
          <w:color w:val="auto"/>
        </w:rPr>
      </w:pPr>
    </w:p>
    <w:p>
      <w:pPr>
        <w:spacing w:after="0" w:line="28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E - 1</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19"/>
          </w:cols>
          <w:pgMar w:left="540" w:top="1279" w:right="1440" w:bottom="1440" w:gutter="0" w:footer="0" w:header="0"/>
        </w:sectPr>
      </w:pPr>
    </w:p>
    <w:bookmarkStart w:id="181" w:name="page182"/>
    <w:bookmarkEnd w:id="181"/>
    <w:p>
      <w:pPr>
        <w:ind w:right="1759" w:firstLine="432"/>
        <w:spacing w:after="0" w:line="256" w:lineRule="auto"/>
        <w:rPr>
          <w:sz w:val="20"/>
          <w:szCs w:val="20"/>
          <w:color w:val="auto"/>
        </w:rPr>
      </w:pPr>
      <w:r>
        <w:rPr>
          <w:rFonts w:ascii="Arial" w:cs="Arial" w:eastAsia="Arial" w:hAnsi="Arial"/>
          <w:sz w:val="22"/>
          <w:szCs w:val="22"/>
          <w:b w:val="1"/>
          <w:bCs w:val="1"/>
          <w:color w:val="auto"/>
        </w:rPr>
        <w:t>[to the best knowledge of the undersigned during such fiscal period, the Borrower performed and observed each covenant and condition of the Loan Documents applicable to it and no Default has occurred and is continuing.]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w:t>
      </w:r>
    </w:p>
    <w:p>
      <w:pPr>
        <w:spacing w:after="0" w:line="241" w:lineRule="exact"/>
        <w:rPr>
          <w:sz w:val="20"/>
          <w:szCs w:val="20"/>
          <w:color w:val="auto"/>
        </w:rPr>
      </w:pPr>
    </w:p>
    <w:p>
      <w:pPr>
        <w:ind w:right="1959" w:firstLine="432"/>
        <w:spacing w:after="0" w:line="293" w:lineRule="auto"/>
        <w:rPr>
          <w:sz w:val="20"/>
          <w:szCs w:val="20"/>
          <w:color w:val="auto"/>
        </w:rPr>
      </w:pPr>
      <w:r>
        <w:rPr>
          <w:rFonts w:ascii="Arial" w:cs="Arial" w:eastAsia="Arial" w:hAnsi="Arial"/>
          <w:sz w:val="21"/>
          <w:szCs w:val="21"/>
          <w:b w:val="1"/>
          <w:bCs w:val="1"/>
          <w:color w:val="auto"/>
        </w:rPr>
        <w:t>[the following covenants or conditions have not been performed or observed and the following is a list of each such Default and its nature and status:]</w:t>
      </w:r>
    </w:p>
    <w:p>
      <w:pPr>
        <w:spacing w:after="0" w:line="172" w:lineRule="exact"/>
        <w:rPr>
          <w:sz w:val="20"/>
          <w:szCs w:val="20"/>
          <w:color w:val="auto"/>
        </w:rPr>
      </w:pPr>
    </w:p>
    <w:p>
      <w:pPr>
        <w:ind w:right="2399" w:firstLine="440"/>
        <w:spacing w:after="0" w:line="263" w:lineRule="auto"/>
        <w:tabs>
          <w:tab w:leader="none" w:pos="69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financial covenant analyses and information set forth on Schedule 2 attached hereto are true and accurate on and as of the date of this Certificate.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the undersigned has executed this Certificate as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 ______.</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By:__________________________________</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Name:__________________________</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Title:___________________________</w:t>
      </w:r>
    </w:p>
    <w:p>
      <w:pPr>
        <w:sectPr>
          <w:pgSz w:w="11900" w:h="16838" w:orient="portrait"/>
          <w:cols w:equalWidth="0" w:num="1">
            <w:col w:w="10139"/>
          </w:cols>
          <w:pgMar w:left="320" w:top="11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 - 2</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8" w:right="1440" w:bottom="1440" w:gutter="0" w:footer="0" w:header="0"/>
          <w:type w:val="continuous"/>
        </w:sectPr>
      </w:pPr>
    </w:p>
    <w:bookmarkStart w:id="182" w:name="page183"/>
    <w:bookmarkEnd w:id="182"/>
    <w:p>
      <w:pPr>
        <w:ind w:left="1120"/>
        <w:spacing w:after="0"/>
        <w:rPr>
          <w:sz w:val="20"/>
          <w:szCs w:val="20"/>
          <w:color w:val="auto"/>
        </w:rPr>
      </w:pPr>
      <w:r>
        <w:rPr>
          <w:rFonts w:ascii="Arial" w:cs="Arial" w:eastAsia="Arial" w:hAnsi="Arial"/>
          <w:sz w:val="22"/>
          <w:szCs w:val="22"/>
          <w:color w:val="231F20"/>
        </w:rPr>
        <w:t xml:space="preserve">For the Quarter/Year ended </w:t>
      </w:r>
      <w:r>
        <w:rPr>
          <w:rFonts w:ascii="Arial" w:cs="Arial" w:eastAsia="Arial" w:hAnsi="Arial"/>
          <w:sz w:val="22"/>
          <w:szCs w:val="22"/>
          <w:u w:val="single" w:color="auto"/>
          <w:color w:val="231F20"/>
        </w:rPr>
        <w:t>___________________</w:t>
      </w:r>
      <w:r>
        <w:rPr>
          <w:rFonts w:ascii="Arial" w:cs="Arial" w:eastAsia="Arial" w:hAnsi="Arial"/>
          <w:sz w:val="22"/>
          <w:szCs w:val="22"/>
          <w:color w:val="231F20"/>
        </w:rPr>
        <w:t xml:space="preserve"> (“</w:t>
      </w:r>
      <w:r>
        <w:rPr>
          <w:rFonts w:ascii="Arial" w:cs="Arial" w:eastAsia="Arial" w:hAnsi="Arial"/>
          <w:sz w:val="22"/>
          <w:szCs w:val="22"/>
          <w:u w:val="single" w:color="auto"/>
          <w:color w:val="231F20"/>
        </w:rPr>
        <w:t>Statement Date</w:t>
      </w:r>
      <w:r>
        <w:rPr>
          <w:rFonts w:ascii="Arial" w:cs="Arial" w:eastAsia="Arial" w:hAnsi="Arial"/>
          <w:sz w:val="22"/>
          <w:szCs w:val="22"/>
          <w:color w:val="231F20"/>
        </w:rPr>
        <w:t>”)</w:t>
      </w:r>
    </w:p>
    <w:p>
      <w:pPr>
        <w:spacing w:after="0" w:line="241" w:lineRule="exact"/>
        <w:rPr>
          <w:sz w:val="20"/>
          <w:szCs w:val="20"/>
          <w:color w:val="auto"/>
        </w:rPr>
      </w:pPr>
    </w:p>
    <w:tbl>
      <w:tblPr>
        <w:tblLayout w:type="fixed"/>
        <w:tblInd w:w="170" w:type="dxa"/>
        <w:tblCellMar>
          <w:top w:w="0" w:type="dxa"/>
          <w:left w:w="0" w:type="dxa"/>
          <w:bottom w:w="0" w:type="dxa"/>
          <w:right w:w="0" w:type="dxa"/>
        </w:tblCellMar>
      </w:tblPr>
      <w:tr>
        <w:trPr>
          <w:trHeight w:val="262"/>
        </w:trPr>
        <w:tc>
          <w:tcPr>
            <w:tcW w:w="8620" w:type="dxa"/>
            <w:vAlign w:val="bottom"/>
          </w:tcPr>
          <w:p>
            <w:pPr>
              <w:jc w:val="center"/>
              <w:ind w:left="1768"/>
              <w:spacing w:after="0"/>
              <w:rPr>
                <w:sz w:val="20"/>
                <w:szCs w:val="20"/>
                <w:color w:val="auto"/>
              </w:rPr>
            </w:pPr>
            <w:r>
              <w:rPr>
                <w:rFonts w:ascii="Arial" w:cs="Arial" w:eastAsia="Arial" w:hAnsi="Arial"/>
                <w:sz w:val="22"/>
                <w:szCs w:val="22"/>
                <w:b w:val="1"/>
                <w:bCs w:val="1"/>
                <w:color w:val="auto"/>
                <w:w w:val="97"/>
              </w:rPr>
              <w:t>SCHEDULE 2</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20" w:type="dxa"/>
            <w:vAlign w:val="bottom"/>
          </w:tcPr>
          <w:p>
            <w:pPr>
              <w:jc w:val="center"/>
              <w:ind w:left="1768"/>
              <w:spacing w:after="0"/>
              <w:rPr>
                <w:sz w:val="20"/>
                <w:szCs w:val="20"/>
                <w:color w:val="auto"/>
              </w:rPr>
            </w:pPr>
            <w:r>
              <w:rPr>
                <w:rFonts w:ascii="Arial" w:cs="Arial" w:eastAsia="Arial" w:hAnsi="Arial"/>
                <w:sz w:val="22"/>
                <w:szCs w:val="22"/>
                <w:color w:val="auto"/>
                <w:w w:val="90"/>
              </w:rPr>
              <w:t>to the Compliance Certificate</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620" w:type="dxa"/>
            <w:vAlign w:val="bottom"/>
            <w:tcBorders>
              <w:bottom w:val="single" w:sz="8" w:color="231F20"/>
            </w:tcBorders>
          </w:tcPr>
          <w:p>
            <w:pPr>
              <w:jc w:val="center"/>
              <w:ind w:left="1788"/>
              <w:spacing w:after="0"/>
              <w:rPr>
                <w:sz w:val="20"/>
                <w:szCs w:val="20"/>
                <w:color w:val="auto"/>
              </w:rPr>
            </w:pPr>
            <w:r>
              <w:rPr>
                <w:rFonts w:ascii="Arial" w:cs="Arial" w:eastAsia="Arial" w:hAnsi="Arial"/>
                <w:sz w:val="22"/>
                <w:szCs w:val="22"/>
                <w:color w:val="auto"/>
                <w:w w:val="90"/>
              </w:rPr>
              <w:t>($ in 000's)</w:t>
            </w:r>
          </w:p>
        </w:tc>
        <w:tc>
          <w:tcPr>
            <w:tcW w:w="188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I. Section 7.09(a) -Net Worth.</w:t>
            </w:r>
          </w:p>
        </w:tc>
        <w:tc>
          <w:tcPr>
            <w:tcW w:w="188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380"/>
              <w:spacing w:after="0"/>
              <w:rPr>
                <w:sz w:val="20"/>
                <w:szCs w:val="20"/>
                <w:color w:val="auto"/>
              </w:rPr>
            </w:pPr>
            <w:r>
              <w:rPr>
                <w:rFonts w:ascii="Arial" w:cs="Arial" w:eastAsia="Arial" w:hAnsi="Arial"/>
                <w:sz w:val="18"/>
                <w:szCs w:val="18"/>
                <w:color w:val="231F20"/>
              </w:rPr>
              <w:t>A.From and After the Effective Date</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580"/>
              <w:spacing w:after="0"/>
              <w:rPr>
                <w:sz w:val="20"/>
                <w:szCs w:val="20"/>
                <w:color w:val="auto"/>
              </w:rPr>
            </w:pPr>
            <w:r>
              <w:rPr>
                <w:rFonts w:ascii="Arial" w:cs="Arial" w:eastAsia="Arial" w:hAnsi="Arial"/>
                <w:sz w:val="18"/>
                <w:szCs w:val="18"/>
                <w:color w:val="231F20"/>
              </w:rPr>
              <w:t>1.Net Worth at Statement Date:</w:t>
            </w:r>
          </w:p>
        </w:tc>
        <w:tc>
          <w:tcPr>
            <w:tcW w:w="18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580"/>
              <w:spacing w:after="0"/>
              <w:rPr>
                <w:sz w:val="20"/>
                <w:szCs w:val="20"/>
                <w:color w:val="auto"/>
              </w:rPr>
            </w:pPr>
            <w:r>
              <w:rPr>
                <w:rFonts w:ascii="Arial" w:cs="Arial" w:eastAsia="Arial" w:hAnsi="Arial"/>
                <w:sz w:val="18"/>
                <w:szCs w:val="18"/>
                <w:color w:val="231F20"/>
              </w:rPr>
              <w:t>2.70% of Net Worth as of the Net Worth Test Date:</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620" w:type="dxa"/>
            <w:vAlign w:val="bottom"/>
            <w:tcBorders>
              <w:left w:val="single" w:sz="8" w:color="231F20"/>
              <w:right w:val="single" w:sz="8" w:color="231F20"/>
            </w:tcBorders>
          </w:tcPr>
          <w:p>
            <w:pPr>
              <w:ind w:left="820"/>
              <w:spacing w:after="0"/>
              <w:rPr>
                <w:sz w:val="20"/>
                <w:szCs w:val="20"/>
                <w:color w:val="auto"/>
              </w:rPr>
            </w:pPr>
            <w:r>
              <w:rPr>
                <w:rFonts w:ascii="Arial" w:cs="Arial" w:eastAsia="Arial" w:hAnsi="Arial"/>
                <w:sz w:val="18"/>
                <w:szCs w:val="18"/>
                <w:color w:val="231F20"/>
                <w:w w:val="95"/>
              </w:rPr>
              <w:t>3. 50% of Net Income (in excess of zero) from the beginning of the first fiscal quarter following the Net</w:t>
            </w:r>
          </w:p>
        </w:tc>
        <w:tc>
          <w:tcPr>
            <w:tcW w:w="1880" w:type="dxa"/>
            <w:vAlign w:val="bottom"/>
            <w:tcBorders>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Worth Test Date to the Statement Date:</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620" w:type="dxa"/>
            <w:vAlign w:val="bottom"/>
            <w:tcBorders>
              <w:left w:val="single" w:sz="8" w:color="231F20"/>
              <w:right w:val="single" w:sz="8" w:color="231F20"/>
            </w:tcBorders>
          </w:tcPr>
          <w:p>
            <w:pPr>
              <w:ind w:left="840"/>
              <w:spacing w:after="0"/>
              <w:rPr>
                <w:sz w:val="20"/>
                <w:szCs w:val="20"/>
                <w:color w:val="auto"/>
              </w:rPr>
            </w:pPr>
            <w:r>
              <w:rPr>
                <w:rFonts w:ascii="Arial" w:cs="Arial" w:eastAsia="Arial" w:hAnsi="Arial"/>
                <w:sz w:val="18"/>
                <w:szCs w:val="18"/>
                <w:color w:val="231F20"/>
                <w:w w:val="94"/>
              </w:rPr>
              <w:t>4. 50% of cumulative issuances of Capital Stock by the Borrower after the Net Worth Test Date (without</w:t>
            </w:r>
          </w:p>
        </w:tc>
        <w:tc>
          <w:tcPr>
            <w:tcW w:w="1880" w:type="dxa"/>
            <w:vAlign w:val="bottom"/>
            <w:tcBorders>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duplication of amounts in respect of such issuances included in I.A.2.):</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20" w:type="dxa"/>
            <w:vAlign w:val="bottom"/>
            <w:tcBorders>
              <w:left w:val="single" w:sz="8" w:color="231F20"/>
              <w:right w:val="single" w:sz="8" w:color="231F20"/>
            </w:tcBorders>
          </w:tcPr>
          <w:p>
            <w:pPr>
              <w:ind w:left="620"/>
              <w:spacing w:after="0" w:line="169" w:lineRule="exact"/>
              <w:rPr>
                <w:sz w:val="20"/>
                <w:szCs w:val="20"/>
                <w:color w:val="auto"/>
              </w:rPr>
            </w:pPr>
            <w:r>
              <w:rPr>
                <w:rFonts w:ascii="Arial" w:cs="Arial" w:eastAsia="Arial" w:hAnsi="Arial"/>
                <w:sz w:val="18"/>
                <w:szCs w:val="18"/>
                <w:color w:val="231F20"/>
              </w:rPr>
              <w:t>5. Net Worth Level</w:t>
            </w:r>
          </w:p>
        </w:tc>
        <w:tc>
          <w:tcPr>
            <w:tcW w:w="1880" w:type="dxa"/>
            <w:vAlign w:val="bottom"/>
            <w:tcBorders>
              <w:right w:val="single" w:sz="8" w:color="231F20"/>
            </w:tcBorders>
            <w:vMerge w:val="restart"/>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29"/>
        </w:trPr>
        <w:tc>
          <w:tcPr>
            <w:tcW w:w="8620" w:type="dxa"/>
            <w:vAlign w:val="bottom"/>
            <w:tcBorders>
              <w:left w:val="single" w:sz="8" w:color="231F20"/>
              <w:bottom w:val="single" w:sz="8" w:color="231F20"/>
              <w:right w:val="single" w:sz="8" w:color="231F20"/>
            </w:tcBorders>
          </w:tcPr>
          <w:p>
            <w:pPr>
              <w:ind w:left="620"/>
              <w:spacing w:after="0"/>
              <w:rPr>
                <w:sz w:val="20"/>
                <w:szCs w:val="20"/>
                <w:color w:val="auto"/>
              </w:rPr>
            </w:pPr>
            <w:r>
              <w:rPr>
                <w:rFonts w:ascii="Arial" w:cs="Arial" w:eastAsia="Arial" w:hAnsi="Arial"/>
                <w:sz w:val="18"/>
                <w:szCs w:val="18"/>
                <w:color w:val="231F20"/>
              </w:rPr>
              <w:t>(Lines I.A.2. + I.A.3. + I.A.4.):1</w:t>
            </w:r>
          </w:p>
        </w:tc>
        <w:tc>
          <w:tcPr>
            <w:tcW w:w="1880" w:type="dxa"/>
            <w:vAlign w:val="bottom"/>
            <w:tcBorders>
              <w:bottom w:val="single" w:sz="8" w:color="231F20"/>
              <w:right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20" w:type="dxa"/>
            <w:vAlign w:val="bottom"/>
            <w:tcBorders>
              <w:left w:val="single" w:sz="8" w:color="231F20"/>
              <w:right w:val="single" w:sz="8" w:color="231F20"/>
            </w:tcBorders>
          </w:tcPr>
          <w:p>
            <w:pPr>
              <w:ind w:left="620"/>
              <w:spacing w:after="0"/>
              <w:rPr>
                <w:sz w:val="20"/>
                <w:szCs w:val="20"/>
                <w:color w:val="auto"/>
              </w:rPr>
            </w:pPr>
            <w:r>
              <w:rPr>
                <w:rFonts w:ascii="Arial" w:cs="Arial" w:eastAsia="Arial" w:hAnsi="Arial"/>
                <w:sz w:val="18"/>
                <w:szCs w:val="18"/>
                <w:color w:val="231F20"/>
              </w:rPr>
              <w:t>6.Excess (deficiency) for covenant compliance (Line</w:t>
            </w:r>
          </w:p>
        </w:tc>
        <w:tc>
          <w:tcPr>
            <w:tcW w:w="1880" w:type="dxa"/>
            <w:vAlign w:val="bottom"/>
            <w:tcBorders>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I.A.1. - I.A.5.):</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620" w:type="dxa"/>
            <w:vAlign w:val="bottom"/>
            <w:tcBorders>
              <w:left w:val="single" w:sz="8" w:color="231F20"/>
              <w:bottom w:val="single" w:sz="8" w:color="231F20"/>
              <w:right w:val="single" w:sz="8" w:color="231F20"/>
            </w:tcBorders>
          </w:tcPr>
          <w:p>
            <w:pPr>
              <w:spacing w:after="0"/>
              <w:rPr>
                <w:sz w:val="17"/>
                <w:szCs w:val="17"/>
                <w:color w:val="auto"/>
              </w:rPr>
            </w:pPr>
          </w:p>
        </w:tc>
        <w:tc>
          <w:tcPr>
            <w:tcW w:w="1880" w:type="dxa"/>
            <w:vAlign w:val="bottom"/>
            <w:tcBorders>
              <w:bottom w:val="single" w:sz="8" w:color="231F20"/>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II. Section 7.09 (b) - Total Debt to Total Capitalization Ratio.</w:t>
            </w:r>
          </w:p>
        </w:tc>
        <w:tc>
          <w:tcPr>
            <w:tcW w:w="18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40"/>
              <w:spacing w:after="0"/>
              <w:rPr>
                <w:sz w:val="20"/>
                <w:szCs w:val="20"/>
                <w:color w:val="auto"/>
              </w:rPr>
            </w:pPr>
            <w:r>
              <w:rPr>
                <w:rFonts w:ascii="Arial" w:cs="Arial" w:eastAsia="Arial" w:hAnsi="Arial"/>
                <w:sz w:val="18"/>
                <w:szCs w:val="18"/>
                <w:color w:val="231F20"/>
              </w:rPr>
              <w:t>A.Total Debt (including any Strategic Investment Subsidiary and its Subsidiaries):</w:t>
            </w:r>
          </w:p>
        </w:tc>
        <w:tc>
          <w:tcPr>
            <w:tcW w:w="18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w w:val="95"/>
              </w:rPr>
              <w:t>1. Indebtedness, as reported on the consolidated balance sheet (excluding the footnotes thereto) of the Borrower</w:t>
            </w:r>
          </w:p>
        </w:tc>
        <w:tc>
          <w:tcPr>
            <w:tcW w:w="1880" w:type="dxa"/>
            <w:vAlign w:val="bottom"/>
            <w:tcBorders>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w w:val="90"/>
              </w:rPr>
              <w:t>prepared in accordance with GAAP (and excluding, for the avoidance of doubt, intercompany Indebtedness among the</w:t>
            </w:r>
          </w:p>
        </w:tc>
        <w:tc>
          <w:tcPr>
            <w:tcW w:w="188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Borrower and its Subsidiaries):</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2.Non-Recourse Debt of the Designated Subsidiaries:</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3.Total Debt (Line II.A.1. - II.A.2.):</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B.Total Capitalization:</w:t>
            </w:r>
          </w:p>
        </w:tc>
        <w:tc>
          <w:tcPr>
            <w:tcW w:w="18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1.Net Worth:</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2.Total Debt (Line II.A.3.):</w:t>
            </w:r>
          </w:p>
        </w:tc>
        <w:tc>
          <w:tcPr>
            <w:tcW w:w="1880" w:type="dxa"/>
            <w:vAlign w:val="bottom"/>
            <w:tcBorders>
              <w:right w:val="single" w:sz="8" w:color="231F20"/>
            </w:tcBorders>
          </w:tcPr>
          <w:p>
            <w:pPr>
              <w:jc w:val="right"/>
              <w:ind w:right="1690"/>
              <w:spacing w:after="0"/>
              <w:rPr>
                <w:sz w:val="20"/>
                <w:szCs w:val="20"/>
                <w:color w:val="auto"/>
              </w:rPr>
            </w:pPr>
            <w:r>
              <w:rPr>
                <w:rFonts w:ascii="Arial" w:cs="Arial" w:eastAsia="Arial" w:hAnsi="Arial"/>
                <w:sz w:val="18"/>
                <w:szCs w:val="18"/>
                <w:color w:val="231F20"/>
                <w:w w:val="79"/>
              </w:rPr>
              <w:t>$</w:t>
            </w:r>
          </w:p>
        </w:tc>
        <w:tc>
          <w:tcPr>
            <w:tcW w:w="0" w:type="dxa"/>
            <w:vAlign w:val="bottom"/>
          </w:tcPr>
          <w:p>
            <w:pPr>
              <w:spacing w:after="0"/>
              <w:rPr>
                <w:sz w:val="1"/>
                <w:szCs w:val="1"/>
                <w:color w:val="auto"/>
              </w:rPr>
            </w:pP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231F20"/>
        </w:rPr>
        <w:t xml:space="preserve">1 </w:t>
      </w:r>
      <w:r>
        <w:rPr>
          <w:rFonts w:ascii="Arial" w:cs="Arial" w:eastAsia="Arial" w:hAnsi="Arial"/>
          <w:sz w:val="17"/>
          <w:szCs w:val="17"/>
          <w:color w:val="231F20"/>
        </w:rPr>
        <w:t>Provided that, commencing with the first fiscal quarter following any Separation, the Net Worth Level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shall be reduced by 70% of the Net Worth of BKFS or FNFV, as applicable, as of the date of such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 - 3</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Form of Compliance Certificate</w:t>
      </w:r>
    </w:p>
    <w:p>
      <w:pPr>
        <w:spacing w:after="0" w:line="16" w:lineRule="exact"/>
        <w:rPr>
          <w:sz w:val="20"/>
          <w:szCs w:val="20"/>
          <w:color w:val="auto"/>
        </w:rPr>
      </w:pPr>
    </w:p>
    <w:tbl>
      <w:tblPr>
        <w:tblLayout w:type="fixed"/>
        <w:tblInd w:w="170" w:type="dxa"/>
        <w:tblCellMar>
          <w:top w:w="0" w:type="dxa"/>
          <w:left w:w="0" w:type="dxa"/>
          <w:bottom w:w="0" w:type="dxa"/>
          <w:right w:w="0" w:type="dxa"/>
        </w:tblCellMar>
      </w:tblPr>
      <w:tr>
        <w:trPr>
          <w:trHeight w:val="256"/>
        </w:trPr>
        <w:tc>
          <w:tcPr>
            <w:tcW w:w="8620" w:type="dxa"/>
            <w:vAlign w:val="bottom"/>
            <w:tcBorders>
              <w:top w:val="single" w:sz="8" w:color="231F20"/>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3.Total Capitalization (Lines II.B.1. + II.B.2.):</w:t>
            </w:r>
          </w:p>
        </w:tc>
        <w:tc>
          <w:tcPr>
            <w:tcW w:w="1880" w:type="dxa"/>
            <w:vAlign w:val="bottom"/>
            <w:tcBorders>
              <w:top w:val="single" w:sz="8" w:color="231F20"/>
              <w:right w:val="single" w:sz="8" w:color="231F20"/>
            </w:tcBorders>
          </w:tcPr>
          <w:p>
            <w:pPr>
              <w:ind w:left="20"/>
              <w:spacing w:after="0"/>
              <w:rPr>
                <w:sz w:val="20"/>
                <w:szCs w:val="20"/>
                <w:color w:val="auto"/>
              </w:rPr>
            </w:pPr>
            <w:r>
              <w:rPr>
                <w:rFonts w:ascii="Arial" w:cs="Arial" w:eastAsia="Arial" w:hAnsi="Arial"/>
                <w:sz w:val="18"/>
                <w:szCs w:val="18"/>
                <w:color w:val="231F20"/>
              </w:rPr>
              <w:t>$</w:t>
            </w: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r>
      <w:tr>
        <w:trPr>
          <w:trHeight w:val="236"/>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C.Total Debt to Total Capitalization Ratio (Line II.A.3. + Line II.B.3.):</w:t>
            </w:r>
          </w:p>
        </w:tc>
        <w:tc>
          <w:tcPr>
            <w:tcW w:w="1880" w:type="dxa"/>
            <w:vAlign w:val="bottom"/>
            <w:tcBorders>
              <w:right w:val="single" w:sz="8" w:color="231F20"/>
            </w:tcBorders>
          </w:tcPr>
          <w:p>
            <w:pPr>
              <w:ind w:left="60"/>
              <w:spacing w:after="0"/>
              <w:rPr>
                <w:sz w:val="20"/>
                <w:szCs w:val="20"/>
                <w:color w:val="auto"/>
              </w:rPr>
            </w:pPr>
            <w:r>
              <w:rPr>
                <w:rFonts w:ascii="Arial" w:cs="Arial" w:eastAsia="Arial" w:hAnsi="Arial"/>
                <w:sz w:val="18"/>
                <w:szCs w:val="18"/>
                <w:color w:val="231F20"/>
              </w:rPr>
              <w:t>______to 1.0</w:t>
            </w: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r>
      <w:tr>
        <w:trPr>
          <w:trHeight w:val="236"/>
        </w:trPr>
        <w:tc>
          <w:tcPr>
            <w:tcW w:w="862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8"/>
                <w:szCs w:val="18"/>
                <w:color w:val="231F20"/>
              </w:rPr>
              <w:t>D.Maximum Total Debt to Total Capitalization Ratio:</w:t>
            </w:r>
          </w:p>
        </w:tc>
        <w:tc>
          <w:tcPr>
            <w:tcW w:w="1880" w:type="dxa"/>
            <w:vAlign w:val="bottom"/>
            <w:tcBorders>
              <w:right w:val="single" w:sz="8" w:color="231F20"/>
            </w:tcBorders>
          </w:tcPr>
          <w:p>
            <w:pPr>
              <w:ind w:left="20"/>
              <w:spacing w:after="0"/>
              <w:rPr>
                <w:sz w:val="20"/>
                <w:szCs w:val="20"/>
                <w:color w:val="auto"/>
              </w:rPr>
            </w:pPr>
            <w:r>
              <w:rPr>
                <w:rFonts w:ascii="Arial" w:cs="Arial" w:eastAsia="Arial" w:hAnsi="Arial"/>
                <w:sz w:val="18"/>
                <w:szCs w:val="18"/>
                <w:color w:val="231F20"/>
              </w:rPr>
              <w:t>0.35 to 1.0</w:t>
            </w:r>
          </w:p>
        </w:tc>
      </w:tr>
      <w:tr>
        <w:trPr>
          <w:trHeight w:val="27"/>
        </w:trPr>
        <w:tc>
          <w:tcPr>
            <w:tcW w:w="8620" w:type="dxa"/>
            <w:vAlign w:val="bottom"/>
            <w:tcBorders>
              <w:left w:val="single" w:sz="8" w:color="231F20"/>
              <w:bottom w:val="single" w:sz="8" w:color="231F20"/>
              <w:right w:val="single" w:sz="8" w:color="231F20"/>
            </w:tcBorders>
          </w:tcPr>
          <w:p>
            <w:pPr>
              <w:spacing w:after="0"/>
              <w:rPr>
                <w:sz w:val="2"/>
                <w:szCs w:val="2"/>
                <w:color w:val="auto"/>
              </w:rPr>
            </w:pPr>
          </w:p>
        </w:tc>
        <w:tc>
          <w:tcPr>
            <w:tcW w:w="1880" w:type="dxa"/>
            <w:vAlign w:val="bottom"/>
            <w:tcBorders>
              <w:bottom w:val="single" w:sz="8" w:color="231F20"/>
              <w:right w:val="single" w:sz="8" w:color="231F20"/>
            </w:tcBorders>
          </w:tcPr>
          <w:p>
            <w:pPr>
              <w:spacing w:after="0"/>
              <w:rPr>
                <w:sz w:val="2"/>
                <w:szCs w:val="2"/>
                <w:color w:val="auto"/>
              </w:rPr>
            </w:pPr>
          </w:p>
        </w:tc>
      </w:tr>
    </w:tbl>
    <w:p>
      <w:pPr>
        <w:sectPr>
          <w:pgSz w:w="11900" w:h="16838" w:orient="portrait"/>
          <w:cols w:equalWidth="0" w:num="1">
            <w:col w:w="10660"/>
          </w:cols>
          <w:pgMar w:left="540" w:top="969" w:right="69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577850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4" w:name="page185"/>
    <w:bookmarkEnd w:id="184"/>
    <w:p>
      <w:pPr>
        <w:jc w:val="right"/>
        <w:ind w:right="199"/>
        <w:spacing w:after="0"/>
        <w:rPr>
          <w:sz w:val="20"/>
          <w:szCs w:val="20"/>
          <w:color w:val="auto"/>
        </w:rPr>
      </w:pPr>
      <w:r>
        <w:rPr>
          <w:rFonts w:ascii="Arial" w:cs="Arial" w:eastAsia="Arial" w:hAnsi="Arial"/>
          <w:sz w:val="22"/>
          <w:szCs w:val="22"/>
          <w:b w:val="1"/>
          <w:bCs w:val="1"/>
          <w:i w:val="1"/>
          <w:iCs w:val="1"/>
          <w:color w:val="231F20"/>
        </w:rPr>
        <w:t>EXHIBIT F-1</w:t>
      </w:r>
    </w:p>
    <w:p>
      <w:pPr>
        <w:spacing w:after="0" w:line="295"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231F20"/>
        </w:rPr>
        <w:t>ASSIGNMENT AND ASSUMPTION</w:t>
      </w:r>
    </w:p>
    <w:p>
      <w:pPr>
        <w:spacing w:after="0" w:line="381" w:lineRule="exact"/>
        <w:rPr>
          <w:sz w:val="20"/>
          <w:szCs w:val="20"/>
          <w:color w:val="auto"/>
        </w:rPr>
      </w:pPr>
    </w:p>
    <w:p>
      <w:pPr>
        <w:jc w:val="both"/>
        <w:ind w:left="220" w:right="199" w:firstLine="648"/>
        <w:spacing w:after="0" w:line="255" w:lineRule="auto"/>
        <w:rPr>
          <w:sz w:val="20"/>
          <w:szCs w:val="20"/>
          <w:color w:val="auto"/>
        </w:rPr>
      </w:pPr>
      <w:r>
        <w:rPr>
          <w:rFonts w:ascii="Arial" w:cs="Arial" w:eastAsia="Arial" w:hAnsi="Arial"/>
          <w:sz w:val="18"/>
          <w:szCs w:val="18"/>
          <w:color w:val="231F20"/>
        </w:rPr>
        <w:t>This Assignment and Assumption (this “</w:t>
      </w:r>
      <w:r>
        <w:rPr>
          <w:rFonts w:ascii="Arial" w:cs="Arial" w:eastAsia="Arial" w:hAnsi="Arial"/>
          <w:sz w:val="18"/>
          <w:szCs w:val="18"/>
          <w:u w:val="single" w:color="auto"/>
          <w:color w:val="231F20"/>
        </w:rPr>
        <w:t>Assignment and Assumption</w:t>
      </w:r>
      <w:r>
        <w:rPr>
          <w:rFonts w:ascii="Arial" w:cs="Arial" w:eastAsia="Arial" w:hAnsi="Arial"/>
          <w:sz w:val="18"/>
          <w:szCs w:val="18"/>
          <w:color w:val="231F20"/>
        </w:rPr>
        <w:t>”) is dated as of the Effective Date set forth below and is entered into by and between [</w:t>
      </w:r>
      <w:r>
        <w:rPr>
          <w:rFonts w:ascii="Arial" w:cs="Arial" w:eastAsia="Arial" w:hAnsi="Arial"/>
          <w:sz w:val="18"/>
          <w:szCs w:val="18"/>
          <w:i w:val="1"/>
          <w:iCs w:val="1"/>
          <w:color w:val="231F20"/>
        </w:rPr>
        <w:t>Insert name of Assignor</w:t>
      </w:r>
      <w:r>
        <w:rPr>
          <w:rFonts w:ascii="Arial" w:cs="Arial" w:eastAsia="Arial" w:hAnsi="Arial"/>
          <w:sz w:val="18"/>
          <w:szCs w:val="18"/>
          <w:color w:val="231F20"/>
        </w:rPr>
        <w:t>] (the “</w:t>
      </w:r>
      <w:r>
        <w:rPr>
          <w:rFonts w:ascii="Arial" w:cs="Arial" w:eastAsia="Arial" w:hAnsi="Arial"/>
          <w:sz w:val="18"/>
          <w:szCs w:val="18"/>
          <w:u w:val="single" w:color="auto"/>
          <w:color w:val="231F20"/>
        </w:rPr>
        <w:t>Assignor</w:t>
      </w:r>
      <w:r>
        <w:rPr>
          <w:rFonts w:ascii="Arial" w:cs="Arial" w:eastAsia="Arial" w:hAnsi="Arial"/>
          <w:sz w:val="18"/>
          <w:szCs w:val="18"/>
          <w:color w:val="231F20"/>
        </w:rPr>
        <w:t>”) and [</w:t>
      </w:r>
      <w:r>
        <w:rPr>
          <w:rFonts w:ascii="Arial" w:cs="Arial" w:eastAsia="Arial" w:hAnsi="Arial"/>
          <w:sz w:val="18"/>
          <w:szCs w:val="18"/>
          <w:i w:val="1"/>
          <w:iCs w:val="1"/>
          <w:color w:val="231F20"/>
        </w:rPr>
        <w:t>Insert name of Assignee</w:t>
      </w:r>
      <w:r>
        <w:rPr>
          <w:rFonts w:ascii="Arial" w:cs="Arial" w:eastAsia="Arial" w:hAnsi="Arial"/>
          <w:sz w:val="18"/>
          <w:szCs w:val="18"/>
          <w:color w:val="231F20"/>
        </w:rPr>
        <w:t>] (the “</w:t>
      </w:r>
      <w:r>
        <w:rPr>
          <w:rFonts w:ascii="Arial" w:cs="Arial" w:eastAsia="Arial" w:hAnsi="Arial"/>
          <w:sz w:val="18"/>
          <w:szCs w:val="18"/>
          <w:u w:val="single" w:color="auto"/>
          <w:color w:val="231F20"/>
        </w:rPr>
        <w:t>Assignee</w:t>
      </w:r>
      <w:r>
        <w:rPr>
          <w:rFonts w:ascii="Arial" w:cs="Arial" w:eastAsia="Arial" w:hAnsi="Arial"/>
          <w:sz w:val="18"/>
          <w:szCs w:val="18"/>
          <w:color w:val="231F20"/>
        </w:rPr>
        <w:t>”). Capitalized terms used but not defined herein shall have the meanings given to them in the Credit Agreement identified below (the “</w:t>
      </w:r>
      <w:r>
        <w:rPr>
          <w:rFonts w:ascii="Arial" w:cs="Arial" w:eastAsia="Arial" w:hAnsi="Arial"/>
          <w:sz w:val="18"/>
          <w:szCs w:val="18"/>
          <w:u w:val="single" w:color="auto"/>
          <w:color w:val="231F20"/>
        </w:rPr>
        <w:t>Credit</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Agreement</w:t>
      </w:r>
      <w:r>
        <w:rPr>
          <w:rFonts w:ascii="Arial" w:cs="Arial" w:eastAsia="Arial" w:hAnsi="Arial"/>
          <w:sz w:val="18"/>
          <w:szCs w:val="18"/>
          <w:color w:val="231F20"/>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33" w:lineRule="exact"/>
        <w:rPr>
          <w:sz w:val="20"/>
          <w:szCs w:val="20"/>
          <w:color w:val="auto"/>
        </w:rPr>
      </w:pPr>
    </w:p>
    <w:p>
      <w:pPr>
        <w:jc w:val="both"/>
        <w:ind w:left="220" w:right="199" w:firstLine="648"/>
        <w:spacing w:after="0" w:line="268" w:lineRule="auto"/>
        <w:rPr>
          <w:sz w:val="20"/>
          <w:szCs w:val="20"/>
          <w:color w:val="auto"/>
        </w:rPr>
      </w:pPr>
      <w:r>
        <w:rPr>
          <w:rFonts w:ascii="Arial" w:cs="Arial" w:eastAsia="Arial" w:hAnsi="Arial"/>
          <w:sz w:val="17"/>
          <w:szCs w:val="17"/>
          <w:color w:val="231F20"/>
        </w:rPr>
        <w:t>For an agreed consideration, the Assignor hereby irrevocably sells and assigns to the Assignee, and the Assignee hereby irrevocably purchases and assumes from the Assignor, subject to and in accordance with the Standard Terms and Conditions as set forth in Annex 1 attached hereto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231F20"/>
        </w:rPr>
        <w:t>Assigned Interest</w:t>
      </w:r>
      <w:r>
        <w:rPr>
          <w:rFonts w:ascii="Arial" w:cs="Arial" w:eastAsia="Arial" w:hAnsi="Arial"/>
          <w:sz w:val="17"/>
          <w:szCs w:val="17"/>
          <w:color w:val="231F20"/>
        </w:rPr>
        <w:t>”). Such sale and assignment is without recourse to the Assignor and, except as expressly provided in this Assignment and Assumption, without representation or warranty by the Assignor.</w:t>
      </w:r>
    </w:p>
    <w:p>
      <w:pPr>
        <w:spacing w:after="0" w:line="211" w:lineRule="exact"/>
        <w:rPr>
          <w:sz w:val="20"/>
          <w:szCs w:val="20"/>
          <w:color w:val="auto"/>
        </w:rPr>
      </w:pPr>
    </w:p>
    <w:p>
      <w:pPr>
        <w:ind w:left="860" w:hanging="650"/>
        <w:spacing w:after="0"/>
        <w:tabs>
          <w:tab w:leader="none" w:pos="860" w:val="left"/>
        </w:tabs>
        <w:numPr>
          <w:ilvl w:val="0"/>
          <w:numId w:val="147"/>
        </w:numPr>
        <w:rPr>
          <w:rFonts w:ascii="Arial" w:cs="Arial" w:eastAsia="Arial" w:hAnsi="Arial"/>
          <w:sz w:val="18"/>
          <w:szCs w:val="18"/>
          <w:color w:val="auto"/>
        </w:rPr>
      </w:pPr>
      <w:r>
        <w:rPr>
          <w:rFonts w:ascii="Arial" w:cs="Arial" w:eastAsia="Arial" w:hAnsi="Arial"/>
          <w:sz w:val="18"/>
          <w:szCs w:val="18"/>
          <w:color w:val="231F20"/>
        </w:rPr>
        <w:t xml:space="preserve">Assignor: </w:t>
      </w:r>
      <w:r>
        <w:rPr>
          <w:rFonts w:ascii="Arial" w:cs="Arial" w:eastAsia="Arial" w:hAnsi="Arial"/>
          <w:sz w:val="18"/>
          <w:szCs w:val="18"/>
          <w:u w:val="single" w:color="auto"/>
          <w:color w:val="231F20"/>
        </w:rPr>
        <w:t>_________________________</w:t>
      </w:r>
    </w:p>
    <w:p>
      <w:pPr>
        <w:spacing w:after="0" w:line="252" w:lineRule="exact"/>
        <w:rPr>
          <w:rFonts w:ascii="Arial" w:cs="Arial" w:eastAsia="Arial" w:hAnsi="Arial"/>
          <w:sz w:val="18"/>
          <w:szCs w:val="18"/>
          <w:color w:val="auto"/>
        </w:rPr>
      </w:pPr>
    </w:p>
    <w:p>
      <w:pPr>
        <w:ind w:left="860" w:hanging="650"/>
        <w:spacing w:after="0"/>
        <w:tabs>
          <w:tab w:leader="none" w:pos="860" w:val="left"/>
        </w:tabs>
        <w:numPr>
          <w:ilvl w:val="0"/>
          <w:numId w:val="147"/>
        </w:numPr>
        <w:rPr>
          <w:rFonts w:ascii="Arial" w:cs="Arial" w:eastAsia="Arial" w:hAnsi="Arial"/>
          <w:sz w:val="18"/>
          <w:szCs w:val="18"/>
          <w:color w:val="auto"/>
        </w:rPr>
      </w:pPr>
      <w:r>
        <w:rPr>
          <w:rFonts w:ascii="Arial" w:cs="Arial" w:eastAsia="Arial" w:hAnsi="Arial"/>
          <w:sz w:val="18"/>
          <w:szCs w:val="18"/>
          <w:color w:val="231F20"/>
        </w:rPr>
        <w:t xml:space="preserve">Assignee: </w:t>
      </w:r>
      <w:r>
        <w:rPr>
          <w:rFonts w:ascii="Arial" w:cs="Arial" w:eastAsia="Arial" w:hAnsi="Arial"/>
          <w:sz w:val="18"/>
          <w:szCs w:val="18"/>
          <w:u w:val="single" w:color="auto"/>
          <w:color w:val="231F20"/>
        </w:rPr>
        <w:t>_________________________</w:t>
      </w:r>
      <w:r>
        <w:rPr>
          <w:rFonts w:ascii="Arial" w:cs="Arial" w:eastAsia="Arial" w:hAnsi="Arial"/>
          <w:sz w:val="18"/>
          <w:szCs w:val="18"/>
          <w:color w:val="231F20"/>
        </w:rPr>
        <w:t xml:space="preserve"> [and is an Affiliate/Approved Fund of [</w:t>
      </w:r>
      <w:r>
        <w:rPr>
          <w:rFonts w:ascii="Arial" w:cs="Arial" w:eastAsia="Arial" w:hAnsi="Arial"/>
          <w:sz w:val="18"/>
          <w:szCs w:val="18"/>
          <w:i w:val="1"/>
          <w:iCs w:val="1"/>
          <w:color w:val="231F20"/>
        </w:rPr>
        <w:t>identify Lender</w:t>
      </w:r>
      <w:r>
        <w:rPr>
          <w:rFonts w:ascii="Arial" w:cs="Arial" w:eastAsia="Arial" w:hAnsi="Arial"/>
          <w:sz w:val="18"/>
          <w:szCs w:val="18"/>
          <w:color w:val="231F20"/>
        </w:rPr>
        <w:t>]2]</w:t>
      </w:r>
    </w:p>
    <w:p>
      <w:pPr>
        <w:spacing w:after="0" w:line="252" w:lineRule="exact"/>
        <w:rPr>
          <w:rFonts w:ascii="Arial" w:cs="Arial" w:eastAsia="Arial" w:hAnsi="Arial"/>
          <w:sz w:val="18"/>
          <w:szCs w:val="18"/>
          <w:color w:val="auto"/>
        </w:rPr>
      </w:pPr>
    </w:p>
    <w:p>
      <w:pPr>
        <w:ind w:left="860" w:hanging="650"/>
        <w:spacing w:after="0"/>
        <w:tabs>
          <w:tab w:leader="none" w:pos="860" w:val="left"/>
        </w:tabs>
        <w:numPr>
          <w:ilvl w:val="0"/>
          <w:numId w:val="147"/>
        </w:numPr>
        <w:rPr>
          <w:rFonts w:ascii="Arial" w:cs="Arial" w:eastAsia="Arial" w:hAnsi="Arial"/>
          <w:sz w:val="18"/>
          <w:szCs w:val="18"/>
          <w:color w:val="231F20"/>
        </w:rPr>
      </w:pPr>
      <w:r>
        <w:rPr>
          <w:rFonts w:ascii="Arial" w:cs="Arial" w:eastAsia="Arial" w:hAnsi="Arial"/>
          <w:sz w:val="18"/>
          <w:szCs w:val="18"/>
          <w:color w:val="231F20"/>
        </w:rPr>
        <w:t>Borrower: Fidelity National Financial, Inc.</w:t>
      </w:r>
    </w:p>
    <w:p>
      <w:pPr>
        <w:spacing w:after="0" w:line="265" w:lineRule="exact"/>
        <w:rPr>
          <w:rFonts w:ascii="Arial" w:cs="Arial" w:eastAsia="Arial" w:hAnsi="Arial"/>
          <w:sz w:val="18"/>
          <w:szCs w:val="18"/>
          <w:color w:val="231F20"/>
        </w:rPr>
      </w:pPr>
    </w:p>
    <w:p>
      <w:pPr>
        <w:ind w:left="860" w:hanging="650"/>
        <w:spacing w:after="0"/>
        <w:tabs>
          <w:tab w:leader="none" w:pos="860" w:val="left"/>
        </w:tabs>
        <w:numPr>
          <w:ilvl w:val="0"/>
          <w:numId w:val="147"/>
        </w:numPr>
        <w:rPr>
          <w:rFonts w:ascii="Arial" w:cs="Arial" w:eastAsia="Arial" w:hAnsi="Arial"/>
          <w:sz w:val="18"/>
          <w:szCs w:val="18"/>
          <w:color w:val="auto"/>
        </w:rPr>
      </w:pPr>
      <w:r>
        <w:rPr>
          <w:rFonts w:ascii="Arial" w:cs="Arial" w:eastAsia="Arial" w:hAnsi="Arial"/>
          <w:sz w:val="18"/>
          <w:szCs w:val="18"/>
          <w:color w:val="231F20"/>
        </w:rPr>
        <w:t>Administrative Agent: Bank of America, N.A., as the Administrative Agent under the Credit Agreement</w:t>
      </w:r>
    </w:p>
    <w:p>
      <w:pPr>
        <w:spacing w:after="0" w:line="265" w:lineRule="exact"/>
        <w:rPr>
          <w:rFonts w:ascii="Arial" w:cs="Arial" w:eastAsia="Arial" w:hAnsi="Arial"/>
          <w:sz w:val="18"/>
          <w:szCs w:val="18"/>
          <w:color w:val="auto"/>
        </w:rPr>
      </w:pPr>
    </w:p>
    <w:p>
      <w:pPr>
        <w:ind w:left="860" w:right="199" w:hanging="650"/>
        <w:spacing w:after="0" w:line="258" w:lineRule="auto"/>
        <w:tabs>
          <w:tab w:leader="none" w:pos="860" w:val="left"/>
        </w:tabs>
        <w:numPr>
          <w:ilvl w:val="0"/>
          <w:numId w:val="147"/>
        </w:numPr>
        <w:rPr>
          <w:rFonts w:ascii="Arial" w:cs="Arial" w:eastAsia="Arial" w:hAnsi="Arial"/>
          <w:sz w:val="18"/>
          <w:szCs w:val="18"/>
          <w:color w:val="auto"/>
        </w:rPr>
      </w:pPr>
      <w:r>
        <w:rPr>
          <w:rFonts w:ascii="Arial" w:cs="Arial" w:eastAsia="Arial" w:hAnsi="Arial"/>
          <w:sz w:val="18"/>
          <w:szCs w:val="18"/>
          <w:color w:val="231F20"/>
        </w:rPr>
        <w:t>Credit Agreement: The Term Loan Credit Agreement, dated as of April 22, 2020 among the Borrower, the Lenders from time to time party thereto and Bank of America, N.A., as Administrative Agent</w:t>
      </w:r>
    </w:p>
    <w:p>
      <w:pPr>
        <w:spacing w:after="0"/>
        <w:rPr>
          <w:sz w:val="20"/>
          <w:szCs w:val="20"/>
          <w:color w:val="auto"/>
        </w:rPr>
      </w:pPr>
      <w:r>
        <w:rPr>
          <w:rFonts w:ascii="Arial" w:cs="Arial" w:eastAsia="Arial" w:hAnsi="Arial"/>
          <w:sz w:val="20"/>
          <w:szCs w:val="20"/>
          <w:color w:val="auto"/>
        </w:rPr>
        <w:t>_____________________</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1"/>
          <w:szCs w:val="11"/>
          <w:color w:val="231F20"/>
        </w:rPr>
        <w:t xml:space="preserve">2 </w:t>
      </w:r>
      <w:r>
        <w:rPr>
          <w:rFonts w:ascii="Arial" w:cs="Arial" w:eastAsia="Arial" w:hAnsi="Arial"/>
          <w:sz w:val="17"/>
          <w:szCs w:val="17"/>
          <w:color w:val="231F20"/>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 - 1</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Form of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55" w:right="1440" w:bottom="1440" w:gutter="0" w:footer="0" w:header="0"/>
        </w:sectPr>
      </w:pPr>
    </w:p>
    <w:bookmarkStart w:id="185" w:name="page186"/>
    <w:bookmarkEnd w:id="185"/>
    <w:tbl>
      <w:tblPr>
        <w:tblLayout w:type="fixed"/>
        <w:tblInd w:w="50" w:type="dxa"/>
        <w:tblCellMar>
          <w:top w:w="0" w:type="dxa"/>
          <w:left w:w="0" w:type="dxa"/>
          <w:bottom w:w="0" w:type="dxa"/>
          <w:right w:w="0" w:type="dxa"/>
        </w:tblCellMar>
      </w:tblPr>
      <w:tr>
        <w:trPr>
          <w:trHeight w:val="285"/>
        </w:trPr>
        <w:tc>
          <w:tcPr>
            <w:tcW w:w="500" w:type="dxa"/>
            <w:vAlign w:val="bottom"/>
            <w:tcBorders>
              <w:bottom w:val="single" w:sz="8" w:color="231F20"/>
            </w:tcBorders>
          </w:tcPr>
          <w:p>
            <w:pPr>
              <w:jc w:val="right"/>
              <w:ind w:right="88"/>
              <w:spacing w:after="0"/>
              <w:rPr>
                <w:sz w:val="20"/>
                <w:szCs w:val="20"/>
                <w:color w:val="auto"/>
              </w:rPr>
            </w:pPr>
            <w:r>
              <w:rPr>
                <w:rFonts w:ascii="Arial" w:cs="Arial" w:eastAsia="Arial" w:hAnsi="Arial"/>
                <w:sz w:val="20"/>
                <w:szCs w:val="20"/>
                <w:color w:val="auto"/>
              </w:rPr>
              <w:t>6.</w:t>
            </w:r>
          </w:p>
        </w:tc>
        <w:tc>
          <w:tcPr>
            <w:tcW w:w="2760" w:type="dxa"/>
            <w:vAlign w:val="bottom"/>
            <w:tcBorders>
              <w:bottom w:val="single" w:sz="8" w:color="231F20"/>
            </w:tcBorders>
            <w:gridSpan w:val="5"/>
          </w:tcPr>
          <w:p>
            <w:pPr>
              <w:jc w:val="center"/>
              <w:ind w:right="480"/>
              <w:spacing w:after="0"/>
              <w:rPr>
                <w:sz w:val="20"/>
                <w:szCs w:val="20"/>
                <w:color w:val="auto"/>
              </w:rPr>
            </w:pPr>
            <w:r>
              <w:rPr>
                <w:rFonts w:ascii="Arial" w:cs="Arial" w:eastAsia="Arial" w:hAnsi="Arial"/>
                <w:sz w:val="22"/>
                <w:szCs w:val="22"/>
                <w:color w:val="231F20"/>
                <w:w w:val="89"/>
              </w:rPr>
              <w:t>Assigned Interest:</w:t>
            </w:r>
            <w:r>
              <w:rPr>
                <w:rFonts w:ascii="Arial" w:cs="Arial" w:eastAsia="Arial" w:hAnsi="Arial"/>
                <w:sz w:val="14"/>
                <w:szCs w:val="14"/>
                <w:color w:val="231F20"/>
                <w:w w:val="89"/>
              </w:rPr>
              <w:t>3</w:t>
            </w:r>
          </w:p>
        </w:tc>
        <w:tc>
          <w:tcPr>
            <w:tcW w:w="1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500" w:type="dxa"/>
            <w:vAlign w:val="bottom"/>
            <w:tcBorders>
              <w:left w:val="single" w:sz="8" w:color="231F20"/>
            </w:tcBorders>
          </w:tcPr>
          <w:p>
            <w:pPr>
              <w:spacing w:after="0"/>
              <w:rPr>
                <w:sz w:val="24"/>
                <w:szCs w:val="24"/>
                <w:color w:val="auto"/>
              </w:rPr>
            </w:pPr>
          </w:p>
        </w:tc>
        <w:tc>
          <w:tcPr>
            <w:tcW w:w="2760" w:type="dxa"/>
            <w:vAlign w:val="bottom"/>
            <w:tcBorders>
              <w:right w:val="single" w:sz="8" w:color="231F20"/>
            </w:tcBorders>
            <w:gridSpan w:val="5"/>
          </w:tcPr>
          <w:p>
            <w:pPr>
              <w:jc w:val="center"/>
              <w:ind w:right="460"/>
              <w:spacing w:after="0"/>
              <w:rPr>
                <w:sz w:val="20"/>
                <w:szCs w:val="20"/>
                <w:color w:val="auto"/>
              </w:rPr>
            </w:pPr>
            <w:r>
              <w:rPr>
                <w:rFonts w:ascii="Arial" w:cs="Arial" w:eastAsia="Arial" w:hAnsi="Arial"/>
                <w:sz w:val="18"/>
                <w:szCs w:val="18"/>
                <w:color w:val="231F20"/>
                <w:w w:val="92"/>
              </w:rPr>
              <w:t>Aggregate Amount of</w:t>
            </w:r>
          </w:p>
        </w:tc>
        <w:tc>
          <w:tcPr>
            <w:tcW w:w="3000" w:type="dxa"/>
            <w:vAlign w:val="bottom"/>
            <w:tcBorders>
              <w:right w:val="single" w:sz="8" w:color="231F20"/>
            </w:tcBorders>
            <w:gridSpan w:val="3"/>
          </w:tcPr>
          <w:p>
            <w:pPr>
              <w:jc w:val="center"/>
              <w:ind w:right="40"/>
              <w:spacing w:after="0"/>
              <w:rPr>
                <w:sz w:val="20"/>
                <w:szCs w:val="20"/>
                <w:color w:val="auto"/>
              </w:rPr>
            </w:pPr>
            <w:r>
              <w:rPr>
                <w:rFonts w:ascii="Arial" w:cs="Arial" w:eastAsia="Arial" w:hAnsi="Arial"/>
                <w:sz w:val="18"/>
                <w:szCs w:val="18"/>
                <w:color w:val="231F20"/>
                <w:w w:val="97"/>
              </w:rPr>
              <w:t>Amount of</w:t>
            </w:r>
          </w:p>
        </w:tc>
        <w:tc>
          <w:tcPr>
            <w:tcW w:w="3400" w:type="dxa"/>
            <w:vAlign w:val="bottom"/>
            <w:tcBorders>
              <w:right w:val="single" w:sz="8" w:color="231F20"/>
            </w:tcBorders>
            <w:gridSpan w:val="7"/>
          </w:tcPr>
          <w:p>
            <w:pPr>
              <w:ind w:left="900"/>
              <w:spacing w:after="0"/>
              <w:rPr>
                <w:sz w:val="20"/>
                <w:szCs w:val="20"/>
                <w:color w:val="auto"/>
              </w:rPr>
            </w:pPr>
            <w:r>
              <w:rPr>
                <w:rFonts w:ascii="Arial" w:cs="Arial" w:eastAsia="Arial" w:hAnsi="Arial"/>
                <w:sz w:val="18"/>
                <w:szCs w:val="18"/>
                <w:color w:val="231F20"/>
              </w:rPr>
              <w:t>Percentage Assigned of</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231F20"/>
                <w:w w:val="94"/>
              </w:rPr>
              <w:t>CUSIP</w:t>
            </w:r>
          </w:p>
        </w:tc>
        <w:tc>
          <w:tcPr>
            <w:tcW w:w="520" w:type="dxa"/>
            <w:vAlign w:val="bottom"/>
            <w:tcBorders>
              <w:right w:val="single" w:sz="8" w:color="231F20"/>
            </w:tcBorders>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00" w:type="dxa"/>
            <w:vAlign w:val="bottom"/>
            <w:tcBorders>
              <w:left w:val="single" w:sz="8" w:color="231F20"/>
            </w:tcBorders>
          </w:tcPr>
          <w:p>
            <w:pPr>
              <w:spacing w:after="0"/>
              <w:rPr>
                <w:sz w:val="7"/>
                <w:szCs w:val="7"/>
                <w:color w:val="auto"/>
              </w:rPr>
            </w:pPr>
          </w:p>
        </w:tc>
        <w:tc>
          <w:tcPr>
            <w:tcW w:w="2760" w:type="dxa"/>
            <w:vAlign w:val="bottom"/>
            <w:tcBorders>
              <w:right w:val="single" w:sz="8" w:color="231F20"/>
            </w:tcBorders>
            <w:gridSpan w:val="5"/>
            <w:vMerge w:val="restart"/>
          </w:tcPr>
          <w:p>
            <w:pPr>
              <w:jc w:val="center"/>
              <w:ind w:right="520"/>
              <w:spacing w:after="0" w:line="156" w:lineRule="exact"/>
              <w:rPr>
                <w:sz w:val="20"/>
                <w:szCs w:val="20"/>
                <w:color w:val="auto"/>
              </w:rPr>
            </w:pPr>
            <w:r>
              <w:rPr>
                <w:rFonts w:ascii="Arial" w:cs="Arial" w:eastAsia="Arial" w:hAnsi="Arial"/>
                <w:sz w:val="18"/>
                <w:szCs w:val="18"/>
                <w:color w:val="231F20"/>
                <w:w w:val="93"/>
              </w:rPr>
              <w:t>Commitment/Loans for all</w:t>
            </w:r>
          </w:p>
        </w:tc>
        <w:tc>
          <w:tcPr>
            <w:tcW w:w="3000" w:type="dxa"/>
            <w:vAlign w:val="bottom"/>
            <w:tcBorders>
              <w:right w:val="single" w:sz="8" w:color="231F20"/>
            </w:tcBorders>
            <w:gridSpan w:val="3"/>
            <w:vMerge w:val="restart"/>
          </w:tcPr>
          <w:p>
            <w:pPr>
              <w:jc w:val="center"/>
              <w:ind w:right="40"/>
              <w:spacing w:after="0" w:line="156" w:lineRule="exact"/>
              <w:rPr>
                <w:sz w:val="20"/>
                <w:szCs w:val="20"/>
                <w:color w:val="auto"/>
              </w:rPr>
            </w:pPr>
            <w:r>
              <w:rPr>
                <w:rFonts w:ascii="Arial" w:cs="Arial" w:eastAsia="Arial" w:hAnsi="Arial"/>
                <w:sz w:val="18"/>
                <w:szCs w:val="18"/>
                <w:color w:val="231F20"/>
                <w:w w:val="91"/>
              </w:rPr>
              <w:t>Commitment/ Loans</w:t>
            </w:r>
          </w:p>
        </w:tc>
        <w:tc>
          <w:tcPr>
            <w:tcW w:w="900" w:type="dxa"/>
            <w:vAlign w:val="bottom"/>
          </w:tcPr>
          <w:p>
            <w:pPr>
              <w:spacing w:after="0"/>
              <w:rPr>
                <w:sz w:val="7"/>
                <w:szCs w:val="7"/>
                <w:color w:val="auto"/>
              </w:rPr>
            </w:pPr>
          </w:p>
        </w:tc>
        <w:tc>
          <w:tcPr>
            <w:tcW w:w="1680" w:type="dxa"/>
            <w:vAlign w:val="bottom"/>
            <w:tcBorders>
              <w:top w:val="single" w:sz="8" w:color="231F20"/>
              <w:bottom w:val="single" w:sz="8" w:color="231F20"/>
            </w:tcBorders>
            <w:gridSpan w:val="5"/>
            <w:vMerge w:val="restart"/>
          </w:tcPr>
          <w:p>
            <w:pPr>
              <w:jc w:val="center"/>
              <w:ind w:right="80"/>
              <w:spacing w:after="0" w:line="156" w:lineRule="exact"/>
              <w:rPr>
                <w:sz w:val="20"/>
                <w:szCs w:val="20"/>
                <w:color w:val="auto"/>
              </w:rPr>
            </w:pPr>
            <w:r>
              <w:rPr>
                <w:rFonts w:ascii="Arial" w:cs="Arial" w:eastAsia="Arial" w:hAnsi="Arial"/>
                <w:sz w:val="18"/>
                <w:szCs w:val="18"/>
                <w:color w:val="231F20"/>
                <w:w w:val="93"/>
              </w:rPr>
              <w:t>Commitment/</w:t>
            </w:r>
          </w:p>
        </w:tc>
        <w:tc>
          <w:tcPr>
            <w:tcW w:w="820" w:type="dxa"/>
            <w:vAlign w:val="bottom"/>
            <w:tcBorders>
              <w:right w:val="single" w:sz="8" w:color="231F20"/>
            </w:tcBorders>
            <w:vMerge w:val="restart"/>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bottom w:val="single" w:sz="8" w:color="231F20"/>
            </w:tcBorders>
            <w:vMerge w:val="continue"/>
          </w:tcPr>
          <w:p>
            <w:pPr>
              <w:spacing w:after="0"/>
              <w:rPr>
                <w:sz w:val="7"/>
                <w:szCs w:val="7"/>
                <w:color w:val="auto"/>
              </w:rPr>
            </w:pPr>
          </w:p>
        </w:tc>
        <w:tc>
          <w:tcPr>
            <w:tcW w:w="520" w:type="dxa"/>
            <w:vAlign w:val="bottom"/>
            <w:tcBorders>
              <w:right w:val="single" w:sz="8" w:color="231F20"/>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231F20"/>
            </w:tcBorders>
          </w:tcPr>
          <w:p>
            <w:pPr>
              <w:spacing w:after="0"/>
              <w:rPr>
                <w:sz w:val="4"/>
                <w:szCs w:val="4"/>
                <w:color w:val="auto"/>
              </w:rPr>
            </w:pPr>
          </w:p>
        </w:tc>
        <w:tc>
          <w:tcPr>
            <w:tcW w:w="2760" w:type="dxa"/>
            <w:vAlign w:val="bottom"/>
            <w:tcBorders>
              <w:right w:val="single" w:sz="8" w:color="231F20"/>
            </w:tcBorders>
            <w:gridSpan w:val="5"/>
            <w:vMerge w:val="continue"/>
          </w:tcPr>
          <w:p>
            <w:pPr>
              <w:spacing w:after="0"/>
              <w:rPr>
                <w:sz w:val="4"/>
                <w:szCs w:val="4"/>
                <w:color w:val="auto"/>
              </w:rPr>
            </w:pPr>
          </w:p>
        </w:tc>
        <w:tc>
          <w:tcPr>
            <w:tcW w:w="3000" w:type="dxa"/>
            <w:vAlign w:val="bottom"/>
            <w:tcBorders>
              <w:right w:val="single" w:sz="8" w:color="231F20"/>
            </w:tcBorders>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820" w:type="dxa"/>
            <w:vAlign w:val="bottom"/>
            <w:tcBorders>
              <w:right w:val="single" w:sz="8" w:color="231F20"/>
            </w:tcBorders>
            <w:vMerge w:val="continue"/>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gridSpan w:val="3"/>
            <w:vMerge w:val="restart"/>
          </w:tcPr>
          <w:p>
            <w:pPr>
              <w:jc w:val="center"/>
              <w:spacing w:after="0" w:line="182" w:lineRule="exact"/>
              <w:rPr>
                <w:sz w:val="20"/>
                <w:szCs w:val="20"/>
                <w:color w:val="auto"/>
              </w:rPr>
            </w:pPr>
            <w:r>
              <w:rPr>
                <w:rFonts w:ascii="Arial" w:cs="Arial" w:eastAsia="Arial" w:hAnsi="Arial"/>
                <w:sz w:val="18"/>
                <w:szCs w:val="18"/>
                <w:color w:val="231F20"/>
                <w:w w:val="93"/>
              </w:rPr>
              <w:t>Number</w:t>
            </w:r>
          </w:p>
        </w:tc>
        <w:tc>
          <w:tcPr>
            <w:tcW w:w="480" w:type="dxa"/>
            <w:vAlign w:val="bottom"/>
            <w:tcBorders>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00" w:type="dxa"/>
            <w:vAlign w:val="bottom"/>
            <w:tcBorders>
              <w:left w:val="single" w:sz="8" w:color="231F20"/>
            </w:tcBorders>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231F20"/>
              </w:rPr>
              <w:t>Lenders</w:t>
            </w:r>
          </w:p>
        </w:tc>
        <w:tc>
          <w:tcPr>
            <w:tcW w:w="440" w:type="dxa"/>
            <w:vAlign w:val="bottom"/>
            <w:tcBorders>
              <w:top w:val="single" w:sz="8" w:color="231F20"/>
            </w:tcBorders>
          </w:tcPr>
          <w:p>
            <w:pPr>
              <w:spacing w:after="0"/>
              <w:rPr>
                <w:sz w:val="11"/>
                <w:szCs w:val="11"/>
                <w:color w:val="auto"/>
              </w:rPr>
            </w:pPr>
          </w:p>
        </w:tc>
        <w:tc>
          <w:tcPr>
            <w:tcW w:w="680" w:type="dxa"/>
            <w:vAlign w:val="bottom"/>
            <w:tcBorders>
              <w:right w:val="single" w:sz="8" w:color="231F20"/>
            </w:tcBorders>
          </w:tcPr>
          <w:p>
            <w:pPr>
              <w:spacing w:after="0"/>
              <w:rPr>
                <w:sz w:val="11"/>
                <w:szCs w:val="11"/>
                <w:color w:val="auto"/>
              </w:rPr>
            </w:pPr>
          </w:p>
        </w:tc>
        <w:tc>
          <w:tcPr>
            <w:tcW w:w="3000" w:type="dxa"/>
            <w:vAlign w:val="bottom"/>
            <w:tcBorders>
              <w:right w:val="single" w:sz="8" w:color="231F20"/>
            </w:tcBorders>
            <w:gridSpan w:val="3"/>
          </w:tcPr>
          <w:p>
            <w:pPr>
              <w:jc w:val="center"/>
              <w:ind w:right="40"/>
              <w:spacing w:after="0" w:line="122" w:lineRule="exact"/>
              <w:rPr>
                <w:sz w:val="20"/>
                <w:szCs w:val="20"/>
                <w:color w:val="auto"/>
              </w:rPr>
            </w:pPr>
            <w:r>
              <w:rPr>
                <w:rFonts w:ascii="Arial" w:cs="Arial" w:eastAsia="Arial" w:hAnsi="Arial"/>
                <w:sz w:val="13"/>
                <w:szCs w:val="13"/>
                <w:color w:val="231F20"/>
              </w:rPr>
              <w:t>Assigned</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top w:val="single" w:sz="8" w:color="231F20"/>
            </w:tcBorders>
          </w:tcPr>
          <w:p>
            <w:pPr>
              <w:spacing w:after="0"/>
              <w:rPr>
                <w:sz w:val="11"/>
                <w:szCs w:val="11"/>
                <w:color w:val="auto"/>
              </w:rPr>
            </w:pPr>
          </w:p>
        </w:tc>
        <w:tc>
          <w:tcPr>
            <w:tcW w:w="760" w:type="dxa"/>
            <w:vAlign w:val="bottom"/>
            <w:tcBorders>
              <w:top w:val="single" w:sz="8" w:color="231F20"/>
              <w:bottom w:val="single" w:sz="8" w:color="231F20"/>
            </w:tcBorders>
            <w:gridSpan w:val="2"/>
          </w:tcPr>
          <w:p>
            <w:pPr>
              <w:jc w:val="center"/>
              <w:ind w:right="280"/>
              <w:spacing w:after="0" w:line="129" w:lineRule="exact"/>
              <w:rPr>
                <w:sz w:val="20"/>
                <w:szCs w:val="20"/>
                <w:color w:val="auto"/>
              </w:rPr>
            </w:pPr>
            <w:r>
              <w:rPr>
                <w:rFonts w:ascii="Arial" w:cs="Arial" w:eastAsia="Arial" w:hAnsi="Arial"/>
                <w:sz w:val="13"/>
                <w:szCs w:val="13"/>
                <w:color w:val="231F20"/>
              </w:rPr>
              <w:t>Loans</w:t>
            </w:r>
            <w:r>
              <w:rPr>
                <w:rFonts w:ascii="Arial" w:cs="Arial" w:eastAsia="Arial" w:hAnsi="Arial"/>
                <w:sz w:val="8"/>
                <w:szCs w:val="8"/>
                <w:color w:val="231F20"/>
              </w:rPr>
              <w:t>4</w:t>
            </w:r>
          </w:p>
        </w:tc>
        <w:tc>
          <w:tcPr>
            <w:tcW w:w="1200" w:type="dxa"/>
            <w:vAlign w:val="bottom"/>
            <w:tcBorders>
              <w:right w:val="single" w:sz="8" w:color="231F20"/>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Borders>
              <w:bottom w:val="single" w:sz="8" w:color="231F20"/>
            </w:tcBorders>
            <w:gridSpan w:val="3"/>
            <w:vMerge w:val="continue"/>
          </w:tcPr>
          <w:p>
            <w:pPr>
              <w:spacing w:after="0"/>
              <w:rPr>
                <w:sz w:val="11"/>
                <w:szCs w:val="11"/>
                <w:color w:val="auto"/>
              </w:rPr>
            </w:pPr>
          </w:p>
        </w:tc>
        <w:tc>
          <w:tcPr>
            <w:tcW w:w="48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231F20"/>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right w:val="single" w:sz="8" w:color="231F20"/>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180" w:type="dxa"/>
            <w:vAlign w:val="bottom"/>
            <w:tcBorders>
              <w:right w:val="single" w:sz="8" w:color="231F20"/>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right w:val="single" w:sz="8" w:color="231F2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 w:type="dxa"/>
            <w:vAlign w:val="bottom"/>
            <w:tcBorders>
              <w:left w:val="single" w:sz="8" w:color="231F20"/>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right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right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Borders>
              <w:left w:val="single" w:sz="8" w:color="231F20"/>
              <w:bottom w:val="single" w:sz="8" w:color="231F20"/>
            </w:tcBorders>
          </w:tcPr>
          <w:p>
            <w:pPr>
              <w:spacing w:after="0"/>
              <w:rPr>
                <w:sz w:val="15"/>
                <w:szCs w:val="15"/>
                <w:color w:val="auto"/>
              </w:rPr>
            </w:pPr>
          </w:p>
        </w:tc>
        <w:tc>
          <w:tcPr>
            <w:tcW w:w="84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4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right w:val="single" w:sz="8" w:color="231F20"/>
            </w:tcBorders>
          </w:tcPr>
          <w:p>
            <w:pPr>
              <w:spacing w:after="0"/>
              <w:rPr>
                <w:sz w:val="15"/>
                <w:szCs w:val="15"/>
                <w:color w:val="auto"/>
              </w:rPr>
            </w:pPr>
          </w:p>
        </w:tc>
        <w:tc>
          <w:tcPr>
            <w:tcW w:w="11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tcBorders>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48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38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right w:val="single" w:sz="8" w:color="231F20"/>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4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40" w:type="dxa"/>
            <w:vAlign w:val="bottom"/>
            <w:tcBorders>
              <w:bottom w:val="single" w:sz="8" w:color="231F20"/>
            </w:tcBorders>
          </w:tcPr>
          <w:p>
            <w:pPr>
              <w:spacing w:after="0"/>
              <w:rPr>
                <w:sz w:val="15"/>
                <w:szCs w:val="15"/>
                <w:color w:val="auto"/>
              </w:rPr>
            </w:pPr>
          </w:p>
        </w:tc>
        <w:tc>
          <w:tcPr>
            <w:tcW w:w="48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231F20"/>
            </w:tcBorders>
          </w:tcPr>
          <w:p>
            <w:pPr>
              <w:jc w:val="right"/>
              <w:ind w:right="308"/>
              <w:spacing w:after="0"/>
              <w:rPr>
                <w:sz w:val="20"/>
                <w:szCs w:val="20"/>
                <w:color w:val="auto"/>
              </w:rPr>
            </w:pPr>
            <w:r>
              <w:rPr>
                <w:rFonts w:ascii="Arial" w:cs="Arial" w:eastAsia="Arial" w:hAnsi="Arial"/>
                <w:sz w:val="18"/>
                <w:szCs w:val="18"/>
                <w:color w:val="231F20"/>
                <w:w w:val="79"/>
              </w:rPr>
              <w:t>$</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right w:val="single" w:sz="8" w:color="231F20"/>
            </w:tcBorders>
          </w:tcPr>
          <w:p>
            <w:pPr>
              <w:spacing w:after="0"/>
              <w:rPr>
                <w:sz w:val="20"/>
                <w:szCs w:val="20"/>
                <w:color w:val="auto"/>
              </w:rPr>
            </w:pPr>
          </w:p>
        </w:tc>
        <w:tc>
          <w:tcPr>
            <w:tcW w:w="1820" w:type="dxa"/>
            <w:vAlign w:val="bottom"/>
            <w:gridSpan w:val="2"/>
          </w:tcPr>
          <w:p>
            <w:pPr>
              <w:jc w:val="center"/>
              <w:ind w:left="1054"/>
              <w:spacing w:after="0"/>
              <w:rPr>
                <w:sz w:val="20"/>
                <w:szCs w:val="20"/>
                <w:color w:val="auto"/>
              </w:rPr>
            </w:pPr>
            <w:r>
              <w:rPr>
                <w:rFonts w:ascii="Arial" w:cs="Arial" w:eastAsia="Arial" w:hAnsi="Arial"/>
                <w:sz w:val="18"/>
                <w:szCs w:val="18"/>
                <w:color w:val="231F20"/>
                <w:w w:val="79"/>
              </w:rPr>
              <w:t>$</w:t>
            </w:r>
          </w:p>
        </w:tc>
        <w:tc>
          <w:tcPr>
            <w:tcW w:w="1180" w:type="dxa"/>
            <w:vAlign w:val="bottom"/>
            <w:tcBorders>
              <w:right w:val="single" w:sz="8" w:color="231F20"/>
            </w:tcBorders>
          </w:tcPr>
          <w:p>
            <w:pPr>
              <w:spacing w:after="0"/>
              <w:rPr>
                <w:sz w:val="20"/>
                <w:szCs w:val="20"/>
                <w:color w:val="auto"/>
              </w:rPr>
            </w:pPr>
          </w:p>
        </w:tc>
        <w:tc>
          <w:tcPr>
            <w:tcW w:w="1920" w:type="dxa"/>
            <w:vAlign w:val="bottom"/>
            <w:gridSpan w:val="4"/>
          </w:tcPr>
          <w:p>
            <w:pPr>
              <w:jc w:val="center"/>
              <w:ind w:left="1350"/>
              <w:spacing w:after="0"/>
              <w:rPr>
                <w:sz w:val="20"/>
                <w:szCs w:val="20"/>
                <w:color w:val="auto"/>
              </w:rPr>
            </w:pPr>
            <w:r>
              <w:rPr>
                <w:rFonts w:ascii="Arial" w:cs="Arial" w:eastAsia="Arial" w:hAnsi="Arial"/>
                <w:sz w:val="18"/>
                <w:szCs w:val="18"/>
                <w:color w:val="231F20"/>
                <w:w w:val="99"/>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231F20"/>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180" w:type="dxa"/>
            <w:vAlign w:val="bottom"/>
            <w:tcBorders>
              <w:bottom w:val="single" w:sz="8" w:color="231F20"/>
              <w:right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231F20"/>
            </w:tcBorders>
          </w:tcPr>
          <w:p>
            <w:pPr>
              <w:jc w:val="right"/>
              <w:ind w:right="308"/>
              <w:spacing w:after="0"/>
              <w:rPr>
                <w:sz w:val="20"/>
                <w:szCs w:val="20"/>
                <w:color w:val="auto"/>
              </w:rPr>
            </w:pPr>
            <w:r>
              <w:rPr>
                <w:rFonts w:ascii="Arial" w:cs="Arial" w:eastAsia="Arial" w:hAnsi="Arial"/>
                <w:sz w:val="18"/>
                <w:szCs w:val="18"/>
                <w:color w:val="231F20"/>
                <w:w w:val="79"/>
              </w:rPr>
              <w:t>$</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right w:val="single" w:sz="8" w:color="231F20"/>
            </w:tcBorders>
          </w:tcPr>
          <w:p>
            <w:pPr>
              <w:spacing w:after="0"/>
              <w:rPr>
                <w:sz w:val="20"/>
                <w:szCs w:val="20"/>
                <w:color w:val="auto"/>
              </w:rPr>
            </w:pPr>
          </w:p>
        </w:tc>
        <w:tc>
          <w:tcPr>
            <w:tcW w:w="1820" w:type="dxa"/>
            <w:vAlign w:val="bottom"/>
            <w:gridSpan w:val="2"/>
          </w:tcPr>
          <w:p>
            <w:pPr>
              <w:jc w:val="center"/>
              <w:ind w:left="1054"/>
              <w:spacing w:after="0"/>
              <w:rPr>
                <w:sz w:val="20"/>
                <w:szCs w:val="20"/>
                <w:color w:val="auto"/>
              </w:rPr>
            </w:pPr>
            <w:r>
              <w:rPr>
                <w:rFonts w:ascii="Arial" w:cs="Arial" w:eastAsia="Arial" w:hAnsi="Arial"/>
                <w:sz w:val="18"/>
                <w:szCs w:val="18"/>
                <w:color w:val="231F20"/>
                <w:w w:val="79"/>
              </w:rPr>
              <w:t>$</w:t>
            </w:r>
          </w:p>
        </w:tc>
        <w:tc>
          <w:tcPr>
            <w:tcW w:w="1180" w:type="dxa"/>
            <w:vAlign w:val="bottom"/>
            <w:tcBorders>
              <w:right w:val="single" w:sz="8" w:color="231F20"/>
            </w:tcBorders>
          </w:tcPr>
          <w:p>
            <w:pPr>
              <w:spacing w:after="0"/>
              <w:rPr>
                <w:sz w:val="20"/>
                <w:szCs w:val="20"/>
                <w:color w:val="auto"/>
              </w:rPr>
            </w:pPr>
          </w:p>
        </w:tc>
        <w:tc>
          <w:tcPr>
            <w:tcW w:w="1920" w:type="dxa"/>
            <w:vAlign w:val="bottom"/>
            <w:gridSpan w:val="4"/>
          </w:tcPr>
          <w:p>
            <w:pPr>
              <w:jc w:val="center"/>
              <w:ind w:left="1350"/>
              <w:spacing w:after="0"/>
              <w:rPr>
                <w:sz w:val="20"/>
                <w:szCs w:val="20"/>
                <w:color w:val="auto"/>
              </w:rPr>
            </w:pPr>
            <w:r>
              <w:rPr>
                <w:rFonts w:ascii="Arial" w:cs="Arial" w:eastAsia="Arial" w:hAnsi="Arial"/>
                <w:sz w:val="18"/>
                <w:szCs w:val="18"/>
                <w:color w:val="231F20"/>
                <w:w w:val="99"/>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231F20"/>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180" w:type="dxa"/>
            <w:vAlign w:val="bottom"/>
            <w:tcBorders>
              <w:bottom w:val="single" w:sz="8" w:color="231F20"/>
              <w:right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231F20"/>
            </w:tcBorders>
          </w:tcPr>
          <w:p>
            <w:pPr>
              <w:jc w:val="right"/>
              <w:ind w:right="308"/>
              <w:spacing w:after="0"/>
              <w:rPr>
                <w:sz w:val="20"/>
                <w:szCs w:val="20"/>
                <w:color w:val="auto"/>
              </w:rPr>
            </w:pPr>
            <w:r>
              <w:rPr>
                <w:rFonts w:ascii="Arial" w:cs="Arial" w:eastAsia="Arial" w:hAnsi="Arial"/>
                <w:sz w:val="18"/>
                <w:szCs w:val="18"/>
                <w:color w:val="231F20"/>
                <w:w w:val="79"/>
              </w:rPr>
              <w:t>$</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right w:val="single" w:sz="8" w:color="231F20"/>
            </w:tcBorders>
          </w:tcPr>
          <w:p>
            <w:pPr>
              <w:spacing w:after="0"/>
              <w:rPr>
                <w:sz w:val="20"/>
                <w:szCs w:val="20"/>
                <w:color w:val="auto"/>
              </w:rPr>
            </w:pPr>
          </w:p>
        </w:tc>
        <w:tc>
          <w:tcPr>
            <w:tcW w:w="1820" w:type="dxa"/>
            <w:vAlign w:val="bottom"/>
            <w:gridSpan w:val="2"/>
          </w:tcPr>
          <w:p>
            <w:pPr>
              <w:jc w:val="center"/>
              <w:ind w:left="1054"/>
              <w:spacing w:after="0"/>
              <w:rPr>
                <w:sz w:val="20"/>
                <w:szCs w:val="20"/>
                <w:color w:val="auto"/>
              </w:rPr>
            </w:pPr>
            <w:r>
              <w:rPr>
                <w:rFonts w:ascii="Arial" w:cs="Arial" w:eastAsia="Arial" w:hAnsi="Arial"/>
                <w:sz w:val="18"/>
                <w:szCs w:val="18"/>
                <w:color w:val="231F20"/>
                <w:w w:val="79"/>
              </w:rPr>
              <w:t>$</w:t>
            </w:r>
          </w:p>
        </w:tc>
        <w:tc>
          <w:tcPr>
            <w:tcW w:w="1180" w:type="dxa"/>
            <w:vAlign w:val="bottom"/>
            <w:tcBorders>
              <w:right w:val="single" w:sz="8" w:color="231F20"/>
            </w:tcBorders>
          </w:tcPr>
          <w:p>
            <w:pPr>
              <w:spacing w:after="0"/>
              <w:rPr>
                <w:sz w:val="20"/>
                <w:szCs w:val="20"/>
                <w:color w:val="auto"/>
              </w:rPr>
            </w:pPr>
          </w:p>
        </w:tc>
        <w:tc>
          <w:tcPr>
            <w:tcW w:w="1920" w:type="dxa"/>
            <w:vAlign w:val="bottom"/>
            <w:gridSpan w:val="4"/>
          </w:tcPr>
          <w:p>
            <w:pPr>
              <w:jc w:val="center"/>
              <w:ind w:left="1350"/>
              <w:spacing w:after="0"/>
              <w:rPr>
                <w:sz w:val="20"/>
                <w:szCs w:val="20"/>
                <w:color w:val="auto"/>
              </w:rPr>
            </w:pPr>
            <w:r>
              <w:rPr>
                <w:rFonts w:ascii="Arial" w:cs="Arial" w:eastAsia="Arial" w:hAnsi="Arial"/>
                <w:sz w:val="18"/>
                <w:szCs w:val="18"/>
                <w:color w:val="231F20"/>
                <w:w w:val="99"/>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231F20"/>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180" w:type="dxa"/>
            <w:vAlign w:val="bottom"/>
            <w:tcBorders>
              <w:bottom w:val="single" w:sz="8" w:color="231F20"/>
              <w:right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31F20"/>
        </w:rPr>
        <w:t>[</w:t>
      </w:r>
      <w:r>
        <w:rPr>
          <w:rFonts w:ascii="Arial" w:cs="Arial" w:eastAsia="Arial" w:hAnsi="Arial"/>
          <w:sz w:val="22"/>
          <w:szCs w:val="22"/>
          <w:color w:val="231F20"/>
        </w:rPr>
        <w:t>7.Trade Date:________</w:t>
      </w:r>
      <w:r>
        <w:rPr>
          <w:rFonts w:ascii="Arial" w:cs="Arial" w:eastAsia="Arial" w:hAnsi="Arial"/>
          <w:sz w:val="22"/>
          <w:szCs w:val="22"/>
          <w:b w:val="1"/>
          <w:bCs w:val="1"/>
          <w:color w:val="231F20"/>
        </w:rPr>
        <w:t xml:space="preserve"> ]</w:t>
      </w:r>
      <w:r>
        <w:rPr>
          <w:rFonts w:ascii="Arial" w:cs="Arial" w:eastAsia="Arial" w:hAnsi="Arial"/>
          <w:sz w:val="14"/>
          <w:szCs w:val="14"/>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-13970</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231F20"/>
        </w:rPr>
        <w:t xml:space="preserve">Effective Date: </w:t>
      </w:r>
      <w:r>
        <w:rPr>
          <w:rFonts w:ascii="Arial" w:cs="Arial" w:eastAsia="Arial" w:hAnsi="Arial"/>
          <w:sz w:val="22"/>
          <w:szCs w:val="22"/>
          <w:u w:val="single" w:color="auto"/>
          <w:color w:val="231F20"/>
        </w:rPr>
        <w:t>_______</w:t>
      </w:r>
      <w:r>
        <w:rPr>
          <w:rFonts w:ascii="Arial" w:cs="Arial" w:eastAsia="Arial" w:hAnsi="Arial"/>
          <w:sz w:val="22"/>
          <w:szCs w:val="22"/>
          <w:color w:val="231F20"/>
        </w:rPr>
        <w:t xml:space="preserve"> , 20 [TO BE INSERTED BY THE ADMINISTRATIVE AGENT AND WHICH</w:t>
      </w:r>
    </w:p>
    <w:p>
      <w:pPr>
        <w:spacing w:after="0" w:line="21" w:lineRule="exact"/>
        <w:rPr>
          <w:sz w:val="20"/>
          <w:szCs w:val="20"/>
          <w:color w:val="auto"/>
        </w:rPr>
      </w:pPr>
    </w:p>
    <w:p>
      <w:pPr>
        <w:ind w:left="220" w:right="1300"/>
        <w:spacing w:after="0" w:line="246" w:lineRule="auto"/>
        <w:rPr>
          <w:sz w:val="20"/>
          <w:szCs w:val="20"/>
          <w:color w:val="auto"/>
        </w:rPr>
      </w:pPr>
      <w:r>
        <w:rPr>
          <w:rFonts w:ascii="Arial" w:cs="Arial" w:eastAsia="Arial" w:hAnsi="Arial"/>
          <w:sz w:val="22"/>
          <w:szCs w:val="22"/>
          <w:color w:val="231F20"/>
        </w:rPr>
        <w:t>SHALL BE THE EFFECTIVE DATE OF RECORDATION OF TRANSFER IN THE REGISTER THEREFOR.]</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22"/>
          <w:szCs w:val="22"/>
          <w:color w:val="231F20"/>
        </w:rPr>
        <w:t>The terms set forth in this Assignment and Assumption are hereby agreed to:</w:t>
      </w:r>
    </w:p>
    <w:p>
      <w:pPr>
        <w:spacing w:after="0" w:line="260"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231F20"/>
        </w:rPr>
        <w:t>ASSIGNOR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231F20"/>
        </w:rPr>
        <w:t>[NAME OF ASSIGNOR]</w:t>
      </w: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Arial" w:cs="Arial" w:eastAsia="Arial" w:hAnsi="Arial"/>
          <w:sz w:val="22"/>
          <w:szCs w:val="22"/>
          <w:color w:val="231F20"/>
        </w:rPr>
        <w:t>By:  Title:</w:t>
      </w: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231F20"/>
        </w:rPr>
        <w:t>ASSIGNEE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231F20"/>
        </w:rPr>
        <w:t>[NAME OF ASSIGNEE]</w:t>
      </w: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Arial" w:cs="Arial" w:eastAsia="Arial" w:hAnsi="Arial"/>
          <w:sz w:val="22"/>
          <w:szCs w:val="22"/>
          <w:color w:val="231F20"/>
        </w:rPr>
        <w:t>By: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83" w:lineRule="exact"/>
        <w:rPr>
          <w:sz w:val="20"/>
          <w:szCs w:val="20"/>
          <w:color w:val="auto"/>
        </w:rPr>
      </w:pPr>
    </w:p>
    <w:p>
      <w:pPr>
        <w:ind w:left="180" w:right="2060"/>
        <w:spacing w:after="0" w:line="274" w:lineRule="auto"/>
        <w:rPr>
          <w:sz w:val="20"/>
          <w:szCs w:val="20"/>
          <w:color w:val="auto"/>
        </w:rPr>
      </w:pPr>
      <w:r>
        <w:rPr>
          <w:rFonts w:ascii="Arial" w:cs="Arial" w:eastAsia="Arial" w:hAnsi="Arial"/>
          <w:sz w:val="11"/>
          <w:szCs w:val="11"/>
          <w:color w:val="231F20"/>
        </w:rPr>
        <w:t xml:space="preserve">3 </w:t>
      </w:r>
      <w:r>
        <w:rPr>
          <w:rFonts w:ascii="Arial" w:cs="Arial" w:eastAsia="Arial" w:hAnsi="Arial"/>
          <w:sz w:val="17"/>
          <w:szCs w:val="17"/>
          <w:color w:val="231F20"/>
        </w:rPr>
        <w:t>Amount to be adjusted by the counterparts to take into account any payments or prepayments made between the Trade Date</w:t>
      </w:r>
      <w:r>
        <w:rPr>
          <w:rFonts w:ascii="Arial" w:cs="Arial" w:eastAsia="Arial" w:hAnsi="Arial"/>
          <w:sz w:val="11"/>
          <w:szCs w:val="11"/>
          <w:color w:val="231F20"/>
        </w:rPr>
        <w:t xml:space="preserve"> </w:t>
      </w:r>
      <w:r>
        <w:rPr>
          <w:rFonts w:ascii="Arial" w:cs="Arial" w:eastAsia="Arial" w:hAnsi="Arial"/>
          <w:sz w:val="17"/>
          <w:szCs w:val="17"/>
          <w:color w:val="231F20"/>
        </w:rPr>
        <w:t>and the Effective Date.</w:t>
      </w:r>
    </w:p>
    <w:p>
      <w:pPr>
        <w:ind w:left="220"/>
        <w:spacing w:after="0"/>
        <w:rPr>
          <w:sz w:val="20"/>
          <w:szCs w:val="20"/>
          <w:color w:val="auto"/>
        </w:rPr>
      </w:pPr>
      <w:r>
        <w:rPr>
          <w:rFonts w:ascii="Arial" w:cs="Arial" w:eastAsia="Arial" w:hAnsi="Arial"/>
          <w:sz w:val="11"/>
          <w:szCs w:val="11"/>
          <w:color w:val="231F20"/>
        </w:rPr>
        <w:t xml:space="preserve">4 </w:t>
      </w:r>
      <w:r>
        <w:rPr>
          <w:rFonts w:ascii="Arial" w:cs="Arial" w:eastAsia="Arial" w:hAnsi="Arial"/>
          <w:sz w:val="17"/>
          <w:szCs w:val="17"/>
          <w:color w:val="231F20"/>
        </w:rPr>
        <w:t>Set forth, to at least 9 decimals, as a percentage of the Commitment/Loans of all Lenders thereunder.</w:t>
      </w:r>
    </w:p>
    <w:p>
      <w:pPr>
        <w:spacing w:after="0" w:line="34" w:lineRule="exact"/>
        <w:rPr>
          <w:sz w:val="20"/>
          <w:szCs w:val="20"/>
          <w:color w:val="auto"/>
        </w:rPr>
      </w:pPr>
    </w:p>
    <w:p>
      <w:pPr>
        <w:ind w:left="180" w:right="2040"/>
        <w:spacing w:after="0" w:line="306" w:lineRule="auto"/>
        <w:rPr>
          <w:sz w:val="20"/>
          <w:szCs w:val="20"/>
          <w:color w:val="auto"/>
        </w:rPr>
      </w:pPr>
      <w:r>
        <w:rPr>
          <w:rFonts w:ascii="Arial" w:cs="Arial" w:eastAsia="Arial" w:hAnsi="Arial"/>
          <w:sz w:val="11"/>
          <w:szCs w:val="11"/>
          <w:color w:val="231F20"/>
        </w:rPr>
        <w:t xml:space="preserve">5 </w:t>
      </w:r>
      <w:r>
        <w:rPr>
          <w:rFonts w:ascii="Arial" w:cs="Arial" w:eastAsia="Arial" w:hAnsi="Arial"/>
          <w:sz w:val="17"/>
          <w:szCs w:val="17"/>
          <w:color w:val="231F20"/>
        </w:rPr>
        <w:t>To be completed if the Assignor and the Assignee intend that the minimum assignment amount is to be determined as of the</w:t>
      </w:r>
      <w:r>
        <w:rPr>
          <w:rFonts w:ascii="Arial" w:cs="Arial" w:eastAsia="Arial" w:hAnsi="Arial"/>
          <w:sz w:val="11"/>
          <w:szCs w:val="11"/>
          <w:color w:val="231F20"/>
        </w:rPr>
        <w:t xml:space="preserve"> </w:t>
      </w:r>
      <w:r>
        <w:rPr>
          <w:rFonts w:ascii="Arial" w:cs="Arial" w:eastAsia="Arial" w:hAnsi="Arial"/>
          <w:sz w:val="17"/>
          <w:szCs w:val="17"/>
          <w:color w:val="231F20"/>
        </w:rPr>
        <w:t>Trade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86" w:name="page187"/>
    <w:bookmarkEnd w:id="186"/>
    <w:p>
      <w:pPr>
        <w:ind w:left="220"/>
        <w:spacing w:after="0"/>
        <w:rPr>
          <w:sz w:val="20"/>
          <w:szCs w:val="20"/>
          <w:color w:val="auto"/>
        </w:rPr>
      </w:pPr>
      <w:r>
        <w:rPr>
          <w:rFonts w:ascii="Arial" w:cs="Arial" w:eastAsia="Arial" w:hAnsi="Arial"/>
          <w:sz w:val="22"/>
          <w:szCs w:val="22"/>
          <w:color w:val="231F20"/>
        </w:rPr>
        <w:t>[Consented to and]</w:t>
      </w:r>
      <w:r>
        <w:rPr>
          <w:rFonts w:ascii="Arial" w:cs="Arial" w:eastAsia="Arial" w:hAnsi="Arial"/>
          <w:sz w:val="14"/>
          <w:szCs w:val="14"/>
          <w:color w:val="231F20"/>
        </w:rPr>
        <w:t>6</w:t>
      </w:r>
      <w:r>
        <w:rPr>
          <w:rFonts w:ascii="Arial" w:cs="Arial" w:eastAsia="Arial" w:hAnsi="Arial"/>
          <w:sz w:val="22"/>
          <w:szCs w:val="22"/>
          <w:color w:val="231F20"/>
        </w:rPr>
        <w:t xml:space="preserve"> Accepted:</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22"/>
          <w:szCs w:val="22"/>
          <w:color w:val="231F20"/>
        </w:rPr>
        <w:t>BANK OF AMERICA, N.A., as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22"/>
          <w:szCs w:val="22"/>
          <w:color w:val="231F20"/>
        </w:rPr>
        <w:t>Administrative Agent</w:t>
      </w:r>
    </w:p>
    <w:p>
      <w:pPr>
        <w:spacing w:after="0" w:line="200" w:lineRule="exact"/>
        <w:rPr>
          <w:sz w:val="20"/>
          <w:szCs w:val="20"/>
          <w:color w:val="auto"/>
        </w:rPr>
      </w:pPr>
    </w:p>
    <w:p>
      <w:pPr>
        <w:spacing w:after="0" w:line="285" w:lineRule="exact"/>
        <w:rPr>
          <w:sz w:val="20"/>
          <w:szCs w:val="20"/>
          <w:color w:val="auto"/>
        </w:rPr>
      </w:pPr>
    </w:p>
    <w:p>
      <w:pPr>
        <w:ind w:left="260"/>
        <w:spacing w:after="0"/>
        <w:rPr>
          <w:sz w:val="20"/>
          <w:szCs w:val="20"/>
          <w:color w:val="auto"/>
        </w:rPr>
      </w:pPr>
      <w:r>
        <w:rPr>
          <w:rFonts w:ascii="Arial" w:cs="Arial" w:eastAsia="Arial" w:hAnsi="Arial"/>
          <w:sz w:val="22"/>
          <w:szCs w:val="22"/>
          <w:color w:val="231F20"/>
        </w:rPr>
        <w:t>By:_______________________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22"/>
          <w:szCs w:val="22"/>
          <w:color w:val="231F20"/>
        </w:rPr>
        <w:t>Title:</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231F20"/>
        </w:rPr>
        <w:t>[Consented to:</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231F20"/>
        </w:rPr>
        <w:t>FIDELITY NATIONAL FINANCIAL, INC.</w:t>
      </w: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22"/>
          <w:szCs w:val="22"/>
          <w:color w:val="231F20"/>
        </w:rPr>
        <w:t>By:_______________________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22"/>
          <w:szCs w:val="22"/>
          <w:color w:val="231F20"/>
        </w:rPr>
        <w:t xml:space="preserve">Title:] </w:t>
      </w:r>
      <w:r>
        <w:rPr>
          <w:rFonts w:ascii="Arial" w:cs="Arial" w:eastAsia="Arial" w:hAnsi="Arial"/>
          <w:sz w:val="14"/>
          <w:szCs w:val="14"/>
          <w:color w:val="231F20"/>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0"/>
          <w:szCs w:val="10"/>
          <w:color w:val="231F20"/>
        </w:rPr>
        <w:t xml:space="preserve">6 </w:t>
      </w:r>
      <w:r>
        <w:rPr>
          <w:rFonts w:ascii="Arial" w:cs="Arial" w:eastAsia="Arial" w:hAnsi="Arial"/>
          <w:sz w:val="16"/>
          <w:szCs w:val="16"/>
          <w:color w:val="231F20"/>
        </w:rPr>
        <w:t>To be added only if the consent of the Administrative Agent is required by the terms of the Credit Agreement.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1"/>
          <w:szCs w:val="11"/>
          <w:color w:val="231F20"/>
        </w:rPr>
        <w:t xml:space="preserve">7 </w:t>
      </w:r>
      <w:r>
        <w:rPr>
          <w:rFonts w:ascii="Arial" w:cs="Arial" w:eastAsia="Arial" w:hAnsi="Arial"/>
          <w:sz w:val="17"/>
          <w:szCs w:val="17"/>
          <w:color w:val="231F20"/>
        </w:rPr>
        <w:t>To be added only if the consent of the Borrower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 - 3</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Form of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2" w:right="1440" w:bottom="1440" w:gutter="0" w:footer="0" w:header="0"/>
        </w:sectPr>
      </w:pPr>
    </w:p>
    <w:bookmarkStart w:id="187" w:name="page188"/>
    <w:bookmarkEnd w:id="187"/>
    <w:p>
      <w:pPr>
        <w:ind w:left="3730"/>
        <w:spacing w:after="0"/>
        <w:rPr>
          <w:sz w:val="20"/>
          <w:szCs w:val="20"/>
          <w:color w:val="auto"/>
        </w:rPr>
      </w:pPr>
      <w:r>
        <w:rPr>
          <w:rFonts w:ascii="Arial" w:cs="Arial" w:eastAsia="Arial" w:hAnsi="Arial"/>
          <w:sz w:val="22"/>
          <w:szCs w:val="22"/>
          <w:b w:val="1"/>
          <w:bCs w:val="1"/>
          <w:i w:val="1"/>
          <w:iCs w:val="1"/>
          <w:color w:val="231F20"/>
        </w:rPr>
        <w:t>ANNEX 1 TO ASSIGNMENT AND ASSUMPTION</w:t>
      </w:r>
    </w:p>
    <w:p>
      <w:pPr>
        <w:spacing w:after="0" w:line="21" w:lineRule="exact"/>
        <w:rPr>
          <w:sz w:val="20"/>
          <w:szCs w:val="20"/>
          <w:color w:val="auto"/>
        </w:rPr>
      </w:pPr>
    </w:p>
    <w:p>
      <w:pPr>
        <w:jc w:val="center"/>
        <w:ind w:right="-889"/>
        <w:spacing w:after="0"/>
        <w:rPr>
          <w:sz w:val="20"/>
          <w:szCs w:val="20"/>
          <w:color w:val="auto"/>
        </w:rPr>
      </w:pPr>
      <w:r>
        <w:rPr>
          <w:rFonts w:ascii="Arial" w:cs="Arial" w:eastAsia="Arial" w:hAnsi="Arial"/>
          <w:sz w:val="22"/>
          <w:szCs w:val="22"/>
          <w:color w:val="auto"/>
        </w:rPr>
        <w:t>STANDARD TERMS AND CONDITIONS FOR</w:t>
      </w:r>
    </w:p>
    <w:p>
      <w:pPr>
        <w:spacing w:after="0" w:line="4" w:lineRule="exact"/>
        <w:rPr>
          <w:sz w:val="20"/>
          <w:szCs w:val="20"/>
          <w:color w:val="auto"/>
        </w:rPr>
      </w:pPr>
    </w:p>
    <w:p>
      <w:pPr>
        <w:jc w:val="center"/>
        <w:ind w:right="-889"/>
        <w:spacing w:after="0"/>
        <w:rPr>
          <w:sz w:val="20"/>
          <w:szCs w:val="20"/>
          <w:color w:val="auto"/>
        </w:rPr>
      </w:pPr>
      <w:r>
        <w:rPr>
          <w:rFonts w:ascii="Arial" w:cs="Arial" w:eastAsia="Arial" w:hAnsi="Arial"/>
          <w:sz w:val="22"/>
          <w:szCs w:val="22"/>
          <w:color w:val="auto"/>
        </w:rPr>
        <w:t>ASSIGNMENT AND ASSUMPTION</w:t>
      </w:r>
    </w:p>
    <w:p>
      <w:pPr>
        <w:spacing w:after="0" w:line="4" w:lineRule="exact"/>
        <w:rPr>
          <w:sz w:val="20"/>
          <w:szCs w:val="20"/>
          <w:color w:val="auto"/>
        </w:rPr>
      </w:pPr>
    </w:p>
    <w:p>
      <w:pPr>
        <w:ind w:left="450"/>
        <w:spacing w:after="0"/>
        <w:rPr>
          <w:sz w:val="20"/>
          <w:szCs w:val="20"/>
          <w:color w:val="auto"/>
        </w:rPr>
      </w:pPr>
      <w:r>
        <w:rPr>
          <w:rFonts w:ascii="Arial" w:cs="Arial" w:eastAsia="Arial" w:hAnsi="Arial"/>
          <w:sz w:val="22"/>
          <w:szCs w:val="22"/>
          <w:u w:val="single" w:color="auto"/>
          <w:color w:val="231F20"/>
        </w:rPr>
        <w:t>a. Representations and Warranties</w:t>
      </w:r>
      <w:r>
        <w:rPr>
          <w:rFonts w:ascii="Arial" w:cs="Arial" w:eastAsia="Arial" w:hAnsi="Arial"/>
          <w:sz w:val="22"/>
          <w:szCs w:val="22"/>
          <w:color w:val="231F20"/>
        </w:rPr>
        <w:t>.</w:t>
      </w:r>
    </w:p>
    <w:p>
      <w:pPr>
        <w:spacing w:after="0" w:line="256" w:lineRule="exact"/>
        <w:rPr>
          <w:sz w:val="20"/>
          <w:szCs w:val="20"/>
          <w:color w:val="auto"/>
        </w:rPr>
      </w:pPr>
    </w:p>
    <w:p>
      <w:pPr>
        <w:jc w:val="both"/>
        <w:ind w:left="10" w:right="199" w:firstLine="504"/>
        <w:spacing w:after="0" w:line="291" w:lineRule="auto"/>
        <w:rPr>
          <w:sz w:val="20"/>
          <w:szCs w:val="20"/>
          <w:color w:val="auto"/>
        </w:rPr>
      </w:pPr>
      <w:r>
        <w:rPr>
          <w:rFonts w:ascii="Arial" w:cs="Arial" w:eastAsia="Arial" w:hAnsi="Arial"/>
          <w:sz w:val="19"/>
          <w:szCs w:val="19"/>
          <w:color w:val="231F20"/>
        </w:rPr>
        <w:t xml:space="preserve">1.1. </w:t>
      </w:r>
      <w:r>
        <w:rPr>
          <w:rFonts w:ascii="Arial" w:cs="Arial" w:eastAsia="Arial" w:hAnsi="Arial"/>
          <w:sz w:val="19"/>
          <w:szCs w:val="19"/>
          <w:u w:val="single" w:color="auto"/>
          <w:color w:val="231F20"/>
        </w:rPr>
        <w:t>Assignor</w:t>
      </w:r>
      <w:r>
        <w:rPr>
          <w:rFonts w:ascii="Arial" w:cs="Arial" w:eastAsia="Arial" w:hAnsi="Arial"/>
          <w:sz w:val="19"/>
          <w:szCs w:val="19"/>
          <w:color w:val="231F20"/>
        </w:rPr>
        <w:t>. The Assignor (a) represents and warrants that (i) it is the legal and beneficial owner of the Assigned Interest, (ii) the Assigned Interest is free and clear of any lien, encumbrance or other adverse claim,</w:t>
      </w:r>
    </w:p>
    <w:p>
      <w:pPr>
        <w:spacing w:after="0" w:line="1" w:lineRule="exact"/>
        <w:rPr>
          <w:sz w:val="20"/>
          <w:szCs w:val="20"/>
          <w:color w:val="auto"/>
        </w:rPr>
      </w:pPr>
    </w:p>
    <w:p>
      <w:pPr>
        <w:jc w:val="both"/>
        <w:ind w:left="10" w:right="199" w:hanging="10"/>
        <w:spacing w:after="0" w:line="287" w:lineRule="auto"/>
        <w:tabs>
          <w:tab w:leader="none" w:pos="403" w:val="left"/>
        </w:tabs>
        <w:numPr>
          <w:ilvl w:val="0"/>
          <w:numId w:val="148"/>
        </w:numPr>
        <w:rPr>
          <w:rFonts w:ascii="Arial" w:cs="Arial" w:eastAsia="Arial" w:hAnsi="Arial"/>
          <w:sz w:val="19"/>
          <w:szCs w:val="19"/>
          <w:color w:val="231F20"/>
        </w:rPr>
      </w:pPr>
      <w:r>
        <w:rPr>
          <w:rFonts w:ascii="Arial" w:cs="Arial" w:eastAsia="Arial" w:hAnsi="Arial"/>
          <w:sz w:val="19"/>
          <w:szCs w:val="19"/>
          <w:color w:val="231F20"/>
        </w:rPr>
        <w:t>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7" w:lineRule="exact"/>
        <w:rPr>
          <w:sz w:val="20"/>
          <w:szCs w:val="20"/>
          <w:color w:val="auto"/>
        </w:rPr>
      </w:pPr>
    </w:p>
    <w:p>
      <w:pPr>
        <w:jc w:val="both"/>
        <w:ind w:left="10" w:right="199" w:firstLine="552"/>
        <w:spacing w:after="0" w:line="282" w:lineRule="auto"/>
        <w:rPr>
          <w:sz w:val="20"/>
          <w:szCs w:val="20"/>
          <w:color w:val="auto"/>
        </w:rPr>
      </w:pPr>
      <w:r>
        <w:rPr>
          <w:rFonts w:ascii="Arial" w:cs="Arial" w:eastAsia="Arial" w:hAnsi="Arial"/>
          <w:sz w:val="19"/>
          <w:szCs w:val="19"/>
          <w:color w:val="231F20"/>
        </w:rPr>
        <w:t xml:space="preserve">1.2. </w:t>
      </w:r>
      <w:r>
        <w:rPr>
          <w:rFonts w:ascii="Arial" w:cs="Arial" w:eastAsia="Arial" w:hAnsi="Arial"/>
          <w:sz w:val="19"/>
          <w:szCs w:val="19"/>
          <w:u w:val="single" w:color="auto"/>
          <w:color w:val="231F20"/>
        </w:rPr>
        <w:t>Assignee</w:t>
      </w:r>
      <w:r>
        <w:rPr>
          <w:rFonts w:ascii="Arial" w:cs="Arial" w:eastAsia="Arial" w:hAnsi="Arial"/>
          <w:sz w:val="19"/>
          <w:szCs w:val="19"/>
          <w:color w:val="231F20"/>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9"/>
          <w:szCs w:val="19"/>
          <w:u w:val="single" w:color="auto"/>
          <w:color w:val="231F20"/>
        </w:rPr>
        <w:t>Section 6.01</w:t>
      </w:r>
      <w:r>
        <w:rPr>
          <w:rFonts w:ascii="Arial" w:cs="Arial" w:eastAsia="Arial" w:hAnsi="Arial"/>
          <w:sz w:val="19"/>
          <w:szCs w:val="19"/>
          <w:color w:val="231F20"/>
        </w:rPr>
        <w:t xml:space="preserve"> thereof, as applicable, and such other documents and information as it has deemed appropriate to make its own credit analysis and decision to enter into this Assignment and Assumption and to purchase the Assigned Interest, (vi) it has, independently and without reliance on the Administrative Agent or any other Lender and based on such documents and information as it has deemed appropriate, made its own credit analysis and decision to enter into this Assignment and Assumption and to purchase the Assigned Interest, and (vii) 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5" w:lineRule="exact"/>
        <w:rPr>
          <w:sz w:val="20"/>
          <w:szCs w:val="20"/>
          <w:color w:val="auto"/>
        </w:rPr>
      </w:pPr>
    </w:p>
    <w:p>
      <w:pPr>
        <w:jc w:val="center"/>
        <w:ind w:right="-889"/>
        <w:spacing w:after="0"/>
        <w:rPr>
          <w:sz w:val="20"/>
          <w:szCs w:val="20"/>
          <w:color w:val="auto"/>
        </w:rPr>
      </w:pPr>
      <w:r>
        <w:rPr>
          <w:rFonts w:ascii="Arial" w:cs="Arial" w:eastAsia="Arial" w:hAnsi="Arial"/>
          <w:sz w:val="18"/>
          <w:szCs w:val="18"/>
          <w:color w:val="auto"/>
        </w:rPr>
        <w:t>F - 4</w:t>
      </w:r>
    </w:p>
    <w:p>
      <w:pPr>
        <w:spacing w:after="0" w:line="7" w:lineRule="exact"/>
        <w:rPr>
          <w:sz w:val="20"/>
          <w:szCs w:val="20"/>
          <w:color w:val="auto"/>
        </w:rPr>
      </w:pPr>
    </w:p>
    <w:p>
      <w:pPr>
        <w:jc w:val="center"/>
        <w:ind w:right="-889"/>
        <w:spacing w:after="0"/>
        <w:rPr>
          <w:sz w:val="20"/>
          <w:szCs w:val="20"/>
          <w:color w:val="auto"/>
        </w:rPr>
      </w:pPr>
      <w:r>
        <w:rPr>
          <w:rFonts w:ascii="Arial" w:cs="Arial" w:eastAsia="Arial" w:hAnsi="Arial"/>
          <w:sz w:val="18"/>
          <w:szCs w:val="18"/>
          <w:color w:val="auto"/>
        </w:rPr>
        <w:t>Form of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563245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9"/>
          </w:cols>
          <w:pgMar w:left="530" w:top="955" w:right="1440" w:bottom="1440" w:gutter="0" w:footer="0" w:header="0"/>
        </w:sectPr>
      </w:pPr>
    </w:p>
    <w:bookmarkStart w:id="188" w:name="page189"/>
    <w:bookmarkEnd w:id="188"/>
    <w:p>
      <w:pPr>
        <w:jc w:val="both"/>
        <w:ind w:left="-638" w:right="199" w:firstLine="638"/>
        <w:spacing w:after="0" w:line="247" w:lineRule="auto"/>
        <w:tabs>
          <w:tab w:leader="none" w:pos="455" w:val="left"/>
        </w:tabs>
        <w:numPr>
          <w:ilvl w:val="0"/>
          <w:numId w:val="149"/>
        </w:numPr>
        <w:rPr>
          <w:rFonts w:ascii="Arial" w:cs="Arial" w:eastAsia="Arial" w:hAnsi="Arial"/>
          <w:sz w:val="20"/>
          <w:szCs w:val="20"/>
          <w:color w:val="auto"/>
        </w:rPr>
      </w:pPr>
      <w:r>
        <w:rPr>
          <w:rFonts w:ascii="Arial" w:cs="Arial" w:eastAsia="Arial" w:hAnsi="Arial"/>
          <w:sz w:val="22"/>
          <w:szCs w:val="22"/>
          <w:u w:val="single" w:color="auto"/>
          <w:color w:val="231F20"/>
        </w:rPr>
        <w:t>Payments</w:t>
      </w:r>
      <w:r>
        <w:rPr>
          <w:rFonts w:ascii="Arial" w:cs="Arial" w:eastAsia="Arial" w:hAnsi="Arial"/>
          <w:sz w:val="22"/>
          <w:szCs w:val="22"/>
          <w:color w:val="231F20"/>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Administrative Agent shall make all payments of interest, fees or other amounts paid or payable in kind from and after the Effective Date to the Assignee.</w:t>
      </w:r>
    </w:p>
    <w:p>
      <w:pPr>
        <w:spacing w:after="0" w:line="233" w:lineRule="exact"/>
        <w:rPr>
          <w:rFonts w:ascii="Arial" w:cs="Arial" w:eastAsia="Arial" w:hAnsi="Arial"/>
          <w:sz w:val="20"/>
          <w:szCs w:val="20"/>
          <w:color w:val="auto"/>
        </w:rPr>
      </w:pPr>
    </w:p>
    <w:p>
      <w:pPr>
        <w:jc w:val="both"/>
        <w:ind w:left="-638" w:right="199" w:firstLine="638"/>
        <w:spacing w:after="0" w:line="290" w:lineRule="auto"/>
        <w:tabs>
          <w:tab w:leader="none" w:pos="444" w:val="left"/>
        </w:tabs>
        <w:numPr>
          <w:ilvl w:val="0"/>
          <w:numId w:val="149"/>
        </w:numPr>
        <w:rPr>
          <w:rFonts w:ascii="Arial" w:cs="Arial" w:eastAsia="Arial" w:hAnsi="Arial"/>
          <w:sz w:val="18"/>
          <w:szCs w:val="18"/>
          <w:color w:val="auto"/>
        </w:rPr>
      </w:pPr>
      <w:r>
        <w:rPr>
          <w:rFonts w:ascii="Arial" w:cs="Arial" w:eastAsia="Arial" w:hAnsi="Arial"/>
          <w:sz w:val="19"/>
          <w:szCs w:val="19"/>
          <w:u w:val="single" w:color="auto"/>
          <w:color w:val="231F20"/>
        </w:rPr>
        <w:t>General Provisions</w:t>
      </w:r>
      <w:r>
        <w:rPr>
          <w:rFonts w:ascii="Arial" w:cs="Arial" w:eastAsia="Arial" w:hAnsi="Arial"/>
          <w:sz w:val="19"/>
          <w:szCs w:val="19"/>
          <w:color w:val="231F20"/>
        </w:rPr>
        <w:t>. This Assignment and Assumption shall be binding upon, and inure to the benefit of, the parties hereto and their respective successors and permitted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To the extent that this Assignment and Assumption is to be cleared through an electronic clearing system, the Administrative Agent currently intends, based on circumstances existing on the date hereof, to use the ClearPar Settlement System, to the extent practicable and consistent with then current practice.</w:t>
      </w:r>
    </w:p>
    <w:p>
      <w:pPr>
        <w:spacing w:after="0" w:line="182" w:lineRule="exact"/>
        <w:rPr>
          <w:rFonts w:ascii="Arial" w:cs="Arial" w:eastAsia="Arial" w:hAnsi="Arial"/>
          <w:sz w:val="18"/>
          <w:szCs w:val="18"/>
          <w:color w:val="auto"/>
        </w:rPr>
      </w:pPr>
    </w:p>
    <w:p>
      <w:pPr>
        <w:ind w:left="-638" w:right="199" w:firstLine="638"/>
        <w:spacing w:after="0" w:line="263" w:lineRule="auto"/>
        <w:tabs>
          <w:tab w:leader="none" w:pos="455" w:val="left"/>
        </w:tabs>
        <w:numPr>
          <w:ilvl w:val="0"/>
          <w:numId w:val="149"/>
        </w:numPr>
        <w:rPr>
          <w:rFonts w:ascii="Arial" w:cs="Arial" w:eastAsia="Arial" w:hAnsi="Arial"/>
          <w:sz w:val="20"/>
          <w:szCs w:val="20"/>
          <w:color w:val="auto"/>
        </w:rPr>
      </w:pPr>
      <w:r>
        <w:rPr>
          <w:rFonts w:ascii="Arial" w:cs="Arial" w:eastAsia="Arial" w:hAnsi="Arial"/>
          <w:sz w:val="22"/>
          <w:szCs w:val="22"/>
          <w:u w:val="single" w:color="auto"/>
          <w:color w:val="231F20"/>
        </w:rPr>
        <w:t>GOVERNING LAW</w:t>
      </w:r>
      <w:r>
        <w:rPr>
          <w:rFonts w:ascii="Arial" w:cs="Arial" w:eastAsia="Arial" w:hAnsi="Arial"/>
          <w:sz w:val="22"/>
          <w:szCs w:val="22"/>
          <w:color w:val="231F20"/>
        </w:rPr>
        <w:t>.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41"/>
        <w:spacing w:after="0"/>
        <w:rPr>
          <w:sz w:val="20"/>
          <w:szCs w:val="20"/>
          <w:color w:val="auto"/>
        </w:rPr>
      </w:pPr>
      <w:r>
        <w:rPr>
          <w:rFonts w:ascii="Arial" w:cs="Arial" w:eastAsia="Arial" w:hAnsi="Arial"/>
          <w:sz w:val="18"/>
          <w:szCs w:val="18"/>
          <w:color w:val="auto"/>
        </w:rPr>
        <w:t>F - 5</w:t>
      </w:r>
    </w:p>
    <w:p>
      <w:pPr>
        <w:spacing w:after="0" w:line="23" w:lineRule="exact"/>
        <w:rPr>
          <w:sz w:val="20"/>
          <w:szCs w:val="20"/>
          <w:color w:val="auto"/>
        </w:rPr>
      </w:pPr>
    </w:p>
    <w:p>
      <w:pPr>
        <w:jc w:val="center"/>
        <w:ind w:right="-241"/>
        <w:spacing w:after="0"/>
        <w:rPr>
          <w:sz w:val="20"/>
          <w:szCs w:val="20"/>
          <w:color w:val="auto"/>
        </w:rPr>
      </w:pPr>
      <w:r>
        <w:rPr>
          <w:rFonts w:ascii="Arial" w:cs="Arial" w:eastAsia="Arial" w:hAnsi="Arial"/>
          <w:sz w:val="18"/>
          <w:szCs w:val="18"/>
          <w:color w:val="auto"/>
        </w:rPr>
        <w:t>Form of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563245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81"/>
          </w:cols>
          <w:pgMar w:left="1178" w:top="901" w:right="1440" w:bottom="1440" w:gutter="0" w:footer="0" w:header="0"/>
        </w:sectPr>
      </w:pPr>
    </w:p>
    <w:bookmarkStart w:id="189" w:name="page190"/>
    <w:bookmarkEnd w:id="189"/>
    <w:p>
      <w:pPr>
        <w:jc w:val="right"/>
        <w:ind w:right="519"/>
        <w:spacing w:after="0"/>
        <w:rPr>
          <w:sz w:val="20"/>
          <w:szCs w:val="20"/>
          <w:color w:val="auto"/>
        </w:rPr>
      </w:pPr>
      <w:r>
        <w:rPr>
          <w:rFonts w:ascii="Arial" w:cs="Arial" w:eastAsia="Arial" w:hAnsi="Arial"/>
          <w:sz w:val="20"/>
          <w:szCs w:val="20"/>
          <w:b w:val="1"/>
          <w:bCs w:val="1"/>
          <w:i w:val="1"/>
          <w:iCs w:val="1"/>
          <w:color w:val="231F20"/>
        </w:rPr>
        <w:t>EXHIBIT F-2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ADMINISTRATIVE QUESTIONNAIRE</w:t>
      </w: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231F20"/>
        </w:rPr>
        <w:t>Available upon request from the Administrative Agent.</w:t>
      </w:r>
    </w:p>
    <w:p>
      <w:pPr>
        <w:sectPr>
          <w:pgSz w:w="11900" w:h="16838" w:orient="portrait"/>
          <w:cols w:equalWidth="0" w:num="1">
            <w:col w:w="9019"/>
          </w:cols>
          <w:pgMar w:left="1440" w:top="9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577850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type w:val="continuous"/>
        </w:sectPr>
      </w:pPr>
    </w:p>
    <w:bookmarkStart w:id="190" w:name="page191"/>
    <w:bookmarkEnd w:id="190"/>
    <w:p>
      <w:pPr>
        <w:jc w:val="right"/>
        <w:ind w:right="519"/>
        <w:spacing w:after="0"/>
        <w:rPr>
          <w:sz w:val="20"/>
          <w:szCs w:val="20"/>
          <w:color w:val="auto"/>
        </w:rPr>
      </w:pPr>
      <w:r>
        <w:rPr>
          <w:rFonts w:ascii="Arial" w:cs="Arial" w:eastAsia="Arial" w:hAnsi="Arial"/>
          <w:sz w:val="20"/>
          <w:szCs w:val="20"/>
          <w:b w:val="1"/>
          <w:bCs w:val="1"/>
          <w:i w:val="1"/>
          <w:iCs w:val="1"/>
          <w:color w:val="231F20"/>
        </w:rPr>
        <w:t>EXHIBIT G-1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231F20"/>
        </w:rPr>
        <w:t>FORM OF</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231F20"/>
        </w:rPr>
        <w:t>U.S. TAX COMPLIANCE CERTIFICATE</w:t>
      </w:r>
    </w:p>
    <w:p>
      <w:pPr>
        <w:ind w:left="1040"/>
        <w:spacing w:after="0"/>
        <w:rPr>
          <w:sz w:val="20"/>
          <w:szCs w:val="20"/>
          <w:color w:val="auto"/>
        </w:rPr>
      </w:pPr>
      <w:r>
        <w:rPr>
          <w:rFonts w:ascii="Arial" w:cs="Arial" w:eastAsia="Arial" w:hAnsi="Arial"/>
          <w:sz w:val="20"/>
          <w:szCs w:val="20"/>
          <w:color w:val="231F20"/>
        </w:rPr>
        <w:t>(For Foreign Lenders That Are Not Partnerships For U.S. Federal Income Tax Purposes)</w:t>
      </w:r>
    </w:p>
    <w:p>
      <w:pPr>
        <w:spacing w:after="0" w:line="227" w:lineRule="exact"/>
        <w:rPr>
          <w:sz w:val="20"/>
          <w:szCs w:val="20"/>
          <w:color w:val="auto"/>
        </w:rPr>
      </w:pPr>
    </w:p>
    <w:p>
      <w:pPr>
        <w:jc w:val="both"/>
        <w:ind w:right="519" w:firstLine="648"/>
        <w:spacing w:after="0" w:line="263" w:lineRule="auto"/>
        <w:rPr>
          <w:sz w:val="20"/>
          <w:szCs w:val="20"/>
          <w:color w:val="auto"/>
        </w:rPr>
      </w:pPr>
      <w:r>
        <w:rPr>
          <w:rFonts w:ascii="Arial" w:cs="Arial" w:eastAsia="Arial" w:hAnsi="Arial"/>
          <w:sz w:val="19"/>
          <w:szCs w:val="19"/>
          <w:color w:val="231F20"/>
        </w:rPr>
        <w:t>Reference is hereby made to that certain Term Loan Credit Agreement, dated as of April 22, 2020 (as amended, restated, amended and restated, supplemented or otherwise modified from time to time, the “</w:t>
      </w:r>
      <w:r>
        <w:rPr>
          <w:rFonts w:ascii="Arial" w:cs="Arial" w:eastAsia="Arial" w:hAnsi="Arial"/>
          <w:sz w:val="19"/>
          <w:szCs w:val="19"/>
          <w:u w:val="single" w:color="auto"/>
          <w:color w:val="231F20"/>
        </w:rPr>
        <w:t>Credit</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Agreement</w:t>
      </w:r>
      <w:r>
        <w:rPr>
          <w:rFonts w:ascii="Arial" w:cs="Arial" w:eastAsia="Arial" w:hAnsi="Arial"/>
          <w:sz w:val="19"/>
          <w:szCs w:val="19"/>
          <w:color w:val="231F20"/>
        </w:rPr>
        <w:t>”), among Fidelity National Financial, Inc., a Delaware corporation (the “</w:t>
      </w:r>
      <w:r>
        <w:rPr>
          <w:rFonts w:ascii="Arial" w:cs="Arial" w:eastAsia="Arial" w:hAnsi="Arial"/>
          <w:sz w:val="19"/>
          <w:szCs w:val="19"/>
          <w:u w:val="single" w:color="auto"/>
          <w:color w:val="231F20"/>
        </w:rPr>
        <w:t>Borrower</w:t>
      </w:r>
      <w:r>
        <w:rPr>
          <w:rFonts w:ascii="Arial" w:cs="Arial" w:eastAsia="Arial" w:hAnsi="Arial"/>
          <w:sz w:val="19"/>
          <w:szCs w:val="19"/>
          <w:color w:val="231F20"/>
        </w:rPr>
        <w:t>”), Bank of America, N.A., as Administrative Agent, and each Lender from time to time party thereto.</w:t>
      </w:r>
    </w:p>
    <w:p>
      <w:pPr>
        <w:spacing w:after="0" w:line="217" w:lineRule="exact"/>
        <w:rPr>
          <w:sz w:val="20"/>
          <w:szCs w:val="20"/>
          <w:color w:val="auto"/>
        </w:rPr>
      </w:pPr>
    </w:p>
    <w:p>
      <w:pPr>
        <w:jc w:val="both"/>
        <w:ind w:right="519" w:firstLine="648"/>
        <w:spacing w:after="0" w:line="269" w:lineRule="auto"/>
        <w:rPr>
          <w:sz w:val="20"/>
          <w:szCs w:val="20"/>
          <w:color w:val="auto"/>
        </w:rPr>
      </w:pPr>
      <w:r>
        <w:rPr>
          <w:rFonts w:ascii="Arial" w:cs="Arial" w:eastAsia="Arial" w:hAnsi="Arial"/>
          <w:sz w:val="18"/>
          <w:szCs w:val="18"/>
          <w:color w:val="231F20"/>
        </w:rPr>
        <w:t xml:space="preserve">Pursuant to the provisions of </w:t>
      </w:r>
      <w:r>
        <w:rPr>
          <w:rFonts w:ascii="Arial" w:cs="Arial" w:eastAsia="Arial" w:hAnsi="Arial"/>
          <w:sz w:val="18"/>
          <w:szCs w:val="18"/>
          <w:u w:val="single" w:color="auto"/>
          <w:color w:val="231F20"/>
        </w:rPr>
        <w:t>Section 3.01(e)</w:t>
      </w:r>
      <w:r>
        <w:rPr>
          <w:rFonts w:ascii="Arial" w:cs="Arial" w:eastAsia="Arial" w:hAnsi="Arial"/>
          <w:sz w:val="18"/>
          <w:szCs w:val="18"/>
          <w:color w:val="231F20"/>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231F20"/>
        </w:rPr>
        <w:t>(3)(C) of the Code.</w:t>
      </w:r>
    </w:p>
    <w:p>
      <w:pPr>
        <w:spacing w:after="0" w:line="227" w:lineRule="exact"/>
        <w:rPr>
          <w:sz w:val="20"/>
          <w:szCs w:val="20"/>
          <w:color w:val="auto"/>
        </w:rPr>
      </w:pPr>
    </w:p>
    <w:p>
      <w:pPr>
        <w:jc w:val="both"/>
        <w:ind w:right="519" w:firstLine="648"/>
        <w:spacing w:after="0" w:line="257" w:lineRule="auto"/>
        <w:rPr>
          <w:sz w:val="20"/>
          <w:szCs w:val="20"/>
          <w:color w:val="auto"/>
        </w:rPr>
      </w:pPr>
      <w:r>
        <w:rPr>
          <w:rFonts w:ascii="Arial" w:cs="Arial" w:eastAsia="Arial" w:hAnsi="Arial"/>
          <w:sz w:val="19"/>
          <w:szCs w:val="19"/>
          <w:color w:val="231F20"/>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25" w:lineRule="exact"/>
        <w:rPr>
          <w:sz w:val="20"/>
          <w:szCs w:val="20"/>
          <w:color w:val="auto"/>
        </w:rPr>
      </w:pPr>
    </w:p>
    <w:p>
      <w:pPr>
        <w:jc w:val="both"/>
        <w:ind w:right="519" w:firstLine="648"/>
        <w:spacing w:after="0" w:line="260" w:lineRule="auto"/>
        <w:rPr>
          <w:sz w:val="20"/>
          <w:szCs w:val="20"/>
          <w:color w:val="auto"/>
        </w:rPr>
      </w:pPr>
      <w:r>
        <w:rPr>
          <w:rFonts w:ascii="Arial" w:cs="Arial" w:eastAsia="Arial" w:hAnsi="Arial"/>
          <w:sz w:val="20"/>
          <w:szCs w:val="20"/>
          <w:color w:val="231F20"/>
        </w:rPr>
        <w:t>Unless otherwise defined herein, terms defined in the Credit Agreement and used herein shall have the meanings given to them in the Credit Agreement.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231F20"/>
        </w:rPr>
        <w:t>[NAME OF LENDER]</w:t>
      </w:r>
    </w:p>
    <w:p>
      <w:pPr>
        <w:spacing w:after="0" w:line="200" w:lineRule="exact"/>
        <w:rPr>
          <w:sz w:val="20"/>
          <w:szCs w:val="20"/>
          <w:color w:val="auto"/>
        </w:rPr>
      </w:pPr>
    </w:p>
    <w:p>
      <w:pPr>
        <w:spacing w:after="0" w:line="299" w:lineRule="exact"/>
        <w:rPr>
          <w:sz w:val="20"/>
          <w:szCs w:val="20"/>
          <w:color w:val="auto"/>
        </w:rPr>
      </w:pPr>
    </w:p>
    <w:p>
      <w:pPr>
        <w:ind w:left="3920"/>
        <w:spacing w:after="0"/>
        <w:rPr>
          <w:sz w:val="20"/>
          <w:szCs w:val="20"/>
          <w:color w:val="auto"/>
        </w:rPr>
      </w:pPr>
      <w:r>
        <w:rPr>
          <w:rFonts w:ascii="Arial" w:cs="Arial" w:eastAsia="Arial" w:hAnsi="Arial"/>
          <w:sz w:val="20"/>
          <w:szCs w:val="20"/>
          <w:color w:val="231F20"/>
        </w:rPr>
        <w:t>By:_____________________________</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20"/>
          <w:szCs w:val="20"/>
          <w:color w:val="231F20"/>
        </w:rPr>
        <w:t>Name:___________________________</w:t>
      </w:r>
    </w:p>
    <w:p>
      <w:pPr>
        <w:ind w:left="3920"/>
        <w:spacing w:after="0"/>
        <w:rPr>
          <w:sz w:val="20"/>
          <w:szCs w:val="20"/>
          <w:color w:val="auto"/>
        </w:rPr>
      </w:pPr>
      <w:r>
        <w:rPr>
          <w:rFonts w:ascii="Arial" w:cs="Arial" w:eastAsia="Arial" w:hAnsi="Arial"/>
          <w:sz w:val="20"/>
          <w:szCs w:val="20"/>
          <w:color w:val="231F20"/>
        </w:rPr>
        <w:t>Title:____________________________</w:t>
      </w:r>
    </w:p>
    <w:p>
      <w:pPr>
        <w:spacing w:after="0" w:line="308" w:lineRule="exact"/>
        <w:rPr>
          <w:sz w:val="20"/>
          <w:szCs w:val="20"/>
          <w:color w:val="auto"/>
        </w:rPr>
      </w:pPr>
    </w:p>
    <w:p>
      <w:pPr>
        <w:ind w:left="3880"/>
        <w:spacing w:after="0"/>
        <w:rPr>
          <w:sz w:val="20"/>
          <w:szCs w:val="20"/>
          <w:color w:val="auto"/>
        </w:rPr>
      </w:pPr>
      <w:r>
        <w:rPr>
          <w:rFonts w:ascii="Arial" w:cs="Arial" w:eastAsia="Arial" w:hAnsi="Arial"/>
          <w:sz w:val="20"/>
          <w:szCs w:val="20"/>
          <w:color w:val="231F20"/>
        </w:rPr>
        <w:t>Date:_________________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G-1</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Form of U.S.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563245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99"/>
          </w:cols>
          <w:pgMar w:left="860" w:top="1203" w:right="1440" w:bottom="1440" w:gutter="0" w:footer="0" w:header="0"/>
        </w:sectPr>
      </w:pPr>
    </w:p>
    <w:bookmarkStart w:id="191" w:name="page192"/>
    <w:bookmarkEnd w:id="191"/>
    <w:p>
      <w:pPr>
        <w:jc w:val="right"/>
        <w:ind w:right="199"/>
        <w:spacing w:after="0"/>
        <w:rPr>
          <w:sz w:val="20"/>
          <w:szCs w:val="20"/>
          <w:color w:val="auto"/>
        </w:rPr>
      </w:pPr>
      <w:r>
        <w:rPr>
          <w:rFonts w:ascii="Arial" w:cs="Arial" w:eastAsia="Arial" w:hAnsi="Arial"/>
          <w:sz w:val="20"/>
          <w:szCs w:val="20"/>
          <w:b w:val="1"/>
          <w:bCs w:val="1"/>
          <w:i w:val="1"/>
          <w:iCs w:val="1"/>
          <w:color w:val="231F20"/>
        </w:rPr>
        <w:t>EXHIBIT G-2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231F20"/>
        </w:rPr>
        <w:t>FORM OF</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231F20"/>
        </w:rPr>
        <w:t>U.S. TAX COMPLIANCE CERTIFICATE</w:t>
      </w:r>
    </w:p>
    <w:p>
      <w:pPr>
        <w:ind w:left="1400"/>
        <w:spacing w:after="0"/>
        <w:rPr>
          <w:sz w:val="20"/>
          <w:szCs w:val="20"/>
          <w:color w:val="auto"/>
        </w:rPr>
      </w:pPr>
      <w:r>
        <w:rPr>
          <w:rFonts w:ascii="Arial" w:cs="Arial" w:eastAsia="Arial" w:hAnsi="Arial"/>
          <w:sz w:val="20"/>
          <w:szCs w:val="20"/>
          <w:color w:val="231F20"/>
        </w:rPr>
        <w:t>(For Foreign Participants That Are Not Partnerships For U.S. Federal Income Tax Purposes)</w:t>
      </w:r>
    </w:p>
    <w:p>
      <w:pPr>
        <w:spacing w:after="0" w:line="227" w:lineRule="exact"/>
        <w:rPr>
          <w:sz w:val="20"/>
          <w:szCs w:val="20"/>
          <w:color w:val="auto"/>
        </w:rPr>
      </w:pPr>
    </w:p>
    <w:p>
      <w:pPr>
        <w:jc w:val="both"/>
        <w:ind w:left="200" w:right="199" w:firstLine="648"/>
        <w:spacing w:after="0" w:line="246" w:lineRule="auto"/>
        <w:rPr>
          <w:sz w:val="20"/>
          <w:szCs w:val="20"/>
          <w:color w:val="auto"/>
        </w:rPr>
      </w:pPr>
      <w:r>
        <w:rPr>
          <w:rFonts w:ascii="Arial" w:cs="Arial" w:eastAsia="Arial" w:hAnsi="Arial"/>
          <w:sz w:val="20"/>
          <w:szCs w:val="20"/>
          <w:color w:val="231F20"/>
        </w:rPr>
        <w:t>Reference is hereby made to that certain Term Loan Credit Agreement, dated as of April 22, 2020 (as amended, restated, amended and restated, supplemented or otherwise modified from time to time, the “</w:t>
      </w:r>
      <w:r>
        <w:rPr>
          <w:rFonts w:ascii="Arial" w:cs="Arial" w:eastAsia="Arial" w:hAnsi="Arial"/>
          <w:sz w:val="20"/>
          <w:szCs w:val="20"/>
          <w:u w:val="single" w:color="auto"/>
          <w:color w:val="231F20"/>
        </w:rPr>
        <w:t>Credit Agreement</w:t>
      </w:r>
      <w:r>
        <w:rPr>
          <w:rFonts w:ascii="Arial" w:cs="Arial" w:eastAsia="Arial" w:hAnsi="Arial"/>
          <w:sz w:val="20"/>
          <w:szCs w:val="20"/>
          <w:color w:val="231F20"/>
        </w:rPr>
        <w:t>”), among Fidelity National Financial, Inc., a Delaware corporation (the “</w:t>
      </w:r>
      <w:r>
        <w:rPr>
          <w:rFonts w:ascii="Arial" w:cs="Arial" w:eastAsia="Arial" w:hAnsi="Arial"/>
          <w:sz w:val="20"/>
          <w:szCs w:val="20"/>
          <w:u w:val="single" w:color="auto"/>
          <w:color w:val="231F20"/>
        </w:rPr>
        <w:t>Borrower</w:t>
      </w:r>
      <w:r>
        <w:rPr>
          <w:rFonts w:ascii="Arial" w:cs="Arial" w:eastAsia="Arial" w:hAnsi="Arial"/>
          <w:sz w:val="20"/>
          <w:szCs w:val="20"/>
          <w:color w:val="231F20"/>
        </w:rPr>
        <w:t>”), Bank of America, N.A., as Administrative Agent, and each Lender from time to time party thereto.</w:t>
      </w:r>
    </w:p>
    <w:p>
      <w:pPr>
        <w:spacing w:after="0" w:line="232" w:lineRule="exact"/>
        <w:rPr>
          <w:sz w:val="20"/>
          <w:szCs w:val="20"/>
          <w:color w:val="auto"/>
        </w:rPr>
      </w:pPr>
    </w:p>
    <w:p>
      <w:pPr>
        <w:jc w:val="both"/>
        <w:ind w:left="200" w:right="199" w:firstLine="648"/>
        <w:spacing w:after="0" w:line="245" w:lineRule="auto"/>
        <w:rPr>
          <w:sz w:val="20"/>
          <w:szCs w:val="20"/>
          <w:color w:val="auto"/>
        </w:rPr>
      </w:pPr>
      <w:r>
        <w:rPr>
          <w:rFonts w:ascii="Arial" w:cs="Arial" w:eastAsia="Arial" w:hAnsi="Arial"/>
          <w:sz w:val="20"/>
          <w:szCs w:val="20"/>
          <w:color w:val="231F20"/>
        </w:rPr>
        <w:t xml:space="preserve">Pursuant to the provisions of </w:t>
      </w:r>
      <w:r>
        <w:rPr>
          <w:rFonts w:ascii="Arial" w:cs="Arial" w:eastAsia="Arial" w:hAnsi="Arial"/>
          <w:sz w:val="20"/>
          <w:szCs w:val="20"/>
          <w:u w:val="single" w:color="auto"/>
          <w:color w:val="231F20"/>
        </w:rPr>
        <w:t>Section 3.01(e)</w:t>
      </w:r>
      <w:r>
        <w:rPr>
          <w:rFonts w:ascii="Arial" w:cs="Arial" w:eastAsia="Arial" w:hAnsi="Arial"/>
          <w:sz w:val="20"/>
          <w:szCs w:val="20"/>
          <w:color w:val="231F20"/>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ind w:left="200" w:right="199" w:hanging="185"/>
        <w:spacing w:after="0" w:line="269" w:lineRule="auto"/>
        <w:rPr>
          <w:sz w:val="20"/>
          <w:szCs w:val="20"/>
          <w:color w:val="auto"/>
        </w:rPr>
      </w:pPr>
      <w:r>
        <w:rPr>
          <w:rFonts w:ascii="Arial" w:cs="Arial" w:eastAsia="Arial" w:hAnsi="Arial"/>
          <w:sz w:val="19"/>
          <w:szCs w:val="19"/>
          <w:color w:val="auto"/>
        </w:rPr>
        <w:t>(i)</w:t>
      </w:r>
      <w:r>
        <w:rPr>
          <w:rFonts w:ascii="Arial" w:cs="Arial" w:eastAsia="Arial" w:hAnsi="Arial"/>
          <w:sz w:val="19"/>
          <w:szCs w:val="19"/>
          <w:color w:val="231F20"/>
        </w:rPr>
        <w:t>it is not a ten percent shareholder of the Borrower within the meaning of Section 871(h)(3)(B) of the Code and (iv) it is not</w:t>
      </w:r>
      <w:r>
        <w:rPr>
          <w:rFonts w:ascii="Arial" w:cs="Arial" w:eastAsia="Arial" w:hAnsi="Arial"/>
          <w:sz w:val="19"/>
          <w:szCs w:val="19"/>
          <w:color w:val="auto"/>
        </w:rPr>
        <w:t xml:space="preserve"> </w:t>
      </w:r>
      <w:r>
        <w:rPr>
          <w:rFonts w:ascii="Arial" w:cs="Arial" w:eastAsia="Arial" w:hAnsi="Arial"/>
          <w:sz w:val="19"/>
          <w:szCs w:val="19"/>
          <w:color w:val="231F20"/>
        </w:rPr>
        <w:t>a controlled foreign corporation related to the Borrower as described in Section 881(c)(3)(C) of the Code.</w:t>
      </w:r>
    </w:p>
    <w:p>
      <w:pPr>
        <w:spacing w:after="0" w:line="196" w:lineRule="exact"/>
        <w:rPr>
          <w:sz w:val="20"/>
          <w:szCs w:val="20"/>
          <w:color w:val="auto"/>
        </w:rPr>
      </w:pPr>
    </w:p>
    <w:p>
      <w:pPr>
        <w:jc w:val="both"/>
        <w:ind w:left="200" w:right="199" w:firstLine="648"/>
        <w:spacing w:after="0" w:line="243" w:lineRule="auto"/>
        <w:rPr>
          <w:sz w:val="20"/>
          <w:szCs w:val="20"/>
          <w:color w:val="auto"/>
        </w:rPr>
      </w:pPr>
      <w:r>
        <w:rPr>
          <w:rFonts w:ascii="Arial" w:cs="Arial" w:eastAsia="Arial" w:hAnsi="Arial"/>
          <w:sz w:val="20"/>
          <w:szCs w:val="20"/>
          <w:color w:val="231F20"/>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36" w:lineRule="exact"/>
        <w:rPr>
          <w:sz w:val="20"/>
          <w:szCs w:val="20"/>
          <w:color w:val="auto"/>
        </w:rPr>
      </w:pPr>
    </w:p>
    <w:p>
      <w:pPr>
        <w:jc w:val="both"/>
        <w:ind w:left="200" w:right="199" w:firstLine="648"/>
        <w:spacing w:after="0" w:line="260" w:lineRule="auto"/>
        <w:rPr>
          <w:sz w:val="20"/>
          <w:szCs w:val="20"/>
          <w:color w:val="auto"/>
        </w:rPr>
      </w:pPr>
      <w:r>
        <w:rPr>
          <w:rFonts w:ascii="Arial" w:cs="Arial" w:eastAsia="Arial" w:hAnsi="Arial"/>
          <w:sz w:val="20"/>
          <w:szCs w:val="20"/>
          <w:color w:val="231F20"/>
        </w:rPr>
        <w:t>Unless otherwise defined herein, terms defined in the Credit Agreement and used herein shall have the meanings given to them in the Credit Agreement.</w:t>
      </w:r>
    </w:p>
    <w:p>
      <w:pPr>
        <w:spacing w:after="0" w:line="217"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231F20"/>
        </w:rPr>
        <w:t>[NAME OF PARTICIPANT]</w:t>
      </w:r>
    </w:p>
    <w:p>
      <w:pPr>
        <w:spacing w:after="0" w:line="200" w:lineRule="exact"/>
        <w:rPr>
          <w:sz w:val="20"/>
          <w:szCs w:val="20"/>
          <w:color w:val="auto"/>
        </w:rPr>
      </w:pPr>
    </w:p>
    <w:p>
      <w:pPr>
        <w:spacing w:after="0" w:line="299" w:lineRule="exact"/>
        <w:rPr>
          <w:sz w:val="20"/>
          <w:szCs w:val="20"/>
          <w:color w:val="auto"/>
        </w:rPr>
      </w:pPr>
    </w:p>
    <w:p>
      <w:pPr>
        <w:ind w:left="4080"/>
        <w:spacing w:after="0"/>
        <w:rPr>
          <w:sz w:val="20"/>
          <w:szCs w:val="20"/>
          <w:color w:val="auto"/>
        </w:rPr>
      </w:pPr>
      <w:r>
        <w:rPr>
          <w:rFonts w:ascii="Arial" w:cs="Arial" w:eastAsia="Arial" w:hAnsi="Arial"/>
          <w:sz w:val="20"/>
          <w:szCs w:val="20"/>
          <w:color w:val="231F20"/>
        </w:rPr>
        <w:t>By:____________________________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231F20"/>
        </w:rPr>
        <w:t>Name:__________________________</w:t>
      </w:r>
    </w:p>
    <w:p>
      <w:pPr>
        <w:ind w:left="4080"/>
        <w:spacing w:after="0"/>
        <w:rPr>
          <w:sz w:val="20"/>
          <w:szCs w:val="20"/>
          <w:color w:val="auto"/>
        </w:rPr>
      </w:pPr>
      <w:r>
        <w:rPr>
          <w:rFonts w:ascii="Arial" w:cs="Arial" w:eastAsia="Arial" w:hAnsi="Arial"/>
          <w:sz w:val="20"/>
          <w:szCs w:val="20"/>
          <w:color w:val="231F20"/>
        </w:rPr>
        <w:t>Title:___________________________</w:t>
      </w:r>
    </w:p>
    <w:p>
      <w:pPr>
        <w:spacing w:after="0" w:line="302" w:lineRule="exact"/>
        <w:rPr>
          <w:sz w:val="20"/>
          <w:szCs w:val="20"/>
          <w:color w:val="auto"/>
        </w:rPr>
      </w:pPr>
    </w:p>
    <w:p>
      <w:pPr>
        <w:ind w:left="4080"/>
        <w:spacing w:after="0"/>
        <w:rPr>
          <w:sz w:val="20"/>
          <w:szCs w:val="20"/>
          <w:color w:val="auto"/>
        </w:rPr>
      </w:pPr>
      <w:r>
        <w:rPr>
          <w:rFonts w:ascii="Arial" w:cs="Arial" w:eastAsia="Arial" w:hAnsi="Arial"/>
          <w:sz w:val="20"/>
          <w:szCs w:val="20"/>
          <w:color w:val="231F20"/>
        </w:rPr>
        <w:t xml:space="preserve">Date: </w:t>
      </w:r>
      <w:r>
        <w:rPr>
          <w:rFonts w:ascii="Arial" w:cs="Arial" w:eastAsia="Arial" w:hAnsi="Arial"/>
          <w:sz w:val="20"/>
          <w:szCs w:val="20"/>
          <w:b w:val="1"/>
          <w:bCs w:val="1"/>
          <w:u w:val="single" w:color="auto"/>
          <w:color w:val="231F20"/>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G-2</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Form of U.S.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203" w:right="1440" w:bottom="1440" w:gutter="0" w:footer="0" w:header="0"/>
        </w:sectPr>
      </w:pPr>
    </w:p>
    <w:bookmarkStart w:id="192" w:name="page193"/>
    <w:bookmarkEnd w:id="192"/>
    <w:p>
      <w:pPr>
        <w:jc w:val="right"/>
        <w:ind w:right="199"/>
        <w:spacing w:after="0"/>
        <w:rPr>
          <w:sz w:val="20"/>
          <w:szCs w:val="20"/>
          <w:color w:val="auto"/>
        </w:rPr>
      </w:pPr>
      <w:r>
        <w:rPr>
          <w:rFonts w:ascii="Arial" w:cs="Arial" w:eastAsia="Arial" w:hAnsi="Arial"/>
          <w:sz w:val="20"/>
          <w:szCs w:val="20"/>
          <w:b w:val="1"/>
          <w:bCs w:val="1"/>
          <w:i w:val="1"/>
          <w:iCs w:val="1"/>
          <w:color w:val="231F20"/>
        </w:rPr>
        <w:t>EXHIBIT G-3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231F20"/>
        </w:rPr>
        <w:t>FORM OF</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231F20"/>
        </w:rPr>
        <w:t>U.S. TAX COMPLIANCE CERTIFICATE</w:t>
      </w:r>
    </w:p>
    <w:p>
      <w:pPr>
        <w:ind w:left="920"/>
        <w:spacing w:after="0"/>
        <w:rPr>
          <w:sz w:val="20"/>
          <w:szCs w:val="20"/>
          <w:color w:val="auto"/>
        </w:rPr>
      </w:pPr>
      <w:r>
        <w:rPr>
          <w:rFonts w:ascii="Arial" w:cs="Arial" w:eastAsia="Arial" w:hAnsi="Arial"/>
          <w:sz w:val="20"/>
          <w:szCs w:val="20"/>
          <w:color w:val="231F20"/>
        </w:rPr>
        <w:t>(For Foreign Participants That Are Partnerships For U.S. Federal Income Tax Purposes)</w:t>
      </w:r>
    </w:p>
    <w:p>
      <w:pPr>
        <w:spacing w:after="0" w:line="227" w:lineRule="exact"/>
        <w:rPr>
          <w:sz w:val="20"/>
          <w:szCs w:val="20"/>
          <w:color w:val="auto"/>
        </w:rPr>
      </w:pPr>
    </w:p>
    <w:p>
      <w:pPr>
        <w:jc w:val="both"/>
        <w:ind w:left="200" w:right="199" w:firstLine="648"/>
        <w:spacing w:after="0" w:line="246" w:lineRule="auto"/>
        <w:rPr>
          <w:sz w:val="20"/>
          <w:szCs w:val="20"/>
          <w:color w:val="auto"/>
        </w:rPr>
      </w:pPr>
      <w:r>
        <w:rPr>
          <w:rFonts w:ascii="Arial" w:cs="Arial" w:eastAsia="Arial" w:hAnsi="Arial"/>
          <w:sz w:val="20"/>
          <w:szCs w:val="20"/>
          <w:color w:val="231F20"/>
        </w:rPr>
        <w:t>Reference is hereby made to that certain Term Loan Credit Agreement, dated as of April 22, 2020 (as amended, restated, amended and restated, supplemented or otherwise modified from time to time, the “</w:t>
      </w:r>
      <w:r>
        <w:rPr>
          <w:rFonts w:ascii="Arial" w:cs="Arial" w:eastAsia="Arial" w:hAnsi="Arial"/>
          <w:sz w:val="20"/>
          <w:szCs w:val="20"/>
          <w:u w:val="single" w:color="auto"/>
          <w:color w:val="231F20"/>
        </w:rPr>
        <w:t>Credit Agreement</w:t>
      </w:r>
      <w:r>
        <w:rPr>
          <w:rFonts w:ascii="Arial" w:cs="Arial" w:eastAsia="Arial" w:hAnsi="Arial"/>
          <w:sz w:val="20"/>
          <w:szCs w:val="20"/>
          <w:color w:val="231F20"/>
        </w:rPr>
        <w:t>”), among Fidelity National Financial, Inc., a Delaware corporation (the “</w:t>
      </w:r>
      <w:r>
        <w:rPr>
          <w:rFonts w:ascii="Arial" w:cs="Arial" w:eastAsia="Arial" w:hAnsi="Arial"/>
          <w:sz w:val="20"/>
          <w:szCs w:val="20"/>
          <w:u w:val="single" w:color="auto"/>
          <w:color w:val="231F20"/>
        </w:rPr>
        <w:t>Borrower</w:t>
      </w:r>
      <w:r>
        <w:rPr>
          <w:rFonts w:ascii="Arial" w:cs="Arial" w:eastAsia="Arial" w:hAnsi="Arial"/>
          <w:sz w:val="20"/>
          <w:szCs w:val="20"/>
          <w:color w:val="231F20"/>
        </w:rPr>
        <w:t>”), Bank of America, N.A., as Administrative Agent, and each Lender from time to time party thereto.</w:t>
      </w:r>
    </w:p>
    <w:p>
      <w:pPr>
        <w:spacing w:after="0" w:line="232" w:lineRule="exact"/>
        <w:rPr>
          <w:sz w:val="20"/>
          <w:szCs w:val="20"/>
          <w:color w:val="auto"/>
        </w:rPr>
      </w:pPr>
    </w:p>
    <w:p>
      <w:pPr>
        <w:jc w:val="both"/>
        <w:ind w:left="200" w:right="199" w:firstLine="648"/>
        <w:spacing w:after="0" w:line="245" w:lineRule="auto"/>
        <w:rPr>
          <w:sz w:val="20"/>
          <w:szCs w:val="20"/>
          <w:color w:val="auto"/>
        </w:rPr>
      </w:pPr>
      <w:r>
        <w:rPr>
          <w:rFonts w:ascii="Arial" w:cs="Arial" w:eastAsia="Arial" w:hAnsi="Arial"/>
          <w:sz w:val="20"/>
          <w:szCs w:val="20"/>
          <w:color w:val="231F20"/>
        </w:rPr>
        <w:t xml:space="preserve">Pursuant to the provisions of </w:t>
      </w:r>
      <w:r>
        <w:rPr>
          <w:rFonts w:ascii="Arial" w:cs="Arial" w:eastAsia="Arial" w:hAnsi="Arial"/>
          <w:sz w:val="20"/>
          <w:szCs w:val="20"/>
          <w:u w:val="single" w:color="auto"/>
          <w:color w:val="231F20"/>
        </w:rPr>
        <w:t>Section 3.01(e)</w:t>
      </w:r>
      <w:r>
        <w:rPr>
          <w:rFonts w:ascii="Arial" w:cs="Arial" w:eastAsia="Arial" w:hAnsi="Arial"/>
          <w:sz w:val="20"/>
          <w:szCs w:val="20"/>
          <w:color w:val="231F20"/>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jc w:val="both"/>
        <w:ind w:left="200" w:right="199" w:hanging="185"/>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color w:val="231F20"/>
        </w:rPr>
        <w:t>with respect to such participation, neither the undersigned nor any of its direct or indirect partners/members is a bank</w:t>
      </w:r>
      <w:r>
        <w:rPr>
          <w:rFonts w:ascii="Arial" w:cs="Arial" w:eastAsia="Arial" w:hAnsi="Arial"/>
          <w:sz w:val="20"/>
          <w:szCs w:val="20"/>
          <w:color w:val="auto"/>
        </w:rPr>
        <w:t xml:space="preserve"> </w:t>
      </w:r>
      <w:r>
        <w:rPr>
          <w:rFonts w:ascii="Arial" w:cs="Arial" w:eastAsia="Arial" w:hAnsi="Arial"/>
          <w:sz w:val="20"/>
          <w:szCs w:val="20"/>
          <w:color w:val="231F20"/>
        </w:rPr>
        <w:t>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238" w:lineRule="exact"/>
        <w:rPr>
          <w:sz w:val="20"/>
          <w:szCs w:val="20"/>
          <w:color w:val="auto"/>
        </w:rPr>
      </w:pPr>
    </w:p>
    <w:p>
      <w:pPr>
        <w:jc w:val="both"/>
        <w:ind w:left="200" w:right="199" w:firstLine="648"/>
        <w:spacing w:after="0" w:line="273" w:lineRule="auto"/>
        <w:rPr>
          <w:sz w:val="20"/>
          <w:szCs w:val="20"/>
          <w:color w:val="auto"/>
        </w:rPr>
      </w:pPr>
      <w:r>
        <w:rPr>
          <w:rFonts w:ascii="Arial" w:cs="Arial" w:eastAsia="Arial" w:hAnsi="Arial"/>
          <w:sz w:val="18"/>
          <w:szCs w:val="18"/>
          <w:color w:val="231F20"/>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left="200" w:right="199" w:firstLine="648"/>
        <w:spacing w:after="0" w:line="260" w:lineRule="auto"/>
        <w:rPr>
          <w:sz w:val="20"/>
          <w:szCs w:val="20"/>
          <w:color w:val="auto"/>
        </w:rPr>
      </w:pPr>
      <w:r>
        <w:rPr>
          <w:rFonts w:ascii="Arial" w:cs="Arial" w:eastAsia="Arial" w:hAnsi="Arial"/>
          <w:sz w:val="20"/>
          <w:szCs w:val="20"/>
          <w:color w:val="231F20"/>
        </w:rPr>
        <w:t>Unless otherwise defined herein, terms defined in the Credit Agreement and used herein shall have the meanings given to them in the Credit Agreement.</w:t>
      </w:r>
    </w:p>
    <w:p>
      <w:pPr>
        <w:spacing w:after="0" w:line="217"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231F20"/>
        </w:rPr>
        <w:t>[NAME OF PARTICIPANT]</w:t>
      </w:r>
    </w:p>
    <w:p>
      <w:pPr>
        <w:spacing w:after="0" w:line="200" w:lineRule="exact"/>
        <w:rPr>
          <w:sz w:val="20"/>
          <w:szCs w:val="20"/>
          <w:color w:val="auto"/>
        </w:rPr>
      </w:pPr>
    </w:p>
    <w:p>
      <w:pPr>
        <w:spacing w:after="0" w:line="286" w:lineRule="exact"/>
        <w:rPr>
          <w:sz w:val="20"/>
          <w:szCs w:val="20"/>
          <w:color w:val="auto"/>
        </w:rPr>
      </w:pPr>
    </w:p>
    <w:p>
      <w:pPr>
        <w:ind w:left="4080"/>
        <w:spacing w:after="0"/>
        <w:rPr>
          <w:sz w:val="20"/>
          <w:szCs w:val="20"/>
          <w:color w:val="auto"/>
        </w:rPr>
      </w:pPr>
      <w:r>
        <w:rPr>
          <w:rFonts w:ascii="Arial" w:cs="Arial" w:eastAsia="Arial" w:hAnsi="Arial"/>
          <w:sz w:val="20"/>
          <w:szCs w:val="20"/>
          <w:color w:val="231F20"/>
        </w:rPr>
        <w:t>By:_________________________________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231F20"/>
        </w:rPr>
        <w:t>Name:_______________________________</w:t>
      </w:r>
    </w:p>
    <w:p>
      <w:pPr>
        <w:ind w:left="4080"/>
        <w:spacing w:after="0"/>
        <w:rPr>
          <w:sz w:val="20"/>
          <w:szCs w:val="20"/>
          <w:color w:val="auto"/>
        </w:rPr>
      </w:pPr>
      <w:r>
        <w:rPr>
          <w:rFonts w:ascii="Arial" w:cs="Arial" w:eastAsia="Arial" w:hAnsi="Arial"/>
          <w:sz w:val="20"/>
          <w:szCs w:val="20"/>
          <w:color w:val="231F20"/>
        </w:rPr>
        <w:t>Title:________________________________</w:t>
      </w:r>
    </w:p>
    <w:p>
      <w:pPr>
        <w:spacing w:after="0" w:line="302" w:lineRule="exact"/>
        <w:rPr>
          <w:sz w:val="20"/>
          <w:szCs w:val="20"/>
          <w:color w:val="auto"/>
        </w:rPr>
      </w:pPr>
    </w:p>
    <w:p>
      <w:pPr>
        <w:ind w:left="4080"/>
        <w:spacing w:after="0"/>
        <w:rPr>
          <w:sz w:val="20"/>
          <w:szCs w:val="20"/>
          <w:color w:val="auto"/>
        </w:rPr>
      </w:pPr>
      <w:r>
        <w:rPr>
          <w:rFonts w:ascii="Arial" w:cs="Arial" w:eastAsia="Arial" w:hAnsi="Arial"/>
          <w:sz w:val="20"/>
          <w:szCs w:val="20"/>
          <w:color w:val="231F20"/>
        </w:rPr>
        <w:t xml:space="preserve">Date: </w:t>
      </w:r>
      <w:r>
        <w:rPr>
          <w:rFonts w:ascii="Arial" w:cs="Arial" w:eastAsia="Arial" w:hAnsi="Arial"/>
          <w:sz w:val="20"/>
          <w:szCs w:val="20"/>
          <w:b w:val="1"/>
          <w:bCs w:val="1"/>
          <w:u w:val="single" w:color="auto"/>
          <w:color w:val="231F20"/>
        </w:rPr>
        <w:t>________________</w:t>
      </w:r>
    </w:p>
    <w:p>
      <w:pPr>
        <w:spacing w:after="0" w:line="249"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G-3</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Form of U.S.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203" w:right="1440" w:bottom="1440" w:gutter="0" w:footer="0" w:header="0"/>
        </w:sectPr>
      </w:pPr>
    </w:p>
    <w:bookmarkStart w:id="193" w:name="page194"/>
    <w:bookmarkEnd w:id="193"/>
    <w:p>
      <w:pPr>
        <w:jc w:val="right"/>
        <w:ind w:right="519"/>
        <w:spacing w:after="0"/>
        <w:rPr>
          <w:sz w:val="20"/>
          <w:szCs w:val="20"/>
          <w:color w:val="auto"/>
        </w:rPr>
      </w:pPr>
      <w:r>
        <w:rPr>
          <w:rFonts w:ascii="Arial" w:cs="Arial" w:eastAsia="Arial" w:hAnsi="Arial"/>
          <w:sz w:val="20"/>
          <w:szCs w:val="20"/>
          <w:b w:val="1"/>
          <w:bCs w:val="1"/>
          <w:i w:val="1"/>
          <w:iCs w:val="1"/>
          <w:color w:val="231F20"/>
        </w:rPr>
        <w:t>EXHIBIT G-4</w:t>
      </w:r>
    </w:p>
    <w:p>
      <w:pPr>
        <w:spacing w:after="0" w:line="237"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231F20"/>
        </w:rPr>
        <w:t>FORM OF</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231F20"/>
        </w:rPr>
        <w:t>U.S. TAX COMPLIANCE CERTIFICATE</w:t>
      </w:r>
    </w:p>
    <w:p>
      <w:pPr>
        <w:ind w:left="1240"/>
        <w:spacing w:after="0"/>
        <w:rPr>
          <w:sz w:val="20"/>
          <w:szCs w:val="20"/>
          <w:color w:val="auto"/>
        </w:rPr>
      </w:pPr>
      <w:r>
        <w:rPr>
          <w:rFonts w:ascii="Arial" w:cs="Arial" w:eastAsia="Arial" w:hAnsi="Arial"/>
          <w:sz w:val="20"/>
          <w:szCs w:val="20"/>
          <w:color w:val="231F20"/>
        </w:rPr>
        <w:t>(For Foreign Lenders That Are Partnerships For U.S. Federal Income Tax Purposes)</w:t>
      </w:r>
    </w:p>
    <w:p>
      <w:pPr>
        <w:spacing w:after="0" w:line="240" w:lineRule="exact"/>
        <w:rPr>
          <w:sz w:val="20"/>
          <w:szCs w:val="20"/>
          <w:color w:val="auto"/>
        </w:rPr>
      </w:pPr>
    </w:p>
    <w:p>
      <w:pPr>
        <w:jc w:val="both"/>
        <w:ind w:right="519" w:firstLine="648"/>
        <w:spacing w:after="0" w:line="263" w:lineRule="auto"/>
        <w:rPr>
          <w:sz w:val="20"/>
          <w:szCs w:val="20"/>
          <w:color w:val="auto"/>
        </w:rPr>
      </w:pPr>
      <w:r>
        <w:rPr>
          <w:rFonts w:ascii="Arial" w:cs="Arial" w:eastAsia="Arial" w:hAnsi="Arial"/>
          <w:sz w:val="19"/>
          <w:szCs w:val="19"/>
          <w:color w:val="231F20"/>
        </w:rPr>
        <w:t>Reference is hereby made to that certain Term Loan Credit Agreement, dated as of April 22, 2020 (as amended, restated, amended and restated, supplemented or otherwise modified from time to time, the “</w:t>
      </w:r>
      <w:r>
        <w:rPr>
          <w:rFonts w:ascii="Arial" w:cs="Arial" w:eastAsia="Arial" w:hAnsi="Arial"/>
          <w:sz w:val="19"/>
          <w:szCs w:val="19"/>
          <w:u w:val="single" w:color="auto"/>
          <w:color w:val="231F20"/>
        </w:rPr>
        <w:t>Credit</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Agreement</w:t>
      </w:r>
      <w:r>
        <w:rPr>
          <w:rFonts w:ascii="Arial" w:cs="Arial" w:eastAsia="Arial" w:hAnsi="Arial"/>
          <w:sz w:val="19"/>
          <w:szCs w:val="19"/>
          <w:color w:val="231F20"/>
        </w:rPr>
        <w:t>”), among Fidelity National Financial, Inc., a Delaware corporation (the “</w:t>
      </w:r>
      <w:r>
        <w:rPr>
          <w:rFonts w:ascii="Arial" w:cs="Arial" w:eastAsia="Arial" w:hAnsi="Arial"/>
          <w:sz w:val="19"/>
          <w:szCs w:val="19"/>
          <w:u w:val="single" w:color="auto"/>
          <w:color w:val="231F20"/>
        </w:rPr>
        <w:t>Borrower</w:t>
      </w:r>
      <w:r>
        <w:rPr>
          <w:rFonts w:ascii="Arial" w:cs="Arial" w:eastAsia="Arial" w:hAnsi="Arial"/>
          <w:sz w:val="19"/>
          <w:szCs w:val="19"/>
          <w:color w:val="231F20"/>
        </w:rPr>
        <w:t>”), Bank of America, N.A., as Administrative Agent, and each Lender from time to time party thereto.</w:t>
      </w:r>
    </w:p>
    <w:p>
      <w:pPr>
        <w:spacing w:after="0" w:line="217" w:lineRule="exact"/>
        <w:rPr>
          <w:sz w:val="20"/>
          <w:szCs w:val="20"/>
          <w:color w:val="auto"/>
        </w:rPr>
      </w:pPr>
    </w:p>
    <w:p>
      <w:pPr>
        <w:jc w:val="both"/>
        <w:ind w:left="40" w:right="519" w:firstLine="648"/>
        <w:spacing w:after="0" w:line="268" w:lineRule="auto"/>
        <w:rPr>
          <w:sz w:val="20"/>
          <w:szCs w:val="20"/>
          <w:color w:val="auto"/>
        </w:rPr>
      </w:pPr>
      <w:r>
        <w:rPr>
          <w:rFonts w:ascii="Arial" w:cs="Arial" w:eastAsia="Arial" w:hAnsi="Arial"/>
          <w:sz w:val="18"/>
          <w:szCs w:val="18"/>
          <w:color w:val="231F20"/>
        </w:rPr>
        <w:t xml:space="preserve">Pursuant to the provisions of </w:t>
      </w:r>
      <w:r>
        <w:rPr>
          <w:rFonts w:ascii="Arial" w:cs="Arial" w:eastAsia="Arial" w:hAnsi="Arial"/>
          <w:sz w:val="18"/>
          <w:szCs w:val="18"/>
          <w:u w:val="single" w:color="auto"/>
          <w:color w:val="231F20"/>
        </w:rPr>
        <w:t>Section 3.01(e)</w:t>
      </w:r>
      <w:r>
        <w:rPr>
          <w:rFonts w:ascii="Arial" w:cs="Arial" w:eastAsia="Arial" w:hAnsi="Arial"/>
          <w:sz w:val="18"/>
          <w:szCs w:val="18"/>
          <w:color w:val="231F20"/>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 none of its direct or indirect partners/members is a ten percent shareholder of the Borrower within the meaning of Section 871(h)(3)</w:t>
      </w:r>
    </w:p>
    <w:p>
      <w:pPr>
        <w:spacing w:after="0" w:line="3" w:lineRule="exact"/>
        <w:rPr>
          <w:sz w:val="20"/>
          <w:szCs w:val="20"/>
          <w:color w:val="auto"/>
        </w:rPr>
      </w:pPr>
    </w:p>
    <w:p>
      <w:pPr>
        <w:ind w:left="40" w:right="539" w:hanging="6"/>
        <w:spacing w:after="0" w:line="244" w:lineRule="auto"/>
        <w:tabs>
          <w:tab w:leader="none" w:pos="362" w:val="left"/>
        </w:tabs>
        <w:numPr>
          <w:ilvl w:val="0"/>
          <w:numId w:val="150"/>
        </w:numPr>
        <w:rPr>
          <w:rFonts w:ascii="Arial" w:cs="Arial" w:eastAsia="Arial" w:hAnsi="Arial"/>
          <w:sz w:val="20"/>
          <w:szCs w:val="20"/>
          <w:color w:val="231F20"/>
        </w:rPr>
      </w:pPr>
      <w:r>
        <w:rPr>
          <w:rFonts w:ascii="Arial" w:cs="Arial" w:eastAsia="Arial" w:hAnsi="Arial"/>
          <w:sz w:val="20"/>
          <w:szCs w:val="20"/>
          <w:color w:val="231F20"/>
        </w:rPr>
        <w:t>of the Code and (v) none of its direct or indirect partners/members is a controlled foreign corporation related to the Borrower as described in Section 881(c)(3)(C) of the Code.</w:t>
      </w:r>
    </w:p>
    <w:p>
      <w:pPr>
        <w:spacing w:after="0" w:line="218" w:lineRule="exact"/>
        <w:rPr>
          <w:sz w:val="20"/>
          <w:szCs w:val="20"/>
          <w:color w:val="auto"/>
        </w:rPr>
      </w:pPr>
    </w:p>
    <w:p>
      <w:pPr>
        <w:jc w:val="both"/>
        <w:ind w:left="40" w:right="519" w:firstLine="648"/>
        <w:spacing w:after="0" w:line="255" w:lineRule="auto"/>
        <w:rPr>
          <w:sz w:val="20"/>
          <w:szCs w:val="20"/>
          <w:color w:val="auto"/>
        </w:rPr>
      </w:pPr>
      <w:r>
        <w:rPr>
          <w:rFonts w:ascii="Arial" w:cs="Arial" w:eastAsia="Arial" w:hAnsi="Arial"/>
          <w:sz w:val="19"/>
          <w:szCs w:val="19"/>
          <w:color w:val="231F20"/>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30" w:lineRule="exact"/>
        <w:rPr>
          <w:sz w:val="20"/>
          <w:szCs w:val="20"/>
          <w:color w:val="auto"/>
        </w:rPr>
      </w:pPr>
    </w:p>
    <w:p>
      <w:pPr>
        <w:jc w:val="both"/>
        <w:ind w:left="40" w:right="519" w:firstLine="648"/>
        <w:spacing w:after="0" w:line="260" w:lineRule="auto"/>
        <w:rPr>
          <w:sz w:val="20"/>
          <w:szCs w:val="20"/>
          <w:color w:val="auto"/>
        </w:rPr>
      </w:pPr>
      <w:r>
        <w:rPr>
          <w:rFonts w:ascii="Arial" w:cs="Arial" w:eastAsia="Arial" w:hAnsi="Arial"/>
          <w:sz w:val="20"/>
          <w:szCs w:val="20"/>
          <w:color w:val="231F20"/>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ind w:left="3920"/>
        <w:spacing w:after="0"/>
        <w:rPr>
          <w:sz w:val="20"/>
          <w:szCs w:val="20"/>
          <w:color w:val="auto"/>
        </w:rPr>
      </w:pPr>
      <w:r>
        <w:rPr>
          <w:rFonts w:ascii="Arial" w:cs="Arial" w:eastAsia="Arial" w:hAnsi="Arial"/>
          <w:sz w:val="20"/>
          <w:szCs w:val="20"/>
          <w:color w:val="231F20"/>
        </w:rPr>
        <w:t>[NAME OF LENDER]</w:t>
      </w:r>
    </w:p>
    <w:p>
      <w:pPr>
        <w:spacing w:after="0" w:line="256" w:lineRule="exact"/>
        <w:rPr>
          <w:sz w:val="20"/>
          <w:szCs w:val="20"/>
          <w:color w:val="auto"/>
        </w:rPr>
      </w:pPr>
    </w:p>
    <w:p>
      <w:pPr>
        <w:ind w:left="3960"/>
        <w:spacing w:after="0"/>
        <w:rPr>
          <w:sz w:val="20"/>
          <w:szCs w:val="20"/>
          <w:color w:val="auto"/>
        </w:rPr>
      </w:pPr>
      <w:r>
        <w:rPr>
          <w:rFonts w:ascii="Arial" w:cs="Arial" w:eastAsia="Arial" w:hAnsi="Arial"/>
          <w:sz w:val="20"/>
          <w:szCs w:val="20"/>
          <w:color w:val="231F20"/>
        </w:rPr>
        <w:t>By:____________________________</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20"/>
          <w:szCs w:val="20"/>
          <w:color w:val="231F20"/>
        </w:rPr>
        <w:t>Name:__________________________</w:t>
      </w:r>
    </w:p>
    <w:p>
      <w:pPr>
        <w:ind w:left="3960"/>
        <w:spacing w:after="0"/>
        <w:rPr>
          <w:sz w:val="20"/>
          <w:szCs w:val="20"/>
          <w:color w:val="auto"/>
        </w:rPr>
      </w:pPr>
      <w:r>
        <w:rPr>
          <w:rFonts w:ascii="Arial" w:cs="Arial" w:eastAsia="Arial" w:hAnsi="Arial"/>
          <w:sz w:val="20"/>
          <w:szCs w:val="20"/>
          <w:color w:val="231F20"/>
        </w:rPr>
        <w:t>Title:___________________________</w:t>
      </w:r>
    </w:p>
    <w:p>
      <w:pPr>
        <w:spacing w:after="0" w:line="308" w:lineRule="exact"/>
        <w:rPr>
          <w:sz w:val="20"/>
          <w:szCs w:val="20"/>
          <w:color w:val="auto"/>
        </w:rPr>
      </w:pPr>
    </w:p>
    <w:p>
      <w:pPr>
        <w:ind w:left="3920"/>
        <w:spacing w:after="0"/>
        <w:rPr>
          <w:sz w:val="20"/>
          <w:szCs w:val="20"/>
          <w:color w:val="auto"/>
        </w:rPr>
      </w:pPr>
      <w:r>
        <w:rPr>
          <w:rFonts w:ascii="Arial" w:cs="Arial" w:eastAsia="Arial" w:hAnsi="Arial"/>
          <w:sz w:val="20"/>
          <w:szCs w:val="20"/>
          <w:color w:val="231F20"/>
        </w:rPr>
        <w:t>Date: __________________________</w:t>
      </w:r>
    </w:p>
    <w:p>
      <w:pPr>
        <w:spacing w:after="0" w:line="1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G-4</w:t>
      </w:r>
    </w:p>
    <w:p>
      <w:pPr>
        <w:spacing w:after="0" w:line="7"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Form of U.S.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563245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960" w:right="1440" w:bottom="1440" w:gutter="0" w:footer="0" w:header="0"/>
        </w:sectPr>
      </w:pPr>
    </w:p>
    <w:bookmarkStart w:id="194" w:name="page195"/>
    <w:bookmarkEnd w:id="194"/>
    <w:p>
      <w:pPr>
        <w:jc w:val="center"/>
        <w:ind w:right="-565"/>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ind w:right="-565"/>
        <w:spacing w:after="0"/>
        <w:rPr>
          <w:sz w:val="20"/>
          <w:szCs w:val="20"/>
          <w:color w:val="auto"/>
        </w:rPr>
      </w:pPr>
      <w:r>
        <w:rPr>
          <w:rFonts w:ascii="Arial" w:cs="Arial" w:eastAsia="Arial" w:hAnsi="Arial"/>
          <w:sz w:val="20"/>
          <w:szCs w:val="20"/>
          <w:b w:val="1"/>
          <w:bCs w:val="1"/>
          <w:color w:val="auto"/>
        </w:rPr>
        <w:t>SOLVENCY CERTIFICATE</w:t>
      </w:r>
    </w:p>
    <w:p>
      <w:pPr>
        <w:spacing w:after="0" w:line="200" w:lineRule="exact"/>
        <w:rPr>
          <w:sz w:val="20"/>
          <w:szCs w:val="20"/>
          <w:color w:val="auto"/>
        </w:rPr>
      </w:pPr>
    </w:p>
    <w:p>
      <w:pPr>
        <w:spacing w:after="0" w:line="340"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231F20"/>
        </w:rPr>
        <w:t>[•] [•], 2020</w:t>
      </w:r>
    </w:p>
    <w:p>
      <w:pPr>
        <w:spacing w:after="0" w:line="347" w:lineRule="exact"/>
        <w:rPr>
          <w:sz w:val="20"/>
          <w:szCs w:val="20"/>
          <w:color w:val="auto"/>
        </w:rPr>
      </w:pPr>
    </w:p>
    <w:p>
      <w:pPr>
        <w:ind w:left="1306"/>
        <w:spacing w:after="0"/>
        <w:rPr>
          <w:sz w:val="20"/>
          <w:szCs w:val="20"/>
          <w:color w:val="auto"/>
        </w:rPr>
      </w:pPr>
      <w:r>
        <w:rPr>
          <w:rFonts w:ascii="Arial" w:cs="Arial" w:eastAsia="Arial" w:hAnsi="Arial"/>
          <w:sz w:val="17"/>
          <w:szCs w:val="17"/>
          <w:color w:val="231F20"/>
        </w:rPr>
        <w:t>This Solvency Certificate is being executed and delivered pursuant to Section 4.02(b)(ii) of that certain</w:t>
      </w:r>
    </w:p>
    <w:p>
      <w:pPr>
        <w:spacing w:after="0" w:line="34" w:lineRule="exact"/>
        <w:rPr>
          <w:sz w:val="20"/>
          <w:szCs w:val="20"/>
          <w:color w:val="auto"/>
        </w:rPr>
      </w:pPr>
    </w:p>
    <w:p>
      <w:pPr>
        <w:jc w:val="both"/>
        <w:ind w:left="6" w:right="519"/>
        <w:spacing w:after="0" w:line="262" w:lineRule="auto"/>
        <w:rPr>
          <w:sz w:val="20"/>
          <w:szCs w:val="20"/>
          <w:color w:val="auto"/>
        </w:rPr>
      </w:pPr>
      <w:r>
        <w:rPr>
          <w:rFonts w:ascii="Arial" w:cs="Arial" w:eastAsia="Arial" w:hAnsi="Arial"/>
          <w:sz w:val="19"/>
          <w:szCs w:val="19"/>
          <w:color w:val="231F20"/>
        </w:rPr>
        <w:t>Term Loan Credit Agreement, dated as of April 22, 2020 (as amended, restated, amended and restated, supplemented or otherwise modified from time to time, the “</w:t>
      </w:r>
      <w:r>
        <w:rPr>
          <w:rFonts w:ascii="Arial" w:cs="Arial" w:eastAsia="Arial" w:hAnsi="Arial"/>
          <w:sz w:val="19"/>
          <w:szCs w:val="19"/>
          <w:u w:val="single" w:color="auto"/>
          <w:color w:val="231F20"/>
        </w:rPr>
        <w:t>Credit Agreement</w:t>
      </w:r>
      <w:r>
        <w:rPr>
          <w:rFonts w:ascii="Arial" w:cs="Arial" w:eastAsia="Arial" w:hAnsi="Arial"/>
          <w:sz w:val="16"/>
          <w:szCs w:val="16"/>
          <w:color w:val="231F20"/>
        </w:rPr>
        <w:t>”; the terms defined therein being used</w:t>
      </w:r>
      <w:r>
        <w:rPr>
          <w:rFonts w:ascii="Arial" w:cs="Arial" w:eastAsia="Arial" w:hAnsi="Arial"/>
          <w:sz w:val="19"/>
          <w:szCs w:val="19"/>
          <w:color w:val="231F20"/>
        </w:rPr>
        <w:t xml:space="preserve"> </w:t>
      </w:r>
      <w:r>
        <w:rPr>
          <w:rFonts w:ascii="Arial" w:cs="Arial" w:eastAsia="Arial" w:hAnsi="Arial"/>
          <w:sz w:val="16"/>
          <w:szCs w:val="16"/>
          <w:color w:val="231F20"/>
        </w:rPr>
        <w:t>herein as therein defined</w:t>
      </w:r>
      <w:r>
        <w:rPr>
          <w:rFonts w:ascii="Arial" w:cs="Arial" w:eastAsia="Arial" w:hAnsi="Arial"/>
          <w:sz w:val="18"/>
          <w:szCs w:val="18"/>
          <w:color w:val="231F20"/>
        </w:rPr>
        <w:t>), among Fidelity National Financial, Inc., a Delaware corporation (the “</w:t>
      </w:r>
      <w:r>
        <w:rPr>
          <w:rFonts w:ascii="Arial" w:cs="Arial" w:eastAsia="Arial" w:hAnsi="Arial"/>
          <w:sz w:val="18"/>
          <w:szCs w:val="18"/>
          <w:u w:val="single" w:color="auto"/>
          <w:color w:val="231F20"/>
        </w:rPr>
        <w:t>Borrower</w:t>
      </w:r>
      <w:r>
        <w:rPr>
          <w:rFonts w:ascii="Arial" w:cs="Arial" w:eastAsia="Arial" w:hAnsi="Arial"/>
          <w:sz w:val="18"/>
          <w:szCs w:val="18"/>
          <w:color w:val="231F20"/>
        </w:rPr>
        <w:t>”), Bank</w:t>
      </w:r>
      <w:r>
        <w:rPr>
          <w:rFonts w:ascii="Arial" w:cs="Arial" w:eastAsia="Arial" w:hAnsi="Arial"/>
          <w:sz w:val="16"/>
          <w:szCs w:val="16"/>
          <w:color w:val="231F20"/>
        </w:rPr>
        <w:t xml:space="preserve"> </w:t>
      </w:r>
      <w:r>
        <w:rPr>
          <w:rFonts w:ascii="Arial" w:cs="Arial" w:eastAsia="Arial" w:hAnsi="Arial"/>
          <w:sz w:val="18"/>
          <w:szCs w:val="18"/>
          <w:color w:val="231F20"/>
        </w:rPr>
        <w:t>of America, N.A., as Administrative Agent, and each Lender from time to time party thereto</w:t>
      </w:r>
      <w:r>
        <w:rPr>
          <w:rFonts w:ascii="Arial" w:cs="Arial" w:eastAsia="Arial" w:hAnsi="Arial"/>
          <w:sz w:val="16"/>
          <w:szCs w:val="16"/>
          <w:color w:val="231F20"/>
        </w:rPr>
        <w:t>.</w:t>
      </w:r>
    </w:p>
    <w:p>
      <w:pPr>
        <w:spacing w:after="0" w:line="219" w:lineRule="exact"/>
        <w:rPr>
          <w:sz w:val="20"/>
          <w:szCs w:val="20"/>
          <w:color w:val="auto"/>
        </w:rPr>
      </w:pPr>
    </w:p>
    <w:p>
      <w:pPr>
        <w:ind w:left="6" w:right="2719" w:firstLine="1296"/>
        <w:spacing w:after="0" w:line="277" w:lineRule="auto"/>
        <w:rPr>
          <w:sz w:val="20"/>
          <w:szCs w:val="20"/>
          <w:color w:val="auto"/>
        </w:rPr>
      </w:pPr>
      <w:r>
        <w:rPr>
          <w:rFonts w:ascii="Arial" w:cs="Arial" w:eastAsia="Arial" w:hAnsi="Arial"/>
          <w:sz w:val="18"/>
          <w:szCs w:val="18"/>
          <w:color w:val="231F20"/>
        </w:rPr>
        <w:t>I, [•], the [Chief Financial Officer/equivalent officer] of the Borrower, in such capacity and not in an individual capacity, hereby certify as follows:</w:t>
      </w:r>
    </w:p>
    <w:p>
      <w:pPr>
        <w:spacing w:after="0" w:line="211" w:lineRule="exact"/>
        <w:rPr>
          <w:sz w:val="20"/>
          <w:szCs w:val="20"/>
          <w:color w:val="auto"/>
        </w:rPr>
      </w:pPr>
    </w:p>
    <w:p>
      <w:pPr>
        <w:jc w:val="both"/>
        <w:ind w:left="646" w:right="519" w:hanging="646"/>
        <w:spacing w:after="0" w:line="250" w:lineRule="auto"/>
        <w:tabs>
          <w:tab w:leader="none" w:pos="645" w:val="left"/>
        </w:tabs>
        <w:numPr>
          <w:ilvl w:val="0"/>
          <w:numId w:val="151"/>
        </w:numPr>
        <w:rPr>
          <w:rFonts w:ascii="Arial" w:cs="Arial" w:eastAsia="Arial" w:hAnsi="Arial"/>
          <w:sz w:val="20"/>
          <w:szCs w:val="20"/>
          <w:color w:val="auto"/>
        </w:rPr>
      </w:pPr>
      <w:r>
        <w:rPr>
          <w:rFonts w:ascii="Arial" w:cs="Arial" w:eastAsia="Arial" w:hAnsi="Arial"/>
          <w:sz w:val="18"/>
          <w:szCs w:val="18"/>
          <w:color w:val="231F20"/>
        </w:rPr>
        <w:t>I am generally familiar with the businesses and assets of the Borrower and its subsidiaries, taken as a whole, and am duly authorized to execute this Solvency Certificate on behalf of the Borrower pursuant to the Credit Agreement; and</w:t>
      </w:r>
    </w:p>
    <w:p>
      <w:pPr>
        <w:spacing w:after="0" w:line="247" w:lineRule="exact"/>
        <w:rPr>
          <w:rFonts w:ascii="Arial" w:cs="Arial" w:eastAsia="Arial" w:hAnsi="Arial"/>
          <w:sz w:val="20"/>
          <w:szCs w:val="20"/>
          <w:color w:val="auto"/>
        </w:rPr>
      </w:pPr>
    </w:p>
    <w:p>
      <w:pPr>
        <w:jc w:val="both"/>
        <w:ind w:left="646" w:right="519" w:hanging="646"/>
        <w:spacing w:after="0" w:line="249" w:lineRule="auto"/>
        <w:tabs>
          <w:tab w:leader="none" w:pos="645" w:val="left"/>
        </w:tabs>
        <w:numPr>
          <w:ilvl w:val="0"/>
          <w:numId w:val="151"/>
        </w:numPr>
        <w:rPr>
          <w:rFonts w:ascii="Arial" w:cs="Arial" w:eastAsia="Arial" w:hAnsi="Arial"/>
          <w:sz w:val="20"/>
          <w:szCs w:val="20"/>
          <w:color w:val="auto"/>
        </w:rPr>
      </w:pPr>
      <w:r>
        <w:rPr>
          <w:rFonts w:ascii="Arial" w:cs="Arial" w:eastAsia="Arial" w:hAnsi="Arial"/>
          <w:sz w:val="18"/>
          <w:szCs w:val="18"/>
          <w:color w:val="231F20"/>
        </w:rPr>
        <w:t xml:space="preserve">As of the date hereof and after giving effect to the Transactions and the incurrence of the indebtedness and obligations being incurred in connection with the Credit Agreement and the Transactions, that, </w:t>
      </w:r>
      <w:r>
        <w:rPr>
          <w:rFonts w:ascii="Arial" w:cs="Arial" w:eastAsia="Arial" w:hAnsi="Arial"/>
          <w:sz w:val="19"/>
          <w:szCs w:val="19"/>
          <w:color w:val="231F20"/>
        </w:rPr>
        <w:t>(i) the sum of the</w:t>
      </w:r>
      <w:r>
        <w:rPr>
          <w:rFonts w:ascii="Arial" w:cs="Arial" w:eastAsia="Arial" w:hAnsi="Arial"/>
          <w:sz w:val="18"/>
          <w:szCs w:val="18"/>
          <w:color w:val="231F20"/>
        </w:rPr>
        <w:t xml:space="preserve"> </w:t>
      </w:r>
      <w:r>
        <w:rPr>
          <w:rFonts w:ascii="Arial" w:cs="Arial" w:eastAsia="Arial" w:hAnsi="Arial"/>
          <w:sz w:val="19"/>
          <w:szCs w:val="19"/>
          <w:color w:val="231F20"/>
        </w:rPr>
        <w:t>debt (including contingent liabilities) of the Borrower and its Subsidiaries, on a consolidated basis, does not exceed the fair value of the assets (on a going concern basis) of the Borrower and its Subsidiaries, on a consolidated basis,</w:t>
      </w:r>
    </w:p>
    <w:p>
      <w:pPr>
        <w:spacing w:after="0" w:line="2" w:lineRule="exact"/>
        <w:rPr>
          <w:rFonts w:ascii="Arial" w:cs="Arial" w:eastAsia="Arial" w:hAnsi="Arial"/>
          <w:sz w:val="20"/>
          <w:szCs w:val="20"/>
          <w:color w:val="auto"/>
        </w:rPr>
      </w:pPr>
    </w:p>
    <w:p>
      <w:pPr>
        <w:jc w:val="both"/>
        <w:ind w:left="646" w:right="519" w:firstLine="2"/>
        <w:spacing w:after="0" w:line="254" w:lineRule="auto"/>
        <w:tabs>
          <w:tab w:leader="none" w:pos="937" w:val="left"/>
        </w:tabs>
        <w:numPr>
          <w:ilvl w:val="1"/>
          <w:numId w:val="151"/>
        </w:numPr>
        <w:rPr>
          <w:rFonts w:ascii="Arial" w:cs="Arial" w:eastAsia="Arial" w:hAnsi="Arial"/>
          <w:sz w:val="19"/>
          <w:szCs w:val="19"/>
          <w:color w:val="231F20"/>
        </w:rPr>
      </w:pPr>
      <w:r>
        <w:rPr>
          <w:rFonts w:ascii="Arial" w:cs="Arial" w:eastAsia="Arial" w:hAnsi="Arial"/>
          <w:sz w:val="19"/>
          <w:szCs w:val="19"/>
          <w:color w:val="231F20"/>
        </w:rPr>
        <w:t>the capital of the Borrower and its Subsidiaries, on a consolidated basis, is not unreasonably small in relation to their business; and (c) the Borrower and its Subsidiaries, on a consolidated basis, do not intend to incur, or believe that they will incur, debts (including current obligations and contingent liabilities) beyond their ability to pay such debt as they mature in the ordinary course of business. For the purposes hereof, the amount of any contingent liability at any time will be computed as the amount that, in light of all of the facts and circumstances existing at such time, represents the amount that can reasonably be expected to become an actual or matured liability</w:t>
      </w:r>
      <w:r>
        <w:rPr>
          <w:rFonts w:ascii="Arial" w:cs="Arial" w:eastAsia="Arial" w:hAnsi="Arial"/>
          <w:sz w:val="16"/>
          <w:szCs w:val="16"/>
          <w:color w:val="231F20"/>
        </w:rPr>
        <w:t>.</w:t>
      </w:r>
    </w:p>
    <w:p>
      <w:pPr>
        <w:spacing w:after="0" w:line="231" w:lineRule="exact"/>
        <w:rPr>
          <w:sz w:val="20"/>
          <w:szCs w:val="20"/>
          <w:color w:val="auto"/>
        </w:rPr>
      </w:pPr>
    </w:p>
    <w:p>
      <w:pPr>
        <w:ind w:left="2226"/>
        <w:spacing w:after="0"/>
        <w:rPr>
          <w:sz w:val="20"/>
          <w:szCs w:val="20"/>
          <w:color w:val="auto"/>
        </w:rPr>
      </w:pPr>
      <w:r>
        <w:rPr>
          <w:rFonts w:ascii="Arial" w:cs="Arial" w:eastAsia="Arial" w:hAnsi="Arial"/>
          <w:sz w:val="18"/>
          <w:szCs w:val="18"/>
          <w:i w:val="1"/>
          <w:iCs w:val="1"/>
          <w:color w:val="231F20"/>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65"/>
        <w:spacing w:after="0"/>
        <w:rPr>
          <w:sz w:val="20"/>
          <w:szCs w:val="20"/>
          <w:color w:val="auto"/>
        </w:rPr>
      </w:pPr>
      <w:r>
        <w:rPr>
          <w:rFonts w:ascii="Arial" w:cs="Arial" w:eastAsia="Arial" w:hAnsi="Arial"/>
          <w:sz w:val="20"/>
          <w:szCs w:val="20"/>
          <w:color w:val="auto"/>
        </w:rPr>
        <w:t>H</w:t>
      </w:r>
    </w:p>
    <w:p>
      <w:pPr>
        <w:spacing w:after="0" w:line="18" w:lineRule="exact"/>
        <w:rPr>
          <w:sz w:val="20"/>
          <w:szCs w:val="20"/>
          <w:color w:val="auto"/>
        </w:rPr>
      </w:pPr>
    </w:p>
    <w:p>
      <w:pPr>
        <w:ind w:left="4046"/>
        <w:spacing w:after="0"/>
        <w:rPr>
          <w:sz w:val="20"/>
          <w:szCs w:val="20"/>
          <w:color w:val="auto"/>
        </w:rPr>
      </w:pPr>
      <w:r>
        <w:rPr>
          <w:rFonts w:ascii="Arial" w:cs="Arial" w:eastAsia="Arial" w:hAnsi="Arial"/>
          <w:sz w:val="18"/>
          <w:szCs w:val="18"/>
          <w:color w:val="auto"/>
        </w:rPr>
        <w:t>Form of Solvency Certificate</w:t>
      </w:r>
    </w:p>
    <w:p>
      <w:pPr>
        <w:sectPr>
          <w:pgSz w:w="11900" w:h="16838" w:orient="portrait"/>
          <w:cols w:equalWidth="0" w:num="1">
            <w:col w:w="9605"/>
          </w:cols>
          <w:pgMar w:left="854" w:top="1129" w:right="1440"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63"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26231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25"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26231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Anthony J. Park</w:t>
      </w:r>
    </w:p>
    <w:p>
      <w:pPr>
        <w:ind w:left="1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April 28, 2020</w:t>
      </w:r>
    </w:p>
    <w:p>
      <w:pPr>
        <w:spacing w:after="0" w:line="8"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31750</wp:posOffset>
            </wp:positionV>
            <wp:extent cx="33261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34"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April 28, 2020</w:t>
      </w:r>
    </w:p>
    <w:p>
      <w:pPr>
        <w:spacing w:after="0" w:line="8"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31750</wp:posOffset>
            </wp:positionV>
            <wp:extent cx="33261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1)"/>
      <w:numFmt w:val="decimal"/>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1)"/>
      <w:numFmt w:val="decimal"/>
      <w:start w:val="1"/>
    </w:lvl>
  </w:abstractNum>
  <w:abstractNum w:abstractNumId="8">
    <w:nsid w:val="14330624"/>
    <w:multiLevelType w:val="hybridMultilevel"/>
    <w:lvl w:ilvl="0">
      <w:lvlJc w:val="left"/>
      <w:lvlText w:val="(%1)"/>
      <w:numFmt w:val="lowerLetter"/>
      <w:start w:val="1"/>
    </w:lvl>
  </w:abstractNum>
  <w:abstractNum w:abstractNumId="9">
    <w:nsid w:val="7FFFCA11"/>
    <w:multiLevelType w:val="hybridMultilevel"/>
    <w:lvl w:ilvl="0">
      <w:lvlJc w:val="left"/>
      <w:lvlText w:val="*"/>
      <w:numFmt w:val="bullet"/>
      <w:start w:val="1"/>
    </w:lvl>
    <w:lvl w:ilvl="1">
      <w:lvlJc w:val="left"/>
      <w:lvlText w:val="%2"/>
      <w:numFmt w:val="decimal"/>
      <w:start w:val="104"/>
    </w:lvl>
  </w:abstractNum>
  <w:abstractNum w:abstractNumId="10">
    <w:nsid w:val="1A27709E"/>
    <w:multiLevelType w:val="hybridMultilevel"/>
    <w:lvl w:ilvl="0">
      <w:lvlJc w:val="left"/>
      <w:lvlText w:val="B"/>
      <w:numFmt w:val="bullet"/>
      <w:start w:val="1"/>
    </w:lvl>
  </w:abstractNum>
  <w:abstractNum w:abstractNumId="11">
    <w:nsid w:val="71EA1109"/>
    <w:multiLevelType w:val="hybridMultilevel"/>
    <w:lvl w:ilvl="0">
      <w:lvlJc w:val="left"/>
      <w:lvlText w:val="%1"/>
      <w:numFmt w:val="upperLetter"/>
      <w:start w:val="35"/>
    </w:lvl>
  </w:abstractNum>
  <w:abstractNum w:abstractNumId="12">
    <w:nsid w:val="100F59DC"/>
    <w:multiLevelType w:val="hybridMultilevel"/>
    <w:lvl w:ilvl="0">
      <w:lvlJc w:val="left"/>
      <w:lvlText w:val="(%1)"/>
      <w:numFmt w:val="lowerLetter"/>
      <w:start w:val="1"/>
    </w:lvl>
  </w:abstractNum>
  <w:abstractNum w:abstractNumId="13">
    <w:nsid w:val="7FB7E0AA"/>
    <w:multiLevelType w:val="hybridMultilevel"/>
    <w:lvl w:ilvl="0">
      <w:lvlJc w:val="left"/>
      <w:lvlText w:val="(%1)"/>
      <w:numFmt w:val="lowerLetter"/>
      <w:start w:val="4"/>
    </w:lvl>
  </w:abstractNum>
  <w:abstractNum w:abstractNumId="14">
    <w:nsid w:val="6EB5BD4"/>
    <w:multiLevelType w:val="hybridMultilevel"/>
    <w:lvl w:ilvl="0">
      <w:lvlJc w:val="left"/>
      <w:lvlText w:val="(%1)"/>
      <w:numFmt w:val="lowerLetter"/>
      <w:start w:val="3"/>
    </w:lvl>
  </w:abstractNum>
  <w:abstractNum w:abstractNumId="15">
    <w:nsid w:val="6F6DD9AC"/>
    <w:multiLevelType w:val="hybridMultilevel"/>
    <w:lvl w:ilvl="0">
      <w:lvlJc w:val="left"/>
      <w:lvlText w:val="(%1)"/>
      <w:numFmt w:val="lowerLetter"/>
      <w:start w:val="5"/>
    </w:lvl>
  </w:abstractNum>
  <w:abstractNum w:abstractNumId="16">
    <w:nsid w:val="94211F2"/>
    <w:multiLevelType w:val="hybridMultilevel"/>
    <w:lvl w:ilvl="0">
      <w:lvlJc w:val="left"/>
      <w:lvlText w:val="(%1)"/>
      <w:numFmt w:val="lowerLetter"/>
      <w:start w:val="3"/>
    </w:lvl>
  </w:abstractNum>
  <w:abstractNum w:abstractNumId="17">
    <w:nsid w:val="885E1B"/>
    <w:multiLevelType w:val="hybridMultilevel"/>
    <w:lvl w:ilvl="0">
      <w:lvlJc w:val="left"/>
      <w:lvlText w:val="(%1)"/>
      <w:numFmt w:val="lowerLetter"/>
      <w:start w:val="1"/>
    </w:lvl>
  </w:abstractNum>
  <w:abstractNum w:abstractNumId="18">
    <w:nsid w:val="76272110"/>
    <w:multiLevelType w:val="hybridMultilevel"/>
    <w:lvl w:ilvl="0">
      <w:lvlJc w:val="left"/>
      <w:lvlText w:val="%1"/>
      <w:numFmt w:val="lowerLetter"/>
      <w:start w:val="1"/>
    </w:lvl>
    <w:lvl w:ilvl="1">
      <w:lvlJc w:val="left"/>
      <w:lvlText w:val="(%2)"/>
      <w:numFmt w:val="lowerLetter"/>
      <w:start w:val="1"/>
    </w:lvl>
  </w:abstractNum>
  <w:abstractNum w:abstractNumId="19">
    <w:nsid w:val="4C04A8AF"/>
    <w:multiLevelType w:val="hybridMultilevel"/>
    <w:lvl w:ilvl="0">
      <w:lvlJc w:val="left"/>
      <w:lvlText w:val="(%1)"/>
      <w:numFmt w:val="lowerLetter"/>
      <w:start w:val="61"/>
    </w:lvl>
    <w:lvl w:ilvl="1">
      <w:lvlJc w:val="left"/>
      <w:lvlText w:val="%2"/>
      <w:numFmt w:val="lowerLetter"/>
      <w:start w:val="1"/>
    </w:lvl>
  </w:abstractNum>
  <w:abstractNum w:abstractNumId="20">
    <w:nsid w:val="1716703B"/>
    <w:multiLevelType w:val="hybridMultilevel"/>
    <w:lvl w:ilvl="0">
      <w:lvlJc w:val="left"/>
      <w:lvlText w:val="(%1)"/>
      <w:numFmt w:val="lowerLetter"/>
      <w:start w:val="5"/>
    </w:lvl>
  </w:abstractNum>
  <w:abstractNum w:abstractNumId="21">
    <w:nsid w:val="14E17E33"/>
    <w:multiLevelType w:val="hybridMultilevel"/>
    <w:lvl w:ilvl="0">
      <w:lvlJc w:val="left"/>
      <w:lvlText w:val="(%1)"/>
      <w:numFmt w:val="lowerRoman"/>
      <w:start w:val="1"/>
    </w:lvl>
  </w:abstractNum>
  <w:abstractNum w:abstractNumId="22">
    <w:nsid w:val="3222E7CD"/>
    <w:multiLevelType w:val="hybridMultilevel"/>
    <w:lvl w:ilvl="0">
      <w:lvlJc w:val="left"/>
      <w:lvlText w:val="(%1)"/>
      <w:numFmt w:val="lowerRoman"/>
      <w:start w:val="7"/>
    </w:lvl>
  </w:abstractNum>
  <w:abstractNum w:abstractNumId="23">
    <w:nsid w:val="74DE0EE3"/>
    <w:multiLevelType w:val="hybridMultilevel"/>
    <w:lvl w:ilvl="0">
      <w:lvlJc w:val="left"/>
      <w:lvlText w:val="(%1)"/>
      <w:numFmt w:val="lowerLetter"/>
      <w:start w:val="1"/>
    </w:lvl>
  </w:abstractNum>
  <w:abstractNum w:abstractNumId="24">
    <w:nsid w:val="68EBC550"/>
    <w:multiLevelType w:val="hybridMultilevel"/>
    <w:lvl w:ilvl="0">
      <w:lvlJc w:val="left"/>
      <w:lvlText w:val="(%1)"/>
      <w:numFmt w:val="lowerLetter"/>
      <w:start w:val="3"/>
    </w:lvl>
  </w:abstractNum>
  <w:abstractNum w:abstractNumId="25">
    <w:nsid w:val="2DF6D648"/>
    <w:multiLevelType w:val="hybridMultilevel"/>
    <w:lvl w:ilvl="0">
      <w:lvlJc w:val="left"/>
      <w:lvlText w:val="(%1)"/>
      <w:numFmt w:val="lowerLetter"/>
      <w:start w:val="1"/>
    </w:lvl>
  </w:abstractNum>
  <w:abstractNum w:abstractNumId="26">
    <w:nsid w:val="46B7D447"/>
    <w:multiLevelType w:val="hybridMultilevel"/>
    <w:lvl w:ilvl="0">
      <w:lvlJc w:val="left"/>
      <w:lvlText w:val="(%1)"/>
      <w:numFmt w:val="lowerLetter"/>
      <w:start w:val="2"/>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1"/>
      <w:numFmt w:val="lowerLetter"/>
      <w:start w:val="1"/>
    </w:lvl>
    <w:lvl w:ilvl="1">
      <w:lvlJc w:val="left"/>
      <w:lvlText w:val="(%2)"/>
      <w:numFmt w:val="lowerLetter"/>
      <w:start w:val="1"/>
    </w:lvl>
  </w:abstractNum>
  <w:abstractNum w:abstractNumId="30">
    <w:nsid w:val="CC1016F"/>
    <w:multiLevelType w:val="hybridMultilevel"/>
    <w:lvl w:ilvl="0">
      <w:lvlJc w:val="left"/>
      <w:lvlText w:val="(%1)"/>
      <w:numFmt w:val="lowerLetter"/>
      <w:start w:val="2"/>
    </w:lvl>
    <w:lvl w:ilvl="1">
      <w:lvlJc w:val="left"/>
      <w:lvlText w:val="%2"/>
      <w:numFmt w:val="lowerLetter"/>
      <w:start w:val="1"/>
    </w:lvl>
  </w:abstractNum>
  <w:abstractNum w:abstractNumId="31">
    <w:nsid w:val="43F18422"/>
    <w:multiLevelType w:val="hybridMultilevel"/>
    <w:lvl w:ilvl="0">
      <w:lvlJc w:val="left"/>
      <w:lvlText w:val="(%1)"/>
      <w:numFmt w:val="lowerLetter"/>
      <w:start w:val="3"/>
    </w:lvl>
  </w:abstractNum>
  <w:abstractNum w:abstractNumId="32">
    <w:nsid w:val="60EF0119"/>
    <w:multiLevelType w:val="hybridMultilevel"/>
    <w:lvl w:ilvl="0">
      <w:lvlJc w:val="left"/>
      <w:lvlText w:val="%1"/>
      <w:numFmt w:val="lowerLetter"/>
      <w:start w:val="1"/>
    </w:lvl>
    <w:lvl w:ilvl="1">
      <w:lvlJc w:val="left"/>
      <w:lvlText w:val="(%2)"/>
      <w:numFmt w:val="lowerLetter"/>
      <w:start w:val="1"/>
    </w:lvl>
  </w:abstractNum>
  <w:abstractNum w:abstractNumId="33">
    <w:nsid w:val="26F324BA"/>
    <w:multiLevelType w:val="hybridMultilevel"/>
    <w:lvl w:ilvl="0">
      <w:lvlJc w:val="left"/>
      <w:lvlText w:val="(%1)"/>
      <w:numFmt w:val="lowerLetter"/>
      <w:start w:val="35"/>
    </w:lvl>
    <w:lvl w:ilvl="1">
      <w:lvlJc w:val="left"/>
      <w:lvlText w:val="%2"/>
      <w:numFmt w:val="lowerLetter"/>
      <w:start w:val="1"/>
    </w:lvl>
  </w:abstractNum>
  <w:abstractNum w:abstractNumId="34">
    <w:nsid w:val="7F01579B"/>
    <w:multiLevelType w:val="hybridMultilevel"/>
    <w:lvl w:ilvl="0">
      <w:lvlJc w:val="left"/>
      <w:lvlText w:val="(%1)"/>
      <w:numFmt w:val="lowerLetter"/>
      <w:start w:val="2"/>
    </w:lvl>
  </w:abstractNum>
  <w:abstractNum w:abstractNumId="35">
    <w:nsid w:val="49DA307D"/>
    <w:multiLevelType w:val="hybridMultilevel"/>
    <w:lvl w:ilvl="0">
      <w:lvlJc w:val="left"/>
      <w:lvlText w:val="(%1)"/>
      <w:numFmt w:val="lowerLetter"/>
      <w:start w:val="1"/>
    </w:lvl>
  </w:abstractNum>
  <w:abstractNum w:abstractNumId="36">
    <w:nsid w:val="7055A5F5"/>
    <w:multiLevelType w:val="hybridMultilevel"/>
    <w:lvl w:ilvl="0">
      <w:lvlJc w:val="left"/>
      <w:lvlText w:val="%1"/>
      <w:numFmt w:val="lowerRoman"/>
      <w:start w:val="1"/>
    </w:lvl>
    <w:lvl w:ilvl="1">
      <w:lvlJc w:val="left"/>
      <w:lvlText w:val="(%2)"/>
      <w:numFmt w:val="lowerLetter"/>
      <w:start w:val="2"/>
    </w:lvl>
  </w:abstractNum>
  <w:abstractNum w:abstractNumId="37">
    <w:nsid w:val="5FB8370B"/>
    <w:multiLevelType w:val="hybridMultilevel"/>
    <w:lvl w:ilvl="0">
      <w:lvlJc w:val="left"/>
      <w:lvlText w:val="(%1)"/>
      <w:numFmt w:val="lowerRoman"/>
      <w:start w:val="1"/>
    </w:lvl>
    <w:lvl w:ilvl="1">
      <w:lvlJc w:val="left"/>
      <w:lvlText w:val="%2"/>
      <w:numFmt w:val="lowerLetter"/>
      <w:start w:val="1"/>
    </w:lvl>
  </w:abstractNum>
  <w:abstractNum w:abstractNumId="38">
    <w:nsid w:val="50801EE1"/>
    <w:multiLevelType w:val="hybridMultilevel"/>
    <w:lvl w:ilvl="0">
      <w:lvlJc w:val="left"/>
      <w:lvlText w:val="(%1)"/>
      <w:numFmt w:val="lowerLetter"/>
      <w:start w:val="1"/>
    </w:lvl>
    <w:lvl w:ilvl="1">
      <w:lvlJc w:val="left"/>
      <w:lvlText w:val="(%2)"/>
      <w:numFmt w:val="lowerRoman"/>
      <w:start w:val="1"/>
    </w:lvl>
  </w:abstractNum>
  <w:abstractNum w:abstractNumId="39">
    <w:nsid w:val="488AC1A"/>
    <w:multiLevelType w:val="hybridMultilevel"/>
    <w:lvl w:ilvl="0">
      <w:lvlJc w:val="left"/>
      <w:lvlText w:val="(%1)"/>
      <w:numFmt w:val="lowerRoman"/>
      <w:start w:val="3"/>
    </w:lvl>
  </w:abstractNum>
  <w:abstractNum w:abstractNumId="40">
    <w:nsid w:val="5FB8011C"/>
    <w:multiLevelType w:val="hybridMultilevel"/>
    <w:lvl w:ilvl="0">
      <w:lvlJc w:val="left"/>
      <w:lvlText w:val="(%1)"/>
      <w:numFmt w:val="lowerLetter"/>
      <w:start w:val="1"/>
    </w:lvl>
    <w:lvl w:ilvl="1">
      <w:lvlJc w:val="left"/>
      <w:lvlText w:val="(%2)"/>
      <w:numFmt w:val="lowerRoman"/>
      <w:start w:val="2"/>
    </w:lvl>
  </w:abstractNum>
  <w:abstractNum w:abstractNumId="41">
    <w:nsid w:val="6AA78F7F"/>
    <w:multiLevelType w:val="hybridMultilevel"/>
    <w:lvl w:ilvl="0">
      <w:lvlJc w:val="left"/>
      <w:lvlText w:val="(%1)"/>
      <w:numFmt w:val="lowerLetter"/>
      <w:start w:val="1"/>
    </w:lvl>
  </w:abstractNum>
  <w:abstractNum w:abstractNumId="42">
    <w:nsid w:val="7672BD23"/>
    <w:multiLevelType w:val="hybridMultilevel"/>
    <w:lvl w:ilvl="0">
      <w:lvlJc w:val="left"/>
      <w:lvlText w:val="(%1)"/>
      <w:numFmt w:val="lowerLetter"/>
      <w:start w:val="1"/>
    </w:lvl>
  </w:abstractNum>
  <w:abstractNum w:abstractNumId="43">
    <w:nsid w:val="6FC75AF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4">
    <w:nsid w:val="6A5F702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45">
    <w:nsid w:val="7D5E18F8"/>
    <w:multiLevelType w:val="hybridMultilevel"/>
    <w:lvl w:ilvl="0">
      <w:lvlJc w:val="left"/>
      <w:lvlText w:val="(%1)"/>
      <w:numFmt w:val="lowerLetter"/>
      <w:start w:val="3"/>
    </w:lvl>
  </w:abstractNum>
  <w:abstractNum w:abstractNumId="46">
    <w:nsid w:val="5F3534A4"/>
    <w:multiLevelType w:val="hybridMultilevel"/>
    <w:lvl w:ilvl="0">
      <w:lvlJc w:val="left"/>
      <w:lvlText w:val="(%1)"/>
      <w:numFmt w:val="lowerLetter"/>
      <w:start w:val="1"/>
    </w:lvl>
  </w:abstractNum>
  <w:abstractNum w:abstractNumId="47">
    <w:nsid w:val="73A1821B"/>
    <w:multiLevelType w:val="hybridMultilevel"/>
    <w:lvl w:ilvl="0">
      <w:lvlJc w:val="left"/>
      <w:lvlText w:val="(%1)"/>
      <w:numFmt w:val="lowerLetter"/>
      <w:start w:val="1"/>
    </w:lvl>
    <w:lvl w:ilvl="1">
      <w:lvlJc w:val="left"/>
      <w:lvlText w:val="(%2)"/>
      <w:numFmt w:val="lowerRoman"/>
      <w:start w:val="1"/>
    </w:lvl>
  </w:abstractNum>
  <w:abstractNum w:abstractNumId="48">
    <w:nsid w:val="7DE67713"/>
    <w:multiLevelType w:val="hybridMultilevel"/>
    <w:lvl w:ilvl="0">
      <w:lvlJc w:val="left"/>
      <w:lvlText w:val="(%1)"/>
      <w:numFmt w:val="lowerLetter"/>
      <w:start w:val="1"/>
    </w:lvl>
    <w:lvl w:ilvl="1">
      <w:lvlJc w:val="left"/>
      <w:lvlText w:val="(%2)"/>
      <w:numFmt w:val="lowerRoman"/>
      <w:start w:val="1"/>
    </w:lvl>
  </w:abstractNum>
  <w:abstractNum w:abstractNumId="49">
    <w:nsid w:val="555C55B5"/>
    <w:multiLevelType w:val="hybridMultilevel"/>
    <w:lvl w:ilvl="0">
      <w:lvlJc w:val="left"/>
      <w:lvlText w:val="(%1)"/>
      <w:numFmt w:val="lowerLetter"/>
      <w:start w:val="2"/>
    </w:lvl>
    <w:lvl w:ilvl="1">
      <w:lvlJc w:val="left"/>
      <w:lvlText w:val="(%2)"/>
      <w:numFmt w:val="lowerLetter"/>
      <w:start w:val="35"/>
    </w:lvl>
  </w:abstractNum>
  <w:abstractNum w:abstractNumId="50">
    <w:nsid w:val="3FA62ACA"/>
    <w:multiLevelType w:val="hybridMultilevel"/>
    <w:lvl w:ilvl="0">
      <w:lvlJc w:val="left"/>
      <w:lvlText w:val="%1"/>
      <w:numFmt w:val="lowerLetter"/>
      <w:start w:val="1"/>
    </w:lvl>
    <w:lvl w:ilvl="1">
      <w:lvlJc w:val="left"/>
      <w:lvlText w:val="(%2)"/>
      <w:numFmt w:val="lowerLetter"/>
      <w:start w:val="9"/>
    </w:lvl>
  </w:abstractNum>
  <w:abstractNum w:abstractNumId="51">
    <w:nsid w:val="14FCE74E"/>
    <w:multiLevelType w:val="hybridMultilevel"/>
    <w:lvl w:ilvl="0">
      <w:lvlJc w:val="left"/>
      <w:lvlText w:val="(%1)"/>
      <w:numFmt w:val="lowerRoman"/>
      <w:start w:val="2"/>
    </w:lvl>
  </w:abstractNum>
  <w:abstractNum w:abstractNumId="52">
    <w:nsid w:val="6A3DD3E8"/>
    <w:multiLevelType w:val="hybridMultilevel"/>
    <w:lvl w:ilvl="0">
      <w:lvlJc w:val="left"/>
      <w:lvlText w:val="(%1)"/>
      <w:numFmt w:val="lowerLetter"/>
      <w:start w:val="1"/>
    </w:lvl>
  </w:abstractNum>
  <w:abstractNum w:abstractNumId="53">
    <w:nsid w:val="71C91298"/>
    <w:multiLevelType w:val="hybridMultilevel"/>
    <w:lvl w:ilvl="0">
      <w:lvlJc w:val="left"/>
      <w:lvlText w:val="(%1)"/>
      <w:numFmt w:val="lowerLetter"/>
      <w:start w:val="4"/>
    </w:lvl>
  </w:abstractNum>
  <w:abstractNum w:abstractNumId="54">
    <w:nsid w:val="9DAF632"/>
    <w:multiLevelType w:val="hybridMultilevel"/>
    <w:lvl w:ilvl="0">
      <w:lvlJc w:val="left"/>
      <w:lvlText w:val="%1"/>
      <w:numFmt w:val="lowerLetter"/>
      <w:start w:val="1"/>
    </w:lvl>
    <w:lvl w:ilvl="1">
      <w:lvlJc w:val="left"/>
      <w:lvlText w:val="(%2)"/>
      <w:numFmt w:val="lowerLetter"/>
      <w:start w:val="61"/>
    </w:lvl>
  </w:abstractNum>
  <w:abstractNum w:abstractNumId="55">
    <w:nsid w:val="53299938"/>
    <w:multiLevelType w:val="hybridMultilevel"/>
    <w:lvl w:ilvl="0">
      <w:lvlJc w:val="left"/>
      <w:lvlText w:val="(%1)"/>
      <w:numFmt w:val="lowerLetter"/>
      <w:start w:val="6"/>
    </w:lvl>
    <w:lvl w:ilvl="1">
      <w:lvlJc w:val="left"/>
      <w:lvlText w:val="%2"/>
      <w:numFmt w:val="lowerLetter"/>
      <w:start w:val="1"/>
    </w:lvl>
  </w:abstractNum>
  <w:abstractNum w:abstractNumId="56">
    <w:nsid w:val="1FBFE8E0"/>
    <w:multiLevelType w:val="hybridMultilevel"/>
    <w:lvl w:ilvl="0">
      <w:lvlJc w:val="left"/>
      <w:lvlText w:val="(%1)"/>
      <w:numFmt w:val="lowerLetter"/>
      <w:start w:val="7"/>
    </w:lvl>
  </w:abstractNum>
  <w:abstractNum w:abstractNumId="57">
    <w:nsid w:val="5092CA79"/>
    <w:multiLevelType w:val="hybridMultilevel"/>
    <w:lvl w:ilvl="0">
      <w:lvlJc w:val="left"/>
      <w:lvlText w:val="(%1)"/>
      <w:numFmt w:val="lowerLetter"/>
      <w:start w:val="1"/>
    </w:lvl>
  </w:abstractNum>
  <w:abstractNum w:abstractNumId="58">
    <w:nsid w:val="1D545C4D"/>
    <w:multiLevelType w:val="hybridMultilevel"/>
    <w:lvl w:ilvl="0">
      <w:lvlJc w:val="left"/>
      <w:lvlText w:val="(%1)"/>
      <w:numFmt w:val="lowerLetter"/>
      <w:start w:val="3"/>
    </w:lvl>
    <w:lvl w:ilvl="1">
      <w:lvlJc w:val="left"/>
      <w:lvlText w:val="(%2)"/>
      <w:numFmt w:val="lowerLetter"/>
      <w:start w:val="1"/>
    </w:lvl>
  </w:abstractNum>
  <w:abstractNum w:abstractNumId="59">
    <w:nsid w:val="59ADEA3D"/>
    <w:multiLevelType w:val="hybridMultilevel"/>
    <w:lvl w:ilvl="0">
      <w:lvlJc w:val="left"/>
      <w:lvlText w:val="(%1)"/>
      <w:numFmt w:val="lowerLetter"/>
      <w:start w:val="3"/>
    </w:lvl>
  </w:abstractNum>
  <w:abstractNum w:abstractNumId="60">
    <w:nsid w:val="288F1A34"/>
    <w:multiLevelType w:val="hybridMultilevel"/>
    <w:lvl w:ilvl="0">
      <w:lvlJc w:val="left"/>
      <w:lvlText w:val="(%1)"/>
      <w:numFmt w:val="lowerLetter"/>
      <w:start w:val="1"/>
    </w:lvl>
    <w:lvl w:ilvl="1">
      <w:lvlJc w:val="left"/>
      <w:lvlText w:val="(%2)"/>
      <w:numFmt w:val="lowerRoman"/>
      <w:start w:val="1"/>
    </w:lvl>
  </w:abstractNum>
  <w:abstractNum w:abstractNumId="61">
    <w:nsid w:val="2A155DBC"/>
    <w:multiLevelType w:val="hybridMultilevel"/>
    <w:lvl w:ilvl="0">
      <w:lvlJc w:val="left"/>
      <w:lvlText w:val="(%1)"/>
      <w:numFmt w:val="lowerLetter"/>
      <w:start w:val="2"/>
    </w:lvl>
  </w:abstractNum>
  <w:abstractNum w:abstractNumId="62">
    <w:nsid w:val="1D9F6E5F"/>
    <w:multiLevelType w:val="hybridMultilevel"/>
    <w:lvl w:ilvl="0">
      <w:lvlJc w:val="left"/>
      <w:lvlText w:val="(%1)"/>
      <w:numFmt w:val="lowerLetter"/>
      <w:start w:val="3"/>
    </w:lvl>
  </w:abstractNum>
  <w:abstractNum w:abstractNumId="63">
    <w:nsid w:val="97E1B4E"/>
    <w:multiLevelType w:val="hybridMultilevel"/>
    <w:lvl w:ilvl="0">
      <w:lvlJc w:val="left"/>
      <w:lvlText w:val="(%1)"/>
      <w:numFmt w:val="lowerLetter"/>
      <w:start w:val="1"/>
    </w:lvl>
  </w:abstractNum>
  <w:abstractNum w:abstractNumId="64">
    <w:nsid w:val="51088277"/>
    <w:multiLevelType w:val="hybridMultilevel"/>
    <w:lvl w:ilvl="0">
      <w:lvlJc w:val="left"/>
      <w:lvlText w:val="(%1)"/>
      <w:numFmt w:val="lowerLetter"/>
      <w:start w:val="1"/>
    </w:lvl>
  </w:abstractNum>
  <w:abstractNum w:abstractNumId="65">
    <w:nsid w:val="1CA0C5FA"/>
    <w:multiLevelType w:val="hybridMultilevel"/>
    <w:lvl w:ilvl="0">
      <w:lvlJc w:val="left"/>
      <w:lvlText w:val="(%1)"/>
      <w:numFmt w:val="lowerLetter"/>
      <w:start w:val="1"/>
    </w:lvl>
    <w:lvl w:ilvl="1">
      <w:lvlJc w:val="left"/>
      <w:lvlText w:val="(%2)"/>
      <w:numFmt w:val="lowerRoman"/>
      <w:start w:val="1"/>
    </w:lvl>
  </w:abstractNum>
  <w:abstractNum w:abstractNumId="66">
    <w:nsid w:val="53584BCB"/>
    <w:multiLevelType w:val="hybridMultilevel"/>
    <w:lvl w:ilvl="0">
      <w:lvlJc w:val="left"/>
      <w:lvlText w:val="%1"/>
      <w:numFmt w:val="lowerLetter"/>
      <w:start w:val="1"/>
    </w:lvl>
    <w:lvl w:ilvl="1">
      <w:lvlJc w:val="left"/>
      <w:lvlText w:val="(%2)"/>
      <w:numFmt w:val="lowerRoman"/>
      <w:start w:val="4"/>
    </w:lvl>
  </w:abstractNum>
  <w:abstractNum w:abstractNumId="67">
    <w:nsid w:val="415E286C"/>
    <w:multiLevelType w:val="hybridMultilevel"/>
    <w:lvl w:ilvl="0">
      <w:lvlJc w:val="left"/>
      <w:lvlText w:val="(%1)"/>
      <w:numFmt w:val="lowerLetter"/>
      <w:start w:val="2"/>
    </w:lvl>
    <w:lvl w:ilvl="1">
      <w:lvlJc w:val="left"/>
      <w:lvlText w:val="%2"/>
      <w:numFmt w:val="lowerRoman"/>
      <w:start w:val="1"/>
    </w:lvl>
  </w:abstractNum>
  <w:abstractNum w:abstractNumId="68">
    <w:nsid w:val="7C58FD05"/>
    <w:multiLevelType w:val="hybridMultilevel"/>
    <w:lvl w:ilvl="0">
      <w:lvlJc w:val="left"/>
      <w:lvlText w:val="(%1)"/>
      <w:numFmt w:val="lowerLetter"/>
      <w:start w:val="1"/>
    </w:lvl>
  </w:abstractNum>
  <w:abstractNum w:abstractNumId="69">
    <w:nsid w:val="23D86AAC"/>
    <w:multiLevelType w:val="hybridMultilevel"/>
    <w:lvl w:ilvl="0">
      <w:lvlJc w:val="left"/>
      <w:lvlText w:val="%1"/>
      <w:numFmt w:val="decimal"/>
      <w:start w:val="1"/>
    </w:lvl>
    <w:lvl w:ilvl="1">
      <w:lvlJc w:val="left"/>
      <w:lvlText w:val="(%2)"/>
      <w:numFmt w:val="lowerLetter"/>
      <w:start w:val="1"/>
    </w:lvl>
  </w:abstractNum>
  <w:abstractNum w:abstractNumId="70">
    <w:nsid w:val="45E6D486"/>
    <w:multiLevelType w:val="hybridMultilevel"/>
    <w:lvl w:ilvl="0">
      <w:lvlJc w:val="left"/>
      <w:lvlText w:val="(%1)"/>
      <w:numFmt w:val="decimal"/>
      <w:start w:val="3"/>
    </w:lvl>
    <w:lvl w:ilvl="1">
      <w:lvlJc w:val="left"/>
      <w:lvlText w:val="%2"/>
      <w:numFmt w:val="lowerLetter"/>
      <w:start w:val="1"/>
    </w:lvl>
  </w:abstractNum>
  <w:abstractNum w:abstractNumId="71">
    <w:nsid w:val="5C10FE21"/>
    <w:multiLevelType w:val="hybridMultilevel"/>
    <w:lvl w:ilvl="0">
      <w:lvlJc w:val="left"/>
      <w:lvlText w:val="(%1)"/>
      <w:numFmt w:val="lowerRoman"/>
      <w:start w:val="1"/>
    </w:lvl>
  </w:abstractNum>
  <w:abstractNum w:abstractNumId="72">
    <w:nsid w:val="E7FFA2B"/>
    <w:multiLevelType w:val="hybridMultilevel"/>
    <w:lvl w:ilvl="0">
      <w:lvlJc w:val="left"/>
      <w:lvlText w:val="(%1)"/>
      <w:numFmt w:val="lowerRoman"/>
      <w:start w:val="1"/>
    </w:lvl>
  </w:abstractNum>
  <w:abstractNum w:abstractNumId="73">
    <w:nsid w:val="3C5991AA"/>
    <w:multiLevelType w:val="hybridMultilevel"/>
    <w:lvl w:ilvl="0">
      <w:lvlJc w:val="left"/>
      <w:lvlText w:val="(%1)"/>
      <w:numFmt w:val="lowerLetter"/>
      <w:start w:val="3"/>
    </w:lvl>
  </w:abstractNum>
  <w:abstractNum w:abstractNumId="74">
    <w:nsid w:val="4BD8591A"/>
    <w:multiLevelType w:val="hybridMultilevel"/>
    <w:lvl w:ilvl="0">
      <w:lvlJc w:val="left"/>
      <w:lvlText w:val="(%1)"/>
      <w:numFmt w:val="lowerLetter"/>
      <w:start w:val="1"/>
    </w:lvl>
  </w:abstractNum>
  <w:abstractNum w:abstractNumId="75">
    <w:nsid w:val="78DF6A55"/>
    <w:multiLevelType w:val="hybridMultilevel"/>
    <w:lvl w:ilvl="0">
      <w:lvlJc w:val="left"/>
      <w:lvlText w:val="(%1)"/>
      <w:numFmt w:val="lowerLetter"/>
      <w:start w:val="1"/>
    </w:lvl>
  </w:abstractNum>
  <w:abstractNum w:abstractNumId="76">
    <w:nsid w:val="39B7AAA2"/>
    <w:multiLevelType w:val="hybridMultilevel"/>
    <w:lvl w:ilvl="0">
      <w:lvlJc w:val="left"/>
      <w:lvlText w:val="(%1)"/>
      <w:numFmt w:val="lowerLetter"/>
      <w:start w:val="1"/>
    </w:lvl>
  </w:abstractNum>
  <w:abstractNum w:abstractNumId="77">
    <w:nsid w:val="2B0D8DBE"/>
    <w:multiLevelType w:val="hybridMultilevel"/>
    <w:lvl w:ilvl="0">
      <w:lvlJc w:val="left"/>
      <w:lvlText w:val="(%1)"/>
      <w:numFmt w:val="lowerLetter"/>
      <w:start w:val="1"/>
    </w:lvl>
  </w:abstractNum>
  <w:abstractNum w:abstractNumId="78">
    <w:nsid w:val="6C80EC70"/>
    <w:multiLevelType w:val="hybridMultilevel"/>
    <w:lvl w:ilvl="0">
      <w:lvlJc w:val="left"/>
      <w:lvlText w:val="(%1)"/>
      <w:numFmt w:val="lowerLetter"/>
      <w:start w:val="2"/>
    </w:lvl>
  </w:abstractNum>
  <w:abstractNum w:abstractNumId="79">
    <w:nsid w:val="379E21B5"/>
    <w:multiLevelType w:val="hybridMultilevel"/>
    <w:lvl w:ilvl="0">
      <w:lvlJc w:val="left"/>
      <w:lvlText w:val="(%1)"/>
      <w:numFmt w:val="lowerLetter"/>
      <w:start w:val="1"/>
    </w:lvl>
  </w:abstractNum>
  <w:abstractNum w:abstractNumId="80">
    <w:nsid w:val="69E373"/>
    <w:multiLevelType w:val="hybridMultilevel"/>
    <w:lvl w:ilvl="0">
      <w:lvlJc w:val="left"/>
      <w:lvlText w:val="(%1)"/>
      <w:numFmt w:val="lowerLetter"/>
      <w:start w:val="4"/>
    </w:lvl>
  </w:abstractNum>
  <w:abstractNum w:abstractNumId="81">
    <w:nsid w:val="2C27173B"/>
    <w:multiLevelType w:val="hybridMultilevel"/>
    <w:lvl w:ilvl="0">
      <w:lvlJc w:val="left"/>
      <w:lvlText w:val="(%1)"/>
      <w:numFmt w:val="lowerLetter"/>
      <w:start w:val="1"/>
    </w:lvl>
    <w:lvl w:ilvl="1">
      <w:lvlJc w:val="left"/>
      <w:lvlText w:val="(%2)"/>
      <w:numFmt w:val="lowerRoman"/>
      <w:start w:val="1"/>
    </w:lvl>
  </w:abstractNum>
  <w:abstractNum w:abstractNumId="82">
    <w:nsid w:val="4C9B0904"/>
    <w:multiLevelType w:val="hybridMultilevel"/>
    <w:lvl w:ilvl="0">
      <w:lvlJc w:val="left"/>
      <w:lvlText w:val="(%1)"/>
      <w:numFmt w:val="lowerLetter"/>
      <w:start w:val="4"/>
    </w:lvl>
  </w:abstractNum>
  <w:abstractNum w:abstractNumId="83">
    <w:nsid w:val="6AA7B75C"/>
    <w:multiLevelType w:val="hybridMultilevel"/>
    <w:lvl w:ilvl="0">
      <w:lvlJc w:val="left"/>
      <w:lvlText w:val="(%1)"/>
      <w:numFmt w:val="lowerRoman"/>
      <w:start w:val="2"/>
    </w:lvl>
  </w:abstractNum>
  <w:abstractNum w:abstractNumId="84">
    <w:nsid w:val="1DF029D3"/>
    <w:multiLevelType w:val="hybridMultilevel"/>
    <w:lvl w:ilvl="0">
      <w:lvlJc w:val="left"/>
      <w:lvlText w:val="(%1)"/>
      <w:numFmt w:val="lowerLetter"/>
      <w:start w:val="1"/>
    </w:lvl>
    <w:lvl w:ilvl="1">
      <w:lvlJc w:val="left"/>
      <w:lvlText w:val="(%2)"/>
      <w:numFmt w:val="lowerRoman"/>
      <w:start w:val="1"/>
    </w:lvl>
  </w:abstractNum>
  <w:abstractNum w:abstractNumId="85">
    <w:nsid w:val="5675FF36"/>
    <w:multiLevelType w:val="hybridMultilevel"/>
    <w:lvl w:ilvl="0">
      <w:lvlJc w:val="left"/>
      <w:lvlText w:val="%1"/>
      <w:numFmt w:val="lowerLetter"/>
      <w:start w:val="1"/>
    </w:lvl>
    <w:lvl w:ilvl="1">
      <w:lvlJc w:val="left"/>
      <w:lvlText w:val="(%2)"/>
      <w:numFmt w:val="lowerRoman"/>
      <w:start w:val="3"/>
    </w:lvl>
  </w:abstractNum>
  <w:abstractNum w:abstractNumId="86">
    <w:nsid w:val="3DD15094"/>
    <w:multiLevelType w:val="hybridMultilevel"/>
    <w:lvl w:ilvl="0">
      <w:lvlJc w:val="left"/>
      <w:lvlText w:val="(%1)"/>
      <w:numFmt w:val="lowerLetter"/>
      <w:start w:val="3"/>
    </w:lvl>
    <w:lvl w:ilvl="1">
      <w:lvlJc w:val="left"/>
      <w:lvlText w:val="%2"/>
      <w:numFmt w:val="lowerRoman"/>
      <w:start w:val="1"/>
    </w:lvl>
  </w:abstractNum>
  <w:abstractNum w:abstractNumId="87">
    <w:nsid w:val="3DB012B3"/>
    <w:multiLevelType w:val="hybridMultilevel"/>
    <w:lvl w:ilvl="0">
      <w:lvlJc w:val="left"/>
      <w:lvlText w:val="(%1)"/>
      <w:numFmt w:val="lowerLetter"/>
      <w:start w:val="1"/>
    </w:lvl>
  </w:abstractNum>
  <w:abstractNum w:abstractNumId="88">
    <w:nsid w:val="2708C9AF"/>
    <w:multiLevelType w:val="hybridMultilevel"/>
    <w:lvl w:ilvl="0">
      <w:lvlJc w:val="left"/>
      <w:lvlText w:val="(%1)"/>
      <w:numFmt w:val="lowerLetter"/>
      <w:start w:val="10"/>
    </w:lvl>
  </w:abstractNum>
  <w:abstractNum w:abstractNumId="89">
    <w:nsid w:val="5B25ACE2"/>
    <w:multiLevelType w:val="hybridMultilevel"/>
    <w:lvl w:ilvl="0">
      <w:lvlJc w:val="left"/>
      <w:lvlText w:val="%1"/>
      <w:numFmt w:val="upperLetter"/>
      <w:start w:val="1"/>
    </w:lvl>
    <w:lvl w:ilvl="1">
      <w:lvlJc w:val="left"/>
      <w:lvlText w:val="(%2)"/>
      <w:numFmt w:val="lowerLetter"/>
      <w:start w:val="1"/>
    </w:lvl>
  </w:abstractNum>
  <w:abstractNum w:abstractNumId="90">
    <w:nsid w:val="175DFCF0"/>
    <w:multiLevelType w:val="hybridMultilevel"/>
    <w:lvl w:ilvl="0">
      <w:lvlJc w:val="left"/>
      <w:lvlText w:val="(%1)"/>
      <w:numFmt w:val="upperLetter"/>
      <w:start w:val="35"/>
    </w:lvl>
    <w:lvl w:ilvl="1">
      <w:lvlJc w:val="left"/>
      <w:lvlText w:val="(%2)"/>
      <w:numFmt w:val="lowerLetter"/>
      <w:start w:val="4"/>
    </w:lvl>
  </w:abstractNum>
  <w:abstractNum w:abstractNumId="91">
    <w:nsid w:val="4F97E3E4"/>
    <w:multiLevelType w:val="hybridMultilevel"/>
    <w:lvl w:ilvl="0">
      <w:lvlJc w:val="left"/>
      <w:lvlText w:val="(%1)"/>
      <w:numFmt w:val="lowerLetter"/>
      <w:start w:val="1"/>
    </w:lvl>
  </w:abstractNum>
  <w:abstractNum w:abstractNumId="92">
    <w:nsid w:val="53B0A9E"/>
    <w:multiLevelType w:val="hybridMultilevel"/>
    <w:lvl w:ilvl="0">
      <w:lvlJc w:val="left"/>
      <w:lvlText w:val="(%1)"/>
      <w:numFmt w:val="lowerLetter"/>
      <w:start w:val="2"/>
    </w:lvl>
  </w:abstractNum>
  <w:abstractNum w:abstractNumId="93">
    <w:nsid w:val="34FD6B4F"/>
    <w:multiLevelType w:val="hybridMultilevel"/>
    <w:lvl w:ilvl="0">
      <w:lvlJc w:val="left"/>
      <w:lvlText w:val="(%1)"/>
      <w:numFmt w:val="lowerLetter"/>
      <w:start w:val="1"/>
    </w:lvl>
  </w:abstractNum>
  <w:abstractNum w:abstractNumId="94">
    <w:nsid w:val="5915FF32"/>
    <w:multiLevelType w:val="hybridMultilevel"/>
    <w:lvl w:ilvl="0">
      <w:lvlJc w:val="left"/>
      <w:lvlText w:val="(%1)"/>
      <w:numFmt w:val="lowerLetter"/>
      <w:start w:val="12"/>
    </w:lvl>
  </w:abstractNum>
  <w:abstractNum w:abstractNumId="95">
    <w:nsid w:val="56438D15"/>
    <w:multiLevelType w:val="hybridMultilevel"/>
    <w:lvl w:ilvl="0">
      <w:lvlJc w:val="left"/>
      <w:lvlText w:val="(%1)"/>
      <w:numFmt w:val="lowerLetter"/>
      <w:start w:val="2"/>
    </w:lvl>
  </w:abstractNum>
  <w:abstractNum w:abstractNumId="96">
    <w:nsid w:val="519E3149"/>
    <w:multiLevelType w:val="hybridMultilevel"/>
    <w:lvl w:ilvl="0">
      <w:lvlJc w:val="left"/>
      <w:lvlText w:val="(%1)"/>
      <w:numFmt w:val="lowerLetter"/>
      <w:start w:val="1"/>
    </w:lvl>
  </w:abstractNum>
  <w:abstractNum w:abstractNumId="97">
    <w:nsid w:val="2C6E4AFD"/>
    <w:multiLevelType w:val="hybridMultilevel"/>
    <w:lvl w:ilvl="0">
      <w:lvlJc w:val="left"/>
      <w:lvlText w:val="(%1)"/>
      <w:numFmt w:val="lowerLetter"/>
      <w:start w:val="2"/>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2"/>
    </w:lvl>
  </w:abstractNum>
  <w:abstractNum w:abstractNumId="100">
    <w:nsid w:val="5046B5A9"/>
    <w:multiLevelType w:val="hybridMultilevel"/>
    <w:lvl w:ilvl="0">
      <w:lvlJc w:val="left"/>
      <w:lvlText w:val="%1"/>
      <w:numFmt w:val="lowerLetter"/>
      <w:start w:val="1"/>
    </w:lvl>
    <w:lvl w:ilvl="1">
      <w:lvlJc w:val="left"/>
      <w:lvlText w:val="(%2)"/>
      <w:numFmt w:val="lowerLetter"/>
      <w:start w:val="1"/>
    </w:lvl>
  </w:abstractNum>
  <w:abstractNum w:abstractNumId="101">
    <w:nsid w:val="5D888A08"/>
    <w:multiLevelType w:val="hybridMultilevel"/>
    <w:lvl w:ilvl="0">
      <w:lvlJc w:val="left"/>
      <w:lvlText w:val="(%1)"/>
      <w:numFmt w:val="lowerLetter"/>
      <w:start w:val="35"/>
    </w:lvl>
    <w:lvl w:ilvl="1">
      <w:lvlJc w:val="left"/>
      <w:lvlText w:val="(%2)"/>
      <w:numFmt w:val="lowerLetter"/>
      <w:start w:val="2"/>
    </w:lvl>
  </w:abstractNum>
  <w:abstractNum w:abstractNumId="102">
    <w:nsid w:val="2A082C70"/>
    <w:multiLevelType w:val="hybridMultilevel"/>
    <w:lvl w:ilvl="0">
      <w:lvlJc w:val="left"/>
      <w:lvlText w:val="(%1)"/>
      <w:numFmt w:val="lowerLetter"/>
      <w:start w:val="4"/>
    </w:lvl>
  </w:abstractNum>
  <w:abstractNum w:abstractNumId="103">
    <w:nsid w:val="5EC6AFD4"/>
    <w:multiLevelType w:val="hybridMultilevel"/>
    <w:lvl w:ilvl="0">
      <w:lvlJc w:val="left"/>
      <w:lvlText w:val="%1"/>
      <w:numFmt w:val="upperLetter"/>
      <w:start w:val="1"/>
    </w:lvl>
    <w:lvl w:ilvl="1">
      <w:lvlJc w:val="left"/>
      <w:lvlText w:val="(%2)"/>
      <w:numFmt w:val="lowerLetter"/>
      <w:start w:val="7"/>
    </w:lvl>
  </w:abstractNum>
  <w:abstractNum w:abstractNumId="104">
    <w:nsid w:val="19E21BB2"/>
    <w:multiLevelType w:val="hybridMultilevel"/>
    <w:lvl w:ilvl="0">
      <w:lvlJc w:val="left"/>
      <w:lvlText w:val="(%1)"/>
      <w:numFmt w:val="upperLetter"/>
      <w:start w:val="1"/>
    </w:lvl>
    <w:lvl w:ilvl="1">
      <w:lvlJc w:val="left"/>
      <w:lvlText w:val="(%2)"/>
      <w:numFmt w:val="lowerLetter"/>
      <w:start w:val="9"/>
    </w:lvl>
  </w:abstractNum>
  <w:abstractNum w:abstractNumId="105">
    <w:nsid w:val="75E0858A"/>
    <w:multiLevelType w:val="hybridMultilevel"/>
    <w:lvl w:ilvl="0">
      <w:lvlJc w:val="left"/>
      <w:lvlText w:val="(%1)"/>
      <w:numFmt w:val="lowerLetter"/>
      <w:start w:val="1"/>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Roman"/>
      <w:start w:val="5"/>
    </w:lvl>
  </w:abstractNum>
  <w:abstractNum w:abstractNumId="108">
    <w:nsid w:val="20EE1348"/>
    <w:multiLevelType w:val="hybridMultilevel"/>
    <w:lvl w:ilvl="0">
      <w:lvlJc w:val="left"/>
      <w:lvlText w:val="(%1)"/>
      <w:numFmt w:val="lowerLetter"/>
      <w:start w:val="1"/>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lowerLetter"/>
      <w:start w:val="2"/>
    </w:lvl>
  </w:abstractNum>
  <w:abstractNum w:abstractNumId="111">
    <w:nsid w:val="2157F6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2">
    <w:nsid w:val="704E1DD5"/>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13">
    <w:nsid w:val="57D2F10E"/>
    <w:multiLevelType w:val="hybridMultilevel"/>
    <w:lvl w:ilvl="0">
      <w:lvlJc w:val="left"/>
      <w:lvlText w:val="%1"/>
      <w:numFmt w:val="lowerLetter"/>
      <w:start w:val="1"/>
    </w:lvl>
    <w:lvl w:ilvl="1">
      <w:lvlJc w:val="left"/>
      <w:lvlText w:val="(%2)"/>
      <w:numFmt w:val="lowerRoman"/>
      <w:start w:val="4"/>
    </w:lvl>
  </w:abstractNum>
  <w:abstractNum w:abstractNumId="114">
    <w:nsid w:val="BFFAE18"/>
    <w:multiLevelType w:val="hybridMultilevel"/>
    <w:lvl w:ilvl="0">
      <w:lvlJc w:val="left"/>
      <w:lvlText w:val="(%1)"/>
      <w:numFmt w:val="lowerLetter"/>
      <w:start w:val="2"/>
    </w:lvl>
    <w:lvl w:ilvl="1">
      <w:lvlJc w:val="left"/>
      <w:lvlText w:val="%2"/>
      <w:numFmt w:val="lowerRoman"/>
      <w:start w:val="1"/>
    </w:lvl>
  </w:abstractNum>
  <w:abstractNum w:abstractNumId="115">
    <w:nsid w:val="E3E47A8"/>
    <w:multiLevelType w:val="hybridMultilevel"/>
    <w:lvl w:ilvl="0">
      <w:lvlJc w:val="left"/>
      <w:lvlText w:val="(%1)"/>
      <w:numFmt w:val="lowerLetter"/>
      <w:start w:val="1"/>
    </w:lvl>
  </w:abstractNum>
  <w:abstractNum w:abstractNumId="116">
    <w:nsid w:val="2E48F044"/>
    <w:multiLevelType w:val="hybridMultilevel"/>
    <w:lvl w:ilvl="0">
      <w:lvlJc w:val="left"/>
      <w:lvlText w:val="(%1)"/>
      <w:numFmt w:val="lowerLetter"/>
      <w:start w:val="5"/>
    </w:lvl>
  </w:abstractNum>
  <w:abstractNum w:abstractNumId="117">
    <w:nsid w:val="49D0FEAC"/>
    <w:multiLevelType w:val="hybridMultilevel"/>
    <w:lvl w:ilvl="0">
      <w:lvlJc w:val="left"/>
      <w:lvlText w:val="(%1)"/>
      <w:numFmt w:val="lowerRoman"/>
      <w:start w:val="2"/>
    </w:lvl>
  </w:abstractNum>
  <w:abstractNum w:abstractNumId="118">
    <w:nsid w:val="4BEE5A5B"/>
    <w:multiLevelType w:val="hybridMultilevel"/>
    <w:lvl w:ilvl="0">
      <w:lvlJc w:val="left"/>
      <w:lvlText w:val="(%1)"/>
      <w:numFmt w:val="lowerLetter"/>
      <w:start w:val="1"/>
    </w:lvl>
    <w:lvl w:ilvl="1">
      <w:lvlJc w:val="left"/>
      <w:lvlText w:val="(%2)"/>
      <w:numFmt w:val="lowerRoman"/>
      <w:start w:val="1"/>
    </w:lvl>
  </w:abstractNum>
  <w:abstractNum w:abstractNumId="119">
    <w:nsid w:val="5551B9F3"/>
    <w:multiLevelType w:val="hybridMultilevel"/>
    <w:lvl w:ilvl="0">
      <w:lvlJc w:val="left"/>
      <w:lvlText w:val="(%1)"/>
      <w:numFmt w:val="lowerLetter"/>
      <w:start w:val="2"/>
    </w:lvl>
  </w:abstractNum>
  <w:abstractNum w:abstractNumId="120">
    <w:nsid w:val="24F6AB8E"/>
    <w:multiLevelType w:val="hybridMultilevel"/>
    <w:lvl w:ilvl="0">
      <w:lvlJc w:val="left"/>
      <w:lvlText w:val="(%1)"/>
      <w:numFmt w:val="lowerLetter"/>
      <w:start w:val="3"/>
    </w:lvl>
  </w:abstractNum>
  <w:abstractNum w:abstractNumId="121">
    <w:nsid w:val="634C574C"/>
    <w:multiLevelType w:val="hybridMultilevel"/>
    <w:lvl w:ilvl="0">
      <w:lvlJc w:val="left"/>
      <w:lvlText w:val="(%1)"/>
      <w:numFmt w:val="lowerLetter"/>
      <w:start w:val="4"/>
    </w:lvl>
  </w:abstractNum>
  <w:abstractNum w:abstractNumId="122">
    <w:nsid w:val="24E99DD7"/>
    <w:multiLevelType w:val="hybridMultilevel"/>
    <w:lvl w:ilvl="0">
      <w:lvlJc w:val="left"/>
      <w:lvlText w:val="(%1)"/>
      <w:numFmt w:val="lowerLetter"/>
      <w:start w:val="1"/>
    </w:lvl>
  </w:abstractNum>
  <w:abstractNum w:abstractNumId="123">
    <w:nsid w:val="2A31B62D"/>
    <w:multiLevelType w:val="hybridMultilevel"/>
    <w:lvl w:ilvl="0">
      <w:lvlJc w:val="left"/>
      <w:lvlText w:val="(%1)"/>
      <w:numFmt w:val="lowerLetter"/>
      <w:start w:val="24"/>
    </w:lvl>
    <w:lvl w:ilvl="1">
      <w:lvlJc w:val="left"/>
      <w:lvlText w:val="(%2)"/>
      <w:numFmt w:val="lowerLetter"/>
      <w:start w:val="3"/>
    </w:lvl>
  </w:abstractNum>
  <w:abstractNum w:abstractNumId="124">
    <w:nsid w:val="1849C29B"/>
    <w:multiLevelType w:val="hybridMultilevel"/>
    <w:lvl w:ilvl="0">
      <w:lvlJc w:val="left"/>
      <w:lvlText w:val="(%1)"/>
      <w:numFmt w:val="lowerLetter"/>
      <w:start w:val="5"/>
    </w:lvl>
  </w:abstractNum>
  <w:abstractNum w:abstractNumId="125">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6">
    <w:nsid w:val="754342"/>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9"/>
    </w:lvl>
  </w:abstractNum>
  <w:abstractNum w:abstractNumId="127">
    <w:nsid w:val="69E7F3E5"/>
    <w:multiLevelType w:val="hybridMultilevel"/>
    <w:lvl w:ilvl="0">
      <w:lvlJc w:val="left"/>
      <w:lvlText w:val="(%1)"/>
      <w:numFmt w:val="lowerRoman"/>
      <w:start w:val="2"/>
    </w:lvl>
  </w:abstractNum>
  <w:abstractNum w:abstractNumId="128">
    <w:nsid w:val="2A6DE806"/>
    <w:multiLevelType w:val="hybridMultilevel"/>
    <w:lvl w:ilvl="0">
      <w:lvlJc w:val="left"/>
      <w:lvlText w:val="(%1)"/>
      <w:numFmt w:val="lowerRoman"/>
      <w:start w:val="4"/>
    </w:lvl>
  </w:abstractNum>
  <w:abstractNum w:abstractNumId="129">
    <w:nsid w:val="1816F8C4"/>
    <w:multiLevelType w:val="hybridMultilevel"/>
    <w:lvl w:ilvl="0">
      <w:lvlJc w:val="left"/>
      <w:lvlText w:val="(%1)"/>
      <w:numFmt w:val="lowerRoman"/>
      <w:start w:val="6"/>
    </w:lvl>
  </w:abstractNum>
  <w:abstractNum w:abstractNumId="130">
    <w:nsid w:val="37DF2233"/>
    <w:multiLevelType w:val="hybridMultilevel"/>
    <w:lvl w:ilvl="0">
      <w:lvlJc w:val="left"/>
      <w:lvlText w:val="(%1)"/>
      <w:numFmt w:val="lowerLetter"/>
      <w:start w:val="3"/>
    </w:lvl>
  </w:abstractNum>
  <w:abstractNum w:abstractNumId="131">
    <w:nsid w:val="7AB49DAF"/>
    <w:multiLevelType w:val="hybridMultilevel"/>
    <w:lvl w:ilvl="0">
      <w:lvlJc w:val="left"/>
      <w:lvlText w:val="(%1)"/>
      <w:numFmt w:val="lowerLetter"/>
      <w:start w:val="5"/>
    </w:lvl>
  </w:abstractNum>
  <w:abstractNum w:abstractNumId="132">
    <w:nsid w:val="759F82CD"/>
    <w:multiLevelType w:val="hybridMultilevel"/>
    <w:lvl w:ilvl="0">
      <w:lvlJc w:val="left"/>
      <w:lvlText w:val="(%1)"/>
      <w:numFmt w:val="lowerRoman"/>
      <w:start w:val="10"/>
    </w:lvl>
  </w:abstractNum>
  <w:abstractNum w:abstractNumId="133">
    <w:nsid w:val="61E74EA3"/>
    <w:multiLevelType w:val="hybridMultilevel"/>
    <w:lvl w:ilvl="0">
      <w:lvlJc w:val="left"/>
      <w:lvlText w:val="(%1)"/>
      <w:numFmt w:val="lowerLetter"/>
      <w:start w:val="2"/>
    </w:lvl>
  </w:abstractNum>
  <w:abstractNum w:abstractNumId="134">
    <w:nsid w:val="597B4D84"/>
    <w:multiLevelType w:val="hybridMultilevel"/>
    <w:lvl w:ilvl="0">
      <w:lvlJc w:val="left"/>
      <w:lvlText w:val="(%1)"/>
      <w:numFmt w:val="lowerLetter"/>
      <w:start w:val="2"/>
    </w:lvl>
  </w:abstractNum>
  <w:abstractNum w:abstractNumId="135">
    <w:nsid w:val="F819E7F"/>
    <w:multiLevelType w:val="hybridMultilevel"/>
    <w:lvl w:ilvl="0">
      <w:lvlJc w:val="left"/>
      <w:lvlText w:val="(%1)"/>
      <w:numFmt w:val="lowerLetter"/>
      <w:start w:val="1"/>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lowerLetter"/>
      <w:start w:val="1"/>
    </w:lvl>
    <w:lvl w:ilvl="1">
      <w:lvlJc w:val="left"/>
      <w:lvlText w:val="(%2)"/>
      <w:numFmt w:val="lowerRoman"/>
      <w:start w:val="1"/>
    </w:lvl>
  </w:abstractNum>
  <w:abstractNum w:abstractNumId="138">
    <w:nsid w:val="631B64D4"/>
    <w:multiLevelType w:val="hybridMultilevel"/>
    <w:lvl w:ilvl="0">
      <w:lvlJc w:val="left"/>
      <w:lvlText w:val="◦"/>
      <w:numFmt w:val="bullet"/>
      <w:start w:val="1"/>
    </w:lvl>
  </w:abstractNum>
  <w:abstractNum w:abstractNumId="139">
    <w:nsid w:val="78B5E776"/>
    <w:multiLevelType w:val="hybridMultilevel"/>
    <w:lvl w:ilvl="0">
      <w:lvlJc w:val="left"/>
      <w:lvlText w:val="▪"/>
      <w:numFmt w:val="bullet"/>
      <w:start w:val="1"/>
    </w:lvl>
  </w:abstractNum>
  <w:abstractNum w:abstractNumId="140">
    <w:nsid w:val="75486E47"/>
    <w:multiLevelType w:val="hybridMultilevel"/>
    <w:lvl w:ilvl="0">
      <w:lvlJc w:val="left"/>
      <w:lvlText w:val="%1."/>
      <w:numFmt w:val="decimal"/>
      <w:start w:val="1"/>
    </w:lvl>
  </w:abstractNum>
  <w:abstractNum w:abstractNumId="141">
    <w:nsid w:val="6E534CDE"/>
    <w:multiLevelType w:val="hybridMultilevel"/>
    <w:lvl w:ilvl="0">
      <w:lvlJc w:val="left"/>
      <w:lvlText w:val="%1."/>
      <w:numFmt w:val="decimal"/>
      <w:start w:val="1"/>
    </w:lvl>
  </w:abstractNum>
  <w:abstractNum w:abstractNumId="142">
    <w:nsid w:val="1A0DDE32"/>
    <w:multiLevelType w:val="hybridMultilevel"/>
    <w:lvl w:ilvl="0">
      <w:lvlJc w:val="left"/>
      <w:lvlText w:val="%1."/>
      <w:numFmt w:val="decimal"/>
      <w:start w:val="1"/>
    </w:lvl>
  </w:abstractNum>
  <w:abstractNum w:abstractNumId="143">
    <w:nsid w:val="65968C1C"/>
    <w:multiLevelType w:val="hybridMultilevel"/>
    <w:lvl w:ilvl="0">
      <w:lvlJc w:val="left"/>
      <w:lvlText w:val="%1."/>
      <w:numFmt w:val="decimal"/>
      <w:start w:val="1"/>
    </w:lvl>
  </w:abstractNum>
  <w:abstractNum w:abstractNumId="144">
    <w:nsid w:val="46263DEC"/>
    <w:multiLevelType w:val="hybridMultilevel"/>
    <w:lvl w:ilvl="0">
      <w:lvlJc w:val="left"/>
      <w:lvlText w:val="%1."/>
      <w:numFmt w:val="decimal"/>
      <w:start w:val="1"/>
    </w:lvl>
  </w:abstractNum>
  <w:abstractNum w:abstractNumId="145">
    <w:nsid w:val="260D8C4A"/>
    <w:multiLevelType w:val="hybridMultilevel"/>
    <w:lvl w:ilvl="0">
      <w:lvlJc w:val="left"/>
      <w:lvlText w:val="%1."/>
      <w:numFmt w:val="decimal"/>
      <w:start w:val="4"/>
    </w:lvl>
  </w:abstractNum>
  <w:abstractNum w:abstractNumId="146">
    <w:nsid w:val="73D4D3C4"/>
    <w:multiLevelType w:val="hybridMultilevel"/>
    <w:lvl w:ilvl="0">
      <w:lvlJc w:val="left"/>
      <w:lvlText w:val="%1."/>
      <w:numFmt w:val="decimal"/>
      <w:start w:val="1"/>
    </w:lvl>
  </w:abstractNum>
  <w:abstractNum w:abstractNumId="147">
    <w:nsid w:val="746F2E30"/>
    <w:multiLevelType w:val="hybridMultilevel"/>
    <w:lvl w:ilvl="0">
      <w:lvlJc w:val="left"/>
      <w:lvlText w:val="(%1)"/>
      <w:numFmt w:val="lowerRoman"/>
      <w:start w:val="3"/>
    </w:lvl>
  </w:abstractNum>
  <w:abstractNum w:abstractNumId="148">
    <w:nsid w:val="6FDE8AF6"/>
    <w:multiLevelType w:val="hybridMultilevel"/>
    <w:lvl w:ilvl="0">
      <w:lvlJc w:val="left"/>
      <w:lvlText w:val="%1."/>
      <w:numFmt w:val="lowerLetter"/>
      <w:start w:val="2"/>
    </w:lvl>
  </w:abstractNum>
  <w:abstractNum w:abstractNumId="149">
    <w:nsid w:val="3FC32E20"/>
    <w:multiLevelType w:val="hybridMultilevel"/>
    <w:lvl w:ilvl="0">
      <w:lvlJc w:val="left"/>
      <w:lvlText w:val="(%1)"/>
      <w:numFmt w:val="upperLetter"/>
      <w:start w:val="2"/>
    </w:lvl>
  </w:abstractNum>
  <w:abstractNum w:abstractNumId="150">
    <w:nsid w:val="49C0E823"/>
    <w:multiLevelType w:val="hybridMultilevel"/>
    <w:lvl w:ilvl="0">
      <w:lvlJc w:val="left"/>
      <w:lvlText w:val="%1."/>
      <w:numFmt w:val="decimal"/>
      <w:start w:val="1"/>
    </w:lvl>
    <w:lvl w:ilvl="1">
      <w:lvlJc w:val="left"/>
      <w:lvlText w:val="(%2)"/>
      <w:numFmt w:val="lowerLetter"/>
      <w:start w:val="2"/>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59" Type="http://schemas.openxmlformats.org/officeDocument/2006/relationships/hyperlink" Target="http://www.sec.gov/Archives/edgar/data/1331875/000110465920012350/tm207083d1_ex2-1.htm" TargetMode="External"/><Relationship Id="rId60" Type="http://schemas.openxmlformats.org/officeDocument/2006/relationships/hyperlink" Target="http://www.sec.gov/Archives/edgar/data/1331875/000104746920002579/a2241436zs-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2020-04-28T15:50:14Z</dcterms:created>
  <dcterms:modified xsi:type="dcterms:W3CDTF">2020-04-28T15:50:14Z</dcterms:modified>
</cp:coreProperties>
</file>