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 Ended June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FIDELITY NATIONAL FINANCIAL,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jc w:val="center"/>
              <w:ind w:left="3610"/>
              <w:spacing w:after="0"/>
              <w:rPr>
                <w:sz w:val="20"/>
                <w:szCs w:val="20"/>
                <w:color w:val="auto"/>
              </w:rPr>
            </w:pPr>
            <w:r>
              <w:rPr>
                <w:rFonts w:ascii="Arial" w:cs="Arial" w:eastAsia="Arial" w:hAnsi="Arial"/>
                <w:sz w:val="18"/>
                <w:szCs w:val="18"/>
                <w:color w:val="auto"/>
                <w:w w:val="90"/>
              </w:rPr>
              <w:t>(Exact name of registrant as specified in its charter)</w:t>
            </w:r>
          </w:p>
        </w:tc>
        <w:tc>
          <w:tcPr>
            <w:tcW w:w="3680" w:type="dxa"/>
            <w:vAlign w:val="bottom"/>
          </w:tcPr>
          <w:p>
            <w:pPr>
              <w:spacing w:after="0"/>
              <w:rPr>
                <w:sz w:val="20"/>
                <w:szCs w:val="20"/>
                <w:color w:val="auto"/>
              </w:rPr>
            </w:pPr>
          </w:p>
        </w:tc>
      </w:tr>
      <w:tr>
        <w:trPr>
          <w:trHeight w:val="416"/>
        </w:trPr>
        <w:tc>
          <w:tcPr>
            <w:tcW w:w="7740" w:type="dxa"/>
            <w:vAlign w:val="bottom"/>
            <w:tcBorders>
              <w:bottom w:val="single" w:sz="8" w:color="auto"/>
            </w:tcBorders>
          </w:tcPr>
          <w:p>
            <w:pPr>
              <w:jc w:val="center"/>
              <w:ind w:right="2210"/>
              <w:spacing w:after="0"/>
              <w:rPr>
                <w:sz w:val="20"/>
                <w:szCs w:val="20"/>
                <w:color w:val="auto"/>
              </w:rPr>
            </w:pPr>
            <w:r>
              <w:rPr>
                <w:rFonts w:ascii="Arial" w:cs="Arial" w:eastAsia="Arial" w:hAnsi="Arial"/>
                <w:sz w:val="18"/>
                <w:szCs w:val="18"/>
                <w:color w:val="auto"/>
                <w:w w:val="89"/>
              </w:rPr>
              <w:t>Delaware</w:t>
            </w:r>
          </w:p>
        </w:tc>
        <w:tc>
          <w:tcPr>
            <w:tcW w:w="36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16-1725106</w:t>
            </w:r>
          </w:p>
        </w:tc>
      </w:tr>
      <w:tr>
        <w:trPr>
          <w:trHeight w:val="209"/>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368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32204</w:t>
            </w:r>
          </w:p>
        </w:tc>
      </w:tr>
      <w:tr>
        <w:trPr>
          <w:trHeight w:val="224"/>
        </w:trPr>
        <w:tc>
          <w:tcPr>
            <w:tcW w:w="7740" w:type="dxa"/>
            <w:vAlign w:val="bottom"/>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r>
        <w:trPr>
          <w:trHeight w:val="438"/>
        </w:trPr>
        <w:tc>
          <w:tcPr>
            <w:tcW w:w="77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90"/>
              </w:rPr>
              <w:t>(904) 854-8100</w:t>
            </w:r>
          </w:p>
        </w:tc>
        <w:tc>
          <w:tcPr>
            <w:tcW w:w="3680" w:type="dxa"/>
            <w:vAlign w:val="bottom"/>
            <w:tcBorders>
              <w:bottom w:val="single" w:sz="8" w:color="auto"/>
            </w:tcBorders>
          </w:tcPr>
          <w:p>
            <w:pPr>
              <w:spacing w:after="0"/>
              <w:rPr>
                <w:sz w:val="24"/>
                <w:szCs w:val="24"/>
                <w:color w:val="auto"/>
              </w:rPr>
            </w:pPr>
          </w:p>
        </w:tc>
      </w:tr>
      <w:tr>
        <w:trPr>
          <w:trHeight w:val="230"/>
        </w:trPr>
        <w:tc>
          <w:tcPr>
            <w:tcW w:w="7740" w:type="dxa"/>
            <w:vAlign w:val="bottom"/>
          </w:tcPr>
          <w:p>
            <w:pPr>
              <w:jc w:val="center"/>
              <w:ind w:left="3590"/>
              <w:spacing w:after="0"/>
              <w:rPr>
                <w:sz w:val="20"/>
                <w:szCs w:val="20"/>
                <w:color w:val="auto"/>
              </w:rPr>
            </w:pPr>
            <w:r>
              <w:rPr>
                <w:rFonts w:ascii="Arial" w:cs="Arial" w:eastAsia="Arial" w:hAnsi="Arial"/>
                <w:sz w:val="18"/>
                <w:szCs w:val="18"/>
                <w:color w:val="auto"/>
                <w:w w:val="90"/>
              </w:rPr>
              <w:t>(Registrant’s telephone number, including area code)</w:t>
            </w:r>
          </w:p>
        </w:tc>
        <w:tc>
          <w:tcPr>
            <w:tcW w:w="3680" w:type="dxa"/>
            <w:vAlign w:val="bottom"/>
          </w:tcPr>
          <w:p>
            <w:pPr>
              <w:spacing w:after="0"/>
              <w:rPr>
                <w:sz w:val="20"/>
                <w:szCs w:val="20"/>
                <w:color w:val="auto"/>
              </w:rPr>
            </w:pPr>
          </w:p>
        </w:tc>
      </w:tr>
    </w:tbl>
    <w:p>
      <w:pPr>
        <w:spacing w:after="0" w:line="7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0"/>
          <w:szCs w:val="20"/>
          <w:color w:val="auto"/>
        </w:rPr>
      </w:pPr>
    </w:p>
    <w:p>
      <w:pPr>
        <w:sectPr>
          <w:pgSz w:w="11900" w:h="16838" w:orient="portrait"/>
          <w:cols w:equalWidth="0" w:num="4">
            <w:col w:w="1940" w:space="720"/>
            <w:col w:w="1360" w:space="720"/>
            <w:col w:w="3820" w:space="720"/>
            <w:col w:w="2140"/>
          </w:cols>
          <w:pgMar w:left="240" w:top="122"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16"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31, 2008, 211,457,680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33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Quarter Ended June 30, 2008</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gridSpan w:val="3"/>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720" w:type="dxa"/>
            <w:vAlign w:val="bottom"/>
            <w:gridSpan w:val="3"/>
            <w:vMerge w:val="restart"/>
          </w:tcPr>
          <w:p>
            <w:pPr>
              <w:spacing w:after="0"/>
              <w:rPr>
                <w:sz w:val="14"/>
                <w:szCs w:val="14"/>
                <w:color w:val="auto"/>
              </w:rPr>
            </w:pPr>
          </w:p>
        </w:tc>
        <w:tc>
          <w:tcPr>
            <w:tcW w:w="2260" w:type="dxa"/>
            <w:vAlign w:val="bottom"/>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120" w:type="dxa"/>
            <w:vAlign w:val="bottom"/>
            <w:gridSpan w:val="4"/>
            <w:vMerge w:val="restart"/>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60" w:type="dxa"/>
            <w:vAlign w:val="bottom"/>
            <w:tcBorders>
              <w:bottom w:val="single" w:sz="8" w:color="0000EE"/>
            </w:tcBorders>
            <w:gridSpan w:val="3"/>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260" w:type="dxa"/>
            <w:vAlign w:val="bottom"/>
            <w:tcBorders>
              <w:bottom w:val="single" w:sz="8" w:color="0000EE"/>
            </w:tcBorders>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6"/>
          </w:tcPr>
          <w:p>
            <w:pPr>
              <w:ind w:left="2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38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w:t>
              </w:r>
            </w:hyperlink>
          </w:p>
        </w:tc>
        <w:tc>
          <w:tcPr>
            <w:tcW w:w="460" w:type="dxa"/>
            <w:vAlign w:val="bottom"/>
          </w:tcPr>
          <w:p>
            <w:pPr>
              <w:spacing w:after="0"/>
              <w:rPr>
                <w:sz w:val="17"/>
                <w:szCs w:val="17"/>
                <w:color w:val="auto"/>
              </w:rPr>
            </w:pPr>
          </w:p>
        </w:tc>
        <w:tc>
          <w:tcPr>
            <w:tcW w:w="938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2008 and December 31, 2007</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4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B.</w:t>
              </w:r>
            </w:hyperlink>
          </w:p>
        </w:tc>
        <w:tc>
          <w:tcPr>
            <w:tcW w:w="600" w:type="dxa"/>
            <w:vAlign w:val="bottom"/>
            <w:gridSpan w:val="2"/>
          </w:tcPr>
          <w:p>
            <w:pPr>
              <w:spacing w:after="0"/>
              <w:rPr>
                <w:sz w:val="17"/>
                <w:szCs w:val="17"/>
                <w:color w:val="auto"/>
              </w:rPr>
            </w:pPr>
          </w:p>
        </w:tc>
        <w:tc>
          <w:tcPr>
            <w:tcW w:w="8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Earnings for the three and six month periods ended June 30, 2008 and 2007</w:t>
              </w:r>
            </w:hyperlink>
          </w:p>
        </w:tc>
        <w:tc>
          <w:tcPr>
            <w:tcW w:w="10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hanging="767"/>
        <w:spacing w:after="0"/>
        <w:tabs>
          <w:tab w:leader="none" w:pos="1180" w:val="left"/>
        </w:tabs>
        <w:numPr>
          <w:ilvl w:val="0"/>
          <w:numId w:val="3"/>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Earnings for the three and six month periods ended June 30, 2008</w:t>
        </w:r>
      </w:hyperlink>
    </w:p>
    <w:tbl>
      <w:tblPr>
        <w:tblLayout w:type="fixed"/>
        <w:tblInd w:w="0" w:type="dxa"/>
        <w:tblCellMar>
          <w:top w:w="0" w:type="dxa"/>
          <w:left w:w="0" w:type="dxa"/>
          <w:bottom w:w="0" w:type="dxa"/>
          <w:right w:w="0" w:type="dxa"/>
        </w:tblCellMar>
      </w:tblPr>
      <w:tr>
        <w:trPr>
          <w:trHeight w:val="199"/>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3"/>
          </w:tcPr>
          <w:p>
            <w:pPr>
              <w:spacing w:after="0" w:line="199" w:lineRule="exact"/>
              <w:rPr>
                <w:rFonts w:ascii="Arial" w:cs="Arial" w:eastAsia="Arial" w:hAnsi="Arial"/>
                <w:sz w:val="18"/>
                <w:szCs w:val="18"/>
                <w:color w:val="0000EE"/>
              </w:rPr>
            </w:pPr>
            <w:hyperlink w:anchor="page6">
              <w:r>
                <w:rPr>
                  <w:rFonts w:ascii="Arial" w:cs="Arial" w:eastAsia="Arial" w:hAnsi="Arial"/>
                  <w:sz w:val="18"/>
                  <w:szCs w:val="18"/>
                  <w:color w:val="0000EE"/>
                </w:rPr>
                <w:t>and 2007</w:t>
              </w:r>
            </w:hyperlink>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w:t>
              </w:r>
            </w:hyperlink>
          </w:p>
        </w:tc>
        <w:tc>
          <w:tcPr>
            <w:tcW w:w="876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 for the six month period ended June 30, 2008</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70"/>
              </w:rPr>
            </w:pPr>
            <w:hyperlink w:anchor="page8">
              <w:r>
                <w:rPr>
                  <w:rFonts w:ascii="Arial" w:cs="Arial" w:eastAsia="Arial" w:hAnsi="Arial"/>
                  <w:sz w:val="18"/>
                  <w:szCs w:val="18"/>
                  <w:color w:val="0000EE"/>
                  <w:w w:val="70"/>
                </w:rPr>
                <w:t>E.</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2008 and 2007</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EE"/>
            </w:tcBorders>
            <w:gridSpan w:val="2"/>
          </w:tcPr>
          <w:p>
            <w:pPr>
              <w:jc w:val="right"/>
              <w:ind w:right="40"/>
              <w:spacing w:after="0"/>
              <w:rPr>
                <w:rFonts w:ascii="Arial" w:cs="Arial" w:eastAsia="Arial" w:hAnsi="Arial"/>
                <w:sz w:val="15"/>
                <w:szCs w:val="15"/>
                <w:color w:val="0000EE"/>
                <w:w w:val="74"/>
              </w:rPr>
            </w:pPr>
            <w:hyperlink w:anchor="page9">
              <w:r>
                <w:rPr>
                  <w:rFonts w:ascii="Arial" w:cs="Arial" w:eastAsia="Arial" w:hAnsi="Arial"/>
                  <w:sz w:val="15"/>
                  <w:szCs w:val="15"/>
                  <w:color w:val="0000EE"/>
                  <w:w w:val="74"/>
                </w:rPr>
                <w:t>F.</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9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Item</w:t>
              </w:r>
            </w:hyperlink>
          </w:p>
        </w:tc>
        <w:tc>
          <w:tcPr>
            <w:tcW w:w="140" w:type="dxa"/>
            <w:vAlign w:val="bottom"/>
          </w:tcPr>
          <w:p>
            <w:pPr>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Item</w:t>
              </w:r>
            </w:hyperlink>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230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Item</w:t>
              </w:r>
            </w:hyperlink>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698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20" w:type="dxa"/>
            <w:vAlign w:val="bottom"/>
            <w:gridSpan w:val="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Part II:</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14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Item</w:t>
              </w:r>
            </w:hyperlink>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1.</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742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Item</w:t>
              </w:r>
            </w:hyperlink>
          </w:p>
        </w:tc>
        <w:tc>
          <w:tcPr>
            <w:tcW w:w="280" w:type="dxa"/>
            <w:vAlign w:val="bottom"/>
            <w:gridSpan w:val="2"/>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1A.</w:t>
              </w:r>
            </w:hyperlink>
          </w:p>
        </w:tc>
        <w:tc>
          <w:tcPr>
            <w:tcW w:w="3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Item</w:t>
              </w:r>
            </w:hyperlink>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440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Item</w:t>
              </w:r>
            </w:hyperlink>
          </w:p>
        </w:tc>
        <w:tc>
          <w:tcPr>
            <w:tcW w:w="140" w:type="dxa"/>
            <w:vAlign w:val="bottom"/>
          </w:tcPr>
          <w:p>
            <w:pPr>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Item</w:t>
              </w:r>
            </w:hyperlink>
          </w:p>
        </w:tc>
        <w:tc>
          <w:tcPr>
            <w:tcW w:w="14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00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62"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89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Fixed maturities available for sale, at fair value, at June 30, 2008 includes $367,903 and $173,665, respectively,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pledged fixed maturities related to secured trust deposits and the securities lending program, at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December 31, 2007 includes $335,270 and $264,202, respectively, of pledged fixed maturity securities related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secured trust deposits and the securities lending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2,517,347</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2,824,572</w:t>
            </w:r>
          </w:p>
        </w:tc>
      </w:tr>
      <w:tr>
        <w:trPr>
          <w:trHeight w:val="216"/>
        </w:trPr>
        <w:tc>
          <w:tcPr>
            <w:tcW w:w="8940" w:type="dxa"/>
            <w:vAlign w:val="bottom"/>
          </w:tcPr>
          <w:p>
            <w:pPr>
              <w:ind w:left="42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38,174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93,272</w:t>
            </w: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694,693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738,356</w:t>
            </w:r>
          </w:p>
        </w:tc>
      </w:tr>
      <w:tr>
        <w:trPr>
          <w:trHeight w:val="216"/>
        </w:trPr>
        <w:tc>
          <w:tcPr>
            <w:tcW w:w="8940" w:type="dxa"/>
            <w:vAlign w:val="bottom"/>
          </w:tcPr>
          <w:p>
            <w:pPr>
              <w:ind w:left="420"/>
              <w:spacing w:after="0"/>
              <w:rPr>
                <w:sz w:val="20"/>
                <w:szCs w:val="20"/>
                <w:color w:val="auto"/>
              </w:rPr>
            </w:pPr>
            <w:r>
              <w:rPr>
                <w:rFonts w:ascii="Arial" w:cs="Arial" w:eastAsia="Arial" w:hAnsi="Arial"/>
                <w:sz w:val="18"/>
                <w:szCs w:val="18"/>
                <w:color w:val="auto"/>
              </w:rPr>
              <w:t>Other long-term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18,255</w:t>
            </w:r>
          </w:p>
        </w:tc>
      </w:tr>
      <w:tr>
        <w:trPr>
          <w:trHeight w:val="202"/>
        </w:trPr>
        <w:tc>
          <w:tcPr>
            <w:tcW w:w="89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5"/>
              </w:rPr>
              <w:t>Short-term investments at June 30, 2008 and December 31, 2007 includes $63,935 and $178,568, respectively,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of pledged short-term investments related to secured trust deposits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499,048</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427,366</w:t>
            </w:r>
          </w:p>
        </w:tc>
      </w:tr>
      <w:tr>
        <w:trPr>
          <w:trHeight w:val="223"/>
        </w:trPr>
        <w:tc>
          <w:tcPr>
            <w:tcW w:w="8940" w:type="dxa"/>
            <w:vAlign w:val="bottom"/>
          </w:tcPr>
          <w:p>
            <w:pPr>
              <w:ind w:left="620"/>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3,767,374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4,101,821</w:t>
            </w:r>
          </w:p>
        </w:tc>
        <w:tc>
          <w:tcPr>
            <w:tcW w:w="100" w:type="dxa"/>
            <w:vAlign w:val="bottom"/>
          </w:tcPr>
          <w:p>
            <w:pPr>
              <w:spacing w:after="0"/>
              <w:rPr>
                <w:sz w:val="19"/>
                <w:szCs w:val="19"/>
                <w:color w:val="auto"/>
              </w:rPr>
            </w:pPr>
          </w:p>
        </w:tc>
      </w:tr>
      <w:tr>
        <w:trPr>
          <w:trHeight w:val="202"/>
        </w:trPr>
        <w:tc>
          <w:tcPr>
            <w:tcW w:w="8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and cash equivalents, at June 30, 2008 includes $224,385 and $179,416, respectively, of pledged cash related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to secured trust deposits and the securities lending program, and at December 31, 2007 includes $193,484 and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$271,807, respectively, of pledged cash related to secured trust deposits and the securities lending program</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495,120</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569,562</w:t>
            </w:r>
          </w:p>
        </w:tc>
      </w:tr>
      <w:tr>
        <w:trPr>
          <w:trHeight w:val="202"/>
        </w:trPr>
        <w:tc>
          <w:tcPr>
            <w:tcW w:w="8940" w:type="dxa"/>
            <w:vAlign w:val="bottom"/>
          </w:tcPr>
          <w:p>
            <w:pPr>
              <w:spacing w:after="0" w:line="201" w:lineRule="exact"/>
              <w:rPr>
                <w:sz w:val="20"/>
                <w:szCs w:val="20"/>
                <w:color w:val="auto"/>
              </w:rPr>
            </w:pPr>
            <w:r>
              <w:rPr>
                <w:rFonts w:ascii="Arial" w:cs="Arial" w:eastAsia="Arial" w:hAnsi="Arial"/>
                <w:sz w:val="18"/>
                <w:szCs w:val="18"/>
                <w:color w:val="auto"/>
              </w:rPr>
              <w:t>Trade and notes receivables, net of allowance of $14,072 and $13,091, respectively, at June 30, 2008 and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220"/>
              <w:spacing w:after="0"/>
              <w:rPr>
                <w:sz w:val="20"/>
                <w:szCs w:val="20"/>
                <w:color w:val="auto"/>
              </w:rPr>
            </w:pPr>
            <w:r>
              <w:rPr>
                <w:rFonts w:ascii="Arial" w:cs="Arial" w:eastAsia="Arial" w:hAnsi="Arial"/>
                <w:sz w:val="18"/>
                <w:szCs w:val="18"/>
                <w:color w:val="auto"/>
              </w:rPr>
              <w:t>December 31, 2007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238,787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227,849</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1,338,274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1,339,705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569,198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467,831</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91,395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122,383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331,888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247,804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266,156</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58,334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67,245</w:t>
            </w:r>
          </w:p>
        </w:tc>
      </w:tr>
      <w:tr>
        <w:trPr>
          <w:trHeight w:val="223"/>
        </w:trPr>
        <w:tc>
          <w:tcPr>
            <w:tcW w:w="8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7,248,136</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7,587,853</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Accounts payable and accrued liabilities, at June 30, 2008 and December 31, 2007, includes $179,416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$271,807, respectively, of security loans related to the securities lending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679,738</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823,109</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Accounts payable to Fidelity National Information Services, Inc.</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13,890</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113,277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114,705</w:t>
            </w:r>
          </w:p>
        </w:tc>
      </w:tr>
      <w:tr>
        <w:trPr>
          <w:trHeight w:val="202"/>
        </w:trPr>
        <w:tc>
          <w:tcPr>
            <w:tcW w:w="8940" w:type="dxa"/>
            <w:vAlign w:val="bottom"/>
          </w:tcPr>
          <w:p>
            <w:pPr>
              <w:ind w:left="220"/>
              <w:spacing w:after="0" w:line="201" w:lineRule="exact"/>
              <w:rPr>
                <w:sz w:val="20"/>
                <w:szCs w:val="20"/>
                <w:color w:val="auto"/>
              </w:rPr>
            </w:pPr>
            <w:r>
              <w:rPr>
                <w:rFonts w:ascii="Arial" w:cs="Arial" w:eastAsia="Arial" w:hAnsi="Arial"/>
                <w:sz w:val="18"/>
                <w:szCs w:val="18"/>
                <w:color w:val="auto"/>
              </w:rPr>
              <w:t>Notes payable, at June 30, 2008 and December 31, 2007, includes $6,708 and $7,059, respectively, in notes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420"/>
              <w:spacing w:after="0"/>
              <w:rPr>
                <w:sz w:val="20"/>
                <w:szCs w:val="20"/>
                <w:color w:val="auto"/>
              </w:rPr>
            </w:pPr>
            <w:r>
              <w:rPr>
                <w:rFonts w:ascii="Arial" w:cs="Arial" w:eastAsia="Arial" w:hAnsi="Arial"/>
                <w:sz w:val="18"/>
                <w:szCs w:val="18"/>
                <w:color w:val="auto"/>
              </w:rPr>
              <w:t>payable to Fidelity National Information Services, Inc.</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1,196,907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1,167,739</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claim losses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1,394,921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1,419,910</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Secured trust deposits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643,916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689,935</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55,899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60,609</w:t>
            </w:r>
          </w:p>
        </w:tc>
      </w:tr>
      <w:tr>
        <w:trPr>
          <w:trHeight w:val="223"/>
        </w:trPr>
        <w:tc>
          <w:tcPr>
            <w:tcW w:w="8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4,089,881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4,289,897</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Minority interests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48,594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940" w:type="dxa"/>
            <w:vAlign w:val="bottom"/>
          </w:tcPr>
          <w:p>
            <w:pPr>
              <w:ind w:left="220"/>
              <w:spacing w:after="0" w:line="201" w:lineRule="exact"/>
              <w:rPr>
                <w:sz w:val="20"/>
                <w:szCs w:val="20"/>
                <w:color w:val="auto"/>
              </w:rPr>
            </w:pPr>
            <w:r>
              <w:rPr>
                <w:rFonts w:ascii="Arial" w:cs="Arial" w:eastAsia="Arial" w:hAnsi="Arial"/>
                <w:sz w:val="18"/>
                <w:szCs w:val="18"/>
                <w:color w:val="auto"/>
              </w:rPr>
              <w:t>Common stock, Class A, $0.0001 par value; authorized 600,000,000 shares as of June 30, 2008 and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420"/>
              <w:spacing w:after="0"/>
              <w:rPr>
                <w:sz w:val="20"/>
                <w:szCs w:val="20"/>
                <w:color w:val="auto"/>
              </w:rPr>
            </w:pPr>
            <w:r>
              <w:rPr>
                <w:rFonts w:ascii="Arial" w:cs="Arial" w:eastAsia="Arial" w:hAnsi="Arial"/>
                <w:sz w:val="18"/>
                <w:szCs w:val="18"/>
                <w:color w:val="auto"/>
              </w:rPr>
              <w:t>December 31, 2007; issued 224,328,557 as of June 30, 2008 and 223,069,076 as of December 31, 2007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3,259,590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3,236,866</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119,344</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213,103</w:t>
            </w:r>
          </w:p>
        </w:tc>
      </w:tr>
      <w:tr>
        <w:trPr>
          <w:trHeight w:val="216"/>
        </w:trPr>
        <w:tc>
          <w:tcPr>
            <w:tcW w:w="8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3,378,956</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3,449,991</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(46,863)</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(16,630)</w:t>
            </w: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treasury stock, 12,235,103 shares and 10,032,449 shares as of June 30, 2008 and December 31, 2007,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 at cost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(222,432)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(189,273)</w:t>
            </w:r>
          </w:p>
        </w:tc>
      </w:tr>
      <w:tr>
        <w:trPr>
          <w:trHeight w:val="230"/>
        </w:trPr>
        <w:tc>
          <w:tcPr>
            <w:tcW w:w="8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3,109,661</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3,244,088</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7,248,136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7,587,853</w:t>
            </w: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8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321,040</w:t>
            </w: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448,504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625,819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423,915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597,862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847,351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title related and other fees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292,838</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299,476</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566,459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Specialty insurance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94,161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99,731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30,053</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45,528</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72,073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1,179,798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1,495,000</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2,316,958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2,861,880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366,254</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452,752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728,132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319,856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296,221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328,800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462,876</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656,809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31,192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100,427</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113,083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187,932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1,166,271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1,368,559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2,267,064</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2,610,734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equity in (losses) income of unconsolidated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 and minority interest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126,441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49,894</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40,471</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13,342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equity in (losses) income of unconsolidated affiliates and</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85,970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36,552</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in (losses) income of unconsolidated affiliates</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(6,349)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85,647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218,707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218,860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222,968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222,940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FINANCIAL, INC. AND SUBSIDIARIES CONDENSED CONSOLIDATED STATEMENTS OF COMPREHENSIVE EARNINGS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(Unaudited)</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84,835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34,170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earnings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(loss) gain on investments and other financial instruments,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(excluding investments in unconsolidated affiliates) (1)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(34,651)</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62,440</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(22,520)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Unrealized loss on investments in unconsolidated affiliates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(15,530)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(14,238)</w:t>
            </w:r>
          </w:p>
        </w:tc>
        <w:tc>
          <w:tcPr>
            <w:tcW w:w="5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foreign currency translation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3,119</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Reclassification adjustments for losses (gains) included in net earnings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3,406</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(44,324)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59,862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(30,233)</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51,213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(loss) earnings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(37,399</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144,697</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$ 219,447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$(19.1) million and $36.1 million for the three month periods ended June 30, 2008 and 2007, respectively, and $(11.7) million and $33.0 million for the six month periods ended June 30, 2008 and 2007, respectively.</w:t>
      </w:r>
    </w:p>
    <w:p>
      <w:pPr>
        <w:spacing w:after="0" w:line="2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$0.8 million and $(0.1) million for the three month periods ended June 30, 2008 and 2007, respectively, and $1.7 million and $(0.1) million for the six month periods ended June 30, 2008 and 2007, respectively.</w:t>
      </w:r>
    </w:p>
    <w:p>
      <w:pPr>
        <w:spacing w:after="0" w:line="2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$(2.4) million and $1.4 million for the three month periods ended June 30, 2008 and 2007, respectively, and $(1.8) million and $3.1 million for the six month periods ended June 30, 2008 and 2007,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6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224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Paid - in</w:t>
            </w: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1"/>
              </w:rPr>
              <w:t>Retained</w:t>
            </w:r>
          </w:p>
        </w:tc>
        <w:tc>
          <w:tcPr>
            <w:tcW w:w="15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224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2"/>
                <w:szCs w:val="12"/>
                <w:color w:val="auto"/>
              </w:rPr>
            </w:pPr>
          </w:p>
        </w:tc>
        <w:tc>
          <w:tcPr>
            <w:tcW w:w="12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136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0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223,069</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$ 3,236,866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213,103</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10,032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(189,273)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$ 3,244,088</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associated with</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exercise of stock</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income (loss)- unrealized</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gain on investments and</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other financial</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instruments (excluding</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investments in</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unconsolidated affiliates)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(19,114)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unrealized loss on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(14,238)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income (loss)- unrealized</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gain on foreign currency</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3,119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 compensation,</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issuance of</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15,465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2,203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(33,159)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($0.60 per</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(127,929)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34,170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224,329</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$ 3,259,590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119,344</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(46,863)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12,235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(222,432)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$ 3,109,661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6"/>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34,170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earnings to net cash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Equity in losses (income) of unconsolidated affiliates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sales of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Stock-based compensation cost</w:t>
            </w:r>
          </w:p>
        </w:tc>
        <w:tc>
          <w:tcPr>
            <w:tcW w:w="10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15,465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effects from acquisitions: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increase in reserve for claim losses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decrease in secured trust deposits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decrease in trade receivables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increase in prepaid expenses and other assets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(87,462)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accounts payable, accrued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increase in income taxes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(62,038)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227,849</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560,100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3,053,922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164,410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Cash (paid) received as collateral on loaned securities, 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of notes receivable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(2,981)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(13,803)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(482,031)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(3,608,838)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(purchases of) proceeds from short-term investment activities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(165,775)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Proceeds from sale of partial interest in Sedgwick CMS</w:t>
            </w:r>
          </w:p>
        </w:tc>
        <w:tc>
          <w:tcPr>
            <w:tcW w:w="10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53,872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(51,675)</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90,115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service payments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(127,929)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dividends paid to minority interest shareholders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Stock options exercised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(33,159)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(127,012)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(141,133)</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 excluding pledged cash related to secured trust deposits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(105,343)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beginning of period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376,078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447,986</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270,735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34,829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740" w:firstLine="222"/>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the “Company” or “FNF”) prepared in accordance with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2007.</w:t>
      </w:r>
    </w:p>
    <w:p>
      <w:pPr>
        <w:spacing w:after="0" w:line="7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the course of an internal review of its treatment of certain costs relating to insurance policies issued by its specialty insurance group, the Company determined that certain costs should be deferred and amortized over the life of the policy consistent with the recognition of the premiums. The Company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accompanying unaudited condensed consolidated financial statements and is not material to the Company’s financial position or results of operations for any other previously reported annual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other reclassifications have been made in the 2007 Condensed Consolidated Financial Statements to conform to classifications used in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color w:val="auto"/>
        </w:rPr>
        <w:t>Fidelity National Financial, Inc. is a holding company that is a provider, through its subsidiaries, of title insurance, specialty insurance, claims management services, and information services. FNF is one of the nation’s largest title insurance companies through its title insurance underwriters — Fidelity National Title, Chicago Title, Ticor Title, Security Union Title, and Alamo Title — which issued approximately 26.7% of all title insurance policies issued nationally during 2007. FNF also provides flood insurance, personal lines insurance, and home warranty insurance through its specialty insurance subsidiaries. FNF is also a leading provider of outsourced claims management services to large corporate and public sector entities through its minority-owned affiliate, Sedgwick CMS (“Sedgwick”). FNF is also a provider of information services in the human resources, retail, and transportation markets through another minority-owned affiliate, Ceridian Corporation (“Ceridian”).</w:t>
      </w:r>
    </w:p>
    <w:p>
      <w:pPr>
        <w:spacing w:after="0" w:line="70" w:lineRule="exact"/>
        <w:rPr>
          <w:sz w:val="20"/>
          <w:szCs w:val="20"/>
          <w:color w:val="auto"/>
        </w:rPr>
      </w:pPr>
    </w:p>
    <w:p>
      <w:pPr>
        <w:jc w:val="both"/>
        <w:ind w:right="280" w:firstLine="222"/>
        <w:spacing w:after="0" w:line="342" w:lineRule="auto"/>
        <w:rPr>
          <w:sz w:val="20"/>
          <w:szCs w:val="20"/>
          <w:color w:val="auto"/>
        </w:rPr>
      </w:pPr>
      <w:r>
        <w:rPr>
          <w:rFonts w:ascii="Arial" w:cs="Arial" w:eastAsia="Arial" w:hAnsi="Arial"/>
          <w:sz w:val="16"/>
          <w:szCs w:val="16"/>
          <w:color w:val="auto"/>
        </w:rPr>
        <w:t>The Company recently announced that its Board of Directors has authorized management to investigate strategic alternatives for certain of its specialty insurance businesses. The assets to be evaluated include the flood insurance and personal lines insurance businesses, but not the home warranty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historically conducted business with Fidelity National Information Services, Inc. and its subsidiaries (“FIS”). A number of these business activities were agreements with entities which have been a part of FIS’s lender processing services segment. On July 2, 2008, FIS completed the spin-off of its lender processing services segment into a separate publicly traded company, referred to as Lender Processing Services, Inc. (“LPS”) As part of the spin-off of LPS, a number of these agreements have been amended and renegotiated to reflect the revised relationships between the Company and FIS and the new relationships between the Company and LPS. A summary of the agreements that were in effect with FIS and LPS through June 30, 2008 is as follows:</w:t>
      </w:r>
    </w:p>
    <w:p>
      <w:pPr>
        <w:spacing w:after="0" w:line="50" w:lineRule="exact"/>
        <w:rPr>
          <w:sz w:val="20"/>
          <w:szCs w:val="20"/>
          <w:color w:val="auto"/>
        </w:rPr>
      </w:pPr>
    </w:p>
    <w:p>
      <w:pPr>
        <w:ind w:left="220" w:right="80" w:hanging="212"/>
        <w:spacing w:after="0" w:line="297" w:lineRule="auto"/>
        <w:tabs>
          <w:tab w:leader="none" w:pos="22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Agreements allowing FIS to provide title agency services. </w:t>
      </w:r>
      <w:r>
        <w:rPr>
          <w:rFonts w:ascii="Arial" w:cs="Arial" w:eastAsia="Arial" w:hAnsi="Arial"/>
          <w:sz w:val="16"/>
          <w:szCs w:val="16"/>
          <w:color w:val="auto"/>
        </w:rPr>
        <w:t>These agreements allow FIS to provide services to existing customers through loan facilitation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primarily with large national lenders. The arrangement involves FIS providing title agency services which result in the issuance of title policies on behalf of title insurance underwriters owned by the Company. Subject to certain early termination provisions for cause, each of these agreements may be terminated upon five years’ prior written notice, which notice may not be given until after the fifth anniversary of the effective date of each agreement, which ranges from July 2004 through September 2006 (thus effectively resulting in a minimum ten-year term and a rolling one-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right="140"/>
        <w:spacing w:after="0" w:line="279" w:lineRule="auto"/>
        <w:rPr>
          <w:sz w:val="20"/>
          <w:szCs w:val="20"/>
          <w:color w:val="auto"/>
        </w:rPr>
      </w:pPr>
      <w:r>
        <w:rPr>
          <w:rFonts w:ascii="Arial" w:cs="Arial" w:eastAsia="Arial" w:hAnsi="Arial"/>
          <w:sz w:val="17"/>
          <w:szCs w:val="17"/>
          <w:color w:val="auto"/>
        </w:rPr>
        <w:t>year term thereafter). Under these agreements, FIS retains commissions which, in aggregate, are equal to approximately 89% of the total title premium from title policies that FIS places with the Company’s subsidiaries. FIS also performs similar functions in connection with trustee sale guarantees, a form of title insurance that the Company’s subsidiaries issue as part of the foreclosure process on a defaulted loan. These agreements primarily relate to FIS’s lender processing services segment and will be between FNF and LPS subsequent to the spin-off.</w:t>
      </w:r>
    </w:p>
    <w:p>
      <w:pPr>
        <w:spacing w:after="0" w:line="63" w:lineRule="exact"/>
        <w:rPr>
          <w:sz w:val="20"/>
          <w:szCs w:val="20"/>
          <w:color w:val="auto"/>
        </w:rPr>
      </w:pPr>
    </w:p>
    <w:p>
      <w:pPr>
        <w:ind w:left="220" w:right="20" w:hanging="212"/>
        <w:spacing w:after="0" w:line="254"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Agreement for IT, data processing services and software development services. </w:t>
      </w:r>
      <w:r>
        <w:rPr>
          <w:rFonts w:ascii="Arial" w:cs="Arial" w:eastAsia="Arial" w:hAnsi="Arial"/>
          <w:sz w:val="18"/>
          <w:szCs w:val="18"/>
          <w:color w:val="auto"/>
        </w:rPr>
        <w:t>This agreement governs the expenses paid by the Company to FIS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IT support services and software development, primarily infrastructure support and data center management. Subject to certain early termination provisions (including the payment of minimum monthly service and termination fees), this agreement has an initial term of five years from February 2006 with an option to renew for one or two additional years. In connection with the spin-off, this agreement will be amended so that certain of the services, primarily those related to infrastructure support and data center management, will be provided by FIS on revised terms and conditions. In addition, in connection with the spin-off, the Company will enter into a new agreement with LPS for the provision of certain of the services that were previously provided under the existing agreement with FIS, primarily those related to software application development services and other IT-related services for the Company.</w:t>
      </w:r>
    </w:p>
    <w:p>
      <w:pPr>
        <w:spacing w:after="0" w:line="84" w:lineRule="exact"/>
        <w:rPr>
          <w:rFonts w:ascii="Arial" w:cs="Arial" w:eastAsia="Arial" w:hAnsi="Arial"/>
          <w:sz w:val="18"/>
          <w:szCs w:val="18"/>
          <w:b w:val="1"/>
          <w:bCs w:val="1"/>
          <w:color w:val="auto"/>
        </w:rPr>
      </w:pPr>
    </w:p>
    <w:p>
      <w:pPr>
        <w:ind w:left="220" w:right="60" w:hanging="212"/>
        <w:spacing w:after="0" w:line="25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Agreements to provide administrative corporate support services to and from FIS. </w:t>
      </w:r>
      <w:r>
        <w:rPr>
          <w:rFonts w:ascii="Arial" w:cs="Arial" w:eastAsia="Arial" w:hAnsi="Arial"/>
          <w:sz w:val="18"/>
          <w:szCs w:val="18"/>
          <w:color w:val="auto"/>
        </w:rPr>
        <w:t>Since November 9, 2006, the Company has provided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corporate support services to FIS, and FIS has provided similar support services to the Company, relating to general management, statutory accounting, claims administration, corporate aviation and other administrative support services. The pricing of these services is at cost. In connection with the spin-off, the agreements will be amended in connection with services to be provided to or from FIS and LPS, respectively, and will remain on a cost basis.</w:t>
      </w:r>
    </w:p>
    <w:p>
      <w:pPr>
        <w:spacing w:after="0" w:line="80" w:lineRule="exact"/>
        <w:rPr>
          <w:rFonts w:ascii="Arial" w:cs="Arial" w:eastAsia="Arial" w:hAnsi="Arial"/>
          <w:sz w:val="18"/>
          <w:szCs w:val="18"/>
          <w:b w:val="1"/>
          <w:bCs w:val="1"/>
          <w:color w:val="auto"/>
        </w:rPr>
      </w:pPr>
    </w:p>
    <w:p>
      <w:pPr>
        <w:ind w:left="220" w:hanging="212"/>
        <w:spacing w:after="0" w:line="25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Arrangements for other real estate, tax, and title support related services. </w:t>
      </w:r>
      <w:r>
        <w:rPr>
          <w:rFonts w:ascii="Arial" w:cs="Arial" w:eastAsia="Arial" w:hAnsi="Arial"/>
          <w:sz w:val="18"/>
          <w:szCs w:val="18"/>
          <w:color w:val="auto"/>
        </w:rPr>
        <w:t>Under these arrangements, the Company pays FIS for providing other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services to the Company, which consist primarily of real estate and title related data services required by the Company’s title insurance operations and flood zone determination and reporting services used by the Company’s title insurers in connection with properties that may be located in special flood hazard areas. These arrangements primarily related to FIS’s lender processing services segment and will be between FNF and LPS subsequent to the spin-off.</w:t>
      </w:r>
    </w:p>
    <w:p>
      <w:pPr>
        <w:spacing w:after="0" w:line="80" w:lineRule="exact"/>
        <w:rPr>
          <w:rFonts w:ascii="Arial" w:cs="Arial" w:eastAsia="Arial" w:hAnsi="Arial"/>
          <w:sz w:val="18"/>
          <w:szCs w:val="18"/>
          <w:b w:val="1"/>
          <w:bCs w:val="1"/>
          <w:color w:val="auto"/>
        </w:rPr>
      </w:pPr>
    </w:p>
    <w:p>
      <w:pPr>
        <w:ind w:left="220" w:right="40" w:hanging="212"/>
        <w:spacing w:after="0" w:line="271" w:lineRule="auto"/>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Agreements for title plant access and title production services. </w:t>
      </w:r>
      <w:r>
        <w:rPr>
          <w:rFonts w:ascii="Arial" w:cs="Arial" w:eastAsia="Arial" w:hAnsi="Arial"/>
          <w:sz w:val="17"/>
          <w:szCs w:val="17"/>
          <w:color w:val="auto"/>
        </w:rPr>
        <w:t>Under these agreements, the Company’s title insurers provide FIS with title plant access for</w:t>
      </w:r>
      <w:r>
        <w:rPr>
          <w:rFonts w:ascii="Arial" w:cs="Arial" w:eastAsia="Arial" w:hAnsi="Arial"/>
          <w:sz w:val="17"/>
          <w:szCs w:val="17"/>
          <w:i w:val="1"/>
          <w:iCs w:val="1"/>
          <w:color w:val="auto"/>
        </w:rPr>
        <w:t xml:space="preserve"> </w:t>
      </w:r>
      <w:r>
        <w:rPr>
          <w:rFonts w:ascii="Arial" w:cs="Arial" w:eastAsia="Arial" w:hAnsi="Arial"/>
          <w:sz w:val="17"/>
          <w:szCs w:val="17"/>
          <w:color w:val="auto"/>
        </w:rPr>
        <w:t>real property located in various states, including online database access, physical access to title records, use of space, image system use, and use of special software, as well as other title production services. For the title plant access, FIS pays monthly fees (subject to certain minimum charges) based on the number of title reports or products ordered and other services received. For the title production services, FIS pays for services based on the number of properties searched, subject to certain minimum use. The title plant access agreement has a term of 3 years beginning in November 2006 and is automatically renewable for successive 3 year terms unless either party gives 30 days’ prior written notice. The title production services agreement can be terminated by either party upon 30 days’ prior written notice. These agreements primarily related to FIS’s lender processing services segment and will be between FNF and LPS subsequent to the spin-off.</w:t>
      </w:r>
    </w:p>
    <w:p>
      <w:pPr>
        <w:spacing w:after="0" w:line="70" w:lineRule="exact"/>
        <w:rPr>
          <w:rFonts w:ascii="Arial" w:cs="Arial" w:eastAsia="Arial" w:hAnsi="Arial"/>
          <w:sz w:val="17"/>
          <w:szCs w:val="17"/>
          <w:b w:val="1"/>
          <w:bCs w:val="1"/>
          <w:color w:val="auto"/>
        </w:rPr>
      </w:pPr>
    </w:p>
    <w:p>
      <w:pPr>
        <w:ind w:left="220" w:right="40" w:hanging="212"/>
        <w:spacing w:after="0" w:line="290" w:lineRule="auto"/>
        <w:tabs>
          <w:tab w:leader="none" w:pos="22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Real estate management, real estate lease and equipment lease agreements. </w:t>
      </w:r>
      <w:r>
        <w:rPr>
          <w:rFonts w:ascii="Arial" w:cs="Arial" w:eastAsia="Arial" w:hAnsi="Arial"/>
          <w:sz w:val="16"/>
          <w:szCs w:val="16"/>
          <w:color w:val="auto"/>
        </w:rPr>
        <w:t>Included in the Company’s revenues are amounts received related to leases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equipment to FIS and the sublease of certain office space, furniture and furnishings to FIS. In addition, the Company’s expenses include expenses for a lease of office space and equipment from FIS for the Company’s corporate headquarters and business operations as well as expenses for property management services by FIS for the Company’s corporate headquarters building. In connection with the spin-off and the transfer of certain real property from FIS to LPS, the Company will terminate its real estate lease with FIS and enter into a new lease with LPS on similar terms as the existing FIS lease. In addition, the Company will amend its sublease with FIS to take into account a reduction in the office space leased by FIS, and will enter into a new sublease with LPS for its sublease of office space in the Company’s headquarters’ building. The Company will also enter into a new property management agreement with LPS since LPS will replace FIS as the principal owner and manager of the Jacksonville headquarters campus.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hanging="212"/>
        <w:spacing w:after="0" w:line="273"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Licensing, cost sharing, business processing and other agreements. </w:t>
      </w:r>
      <w:r>
        <w:rPr>
          <w:rFonts w:ascii="Arial" w:cs="Arial" w:eastAsia="Arial" w:hAnsi="Arial"/>
          <w:sz w:val="17"/>
          <w:szCs w:val="17"/>
          <w:color w:val="auto"/>
        </w:rPr>
        <w:t>These agreements provide for the reimbursement of certain amounts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related to various licensing and cost sharing agreements, as well as the payment of certain amounts by FIS to the Company in connection with the use of certain intellectual property, including software and business processes, and other assets of or services. The software licenses have various terms, but generally may be terminated on 90 days’ prior notice. The business processing license and services agreement has a 10-year term, but in connection with the spin-off, its term will be amended to expire on July 2, 2009. Most of these agreements primarily related to FIS’s lender processing services segment and will be between FNF and LPS subsequent to the spin-off.</w:t>
      </w:r>
    </w:p>
    <w:p>
      <w:pPr>
        <w:spacing w:after="0" w:line="70"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On August 31, 2007, the Company completed the acquisition of Property Insight, LLC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for the Company. Prior to August 31, 2007, the title plant assets of several of FNF’s title insurance subsidiaries were managed or maintained by Property Insight, as a subsidiary of FIS. The underlying title plant information and software were owned by each of the Company’s title insurance underwriters, but Property Insight managed and updated the information in return for either (i) a cash management fee or (ii) the right to sell that information to title insurers, including title insurance underwriters that the Company owns and other third party customers. In most cases, Property Insight was responsible for keeping the title plant assets current and fully functioning, for which the Company paid a fee to Property Insight based on the Company’s use of, or access to, the title plant. In addition, each applicable title insurance underwriter owned by the Company in turn received a royalty on sales of access to its title plant assets. The Company is also a party 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These agreements primarily related to FIS’s lender processing services segment and will be between FNF and LPS subsequent to the spin-off.</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8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June 30, 2008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w w:val="96"/>
              </w:rPr>
              <w:t>June 30, 2007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June 30, 2008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June 30, 2007</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40.7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Rental revenue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Title plant revenue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revenue</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r>
      <w:tr>
        <w:trPr>
          <w:trHeight w:val="439"/>
        </w:trPr>
        <w:tc>
          <w:tcPr>
            <w:tcW w:w="4100" w:type="dxa"/>
            <w:vAlign w:val="bottom"/>
            <w:gridSpan w:val="2"/>
          </w:tcPr>
          <w:p>
            <w:pPr>
              <w:spacing w:after="0"/>
              <w:rPr>
                <w:sz w:val="20"/>
                <w:szCs w:val="20"/>
                <w:color w:val="auto"/>
              </w:rPr>
            </w:pPr>
            <w:r>
              <w:rPr>
                <w:rFonts w:ascii="Arial" w:cs="Arial" w:eastAsia="Arial" w:hAnsi="Arial"/>
                <w:sz w:val="18"/>
                <w:szCs w:val="18"/>
                <w:color w:val="auto"/>
              </w:rPr>
              <w:t>Agency title commissions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and services expense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Rental expense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8"/>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 agreements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74.6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Company’s payments to FIS for management and maintenance of title plant assets by Property Insight were $5.2 million and $11.9 million for the three and six month periods ended June 30, 2007, respectively. The Company’s revenues from title plant royalties were $0.5 million and $1.0 million for the three and six month periods ended June 30, 2007, respectively.</w:t>
      </w:r>
    </w:p>
    <w:p>
      <w:pPr>
        <w:spacing w:after="0" w:line="73"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believes the amounts earned by the Company or charged to it under each of the foregoing arrangements are fair and reasonable. The Company believes the commissions earned are consistent with the average rate that would be available to a third party title agent given the amount and the geographic distribution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FNF earned or was charged under these arrangements were not negotiated at arm’s-length, and may not represent the terms that the Company might have obtained from an unrelated third party.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to FIS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Pr>
          <w:p>
            <w:pPr>
              <w:spacing w:after="0"/>
              <w:rPr>
                <w:sz w:val="14"/>
                <w:szCs w:val="1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r>
      <w:tr>
        <w:trPr>
          <w:trHeight w:val="128"/>
        </w:trPr>
        <w:tc>
          <w:tcPr>
            <w:tcW w:w="8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right"/>
              <w:ind w:right="808"/>
              <w:spacing w:after="0" w:line="128" w:lineRule="exact"/>
              <w:rPr>
                <w:sz w:val="20"/>
                <w:szCs w:val="20"/>
                <w:color w:val="auto"/>
              </w:rPr>
            </w:pPr>
            <w:r>
              <w:rPr>
                <w:rFonts w:ascii="Arial" w:cs="Arial" w:eastAsia="Arial" w:hAnsi="Arial"/>
                <w:sz w:val="14"/>
                <w:szCs w:val="14"/>
                <w:b w:val="1"/>
                <w:bCs w:val="1"/>
                <w:color w:val="auto"/>
                <w:w w:val="89"/>
              </w:rPr>
              <w:t>(In millions)</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Note payable to FIS</w:t>
            </w:r>
          </w:p>
        </w:tc>
        <w:tc>
          <w:tcPr>
            <w:tcW w:w="800" w:type="dxa"/>
            <w:vAlign w:val="bottom"/>
          </w:tcPr>
          <w:p>
            <w:pPr>
              <w:jc w:val="right"/>
              <w:ind w:right="139"/>
              <w:spacing w:after="0"/>
              <w:rPr>
                <w:sz w:val="20"/>
                <w:szCs w:val="20"/>
                <w:color w:val="auto"/>
              </w:rPr>
            </w:pPr>
            <w:r>
              <w:rPr>
                <w:rFonts w:ascii="Arial" w:cs="Arial" w:eastAsia="Arial" w:hAnsi="Arial"/>
                <w:sz w:val="18"/>
                <w:szCs w:val="18"/>
                <w:color w:val="auto"/>
              </w:rPr>
              <w:t>$6.7</w:t>
            </w:r>
          </w:p>
        </w:tc>
        <w:tc>
          <w:tcPr>
            <w:tcW w:w="1720" w:type="dxa"/>
            <w:vAlign w:val="bottom"/>
            <w:gridSpan w:val="3"/>
          </w:tcPr>
          <w:p>
            <w:pPr>
              <w:jc w:val="right"/>
              <w:ind w:right="288"/>
              <w:spacing w:after="0"/>
              <w:rPr>
                <w:sz w:val="20"/>
                <w:szCs w:val="20"/>
                <w:color w:val="auto"/>
              </w:rPr>
            </w:pPr>
            <w:r>
              <w:rPr>
                <w:rFonts w:ascii="Arial" w:cs="Arial" w:eastAsia="Arial" w:hAnsi="Arial"/>
                <w:sz w:val="18"/>
                <w:szCs w:val="18"/>
                <w:color w:val="auto"/>
              </w:rPr>
              <w:t>$ 7.1</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Due to FIS</w:t>
            </w:r>
          </w:p>
        </w:tc>
        <w:tc>
          <w:tcPr>
            <w:tcW w:w="800" w:type="dxa"/>
            <w:vAlign w:val="bottom"/>
          </w:tcPr>
          <w:p>
            <w:pPr>
              <w:jc w:val="right"/>
              <w:ind w:right="139"/>
              <w:spacing w:after="0"/>
              <w:rPr>
                <w:sz w:val="20"/>
                <w:szCs w:val="20"/>
                <w:color w:val="auto"/>
              </w:rPr>
            </w:pPr>
            <w:r>
              <w:rPr>
                <w:rFonts w:ascii="Arial" w:cs="Arial" w:eastAsia="Arial" w:hAnsi="Arial"/>
                <w:sz w:val="18"/>
                <w:szCs w:val="18"/>
                <w:color w:val="auto"/>
              </w:rPr>
              <w:t>5.2</w:t>
            </w:r>
          </w:p>
        </w:tc>
        <w:tc>
          <w:tcPr>
            <w:tcW w:w="1720" w:type="dxa"/>
            <w:vAlign w:val="bottom"/>
            <w:gridSpan w:val="3"/>
          </w:tcPr>
          <w:p>
            <w:pPr>
              <w:jc w:val="right"/>
              <w:ind w:right="288"/>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Prior to September 30, 2007, FNF had a note receivable balance of $12.5 million due from a subsidiary of FIS. The Company earned interest revenue of $0.2 million and $0.4 million on this note for the three and six month periods ended June 30, 2007, respectively. On September 30, 2007, the Company acquired certain leasing assets from FIS for $15 million. As part of this acquisition, the Company assumed $134.9 million in non-recourse notes payable, the $12.5 million note due to a subsidiary of FIS was forgiven, and the Company entered into an unsecured note payable to FIS in the amount of $7.3 million. The balance on this note at June 30, 2008 is $6.7 million and the company’s related interest expense was $0.1 million for each of the three and six month periods ended June 30, 2008. Also, as of June 30, 2008, and December 31, 2007, the Company owed $5.2 million and $13.9 million, respectively, to FIS as a result of related party transactions.</w:t>
      </w:r>
    </w:p>
    <w:p>
      <w:pPr>
        <w:spacing w:after="0" w:line="81"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Through August 31, 2007, the Company paid amounts to Property Insight for capitalized software development and for title plant construction. For the three and six month periods ended June 30, 2007, these amounts included capitalized software development costs of $2.2 million and $3.8 million, respectively, and amounts paid for capitalized title plant construction costs of $4.1 million and $9.7 million, respectively. During the six months ended June 30, 2008, the Company paid FIS $0.8 million for capitalized software development costs, none of which was paid in the three months ended June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In May 2008, the Financial Accounting Standards Board (“FASB”) issued Statement of Financial Accounting Standards (“SFAS”) No. 162, “The Hierarchy of Generally Accepted Accounting Principles” (“SFAS 162”). SFAS 162 identifies the sources of accounting principles and the framework for selecting the principles to be used in the preparation of financial statements of nongovernmental entities that are presented in conformity with generally accepted accounting principles in the United States. The FASB has concluded that the generally accepted accounting principles hierarchy should reside in the accounting literature established by the FASB and issued SFAS 162 to achieve that result. SFAS 162 is effective 60 days following the Securities and Exchange Commission’s approval of the Public Company Accounting Oversight Board’s amendments to AU Section 411, “The Meaning of Present Fairly in Conformity with Generally Accepted Accounting Principles.” Management has determined that the adoption of SFAS 162 will not materially affect the Company’s statements of financial condition or operations.</w:t>
      </w:r>
    </w:p>
    <w:p>
      <w:pPr>
        <w:spacing w:after="0" w:line="7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 an amendment of ARB No. 51” (“SFAS 160”), requiring noncontrolling interests (sometimes called minority interests) to be presented as a component of equity on the balance sheet. SFAS 160 also requires that the amount of net income attributable to the parent and to the noncontrolling interests be clearly identified and presented on the face of the consolidated statement of income. This statement eliminates the need to apply purchase accounting when a parent company acquires a noncontrolling ownership interest in a subsidiary and requires that, upon deconsolidation of a subsidiary, a parent company recognize a gain or loss in net income after which any retained noncontrolling interest will be reported at fair value. SFAS 160 requires expanded disclosures in the consolidated financial statements that identify and distinguish between the interests of the parent’s owners and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of the noncontrolling owners of subsidiaries. SFAS 160 is effective for periods beginning on or after December 15, 2008 and will be applied prospectively except for the presentation and disclosure requirements, which will be applied retrospectively for all periods presented. Management is currently evaluating the impact of this statement on the Company’s statements of financial position and operations, but has determined that a reclassification of its minority interest liabilities will be required.</w:t>
      </w:r>
    </w:p>
    <w:p>
      <w:pPr>
        <w:spacing w:after="0" w:line="7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December 2007, the FASB issued SFAS No. 141 (revised 2007), “Business Combinations” (“SFAS 141(R)”), requiring an acquirer in a business combination to recognize the assets acquired, the liabilities assumed, and any noncontrolling interest in the acquiree at their fair values at the acquisition date, with limited exceptions. The costs of the acquisition and any related restructuring costs will be expensed. Assets and liabilities arising from contingencies in a business combination are to be recognized at their fair value at the acquisition date and adjusted prospectively as new information becomes available. When the fair value of assets acquired exceeds the fair value of consideration transferred plus any noncontrolling interest in the acquiree, the excess will be recognized as a gain. Under SFAS 141(R), all business combinations will be accounted for by prospectively applying the acquisition method, including combinations among mutual entities and combinations by contract alone. SFAS 141(R) is effective for periods beginning on or after December 15, 2008 and will apply to business combinations occurring after the effective date.</w:t>
      </w:r>
    </w:p>
    <w:p>
      <w:pPr>
        <w:spacing w:after="0" w:line="71"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w:t>
      </w:r>
    </w:p>
    <w:p>
      <w:pPr>
        <w:ind w:right="40" w:firstLine="8"/>
        <w:spacing w:after="0" w:line="26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SFAS 159 is effective as of January 1, 2008 for calendar year entities and the Company has adopted SFAS 159 as of that date with no material effects on the Company’s statements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The results of operations and financial position of the entities acquired during any year are included in the Consolidated Financial Statements from and after the date of acquisition. Based on the Company’s valuation, any differences between the fair value of the identifiable assets and liabilities and the purchase price paid are recorded as goodwill. There were no individually significant acquisitions during the six months ended June 30, 2008.</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Equity Interest in Ceridian</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November 9, 2007, FNF and Thomas H. Lee Partners (“THL”), along with certain co-investors, completed the acquisition of Ceridian for $36 in cash per share of common stock, or approximately $5.3 billion. The Company contributed approximately $526.8 million of the total $1.6 billion equity funding for the acquisition of Ceridian and also received $36 million in fees associated with the syndication of investors in the acquisition, of which $12.3 million was recorded as income and $23.7 million was recorded as a reduction in the investment balance. This resulted in an investment balance of $503.1 million and a 33% ownership interest in Ceridian, which the Company accounts for using the equity method of accounting for financial statement purposes.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Insight, LLC</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August 31, 2007, the Company completed the acquisition of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title plant construction activities for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ATM Holdings, Inc.</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August 13, 2007, the Company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Interest in Remy International, Inc. (“Remy”)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held an investment in Remy’s Senior Subordinated Notes (the “Notes”) with a total fair value of $139.9 million until December 6, 2007,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time Remy implemented a pre-packaged plan of bankruptcy under Chapter 11 of the Bankruptcy Code. Pursuant to the plan of bankruptcy,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converted into 4,935,065 shares of Remy common stock and rights to buy 19,909 shares of Remy Series B preferred stock. Upon execution of the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bankruptcy, the Company purchased the 19,909 shares of the preferred stock for $1,000 per share, or a total of $19.9 million, and simultaneously sold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1,000 of those shares on the same terms and conditions to William P. Foley, II, the Company’s chairman of the board, for $1,000 per share, or a total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The Company now holds a 47% ownership interest in Remy, made up of 4,935,065 shares of Remy common stock with a cost basis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$64.3 million and 18,909 shares of purchased Remy Series B preferred stock with a cost basis of $19.5 million, and accounts for this investment using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method. During 2007, as a result of the exchange of the Notes for the shares of common and preferred stock, the Company reversed the unrealized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$75.0 million that had previously been recorded in accumulated other comprehensive earnings in relation to the Notes. During the first quarter of 2008,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external valuation of Remy was completed which indicated a higher value for Remy than the Company had initially anticipated. As a result, a $5.3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 was recorded in the first quarter of 2008. Remy, headquartered in Anderson, Indiana, is a leading manufacturer, remanufacturer and distributor of Delco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Remy brand heavy-duty systems and Remy brand starters and alternators, locomotive products and hybrid power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Earnings Per Share</w:t>
      </w:r>
    </w:p>
    <w:p>
      <w:pPr>
        <w:spacing w:after="0" w:line="121"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common shares outstanding plus the impact of assumed conversions of potentially dilutive securities. The Company has granted certain options, warrants, and shares of restricted stock which have been treated as common share equivalents for purposes of calculating diluted earnings per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thousands,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2"/>
              </w:rPr>
              <w:t>per share amounts)</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per share amounts)</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84,835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168,234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210,814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218,707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210,962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218,860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213,107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222,968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213,318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Options to purchase shares of the Company’s common stock that are antidilutive are excluded from the computation of diluted earnings per share. Antidilutive options totaled 7,367,725 shares and 2,034,742 shares for the three month periods ended June 30, 2008 and 2007, respectively, and 7,481,464 shares and 3,178,771 shares for the six month periods ended June 30, 2008 and 2007,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Fair Value Measurements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establishes a framework for measuring fair value, and expands disclosures about fair value measurements by establishing a fair value hierarchy based on the quality of inputs used to measure fair value. SFAS 157 does not require any new fair value measurements, but applies under other accounting pronouncements that require or permit fair value measurements. SFAS 157 is effective for financial statements for fiscal years beginning after November 15, 2007. The Company adopted SFAS 157 as of January 1, 2008. FASB Staff Position SFAS No. 157-2, “Effective Date of FASB Statement No. 157,” delays the effective date of SFAS 157 with respect to nonfinancial assets and nonfinancial liabilities that are not remeasured at fair value on a recurring basis until fiscal years beginning after November 15, 2008. Accordingly, the Company has not yet applied the disclosure requirements of SFAS 157 to certain such nonfinancial assets for which fair value measurements are determined on a non-recurring basis only when there is an indication of potential impairment.</w:t>
      </w:r>
    </w:p>
    <w:p>
      <w:pPr>
        <w:spacing w:after="0" w:line="58"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fair value hierarchy established by SFAS 157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The Company has no financial instruments categorized as Level 3. In accordance with SFAS No. 157, the Company’s financial assets and liabilities that are recorded on the Condensed Consolidated Balance Sheets are categorized as Level 1 or 2 based on the inputs to the valuation techniques as follows:</w:t>
      </w:r>
    </w:p>
    <w:p>
      <w:pPr>
        <w:spacing w:after="0" w:line="7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Level 1. Financial assets and liabilities whose values are based on unadjusted quoted prices for identical assets or liabilities in an active market that FNF has the ability to access.</w:t>
      </w:r>
    </w:p>
    <w:p>
      <w:pPr>
        <w:spacing w:after="0" w:line="62"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Level 2. Financial assets and liabilities whose values are based on quoted prices in markets that are not active or model inputs that are observable either directly or indirectly for substantially the full term of the asset or liability.</w:t>
      </w:r>
    </w:p>
    <w:p>
      <w:pPr>
        <w:spacing w:after="0" w:line="62"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following table presents the Company’s fair value hierarchy for those assets and liabilities measured at fair value on a recurring basis as of June 30, 2008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Level 1</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 available for sale</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$ 2,517,347</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$ 2,517,347</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$ 2,517,347</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$ 2,555,521</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Investments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lends fixed maturity securities to financial institutions in short-term security lending transactions. The Company’s security lending policy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requires that the cash received as collateral be 102% or more of the fair value of the loaned securities. These short-term security lending arrangements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investment income with minimal risk. At June 30, 2008 and December 31, 2007, the Company had security loans outstanding with fair values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$173.7 million and $264.2 million, respectively, and held cash of $179.4 million and $271.8 million, respectively, as collateral related to these security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has been included in cash and in accounts payable and accrued liabilities.</w:t>
      </w:r>
    </w:p>
    <w:p>
      <w:pPr>
        <w:spacing w:after="0" w:line="10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June 30, 2008 were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Less than 12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7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68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vMerge w:val="restart"/>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6"/>
              </w:rPr>
              <w:t>Losses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2"/>
              </w:rPr>
              <w:t>Losses</w:t>
            </w:r>
          </w:p>
        </w:tc>
        <w:tc>
          <w:tcPr>
            <w:tcW w:w="6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10,430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107,154</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240,513</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347,667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148,564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344,751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(13,678)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493,315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(19,830)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23,545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(10,388)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23,859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temporarily impaired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280,917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(18,127)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594,354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(17,287)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875,271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(35,414)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54" w:lineRule="auto"/>
        <w:rPr>
          <w:sz w:val="20"/>
          <w:szCs w:val="20"/>
          <w:color w:val="auto"/>
        </w:rPr>
      </w:pPr>
      <w:r>
        <w:rPr>
          <w:rFonts w:ascii="Arial" w:cs="Arial" w:eastAsia="Arial" w:hAnsi="Arial"/>
          <w:sz w:val="18"/>
          <w:szCs w:val="18"/>
          <w:color w:val="auto"/>
        </w:rPr>
        <w:t>A substantial portion of the Company’s unrealized losses relate to debt securities. These unrealized losses were primarily caused by interest rate increases and market changes that the Company considers to be temporary. Because the Company has the intent and ability to hold these securities, the Company does not consider these investments to be other-than-temporarily impaired. The unrealized losses relating to equity securities were caused by market changes that the Company considers to be temporary and thus the Company does not consider these investments other-than-temporarily impaired. During the three months ended June 30, 2008, the Company recorded impairment charges totaling $7.6 million related to two of its fixed maturity securities and $2.0 million related to one of its equity securities that were deemed other than temporarily impaired. In addition to those charges, during the six months ended June 30, 2008, the Company recorded an impairment charge in the amount of $1.5 million related to one of its equity securities that was deemed other than temporarily impaired.</w:t>
      </w:r>
    </w:p>
    <w:p>
      <w:pPr>
        <w:spacing w:after="0" w:line="84"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color w:val="auto"/>
        </w:rPr>
        <w:t>Gross realized gains on investments were $30.0 million and $16.1 million for the three month periods ended June 30, 2008 and 2007, respectively, and $40.9 million and $30.6 million for the six month periods ended June 30, 2008 and 2007, respectively. Gross realized losses on investments were</w:t>
      </w:r>
    </w:p>
    <w:p>
      <w:pPr>
        <w:ind w:right="480"/>
        <w:spacing w:after="0" w:line="261" w:lineRule="auto"/>
        <w:rPr>
          <w:sz w:val="20"/>
          <w:szCs w:val="20"/>
          <w:color w:val="auto"/>
        </w:rPr>
      </w:pPr>
      <w:r>
        <w:rPr>
          <w:rFonts w:ascii="Arial" w:cs="Arial" w:eastAsia="Arial" w:hAnsi="Arial"/>
          <w:sz w:val="18"/>
          <w:szCs w:val="18"/>
          <w:color w:val="auto"/>
        </w:rPr>
        <w:t>$12.0 million and $12.2 million for the three month periods ended June 30, 2008 and 2007, respectively, and $16.1 million and $22.0 million for the six month periods ended June 30, 2008 and 2007, respectively.</w:t>
      </w:r>
    </w:p>
    <w:p>
      <w:pPr>
        <w:spacing w:after="0" w:line="76"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June 30, 2008 and December 31, 2007, consist of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Ownership</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June 30, 2008</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Ceridian</w:t>
            </w:r>
          </w:p>
        </w:tc>
        <w:tc>
          <w:tcPr>
            <w:tcW w:w="3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480,885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Sedgwick</w:t>
            </w:r>
          </w:p>
        </w:tc>
        <w:tc>
          <w:tcPr>
            <w:tcW w:w="33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109,895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Remy</w:t>
            </w:r>
          </w:p>
        </w:tc>
        <w:tc>
          <w:tcPr>
            <w:tcW w:w="4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78,496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25,417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694,693</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2008 and December 31, 2007, the Company’s ownership percentage in Sedgwick was 32% and 40%, respectively.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5, 2008, the Company sold 20% of its 40% interest in Sedgwick for proceeds of $53.9 million, resulting in a pre-tax gain of $24.8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this sale, the Company owns 32% of Sedgwick.</w:t>
      </w:r>
    </w:p>
    <w:p>
      <w:pPr>
        <w:spacing w:after="0" w:line="10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Summarized financial information for Ceridian is presented below for the time period subsequent to November 9, 2007, the date of acquisition. The Company accounts for its equity in Ceridian’s earnings on a three-month lag. Accordingly, FNF’s net earnings for the three month period ended June 30, 2008 include the Company’s equity in Ceridian’s earnings for the three months ended March 31, 2008, and net earnings for the six month period ended June 30, 2008 includes the Company’s equity in Ceridian’s earnings for the period from November 10, 2007 through March 31,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March 31, 2008</w:t>
            </w:r>
          </w:p>
        </w:tc>
      </w:tr>
      <w:tr>
        <w:trPr>
          <w:trHeight w:val="142"/>
        </w:trPr>
        <w:tc>
          <w:tcPr>
            <w:tcW w:w="10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1,101.8</w:t>
            </w:r>
          </w:p>
        </w:tc>
        <w:tc>
          <w:tcPr>
            <w:tcW w:w="8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4,902.0</w:t>
            </w:r>
          </w:p>
        </w:tc>
        <w:tc>
          <w:tcPr>
            <w:tcW w:w="80" w:type="dxa"/>
            <w:vAlign w:val="bottom"/>
          </w:tcPr>
          <w:p>
            <w:pPr>
              <w:spacing w:after="0"/>
              <w:rPr>
                <w:sz w:val="18"/>
                <w:szCs w:val="18"/>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4,441.3</w:t>
            </w:r>
          </w:p>
        </w:tc>
        <w:tc>
          <w:tcPr>
            <w:tcW w:w="80" w:type="dxa"/>
            <w:vAlign w:val="bottom"/>
            <w:shd w:val="clear" w:color="auto" w:fill="CCEEFF"/>
          </w:tcPr>
          <w:p>
            <w:pPr>
              <w:spacing w:after="0"/>
              <w:rPr>
                <w:sz w:val="18"/>
                <w:szCs w:val="18"/>
                <w:color w:val="auto"/>
              </w:rPr>
            </w:pPr>
          </w:p>
        </w:tc>
      </w:tr>
      <w:tr>
        <w:trPr>
          <w:trHeight w:val="223"/>
        </w:trPr>
        <w:tc>
          <w:tcPr>
            <w:tcW w:w="103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w:t>
            </w:r>
          </w:p>
        </w:tc>
        <w:tc>
          <w:tcPr>
            <w:tcW w:w="8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3,527.0</w:t>
            </w:r>
          </w:p>
        </w:tc>
        <w:tc>
          <w:tcPr>
            <w:tcW w:w="80" w:type="dxa"/>
            <w:vAlign w:val="bottom"/>
          </w:tcPr>
          <w:p>
            <w:pPr>
              <w:spacing w:after="0"/>
              <w:rPr>
                <w:sz w:val="18"/>
                <w:szCs w:val="18"/>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4,661.8</w:t>
            </w:r>
          </w:p>
        </w:tc>
        <w:tc>
          <w:tcPr>
            <w:tcW w:w="80" w:type="dxa"/>
            <w:vAlign w:val="bottom"/>
            <w:shd w:val="clear" w:color="auto" w:fill="CCEEFF"/>
          </w:tcPr>
          <w:p>
            <w:pPr>
              <w:spacing w:after="0"/>
              <w:rPr>
                <w:sz w:val="18"/>
                <w:szCs w:val="18"/>
                <w:color w:val="auto"/>
              </w:rPr>
            </w:pPr>
          </w:p>
        </w:tc>
      </w:tr>
      <w:tr>
        <w:trPr>
          <w:trHeight w:val="223"/>
        </w:trPr>
        <w:tc>
          <w:tcPr>
            <w:tcW w:w="103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w:t>
            </w:r>
          </w:p>
        </w:tc>
        <w:tc>
          <w:tcPr>
            <w:tcW w:w="80" w:type="dxa"/>
            <w:vAlign w:val="bottom"/>
            <w:shd w:val="clear" w:color="auto" w:fill="CCEEFF"/>
          </w:tcPr>
          <w:p>
            <w:pPr>
              <w:spacing w:after="0"/>
              <w:rPr>
                <w:sz w:val="18"/>
                <w:szCs w:val="18"/>
                <w:color w:val="auto"/>
              </w:rPr>
            </w:pPr>
          </w:p>
        </w:tc>
      </w:tr>
      <w:tr>
        <w:trPr>
          <w:trHeight w:val="223"/>
        </w:trPr>
        <w:tc>
          <w:tcPr>
            <w:tcW w:w="103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November 10, 2007,</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31, 2008</w:t>
            </w:r>
          </w:p>
        </w:tc>
        <w:tc>
          <w:tcPr>
            <w:tcW w:w="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through March 31, 2008</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2160" w:type="dxa"/>
            <w:vAlign w:val="bottom"/>
            <w:gridSpan w:val="2"/>
          </w:tcPr>
          <w:p>
            <w:pPr>
              <w:jc w:val="right"/>
              <w:ind w:right="136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$406.5</w:t>
            </w:r>
          </w:p>
        </w:tc>
        <w:tc>
          <w:tcPr>
            <w:tcW w:w="224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40" w:type="dxa"/>
            <w:vAlign w:val="bottom"/>
          </w:tcPr>
          <w:p>
            <w:pPr>
              <w:jc w:val="right"/>
              <w:ind w:right="337"/>
              <w:spacing w:after="0"/>
              <w:rPr>
                <w:sz w:val="20"/>
                <w:szCs w:val="20"/>
                <w:color w:val="auto"/>
              </w:rPr>
            </w:pPr>
            <w:r>
              <w:rPr>
                <w:rFonts w:ascii="Arial" w:cs="Arial" w:eastAsia="Arial" w:hAnsi="Arial"/>
                <w:sz w:val="18"/>
                <w:szCs w:val="18"/>
                <w:color w:val="auto"/>
              </w:rPr>
              <w:t>(29.2)</w:t>
            </w:r>
          </w:p>
        </w:tc>
        <w:tc>
          <w:tcPr>
            <w:tcW w:w="2240" w:type="dxa"/>
            <w:vAlign w:val="bottom"/>
            <w:gridSpan w:val="3"/>
          </w:tcPr>
          <w:p>
            <w:pPr>
              <w:jc w:val="right"/>
              <w:ind w:right="508"/>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(22.1)</w:t>
            </w:r>
          </w:p>
        </w:tc>
        <w:tc>
          <w:tcPr>
            <w:tcW w:w="22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During the three month periods ended June 30, 2008 and 2007, the Company recorded an aggregate of $(6.3) million and $(0.3) million, respectively, in equity in losses of unconsolidated affiliates. During the six month periods ended June 30, 2008 and 2007, the Company recorded an aggregate of $(4.7) million and $1.9 million in equity in (losses) earnings of unconsolidated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 Plans</w:t>
      </w:r>
    </w:p>
    <w:p>
      <w:pPr>
        <w:spacing w:after="0" w:line="121"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During the first three months of 2008, the Company granted 600,000 shares of restricted stock with a weighted average grant date fair value of $17.07 per share. There were no grants of stock-based compensation awards during the three months ended June 30, 2008. During the six months ended June 30, 2007, the Company granted 10,000 shares of restricted stock with a weighted average grant date fair value of $25.13 per share.</w:t>
      </w:r>
    </w:p>
    <w:p>
      <w:pPr>
        <w:spacing w:after="0" w:line="5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Net income reflects stock based compensation expense of $8.5 million and $8.2 million for the three month periods ended June 30, 2008 and 2007, respectively, and $15.5 million and $15.7 million for the six month periods ended June 30, 2008 and 2007, respectively, which is included in personnel costs in the reported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Summarized financial information concerning the Company’s reportable segments is shown in the following table.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three months ended June 30, 2008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Fidelity National</w:t>
            </w:r>
          </w:p>
        </w:tc>
        <w:tc>
          <w:tcPr>
            <w:tcW w:w="13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Specialty</w:t>
            </w:r>
          </w:p>
        </w:tc>
        <w:tc>
          <w:tcPr>
            <w:tcW w:w="14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Title Group</w:t>
            </w:r>
          </w:p>
        </w:tc>
        <w:tc>
          <w:tcPr>
            <w:tcW w:w="620" w:type="dxa"/>
            <w:vAlign w:val="bottom"/>
            <w:gridSpan w:val="2"/>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640" w:type="dxa"/>
            <w:vAlign w:val="bottom"/>
            <w:gridSpan w:val="2"/>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744,955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268,118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94,161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24,720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386,999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1,013,073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94,161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24,720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2,973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20,888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1,037,056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97,134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1,179,798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Earnings (loss) before income taxes, equity in income (losses)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unconsolidated affiliates, and minority interest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5,071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13,227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in income (losses) of unconsolidated affiliates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(loss)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4,938</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8,542</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(6,555)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5,461,838</w:t>
            </w: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4"/>
              </w:rPr>
              <w:t>$ 441,018</w:t>
            </w:r>
          </w:p>
        </w:tc>
        <w:tc>
          <w:tcPr>
            <w:tcW w:w="5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$ 1,345,280</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7,248,136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1,246,708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23,842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67,724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1,338,274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89"/>
              </w:rPr>
              <w:t>As of and for the three months ended June 30, 2007 (dollars in thousands):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Fidelity National</w:t>
            </w:r>
          </w:p>
        </w:tc>
        <w:tc>
          <w:tcPr>
            <w:tcW w:w="1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Specialty</w:t>
            </w:r>
          </w:p>
        </w:tc>
        <w:tc>
          <w:tcPr>
            <w:tcW w:w="120" w:type="dxa"/>
            <w:vAlign w:val="bottom"/>
          </w:tcPr>
          <w:p>
            <w:pPr>
              <w:spacing w:after="0"/>
              <w:rPr>
                <w:sz w:val="24"/>
                <w:szCs w:val="2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24"/>
                <w:szCs w:val="2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Title Group</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Insurance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1,046,366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274,395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99,731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25,081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1,320,761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99,731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41,532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4,074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1,362,293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$ 103,805</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1,495,000</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28,172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Earnings (loss) before income taxes, equity in income (losses)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unconsolidated affiliates, and minority interest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130,037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13,860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(17,456)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42,362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in income (losses) of unconsolidated affiliates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(loss)</w:t>
            </w: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87,736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8,520</w:t>
            </w:r>
          </w:p>
        </w:tc>
        <w:tc>
          <w:tcPr>
            <w:tcW w:w="520" w:type="dxa"/>
            <w:vAlign w:val="bottom"/>
          </w:tcPr>
          <w:p>
            <w:pPr>
              <w:spacing w:after="0"/>
              <w:rPr>
                <w:sz w:val="18"/>
                <w:szCs w:val="18"/>
                <w:color w:val="auto"/>
              </w:rPr>
            </w:pP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(11,421)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5,991,572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$ 496,412</w:t>
            </w:r>
          </w:p>
        </w:tc>
        <w:tc>
          <w:tcPr>
            <w:tcW w:w="5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$ 877,936</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7,365,920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1,084,048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44,856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66,229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1,195,133</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six months ended June 30, 2008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Fidelity National</w:t>
            </w:r>
          </w:p>
        </w:tc>
        <w:tc>
          <w:tcPr>
            <w:tcW w:w="13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Specialty</w:t>
            </w:r>
          </w:p>
        </w:tc>
        <w:tc>
          <w:tcPr>
            <w:tcW w:w="14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Title Group</w:t>
            </w:r>
          </w:p>
        </w:tc>
        <w:tc>
          <w:tcPr>
            <w:tcW w:w="620" w:type="dxa"/>
            <w:vAlign w:val="bottom"/>
            <w:gridSpan w:val="2"/>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640" w:type="dxa"/>
            <w:vAlign w:val="bottom"/>
            <w:gridSpan w:val="2"/>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1,473,170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510,620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178,988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55,839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745,447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1,983,790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178,988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55,839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2,218,617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63,864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6,645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27,832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2,047,654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4"/>
              </w:rPr>
              <w:t>$ 185,633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2,316,958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30,760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Earnings (loss) before income taxes, equity in income (losses)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unconsolidated affiliates, and minority interest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58,152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22,646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(30,904)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(11,682)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Equity in income (losses) of unconsolidated affiliates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1,435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41,609</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15,200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(22,639)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5,461,838</w:t>
            </w: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4"/>
              </w:rPr>
              <w:t>$ 441,018</w:t>
            </w:r>
          </w:p>
        </w:tc>
        <w:tc>
          <w:tcPr>
            <w:tcW w:w="5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$ 1,345,280</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7,248,136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1,246,708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23,842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67,724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1,338,274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w w:val="99"/>
              </w:rPr>
              <w:t>As of and for the six months ended June 30, 2007 (dollars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Fidelity National</w:t>
            </w:r>
          </w:p>
        </w:tc>
        <w:tc>
          <w:tcPr>
            <w:tcW w:w="1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Specialty</w:t>
            </w:r>
          </w:p>
        </w:tc>
        <w:tc>
          <w:tcPr>
            <w:tcW w:w="120" w:type="dxa"/>
            <w:vAlign w:val="bottom"/>
          </w:tcPr>
          <w:p>
            <w:pPr>
              <w:spacing w:after="0"/>
              <w:rPr>
                <w:sz w:val="24"/>
                <w:szCs w:val="2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24"/>
                <w:szCs w:val="2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Title Group</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Insurance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2,007,109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2,007,109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514,568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194,729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751,185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2,521,677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194,729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2,758,294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86,067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2,607,744</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$ 202,775</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51,361</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2,861,880</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55,089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3,070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Earnings (loss) before income taxes, equity in income of unconsolidated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affiliates, and minority interest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244,174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39,286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(32,314)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83,105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14,909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(12,498)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earnings (loss)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161,836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24,377</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(17,979)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5,991,572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$ 496,412</w:t>
            </w:r>
          </w:p>
        </w:tc>
        <w:tc>
          <w:tcPr>
            <w:tcW w:w="5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$ 877,936</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7,365,920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1,084,048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44,856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66,229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1,195,133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7"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This segment consists of the operations of FNF’s title insurance underwriters and related businesses. This segment provides core title insurance and escrow and other title related services including collection and trust activities, trustee’s sales guarantees, recordings and reconveyances.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segment consists of certain subsidiaries that issue flood, home warranty, homeowners, automobile, and other personal lines insurance policies.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the operations of Fidelity National Real Estate Solutions,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(“FNRES”), other smaller operations, and the Company’s share in the operations of certain equity investments, including Sedgwick, Ceridian, and Remy. In the first six months of 2008, the Company recorded a $2.7 million impairment charge to an intangible asset in the corporate and other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jc w:val="both"/>
        <w:ind w:right="460" w:firstLine="225"/>
        <w:spacing w:after="0" w:line="264" w:lineRule="auto"/>
        <w:rPr>
          <w:sz w:val="20"/>
          <w:szCs w:val="20"/>
          <w:color w:val="auto"/>
        </w:rPr>
      </w:pPr>
      <w:r>
        <w:rPr>
          <w:rFonts w:ascii="Arial" w:cs="Arial" w:eastAsia="Arial" w:hAnsi="Arial"/>
          <w:sz w:val="18"/>
          <w:szCs w:val="18"/>
          <w:color w:val="auto"/>
        </w:rPr>
        <w:t>On July 23, 2008, the Company’s Board of Directors declared a cash dividend of $0.30 per share, payable on September 30, 2008, to stockholders of record as of September 16, 2008. On April 23, 2008, the Company’s Board of Directors declared a cash dividend of $0.30 per share, which was paid on June 30, 2008, to stockholders of record as of June 13,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expense (income)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2"/>
              </w:rPr>
              <w:t>except per</w:t>
            </w:r>
          </w:p>
        </w:tc>
        <w:tc>
          <w:tcPr>
            <w:tcW w:w="140" w:type="dxa"/>
            <w:vAlign w:val="bottom"/>
          </w:tcPr>
          <w:p>
            <w:pPr>
              <w:spacing w:after="0"/>
              <w:rPr>
                <w:sz w:val="12"/>
                <w:szCs w:val="12"/>
                <w:color w:val="auto"/>
              </w:rPr>
            </w:pPr>
          </w:p>
        </w:tc>
        <w:tc>
          <w:tcPr>
            <w:tcW w:w="2000" w:type="dxa"/>
            <w:vAlign w:val="bottom"/>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vMerge w:val="continue"/>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2,219</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(2,895)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8"/>
              </w:rPr>
              <w:t>(2,660)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expense (income)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2"/>
              </w:rPr>
              <w:t>For the Six Months Ended June 30,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2"/>
              </w:rPr>
              <w:t>except per</w:t>
            </w:r>
          </w:p>
        </w:tc>
        <w:tc>
          <w:tcPr>
            <w:tcW w:w="140" w:type="dxa"/>
            <w:vAlign w:val="bottom"/>
          </w:tcPr>
          <w:p>
            <w:pPr>
              <w:spacing w:after="0"/>
              <w:rPr>
                <w:sz w:val="12"/>
                <w:szCs w:val="12"/>
                <w:color w:val="auto"/>
              </w:rPr>
            </w:pPr>
          </w:p>
        </w:tc>
        <w:tc>
          <w:tcPr>
            <w:tcW w:w="2000" w:type="dxa"/>
            <w:vAlign w:val="bottom"/>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vMerge w:val="continue"/>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4,504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4,438</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8"/>
              </w:rPr>
              <w:t>(5,320)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4,298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2007 as disclosed in the Company’s Form 10-K filed on February 29,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Legal Proceedings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60" w:hanging="436"/>
        <w:spacing w:after="0" w:line="272"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24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spacing w:after="0" w:line="272" w:lineRule="auto"/>
        <w:rPr>
          <w:sz w:val="20"/>
          <w:szCs w:val="20"/>
          <w:color w:val="auto"/>
        </w:rPr>
      </w:pPr>
      <w:r>
        <w:rPr>
          <w:rFonts w:ascii="Arial" w:cs="Arial" w:eastAsia="Arial" w:hAnsi="Arial"/>
          <w:sz w:val="17"/>
          <w:szCs w:val="17"/>
          <w:color w:val="auto"/>
        </w:rPr>
        <w:t>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the Company’s experience, monetary demands in plaintiffs’ court pleadings bear little relation to the ultimate loss, if any, that the Company may experience. None of the cases described below includes a statement as to the dollar amount of damages demanded. Instead, each of the cases includes a demand in an amount to be proved at trial.</w:t>
      </w:r>
    </w:p>
    <w:p>
      <w:pPr>
        <w:spacing w:after="0" w:line="70" w:lineRule="exact"/>
        <w:rPr>
          <w:sz w:val="20"/>
          <w:szCs w:val="20"/>
          <w:color w:val="auto"/>
        </w:rPr>
      </w:pPr>
    </w:p>
    <w:p>
      <w:pPr>
        <w:ind w:left="660" w:right="40" w:hanging="436"/>
        <w:spacing w:after="0" w:line="279"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The Company reviews these matters on an ongoing basis and follows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76" w:lineRule="exact"/>
        <w:rPr>
          <w:rFonts w:ascii="Arial" w:cs="Arial" w:eastAsia="Arial" w:hAnsi="Arial"/>
          <w:sz w:val="17"/>
          <w:szCs w:val="17"/>
          <w:b w:val="1"/>
          <w:bCs w:val="1"/>
          <w:color w:val="auto"/>
        </w:rPr>
      </w:pPr>
    </w:p>
    <w:p>
      <w:pPr>
        <w:ind w:left="660" w:hanging="436"/>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intends to vigorously defend each of these matters. 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73" w:lineRule="exact"/>
        <w:rPr>
          <w:sz w:val="20"/>
          <w:szCs w:val="20"/>
          <w:color w:val="auto"/>
        </w:rPr>
      </w:pPr>
    </w:p>
    <w:p>
      <w:pPr>
        <w:ind w:right="360" w:firstLine="222"/>
        <w:spacing w:after="0" w:line="279" w:lineRule="auto"/>
        <w:rPr>
          <w:sz w:val="20"/>
          <w:szCs w:val="20"/>
          <w:color w:val="auto"/>
        </w:rPr>
      </w:pPr>
      <w:r>
        <w:rPr>
          <w:rFonts w:ascii="Arial" w:cs="Arial" w:eastAsia="Arial" w:hAnsi="Arial"/>
          <w:sz w:val="17"/>
          <w:szCs w:val="17"/>
          <w:color w:val="auto"/>
        </w:rPr>
        <w:t>There are class actions pending against several title insurance companies, including Security Union Title Insurance Company, Fidelity National Title Insurance Company, Chicago Title Insurance Company, Ticor Title Insurance Company of Florida and Ticor Title Insurance Company,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w:t>
      </w:r>
    </w:p>
    <w:p>
      <w:pPr>
        <w:spacing w:after="0" w:line="63" w:lineRule="exact"/>
        <w:rPr>
          <w:sz w:val="20"/>
          <w:szCs w:val="20"/>
          <w:color w:val="auto"/>
        </w:rPr>
      </w:pPr>
    </w:p>
    <w:p>
      <w:pPr>
        <w:ind w:right="100" w:firstLine="215"/>
        <w:spacing w:after="0" w:line="255" w:lineRule="auto"/>
        <w:rPr>
          <w:sz w:val="20"/>
          <w:szCs w:val="20"/>
          <w:color w:val="auto"/>
        </w:rPr>
      </w:pPr>
      <w:r>
        <w:rPr>
          <w:rFonts w:ascii="Arial" w:cs="Arial" w:eastAsia="Arial" w:hAnsi="Arial"/>
          <w:sz w:val="18"/>
          <w:szCs w:val="18"/>
          <w:color w:val="auto"/>
        </w:rPr>
        <w:t>An amended complaint was filed in Illinois (Independent Trust v. Fidelity National Title Insurance Company of New York, filed on June 26, 2006 in the United States District Court for the Northern District of Illinois, Eastern Division) related to the litigation spawned by the defalcation of Intercounty Title Company of Illinois (“Intercounty”), a Fidelity agent in Chicago, IL. The plaintiff alleges the Company wrongfully used its funds to pay monies owed by the Company to customers of Intercounty. The plaintiff demands compensatory damages (which the plaintiff alleges are believed to be in excess of $20 million), punitive damages and other relief. The Company moved to dismiss, but the motion was denied. The Company subsequently moved for summary judgment, and that motion has been fully briefed and submitted.</w:t>
      </w:r>
    </w:p>
    <w:p>
      <w:pPr>
        <w:spacing w:after="0" w:line="85"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February 2008, thirteen putative class actions were commenced against several title insurance companies, including Fidelity National Title Insurance Company, Chicago Title Insurance Company, Security Union Title Insurance Company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approximately 63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However, that motion was denied. The cases are generally being consolidated before one district court judge in each state and scheduled for the filing of consolidated complaints and motion practice.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and Ticor Title Insurance Company (collectively, the “Fidelity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Fidelity Affiliates contracted and warranted to close these loans in conformity with the lender’s instructions which correctly followed the requirements of TILA and contained no misrepresentations; therefore, if Ameriquest and Argent are liable to the class, then the Fidelity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w:t>
      </w:r>
    </w:p>
    <w:p>
      <w:pPr>
        <w:spacing w:after="0" w:line="7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None of the cases described above includes a statement as to the dollar amount of damages demanded. Instead, each of the cases includes a demand in an amount to be proved at trial.</w:t>
      </w:r>
    </w:p>
    <w:p>
      <w:pPr>
        <w:spacing w:after="0" w:line="6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January 2007, the State of California adopted regulations that would have significant effects on the title insurance industry in California. The Company, as well as others, has been engaged in discussions with the California Department of Insurance (the “CDI”) regarding possible industry reforms that may result in the CDI’s decision to modify or repeal the regulations prior to their implementation. On June 17, 2008, the CDI filed with the Office of Administrative Law revised title insurance regulations containing substantial changes to the existing regulations. The hearings on the revised regulations are scheduled for the week of August 11, 2008, in San Francisco.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our potential inability to find suitable acquisition candidates, acquisitions in lines of business that will not necessarily be limited to our traditional areas of focus, or difficulties in integrating acquisitions; our dependence on operating subsidiaries as a source of cash flow; significant competition that our operating subsidiaries face; compliance with extensive government regulation of our operating subsidiaries; and other risks detailed in the “Statement Regarding Forward-Looking Information,” “Risk Factors” and other sections of the Company’s Form 10-K and other filings with the Securities and Exchange Commission.</w:t>
      </w:r>
    </w:p>
    <w:p>
      <w:pPr>
        <w:spacing w:after="0" w:line="6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course of an internal review of our treatment of certain costs relating to insurance policies issued by our specialty insurance group, we determined that certain costs should be deferred and amortized over the life of the policy consistent with the recognition of the premiums. We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unaudited condensed consolidated financial statements and is not material to the Company’s financial position or</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for any other previously reported annual periods.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should be read in conjunction with the Company’s Annual Report on Form 10-K for the year ended December 31,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are a holding company that is a provider, through our subsidiaries, of title insurance, specialty insurance, claims management services, and information services. We are one of the nation’s largest title insurance companies through our title insurance underwriters — Fidelity National Title, Chicago Title, Ticor Title, Security Union Title, and Alamo Title — which issued approximately 26.7% of all title insurance policies issued nationally during 2007.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(“Sedgwick”) and a provider of information services in the human resources, retail and transportation markets through another minority-owned affiliate, Ceridian Corporation (“Ceridian”).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7" w:lineRule="exact"/>
        <w:rPr>
          <w:sz w:val="20"/>
          <w:szCs w:val="20"/>
          <w:color w:val="auto"/>
        </w:rPr>
      </w:pPr>
    </w:p>
    <w:p>
      <w:pPr>
        <w:ind w:left="660" w:right="6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w:t>
      </w:r>
    </w:p>
    <w:p>
      <w:pPr>
        <w:spacing w:after="0" w:line="86" w:lineRule="exact"/>
        <w:rPr>
          <w:rFonts w:ascii="Arial" w:cs="Arial" w:eastAsia="Arial" w:hAnsi="Arial"/>
          <w:sz w:val="18"/>
          <w:szCs w:val="18"/>
          <w:b w:val="1"/>
          <w:bCs w:val="1"/>
          <w:color w:val="auto"/>
        </w:rPr>
      </w:pPr>
    </w:p>
    <w:p>
      <w:pPr>
        <w:jc w:val="both"/>
        <w:ind w:left="660" w:right="100" w:hanging="436"/>
        <w:spacing w:after="0" w:line="279"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Specialty Insurance. </w:t>
      </w:r>
      <w:r>
        <w:rPr>
          <w:rFonts w:ascii="Arial" w:cs="Arial" w:eastAsia="Arial" w:hAnsi="Arial"/>
          <w:sz w:val="17"/>
          <w:szCs w:val="17"/>
          <w:color w:val="auto"/>
        </w:rPr>
        <w:t>The specialty insurance segment consists of certain subsidiaries that issue flood, home warranty, homeowners, automobile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personal lines insurance policies. We recently announced that our Board of Directors has authorized us to investigate strategic alternatives for certain of our specialty insurance businesses. The assets to be evaluated include the flood insurance and personal lines insurance businesses, but not the home warranty business. However, there can be no assurance that any transaction will be completed.</w:t>
      </w:r>
    </w:p>
    <w:p>
      <w:pPr>
        <w:spacing w:after="0" w:line="76" w:lineRule="exact"/>
        <w:rPr>
          <w:rFonts w:ascii="Arial" w:cs="Arial" w:eastAsia="Arial" w:hAnsi="Arial"/>
          <w:sz w:val="17"/>
          <w:szCs w:val="17"/>
          <w:b w:val="1"/>
          <w:bCs w:val="1"/>
          <w:color w:val="auto"/>
        </w:rPr>
      </w:pPr>
    </w:p>
    <w:p>
      <w:pPr>
        <w:jc w:val="both"/>
        <w:ind w:left="660" w:right="20" w:hanging="436"/>
        <w:spacing w:after="0" w:line="286"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the operations of Fidelity National Real Estate Solutions (“FNRES”), other smaller operations, and our share in the operations of certain equity investments, including Sedgwick, Ceridian, and Remy International (“Remy”).</w:t>
      </w:r>
    </w:p>
    <w:p>
      <w:pPr>
        <w:spacing w:after="0" w:line="5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focused on evaluating our non-core assets and investments as potential vehicles for creating liquidity. We anticipate maintaining our $0.30 quarterly cash dividend through 2008 and we will continue to analyze the benefits of the current dividend level as we plan for 2009. However, we do continually assess our capital allocation strategy and weigh the benefit of continuing to pay the dividend at its current level versus reducing debt, repurchasing our stock, or conserving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financial statements reflect transactions with Fidelity National Information Services (“FIS”), which is a related party. Please see Note A of Notes to Condensed Consolidated Financial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7"/>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6"/>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1,179,798</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1,495,000</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$ 2,316,958</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2,861,880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1,166,271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1,368,559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2,267,064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2,610,734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40"/>
              <w:spacing w:after="0"/>
              <w:rPr>
                <w:sz w:val="20"/>
                <w:szCs w:val="20"/>
                <w:color w:val="auto"/>
              </w:rPr>
            </w:pPr>
            <w:r>
              <w:rPr>
                <w:rFonts w:ascii="Arial" w:cs="Arial" w:eastAsia="Arial" w:hAnsi="Arial"/>
                <w:sz w:val="18"/>
                <w:szCs w:val="18"/>
                <w:i w:val="1"/>
                <w:iCs w:val="1"/>
                <w:color w:val="auto"/>
                <w:w w:val="95"/>
              </w:rPr>
              <w:t xml:space="preserve">Revenue. </w:t>
            </w:r>
            <w:r>
              <w:rPr>
                <w:rFonts w:ascii="Arial" w:cs="Arial" w:eastAsia="Arial" w:hAnsi="Arial"/>
                <w:sz w:val="18"/>
                <w:szCs w:val="18"/>
                <w:color w:val="auto"/>
                <w:w w:val="95"/>
              </w:rPr>
              <w:t>The following table presents the components of our revenue:</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840" w:type="dxa"/>
            <w:vAlign w:val="bottom"/>
            <w:tcBorders>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7"/>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321,040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448,504</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625,819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867,101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423,915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597,862</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847,351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1,140,008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Escrow, title-related and other fees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292,838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299,476</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566,459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556,456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Specialty insurance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94,161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99,731</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178,988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194,729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45,528</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72,073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93,305</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Realized gains and losses, net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17,791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3,899</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26,268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1,179,798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1,495,000</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$ 2,316,958</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2,861,880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Orders opened by direct title operations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462,600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622,100</w:t>
            </w:r>
          </w:p>
        </w:tc>
        <w:tc>
          <w:tcPr>
            <w:tcW w:w="3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1,024,800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1,274,500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408,700</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615,300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consolidated revenues decreased $315.2 million to $1,179.8 million in the three months ended June 30, 2008, compared to the 2007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consisting of decreases of $325.2 million in title related revenues and $6.7 million in specialty insurance revenues, partially offset by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$16.7 million in the corporate and other segment. Total consolidated revenues decreased $544.9 million to $2,317.0 million in the first six months of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2007 period, consisting of decreases of $560.1 million in title related revenues and $17.1 million in specialty insurance revenues,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an increase of $32.3 million in the corporate and other segment.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title insurance premiums for the three and six-month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 premiums from direct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$ 321,040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448,504</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625,819</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867,101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agency operations</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423,915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597,862</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847,351</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1,140,008</w:t>
            </w:r>
          </w:p>
        </w:tc>
        <w:tc>
          <w:tcPr>
            <w:tcW w:w="4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$ 744,955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1,046,366</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1,473,170</w:t>
            </w: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2,007,109</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Title insurance premiums decreased 28.8% to $745.0 million in the three months ended June 30, 2008, as compared to 2007. The decrease was made up of a $127.5 million, or 28.4%, decrease in direct premiums and a $173.9 million, or 29.1%, decrease in premiums from agency operations. Title insurance premiums decreased 26.6% to $1,473.2 million in the first six months of 2008 as compared to 2007. The decrease was made up of a $241.3 million, or 27.8%, decrease in direct premiums and a $292.7 million, or 25.7%, decrease in premiums from agency operations.</w:t>
      </w:r>
    </w:p>
    <w:p>
      <w:pPr>
        <w:spacing w:after="0" w:line="63"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Title premiums from direct operations decreased $127.5 million, or 28.4%, in the three months ended June 30, 2008, and $241.3 million, or 27.8%, in the first six months of 2008 compared to the corresponding 2007 periods. In each period, the decrease was due to decreases in closed order volume and fee per file. Closed order volumes decreased to 307,500 in the three months ended June 30, 2008, from 408,700 in the three months ended June 30, 2007, and to 615,300 in the first six months of 2008 from 799,100 in the first six months of 2007, in each case reflecting declines in the purchase and refinance markets. The mortgage market continues to lack liquidity. Average mortgage interest rates in the first six months of 2008 have remained consistent with rates in the first six months of 2007 but have shown a slight increase in the second quarter of 2008. During the first six months of 2008, the Federal Reserve Bank continued to decrease the federal funds rate by a total of 225 basis points. The federal funds rate is now 2% compared to 5.25% in August 2007. As a result of the 2008 reductions in the rate, refinance order volumes increased temporarily in the first quarter. However, while a majority of these opened orders were ultimately closed, the increased level of order volumes was not sustained. The average fee per file in our direct operations was $1,484 in the three months ended June 30, 2008 compared to $1,627 in the three months ended June 30, 2007, and $1,466 in the first six months of 2008 compared to $1,593 in the first six months of 2007, with the decreases reflecting a decline in home values and a slowing commercial market.</w:t>
      </w:r>
    </w:p>
    <w:p>
      <w:pPr>
        <w:spacing w:after="0" w:line="65"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decrease in agency premiums is primarily the result of a decrease in remitted and accrued agency premiums that is consistent with the decrease in direct title premiums.</w:t>
      </w:r>
    </w:p>
    <w:p>
      <w:pPr>
        <w:spacing w:after="0" w:line="62" w:lineRule="exact"/>
        <w:rPr>
          <w:sz w:val="20"/>
          <w:szCs w:val="20"/>
          <w:color w:val="auto"/>
        </w:rPr>
      </w:pPr>
    </w:p>
    <w:p>
      <w:pPr>
        <w:ind w:right="160" w:firstLine="225"/>
        <w:spacing w:after="0" w:line="288" w:lineRule="auto"/>
        <w:rPr>
          <w:sz w:val="20"/>
          <w:szCs w:val="20"/>
          <w:color w:val="auto"/>
        </w:rPr>
      </w:pPr>
      <w:r>
        <w:rPr>
          <w:rFonts w:ascii="Arial" w:cs="Arial" w:eastAsia="Arial" w:hAnsi="Arial"/>
          <w:sz w:val="16"/>
          <w:szCs w:val="16"/>
          <w:color w:val="auto"/>
        </w:rPr>
        <w:t>Escrow, title-related and other fees decreased $6.6 million, or 2.2%, to $292.8 million in the second quarter of 2008 compared to $299.5 million in the second quarter of 2007 and increased $10.0 million to $566.5 million in the first six months of 2008 from $556.5 million in the first six months of 2007. Trends in escrow and title related fees are to some extent related to title insurance activity generated by our direct operations. At Fidelity National Title Group, escrow fees, which are more directly related to our direct operations, decreased 26.4% and 26.6% in the three and six months periods ended June 30, 2008, respectively, compared to 2007. These decreases were generally consistent with the fluctuations in direct title insurance premiums and order counts. Other fees, excluding escrow fees, increased $33.7 million and $73.3 million at Fidelity National Title Group in the three and six months ended June 30, 2008, respectively, compared to 2007. These increases were primarily due to recent acquisitions, including Property Insight, LLC, and ATM Holding, Inc., and to growth in foreclosure related operations. Other fees decreased $0.4 million, or 1.4%, in the corporate and other segment in the three months ended June 30, 2008, compared to 2007. Other fees increased $14.0 million in the corporate and other segment in the first six months of 2008 compared to 2007, primarily due to a transaction relating to our timberland holdings and revenues relating to the purchase of certain leasing assets from FIS.</w:t>
      </w:r>
    </w:p>
    <w:p>
      <w:pPr>
        <w:spacing w:after="0" w:line="6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was $30.1 million and $45.5 million in the three month periods ended June 30, 2008 and 2007, respectively, and $72.1 million and $93.3 million in the first six months of 2008 and 2007, respectively, with the 2008 decreases due to decreases in cash and invested assets and decreases in short-term interest rates.</w:t>
      </w:r>
    </w:p>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Net realized gains totaled $17.8 million in the three months ended June 30, 2008, and included a gain of $24.8 million on the sale of 20% of our interest in Sedgwick, $2.6 million in additional net realized gains, and impairment losses totaling $9.6 million on fixed maturity and equity investments that were deemed to be other than temporarily impaired. Net realized gains were $26.3 million in the first six months of 2008 and, in addition to the second quarter 2008 activity noted above, included an impairment loss of $1.5 million on an equity investment that was deemed to be other than temporarily impaired. Net realized gains were $3.9 million and $10.3 million in the three and six month periods ended June 30, 2007, each made up of a number of gains and losses on various transactions, none of which were individually significant.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following table presents the components of our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6"/>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32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366,254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452,752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728,132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888,012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319,856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296,221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587,726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530,662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328,800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462,876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883,033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34,716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31,192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60,546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113,083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224,069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34,854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24,412</w:t>
            </w: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1,166,271</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1,368,559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2,267,064</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2,610,734</w:t>
            </w: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decreased $86.5 million, or 19.1%, in the three months ended June 30, 2008, compared to 2007, with the decrease in all three business segments. Personnel costs decreased $159.9 million, or 18.0%, in the first six months of 2008 compared to 2007, with decreases at Fidelity National Title Group and the specialty insurance segment partially offset by a small increase in the corporate and other segment. Personnel costs as a percentage of total revenue were 31.0% and 30.3% for the three month periods ended June 30, 2008 and 2007, respectively, and 31.4% and 31.0% for the first six months of 2008 and 2007, respectively.</w:t>
      </w:r>
    </w:p>
    <w:p>
      <w:pPr>
        <w:spacing w:after="0" w:line="85"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increased $23.6 million to $319.9 million in the three months ended June 30, 2008, from $296.2 million in the three months ended June 30, 2007, reflecting an increase at Fidelity National Title Group, partially offset by decreases in the specialty insurance and corporate and other segments. Other operating expenses increased $57.1 million to $587.7 million in the first six months of 2008 from $530.7 million in the first six months of 2007, reflecting increases in all three business segments. Increases at Fidelity National Title Group and the specialty insurance segment are discussed below at the segment level. The increase of $8.5 million in the corporate and other segment was primarily related to growth in operations not directly related to title insurance, including our timberland holdings.</w:t>
      </w:r>
    </w:p>
    <w:p>
      <w:pPr>
        <w:spacing w:after="0" w:line="71"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Six months ended 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1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180" w:type="dxa"/>
            <w:vAlign w:val="bottom"/>
            <w:gridSpan w:val="3"/>
          </w:tcPr>
          <w:p>
            <w:pPr>
              <w:jc w:val="right"/>
              <w:ind w:right="188"/>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423,915</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$ 597,862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$ 847,351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1,140,008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Agent commissions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328,800</w:t>
            </w: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77.6%</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462,876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656,809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883,033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r>
      <w:tr>
        <w:trPr>
          <w:trHeight w:val="27"/>
        </w:trPr>
        <w:tc>
          <w:tcPr>
            <w:tcW w:w="1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95,115</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$ 134,986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$ 190,542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256,975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r>
      <w:tr>
        <w:trPr>
          <w:trHeight w:val="20"/>
        </w:trPr>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3140" w:hanging="5390"/>
        <w:spacing w:after="0" w:line="496" w:lineRule="auto"/>
        <w:rPr>
          <w:sz w:val="20"/>
          <w:szCs w:val="20"/>
          <w:color w:val="auto"/>
        </w:rPr>
      </w:pPr>
      <w:r>
        <w:rPr>
          <w:rFonts w:ascii="Arial" w:cs="Arial" w:eastAsia="Arial" w:hAnsi="Arial"/>
          <w:sz w:val="18"/>
          <w:szCs w:val="18"/>
          <w:color w:val="auto"/>
        </w:rPr>
        <w:t>Net margin from agency title insurance premiums as a percentage of total agency premiums remained relatively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consistent in the three and six month periods ended June 30, 2008, compared with the three and six month periods ended June 30, 2007.</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Depreciation and amortization increased $3.5 million to $34.7 million in the three months ended June 30, 2008, compared to $31.2 million in the three months ended June 30, 2007, and included an increase of $1.9 million at Fidelity National Title Group and a $1.6 million increase in the corporate and other segment that was primarily due to a recent acquisition. Depreciation and amortization increased $11.1 million to $71.6 million in the first six months of 2008 compared to $60.5 million in the first six months of 2007, and included an increase of $5.1 million at Fidelity National Title Group and a $6.1 million increase in the corporate and other segment that was due to a $2.7 million impairment charge to an intangible asset in the corporate and other segment and increases resulting from recent acquisitions.</w:t>
      </w:r>
    </w:p>
    <w:p>
      <w:pPr>
        <w:spacing w:after="0" w:line="85" w:lineRule="exact"/>
        <w:rPr>
          <w:sz w:val="20"/>
          <w:szCs w:val="20"/>
          <w:color w:val="auto"/>
        </w:rPr>
      </w:pPr>
    </w:p>
    <w:p>
      <w:pPr>
        <w:ind w:right="120" w:firstLine="222"/>
        <w:spacing w:after="0" w:line="283" w:lineRule="auto"/>
        <w:rPr>
          <w:sz w:val="20"/>
          <w:szCs w:val="20"/>
          <w:color w:val="auto"/>
        </w:rPr>
      </w:pPr>
      <w:r>
        <w:rPr>
          <w:rFonts w:ascii="Arial" w:cs="Arial" w:eastAsia="Arial" w:hAnsi="Arial"/>
          <w:sz w:val="16"/>
          <w:szCs w:val="16"/>
          <w:color w:val="auto"/>
        </w:rPr>
        <w:t>The provision for claim losses includes an estimate of anticipated title and title-related claims, escrow losses and homeowner’s claims relating to our specialty insurance segment.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$70.6 million in the three months ended June 30, 2008 as compared to $78.5 million in the three months ended June 30, 2007, and $125.2 million in the first six months of 2008 as compared to $150.5 million in the first six months of 2007. During the three months ended June 30, 2008, we increased our claim loss provision rate from 7.5% to 8.5% of total title premiums retroactive to January 1, 2008. As a result, our claim loss provision as a percentage of total title premiums was 9.5% and 8.5% in the three and six month periods ended June 30, 2008 as compared to 7.5% in each of the 2007 periods. The claim loss provision for our specialty insurance businesses was</w:t>
      </w:r>
    </w:p>
    <w:p>
      <w:pPr>
        <w:spacing w:after="0" w:line="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$29.8 million and $34.6 million in the three months ended June 30, 2008 and 2007, respectively, and $62.7 million and $73.5 million in the first six months of 2008 and 2007, respectively, with the decreases resulting primarily from lower volumes of homeowners’ insurance business as we have undergone efforts to tighten our underwriting standards and eliminate unprofitable agents and territories.</w:t>
      </w:r>
    </w:p>
    <w:p>
      <w:pPr>
        <w:spacing w:after="0" w:line="82"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Interest expense increased $3.8 million to $16.2 million in the three months ended June 30, 2008, from $12.4 million in the three months ended June 30, 2007, and increased $10.4 million from $24.4 million in the first six months of 2007 to $34.9 million in the first six months of 2008. In each period, the increase was due to an increase in average borrowings resulting from the investment in Ceridian during the fourth quarter of 2007, partially offset by decreases in interest expense associated with the securities lending program and a decrease in interest rates.</w:t>
      </w:r>
    </w:p>
    <w:p>
      <w:pPr>
        <w:spacing w:after="0" w:line="63" w:lineRule="exact"/>
        <w:rPr>
          <w:sz w:val="20"/>
          <w:szCs w:val="20"/>
          <w:color w:val="auto"/>
        </w:rPr>
      </w:pPr>
    </w:p>
    <w:p>
      <w:pPr>
        <w:ind w:right="220" w:firstLine="225"/>
        <w:spacing w:after="0" w:line="297" w:lineRule="auto"/>
        <w:rPr>
          <w:sz w:val="20"/>
          <w:szCs w:val="20"/>
          <w:color w:val="auto"/>
        </w:rPr>
      </w:pPr>
      <w:r>
        <w:rPr>
          <w:rFonts w:ascii="Arial" w:cs="Arial" w:eastAsia="Arial" w:hAnsi="Arial"/>
          <w:sz w:val="16"/>
          <w:szCs w:val="16"/>
          <w:color w:val="auto"/>
        </w:rPr>
        <w:t>Income tax expense as a percentage of earnings before income taxes was 8.6% and 32.0% for the second quarter of 2008 and 2007, respectively, and 26.7% and 34.1% for the first six months of 2008 and 2007, respectively. The fluctuation in income tax expense as a percentage of earnings before income taxes is attributable to our estimate of ultimate income tax liability, and changes in the characteristics of net earnings, such as the weighting of operating income versus investment income. The decrease in income tax expense as a percentage of earnings before income taxes was primarily due to an increase in the proportion of tax-exempt interest income to pre-tax earnings and a decrease in non-deductible expenses.</w:t>
      </w:r>
    </w:p>
    <w:p>
      <w:pPr>
        <w:spacing w:after="0" w:line="5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Minority interest was $(0.9) million and $0.8 million in the three months ended June 30, 2008 and 2007, respectively, and $(2.3) million and $(0.7) million in the first six months of 2008 and 2007, respectively. Minority interest primarily consisted of losses attributable to the minority interest in FNRES for each period.</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Net earnings decreased $77.9 million and $134.1 million in the three and six month periods ended June 30, 2008, respectively, compared to the same periods in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(Unaudited)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321,040</w:t>
            </w: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448,504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625,819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867,101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597,862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847,351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1,140,008</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Escrow, title related and other fees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268,118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274,395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510,620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514,568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41,395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82,769</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1,037,056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87"/>
              </w:rPr>
              <w:t>1,362,293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2,047,654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2,607,744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425,707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674,842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836,280</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260,656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233,324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468,731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431,732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462,852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882,903</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30,058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60,147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55,089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78,478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150,534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3,755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1,031,985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87"/>
              </w:rPr>
              <w:t>1,232,256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1,989,502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2,363,570</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Earnings before income taxes, equity in earnings of unconsolidated</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affiliates, and minority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5,071</w:t>
            </w: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130,037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58,152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244,174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Total revenues for the Fidelity National Title Group decreased $325.2 million, or 23.9%, to $1,037.1 million in the three months ended June 30, 2008, from $1,362.3 million in the three months ended June 30, 2007. Total revenues for the Fidelity National Title Group decreased $560.1 million, or 21.5%, to $2,047.7 million in the first six months of 2008 from $2,607.7 million in the first six months of 2007. For an analysis of this segment’s revenues, please see the analysis of direct and agency title insurance premiums and escrow, title-related and other fees under “Consolidated Results of Operations” above.</w:t>
      </w:r>
    </w:p>
    <w:p>
      <w:pPr>
        <w:spacing w:after="0" w:line="46"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Personnel costs include base salaries, commissions, benefits, bonuses and stock based compensation paid to employees and are one of our most significant operating expenses. Personnel costs decreased $85.2 million, or 20.0%, to $340.5 million in the three months ended June 30, 2008, from $425.7 million in the three months ended June 30, 2007 and decreased $161.4 million, or 19.3%, to $674.8 million in the first six months of 2008 from $836.3 million in the first six months of 2007. Personnel costs decreased in the three and six month periods of 2008 due to decreases in both the number of personnel and the average annualized personnel cost per employee. Average employee count decreased to 8,996 and 9,002 in the three and six month periods ended June 30, 2008, respectively, from 12,001 and 12,115 in the three and six month periods ended June 30, 2007, respectively. Personnel costs as a percentage of total revenues from direct title premiums and escrow, title-related and other fees decreased to 57.8% in the three months ended June 30, 2008 from 58.9% in the three months ended June 30, 2007, and to 59.4% in the six months ended June 30, 2008, from 60.5% in the six months ended June 30, 2007.</w:t>
      </w:r>
    </w:p>
    <w:p>
      <w:pPr>
        <w:spacing w:after="0" w:line="58"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increased $27.3 million to $260.7 million in the three months ended June 30, 2008, from $233.3 million in the three months ended June 30, 2007, and increased $37.0 million to $468.7 million in the first six months of 2008 from $431.7 million in the first six months of 2007. These increases included a $9.7 million abandoned lease charge in the second quarter of 2008 resulting from the acceleration of the present value of remaining lease obligations and the write-off of leasehold improvements related to offices that were closed during the three months ended June 30, 2008. The increases also reflected growth and recent acquisitions at our Service Link, LP, subsidiary, including ATM Holdings, Inc. and a decrease in benefits related to our escrow balances, which are reflected as an offset to other operating expenses. These increases were partially offset by operating expense cuts in our core title operations as we continue to cut costs in response to the decrease in title insurance and other title-related activity.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commissions represent the portion of premiums retained by agents pursuant to the terms of their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respective agency contracts. Net margin from agency title insurance premiums as a percentage of total agency premiums remained generally consistent in the three and six month periods ended June 30, 2008, compared with the three and six month periods ended June 30, 2007. Agent commissions and the resulting percentage of agent premiums we retain vary according to regional differences in real estate closing practices and state regulations.</w:t>
      </w:r>
    </w:p>
    <w:p>
      <w:pPr>
        <w:spacing w:after="0" w:line="3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Depreciation and amortization increased $1.9 million to $30.1 million in the three months ended June 30, 2008, compared to $28.2 million in the three months ended June 30, 2007, and increased $5.1 million to $60.1 million in the first six months of 2008 from $55.1 million in the first six months of 2007, in each case primarily due to increased amortization related to recent acquisitions.</w:t>
      </w:r>
    </w:p>
    <w:p>
      <w:pPr>
        <w:spacing w:after="0" w:line="73"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During the three months ended June 30, 2008, in response to adverse development in prior policy years and trends in current year claims, we increased our claim loss provision rate from 7.5% to 8.5% of total title premiums retroactive to January 1, 2008. As a result, our claim loss provision as a percentage of total title premiums was 9.5% and 8.5% in the three and six month periods ended June 30, 2008, respectively, as compared to 7.5% in each of the 2007 periods.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Interest expense was $1.3 million and $3.7 million in the three month periods ended June 30, 2008 and 2007, respectively, and $3.8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$7.0 million in the first six months of 2008 and 2007, respectively. The decreases of $2.4 million and $3.2 million for the three and six month periods,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were primarily due to decreases in interest expense related to the securities lending program.</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tcPr>
          <w:p>
            <w:pPr>
              <w:jc w:val="center"/>
              <w:ind w:right="8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08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97,134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185,633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202,775</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Personnel costs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11,347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23,413</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41,075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74,229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62,617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29,822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34,605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62,714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73,535</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83,907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162,987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163,489</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Earnings before income taxes and minority interest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13,227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39,286</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decreased $6.7 million to $97.1 million in the three months ended June 30, 2008, from $103.8 million in the three months ended June 30, 2007, and decreased $17.1 million to $185.6 million in the first six months of 2008 from $202.8 million in the first six months of 2007. Homeowners’ insurance revenues decreased $5.1 million, or 15.5%, and $9.8 million, or 14.8%, in the three and six months ended June 30, 2008, respectively, compared to 2007, primarily as a result of a decrease in the volume as we have undergone efforts to tighten our underwriting standards and eliminate unprofitable agents and territories. Flood revenues increased $2.0 million, or 5.3% in the three months ended June 30, 2008, compared to 2007, primarily due to organic growth and rate increases. Flood revenues decreased $2.1 million, or 2.9%, in the first six months of 2008 compared to 2007 as increases in rates and in the number of policies written were more than offset by a decrease in the annual bonus received from FEMA. Home warranty revenues decreased $1.9 million and $3.9 million in the three and six month periods ended June 30, 2008, respectively, compared to 2007, a 10.7% decrease in each period, primarily due to the decrease in real estate transaction volumes.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Personnel costs were $11.3 million and $11.8 million in the three month periods ended June 30, 2008 and 2007, respectively, and $22.7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$23.4 million in the first six months of 2008 and 2007, respectively. As a percentage of revenues, personnel costs were 11.7% and 11.4% in the three 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ended June 30, 2008 and 2007, respectively, and 12.2% and 11.5% in the first six months of 2008 and 2007, respectively.</w:t>
      </w:r>
    </w:p>
    <w:p>
      <w:pPr>
        <w:spacing w:after="0" w:line="10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Other operating expenses in the specialty insurance segment were $41.1 million and $41.6 million in the three months ended June 30, 2008 and 2007, respectively, and $74.2 million and $62.6 million in the first six months of 2008 and 2007, respectively. Our expenses in the first six months of 2007 benefited from the results of an internal review of our treatment of certain costs relating to insurance policies issued by our specialty insurance segment. In the course of this review,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 Excluding this adjustment, other operating expenses as a percentage of revenues were 42.3% and 40.0% in the three month periods ended June 30, 2008 and 2007, respectively, and 40.0% and 36.9% in the first six months of 2008 and 2007, respectively.</w:t>
      </w:r>
    </w:p>
    <w:p>
      <w:pPr>
        <w:spacing w:after="0" w:line="74"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provision for claim losses was $29.8 million and $34.6 million in the three months ended June 30, 2008 and 2007, respectively, and $62.7 million and $73.5 million in the first six months of 2008 and 2007, respectively. The decreases were primarily related to lower volumes in the homeowners’ insurance business resulting from tighter underwriting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corporate and other segment is primarily comprised of the operations of our parent holding company and smaller entities not included in our operating segments. It generated pretax losses of $4.8 million and $17.5 million in the three month periods ended June 30, 2008 and 2007, respectively, and $30.9 and $32.3 million in the first six months of 2008 and 2007, respectively. In the second quarter of 2008, we sold 20% of our 40% interest in Sedgwick for proceeds of $53.9 million, resulting in a gain of $24.8 million in the corporate and other segment. Interest expense in this segment increased $6.5 million and</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$14.2 million in the three and six month periods ended June 30, 2008, respectively, compared to the same periods in 2007, primarily due to increased borrowings resulting from our investment in Ceridian during the fourth quarter of 2007. Additionally, in the first quarter of 2008, we recorded a $2.7 million impairment charge to an intangible asset in the corporate and other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operating expenses, taxes, payments of interest and principal on our debt, 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and the repurchase of shares of our common stock. We anticipate maintaining our annual dividend of $1.20 per share on our common stock through December 31, 2008, payable quarterly, or an aggregate of approximately $256.7 million per year, although the declaration of any future dividends is at the discretion of our board of directors. We do, however, continually assess our capital allocation strategy and weigh the benefits of continuing to pay the dividend at its current level versus reducing debt, repurchasing our stock, 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9"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2007, $1.8 billion of our net assets were restricted from dividend payments without prior approval from the relevant departments of insurance. During the remainder of 2008, our first tier title subsidiaries can pay or make distributions to us of approximately $180.7 million without prior regulatory approval. Our underwritten title companies and non-title insurance subsidiaries collect revenue and pay operating expenses. However, they are not regulated to the same extent as our insurance subsidiaries.</w:t>
      </w:r>
    </w:p>
    <w:p>
      <w:pPr>
        <w:spacing w:after="0" w:line="7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recently announced that our Board of Directors has authorized us to investigate strategic alternatives for certain of our specialty insurance businesses. The assets to be evaluated include the flood insurance and personal lines insurance businesses, but not the home warranty business. We are focused on evaluating our non-core assets and investments as potential vehicles for creating liquidity. Our intent is to use that liquidity for general corporate purposes, including the payment of dividends as declared by the board of directors and potentially reducing debt, repurchasing shares of our stock, and/or conserving cash.</w:t>
      </w:r>
    </w:p>
    <w:p>
      <w:pPr>
        <w:spacing w:after="0" w:line="8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Our cash flows used in operations for the first six months of 2008 totaled $62.0 million compared to cash provided by operations of $227.8 million in the first six months of 2007. Cash used in operations in the first six months of 2008 included payments totaling $52.9 million to settle a group of related claims for third party losses. We believe that these payments and certain previous payments on these related claims are recoverable under various insurance policies and, as of June 30, 2008, we had a receivable in the amount of $79.4 million in respect of these payments. We do not expect negative cash flows from operations going forward.</w:t>
      </w:r>
    </w:p>
    <w:p>
      <w:pPr>
        <w:spacing w:after="0" w:line="80"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were $31.2 million and $50.6 million for the first six months of 2008 and</w:t>
      </w:r>
      <w:r>
        <w:rPr>
          <w:rFonts w:ascii="Arial" w:cs="Arial" w:eastAsia="Arial" w:hAnsi="Arial"/>
          <w:sz w:val="17"/>
          <w:szCs w:val="17"/>
          <w:i w:val="1"/>
          <w:iCs w:val="1"/>
          <w:color w:val="auto"/>
        </w:rPr>
        <w:t xml:space="preserve"> </w:t>
      </w:r>
      <w:r>
        <w:rPr>
          <w:rFonts w:ascii="Arial" w:cs="Arial" w:eastAsia="Arial" w:hAnsi="Arial"/>
          <w:sz w:val="17"/>
          <w:szCs w:val="17"/>
          <w:color w:val="auto"/>
        </w:rPr>
        <w:t>2007, respectively, and include $13.1 million and $21.8 million, respectively, in each period for the purchase of assets leased to others, including FIS. Total capital expenditures for software were $13.8 million and $16.2 million for the first six months of 2008 and 2007, respectively.</w:t>
      </w:r>
    </w:p>
    <w:p>
      <w:pPr>
        <w:spacing w:after="0" w:line="5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Effective October 24, 2006, we entered into a credit agreement (the “Credit Agreement”) with Bank of America, N.A. as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Swing Line Lender, and the other financial institutions party thereto.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pay a commitment fee between 0.07%-0.175% on the entire facility, also depending on our senior unsecured long-term debt rating. As of June 30, 2008, we had borrowed $535 million under the Credit Agreement, currently bearing interest at 2.82 percent.</w:t>
      </w:r>
    </w:p>
    <w:p>
      <w:pPr>
        <w:spacing w:after="0" w:line="65"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70"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connection with the purchase of certain leasing assets from FIS, we assumed certain liabilities associated with those assets. These liabilities include various bank promissory notes, which are non-recourse obligations and are secured by interests in certain leases and underlying equipment. These promissory notes, with a balance of $152.9 million at June 30, 2008, bear interest at various fixed rates and mature at various dates. In addition, we also assumed a</w:t>
      </w:r>
    </w:p>
    <w:p>
      <w:pPr>
        <w:ind w:right="120"/>
        <w:spacing w:after="0" w:line="273" w:lineRule="auto"/>
        <w:rPr>
          <w:sz w:val="20"/>
          <w:szCs w:val="20"/>
          <w:color w:val="auto"/>
        </w:rPr>
      </w:pPr>
      <w:r>
        <w:rPr>
          <w:rFonts w:ascii="Arial" w:cs="Arial" w:eastAsia="Arial" w:hAnsi="Arial"/>
          <w:sz w:val="17"/>
          <w:szCs w:val="17"/>
          <w:color w:val="auto"/>
        </w:rPr>
        <w:t>$20 million revolving credit facility. This facility is also secured by interests in certain leases and underlying equipment, bears interest at Prime-0.5%, and is due August 2008. As of June 30, 2008, $8.0 million was unused. On September 30, 2007, also in connection with the acquisition of certain leasing assets from FIS, we entered into an unsecured note due to FIS in the amount of $7.3 million. The note bears interest at LIBOR+0.45%, includes principal amortization of $0.2 million per quarter, is due October, 2012, and has a balance of $6.7 million at June 30, 2008.</w:t>
      </w:r>
    </w:p>
    <w:p>
      <w:pPr>
        <w:spacing w:after="0" w:line="6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outstanding debt also includes $241.0 million aggregate principal amount of our 7.30% notes due 2011 and $249.1 million aggregate principal amount of our 5.25% notes due 2013. These notes contain customary covenants and events of default for investment grade public debt. They do not include a cross-default provision.</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lend fixed maturity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June 30, 2008 and December 31, 2007, we had security loans outstanding with fair values of $173.7 million and $264.2 million, respectively, and held cash of $179.4 million and $271.8 million, respectively, as collateral related to these security loans which has been included in cash and in accounts payable and accrued liabilities.</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 weakest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Recently, we have seen a divergence from these historical trends as tighter lending standards, including a significant reduction in the availability of subprime mortgage lending, combined with rising default levels and a bearish outlook on the real estate environment have caused potential home buyers to be more reluctant to buy homes and have suppressed refinance activity.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long-term contractual obligations have not changed materially since December 31, 2007.</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October 25, 2006, our Board of Directors approved a three-year stock repurchase program under which we can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up to 25 million shares of our common stock. We may make purchases from time to time in the open market, in block purchases or in privately negotiated transactions, depending on market conditions and other factors. There were no repurchases of our common stock under this program in the first quarter of 2008. In the second quarter of 2008, we repurchased a total of 2,201,870 shares of our common stock for $33.1 million, or an average of $15.05 per share. From July 1, 2008 through August 7, 2008, we have repurchased an additional 669,300 shares for $8.9 million, or an average of $13.33 per share. As of August 7, 2008, we have repurchased a total of 12,546,170 shares since the inception of the program and we are authorized to purchase an additional 12,453,830 shares.</w:t>
      </w:r>
    </w:p>
    <w:p>
      <w:pPr>
        <w:spacing w:after="0" w:line="8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do not engage in off-balance sheet activities other than facility and equipment leasing arrangements. We do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off-balance sheet financing arrangement (commonly referred to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 “synthetic lease”). The owner/lessor in this arrangement acquired land and various real property improvements associated with new construction of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office building in Jacksonville, Florida that is part of our corporate campus and headquarters. The lease expires on June 28, 2011, with renewal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 of the lessor and the lenders. The lessor is a third-party limited liability company. The synthetic lease facility provided for amounts up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$75.0 million. As of June 30, 2008, the full $75.0 million had been drawn on the facility to finance land costs and related fees and expenses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 was $70.1 million. The lease includes guarantees by us of up to 86.7% of the outstanding lease balance, and options to purchase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at the outstanding lease balance. The guarantee becomes effective if we decline to purchase the facilities at the end of the lease and also decline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renew the lease. The lessor financed the acquisition of the facilities through funding provided by third-party financial institutions. We have no affiliation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the lessor or any of its employees, directors or affiliates, and our transactions with the lessor are limited to the operating lease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associated rent expense that is included in other operating expenses in the Consolidated Statements of Earnings.</w:t>
      </w:r>
    </w:p>
    <w:p>
      <w:pPr>
        <w:spacing w:after="0" w:line="10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do not believe the lessor is a variable interest entity, as defined in Financial Accounting Standards Board (“FASB”) Interpretation No. 46R, “Consolidation of Variable Interest Entities” (“FIN 46R”).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46R, nor did the lessor finance 95% or more of the leased balance with non-recourse debt, target equity or similar funding.</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June 30, 2008 related to these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For a description of our recent accounting pronouncements, please see Note A of Notes to Condensed Consolidated Financial Statements included elsewhere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There have been no material changes in the market risks described in our Annual Report on Form 10-K for the year ended December 31, 2007 and our Quarterly Report on Form 10-Q for the quarter ended March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8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its operations, some of which include claims for punitive or exemplary damages. We believe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20" w:hanging="436"/>
        <w:spacing w:after="0" w:line="272"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80" w:hanging="436"/>
        <w:spacing w:after="0" w:line="270"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that we may experience. None of the cases described below includes a statement as to the dollar amount of damages demanded. Instead, each of the cases includes a demand in an amount to be proved at trial.</w:t>
      </w:r>
    </w:p>
    <w:p>
      <w:pPr>
        <w:spacing w:after="0" w:line="87" w:lineRule="exact"/>
        <w:rPr>
          <w:rFonts w:ascii="Arial" w:cs="Arial" w:eastAsia="Arial" w:hAnsi="Arial"/>
          <w:sz w:val="17"/>
          <w:szCs w:val="17"/>
          <w:b w:val="1"/>
          <w:bCs w:val="1"/>
          <w:color w:val="auto"/>
        </w:rPr>
      </w:pPr>
    </w:p>
    <w:p>
      <w:pPr>
        <w:ind w:left="660" w:hanging="436"/>
        <w:spacing w:after="0" w:line="279"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76" w:lineRule="exact"/>
        <w:rPr>
          <w:rFonts w:ascii="Arial" w:cs="Arial" w:eastAsia="Arial" w:hAnsi="Arial"/>
          <w:sz w:val="17"/>
          <w:szCs w:val="17"/>
          <w:b w:val="1"/>
          <w:bCs w:val="1"/>
          <w:color w:val="auto"/>
        </w:rPr>
      </w:pPr>
    </w:p>
    <w:p>
      <w:pPr>
        <w:ind w:left="660" w:right="200" w:hanging="436"/>
        <w:spacing w:after="0" w:line="308"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We intend to vigorously defend each of these matters. In our opinion, while some of these matters may be material to our operating results for any particular period if an unfavorable outcome results, none will have a material adverse effect on our overall financial condition.</w:t>
      </w:r>
    </w:p>
    <w:p>
      <w:pPr>
        <w:spacing w:after="0" w:line="38"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Certain significant legal proceedings and matters have been previously disclosed in our Annual Report on Form 10-K for the year ended December 31, 2007. The following is an update of such proceedings:</w:t>
      </w:r>
    </w:p>
    <w:p>
      <w:pPr>
        <w:spacing w:after="0" w:line="62"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In connection with a complaint filed in Illinois (Independent Trust v. Fidelity National Title Insurance Company of New York), the Company moved to dismiss, but the motion was denied. The Company subsequently moved for summary judgment, and that motion has been fully briefed and submitted.</w:t>
      </w:r>
    </w:p>
    <w:p>
      <w:pPr>
        <w:spacing w:after="0" w:line="16" w:lineRule="exact"/>
        <w:rPr>
          <w:sz w:val="20"/>
          <w:szCs w:val="20"/>
          <w:color w:val="auto"/>
        </w:rPr>
      </w:pPr>
    </w:p>
    <w:p>
      <w:pPr>
        <w:jc w:val="both"/>
        <w:ind w:right="500" w:firstLine="225"/>
        <w:spacing w:after="0" w:line="312" w:lineRule="auto"/>
        <w:rPr>
          <w:sz w:val="20"/>
          <w:szCs w:val="20"/>
          <w:color w:val="auto"/>
        </w:rPr>
      </w:pPr>
      <w:r>
        <w:rPr>
          <w:rFonts w:ascii="Arial" w:cs="Arial" w:eastAsia="Arial" w:hAnsi="Arial"/>
          <w:sz w:val="16"/>
          <w:szCs w:val="16"/>
          <w:color w:val="auto"/>
        </w:rPr>
        <w:t>In February 2008, thirteen putative class actions were commenced against several of our title insurance companies, including Fidelity National Title Insurance Company, Chicago Title Insurance Company, Security Union Title Insurance Company and Ticor Title Insurance Company (collectively, the “Fidelity Affiliates”). The complaints also name Fidelity National Financial, Inc. (together with the Fidelity Affiliates, the “Fidelity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approximately 63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However, that motion was denied. The cases are generally being consolidated before one district court judge in each state and scheduled for the filing of consolidated complaints and motion practice.</w:t>
      </w:r>
    </w:p>
    <w:p>
      <w:pPr>
        <w:spacing w:after="0" w:line="87"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and Ticor Title Insurance Company (collectively, the “Fidelity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Fidelity Affiliates contracted and warranted to close these loans in conformity with the lender’s instructions which correctly followed the requirements of TILA and contained no misrepresentations; therefore, if Ameriquest and Argent are liable to the class, then the Fidelity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w:t>
      </w:r>
    </w:p>
    <w:p>
      <w:pPr>
        <w:spacing w:after="0" w:line="7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None of the cases described above includes a statement as to the dollar amount of damages demanded. Instead, each of the cases includes a demand in an amount to be proved at trial.</w:t>
      </w:r>
    </w:p>
    <w:p>
      <w:pPr>
        <w:spacing w:after="0" w:line="62"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January 2007, the State of California adopted regulations that would have significant effects on the title insurance industry in California. We, as well as others, have been engaged in discussions with the California Department of Insurance (the “CDI”) regarding possible industry reforms that may result in the CDI’s decision to modify or repeal the regulations prior to their implementation. On June 17, 2008, the CDI filed with the Office of Administrative Law revised title insurance regulations containing substantial changes to the existing regulations. The hearings on the revised regulations are scheduled for the week of August 11, 2008, in San Francisco.</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Item 1A. Risk Factors. See Item 1, Legal Proceedings, for an update regarding certain matters described in the Risk Factors section of our Form 10-K for the year ended December 31, 2007.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purchases of equity securities by the issuer during the quarter ended June 30,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 Total Number</w:t>
            </w:r>
          </w:p>
        </w:tc>
        <w:tc>
          <w:tcPr>
            <w:tcW w:w="64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(a) Total</w:t>
            </w:r>
          </w:p>
        </w:tc>
        <w:tc>
          <w:tcPr>
            <w:tcW w:w="6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Shares</w:t>
            </w:r>
          </w:p>
        </w:tc>
        <w:tc>
          <w:tcPr>
            <w:tcW w:w="6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64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6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380" w:type="dxa"/>
            <w:vAlign w:val="bottom"/>
          </w:tcPr>
          <w:p>
            <w:pPr>
              <w:ind w:left="1180"/>
              <w:spacing w:after="0"/>
              <w:rPr>
                <w:sz w:val="20"/>
                <w:szCs w:val="20"/>
                <w:color w:val="auto"/>
              </w:rPr>
            </w:pPr>
            <w:r>
              <w:rPr>
                <w:rFonts w:ascii="Arial" w:cs="Arial" w:eastAsia="Arial" w:hAnsi="Arial"/>
                <w:sz w:val="14"/>
                <w:szCs w:val="14"/>
                <w:b w:val="1"/>
                <w:bCs w:val="1"/>
                <w:color w:val="auto"/>
              </w:rPr>
              <w:t>Period</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Purchased</w:t>
            </w:r>
          </w:p>
        </w:tc>
        <w:tc>
          <w:tcPr>
            <w:tcW w:w="6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640" w:type="dxa"/>
            <w:vAlign w:val="bottom"/>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6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4/1/08—4/30/08</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$16.29</w:t>
            </w:r>
          </w:p>
        </w:tc>
        <w:tc>
          <w:tcPr>
            <w:tcW w:w="2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100,000</w:t>
            </w:r>
          </w:p>
        </w:tc>
        <w:tc>
          <w:tcPr>
            <w:tcW w:w="25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15,225,000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5/1/08—5/31/08</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607,270</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16.70</w:t>
            </w:r>
          </w:p>
        </w:tc>
        <w:tc>
          <w:tcPr>
            <w:tcW w:w="2300" w:type="dxa"/>
            <w:vAlign w:val="bottom"/>
            <w:gridSpan w:val="4"/>
          </w:tcPr>
          <w:p>
            <w:pPr>
              <w:jc w:val="right"/>
              <w:ind w:right="460"/>
              <w:spacing w:after="0"/>
              <w:rPr>
                <w:sz w:val="20"/>
                <w:szCs w:val="20"/>
                <w:color w:val="auto"/>
              </w:rPr>
            </w:pPr>
            <w:r>
              <w:rPr>
                <w:rFonts w:ascii="Arial" w:cs="Arial" w:eastAsia="Arial" w:hAnsi="Arial"/>
                <w:sz w:val="18"/>
                <w:szCs w:val="18"/>
                <w:color w:val="auto"/>
              </w:rPr>
              <w:t>607,270</w:t>
            </w:r>
          </w:p>
        </w:tc>
        <w:tc>
          <w:tcPr>
            <w:tcW w:w="25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14,617,730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6/1/08—6/30/08</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1,494,600</w:t>
            </w:r>
          </w:p>
        </w:tc>
        <w:tc>
          <w:tcPr>
            <w:tcW w:w="1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14.30</w:t>
            </w:r>
          </w:p>
        </w:tc>
        <w:tc>
          <w:tcPr>
            <w:tcW w:w="23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1,494,600</w:t>
            </w:r>
          </w:p>
        </w:tc>
        <w:tc>
          <w:tcPr>
            <w:tcW w:w="25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13,123,130</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2,201,870</w:t>
            </w:r>
          </w:p>
        </w:tc>
        <w:tc>
          <w:tcPr>
            <w:tcW w:w="360" w:type="dxa"/>
            <w:vAlign w:val="bottom"/>
          </w:tcPr>
          <w:p>
            <w:pPr>
              <w:spacing w:after="0"/>
              <w:rPr>
                <w:sz w:val="19"/>
                <w:szCs w:val="19"/>
                <w:color w:val="auto"/>
              </w:rPr>
            </w:pP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$15.05</w:t>
            </w:r>
          </w:p>
        </w:tc>
        <w:tc>
          <w:tcPr>
            <w:tcW w:w="1100" w:type="dxa"/>
            <w:vAlign w:val="bottom"/>
            <w:gridSpan w:val="2"/>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2,201,870</w:t>
            </w:r>
          </w:p>
        </w:tc>
        <w:tc>
          <w:tcPr>
            <w:tcW w:w="460" w:type="dxa"/>
            <w:vAlign w:val="bottom"/>
          </w:tcPr>
          <w:p>
            <w:pPr>
              <w:spacing w:after="0"/>
              <w:rPr>
                <w:sz w:val="19"/>
                <w:szCs w:val="19"/>
                <w:color w:val="auto"/>
              </w:rPr>
            </w:pPr>
          </w:p>
        </w:tc>
        <w:tc>
          <w:tcPr>
            <w:tcW w:w="25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13,123,130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25, 2006, our Board of Directors approved a three-year stock repurchase program under which we can repurchase up to 25 million shares of our common stock.</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Our annual meeting of stockholders was held on May 29, 2008. Stockholders of record as of March 31, 2008 were entitled to vote at the annual meeting. At the close of business on the record date, there were 213,901,531 shares of our common stock outstanding and entitled to vote at the meeting. There were 187,791,730 shares represented at the annual meeting of stockholders.</w:t>
      </w:r>
    </w:p>
    <w:p>
      <w:pPr>
        <w:spacing w:after="0" w:line="73"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At the annual meeting, four Class III directors were elected, the appointment of KPMG LLP as our independent registered public accounting firm for 2008 was ratified and the Amended and Restated 2005 Omnibus Incentive Plan was approved.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Nominees for Class III directors were elected by the following vote: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840" w:type="dxa"/>
            <w:vAlign w:val="bottom"/>
          </w:tcPr>
          <w:p>
            <w:pPr>
              <w:jc w:val="right"/>
              <w:ind w:right="436"/>
              <w:spacing w:after="0"/>
              <w:rPr>
                <w:sz w:val="20"/>
                <w:szCs w:val="20"/>
                <w:color w:val="auto"/>
              </w:rPr>
            </w:pPr>
            <w:r>
              <w:rPr>
                <w:rFonts w:ascii="Arial" w:cs="Arial" w:eastAsia="Arial" w:hAnsi="Arial"/>
                <w:sz w:val="14"/>
                <w:szCs w:val="14"/>
                <w:b w:val="1"/>
                <w:bCs w:val="1"/>
                <w:color w:val="auto"/>
              </w:rPr>
              <w:t>Shares Voted</w:t>
            </w:r>
          </w:p>
        </w:tc>
        <w:tc>
          <w:tcPr>
            <w:tcW w:w="56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Arial" w:cs="Arial" w:eastAsia="Arial" w:hAnsi="Arial"/>
                <w:sz w:val="14"/>
                <w:szCs w:val="14"/>
                <w:b w:val="1"/>
                <w:bCs w:val="1"/>
                <w:color w:val="auto"/>
              </w:rPr>
              <w:t>Authority to Vote</w:t>
            </w:r>
          </w:p>
        </w:tc>
      </w:tr>
      <w:tr>
        <w:trPr>
          <w:trHeight w:val="171"/>
        </w:trPr>
        <w:tc>
          <w:tcPr>
            <w:tcW w:w="7220" w:type="dxa"/>
            <w:vAlign w:val="bottom"/>
          </w:tcPr>
          <w:p>
            <w:pPr>
              <w:spacing w:after="0"/>
              <w:rPr>
                <w:sz w:val="14"/>
                <w:szCs w:val="14"/>
                <w:color w:val="auto"/>
              </w:rPr>
            </w:pP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“For”</w:t>
            </w:r>
          </w:p>
        </w:tc>
        <w:tc>
          <w:tcPr>
            <w:tcW w:w="560" w:type="dxa"/>
            <w:vAlign w:val="bottom"/>
          </w:tcPr>
          <w:p>
            <w:pPr>
              <w:spacing w:after="0"/>
              <w:rPr>
                <w:sz w:val="14"/>
                <w:szCs w:val="14"/>
                <w:color w:val="auto"/>
              </w:rPr>
            </w:pPr>
          </w:p>
        </w:tc>
        <w:tc>
          <w:tcPr>
            <w:tcW w:w="18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William P. Foley, II</w:t>
            </w:r>
          </w:p>
        </w:tc>
        <w:tc>
          <w:tcPr>
            <w:tcW w:w="1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177,003,655</w:t>
            </w:r>
          </w:p>
        </w:tc>
        <w:tc>
          <w:tcPr>
            <w:tcW w:w="2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10,788,074</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Douglas K. Ammerman</w:t>
            </w:r>
          </w:p>
        </w:tc>
        <w:tc>
          <w:tcPr>
            <w:tcW w:w="1840" w:type="dxa"/>
            <w:vAlign w:val="bottom"/>
          </w:tcPr>
          <w:p>
            <w:pPr>
              <w:jc w:val="right"/>
              <w:ind w:right="256"/>
              <w:spacing w:after="0"/>
              <w:rPr>
                <w:sz w:val="20"/>
                <w:szCs w:val="20"/>
                <w:color w:val="auto"/>
              </w:rPr>
            </w:pPr>
            <w:r>
              <w:rPr>
                <w:rFonts w:ascii="Arial" w:cs="Arial" w:eastAsia="Arial" w:hAnsi="Arial"/>
                <w:sz w:val="18"/>
                <w:szCs w:val="18"/>
                <w:color w:val="auto"/>
              </w:rPr>
              <w:t>177,375,516</w:t>
            </w:r>
          </w:p>
        </w:tc>
        <w:tc>
          <w:tcPr>
            <w:tcW w:w="2360" w:type="dxa"/>
            <w:vAlign w:val="bottom"/>
            <w:gridSpan w:val="2"/>
          </w:tcPr>
          <w:p>
            <w:pPr>
              <w:ind w:left="1100"/>
              <w:spacing w:after="0"/>
              <w:rPr>
                <w:sz w:val="20"/>
                <w:szCs w:val="20"/>
                <w:color w:val="auto"/>
              </w:rPr>
            </w:pPr>
            <w:r>
              <w:rPr>
                <w:rFonts w:ascii="Arial" w:cs="Arial" w:eastAsia="Arial" w:hAnsi="Arial"/>
                <w:sz w:val="18"/>
                <w:szCs w:val="18"/>
                <w:color w:val="auto"/>
              </w:rPr>
              <w:t>10,416,214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Thomas M. Hagerty</w:t>
            </w:r>
          </w:p>
        </w:tc>
        <w:tc>
          <w:tcPr>
            <w:tcW w:w="1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174,129,587</w:t>
            </w:r>
          </w:p>
        </w:tc>
        <w:tc>
          <w:tcPr>
            <w:tcW w:w="2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13,662,143</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Peter O. Shea, Jr.</w:t>
            </w:r>
          </w:p>
        </w:tc>
        <w:tc>
          <w:tcPr>
            <w:tcW w:w="1840" w:type="dxa"/>
            <w:vAlign w:val="bottom"/>
          </w:tcPr>
          <w:p>
            <w:pPr>
              <w:jc w:val="right"/>
              <w:ind w:right="256"/>
              <w:spacing w:after="0"/>
              <w:rPr>
                <w:sz w:val="20"/>
                <w:szCs w:val="20"/>
                <w:color w:val="auto"/>
              </w:rPr>
            </w:pPr>
            <w:r>
              <w:rPr>
                <w:rFonts w:ascii="Arial" w:cs="Arial" w:eastAsia="Arial" w:hAnsi="Arial"/>
                <w:sz w:val="18"/>
                <w:szCs w:val="18"/>
                <w:color w:val="auto"/>
              </w:rPr>
              <w:t>176,316,497</w:t>
            </w:r>
          </w:p>
        </w:tc>
        <w:tc>
          <w:tcPr>
            <w:tcW w:w="2360" w:type="dxa"/>
            <w:vAlign w:val="bottom"/>
            <w:gridSpan w:val="2"/>
          </w:tcPr>
          <w:p>
            <w:pPr>
              <w:ind w:left="1120"/>
              <w:spacing w:after="0"/>
              <w:rPr>
                <w:sz w:val="20"/>
                <w:szCs w:val="20"/>
                <w:color w:val="auto"/>
              </w:rPr>
            </w:pPr>
            <w:r>
              <w:rPr>
                <w:rFonts w:ascii="Arial" w:cs="Arial" w:eastAsia="Arial" w:hAnsi="Arial"/>
                <w:sz w:val="18"/>
                <w:szCs w:val="18"/>
                <w:color w:val="auto"/>
              </w:rPr>
              <w:t>11,475,232</w:t>
            </w: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Directors, whose term of office as a director continued after the meeting, are as follows: John F. Farrell, Jr., Frank P. Willey, Willie D. Davis, Philip 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Heasley, Daniel D. (Ron) Lane, General William Lyon, Richard N. Massey, and Cary H. Thompson.</w:t>
      </w:r>
    </w:p>
    <w:p>
      <w:pPr>
        <w:spacing w:after="0" w:line="103"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proposal to approve the ratification of the appointment of KPMG LLP as our independent registered public accounting firm for 2008 received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8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Votes</w:t>
            </w: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Shares Voted “For”</w:t>
            </w:r>
          </w:p>
        </w:tc>
        <w:tc>
          <w:tcPr>
            <w:tcW w:w="18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176,425,397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Shares Voted “Against”</w:t>
            </w:r>
          </w:p>
        </w:tc>
        <w:tc>
          <w:tcPr>
            <w:tcW w:w="1800" w:type="dxa"/>
            <w:vAlign w:val="bottom"/>
          </w:tcPr>
          <w:p>
            <w:pPr>
              <w:jc w:val="right"/>
              <w:ind w:right="354"/>
              <w:spacing w:after="0"/>
              <w:rPr>
                <w:sz w:val="20"/>
                <w:szCs w:val="20"/>
                <w:color w:val="auto"/>
              </w:rPr>
            </w:pPr>
            <w:r>
              <w:rPr>
                <w:rFonts w:ascii="Arial" w:cs="Arial" w:eastAsia="Arial" w:hAnsi="Arial"/>
                <w:sz w:val="18"/>
                <w:szCs w:val="18"/>
                <w:color w:val="auto"/>
              </w:rPr>
              <w:t>1,718,722</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Shares Voted “Abstain”</w:t>
            </w:r>
          </w:p>
        </w:tc>
        <w:tc>
          <w:tcPr>
            <w:tcW w:w="18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9,647,610</w:t>
            </w:r>
          </w:p>
        </w:tc>
      </w:tr>
      <w:tr>
        <w:trPr>
          <w:trHeight w:val="324"/>
        </w:trPr>
        <w:tc>
          <w:tcPr>
            <w:tcW w:w="9620" w:type="dxa"/>
            <w:vAlign w:val="bottom"/>
          </w:tcPr>
          <w:p>
            <w:pPr>
              <w:ind w:left="220"/>
              <w:spacing w:after="0"/>
              <w:rPr>
                <w:sz w:val="20"/>
                <w:szCs w:val="20"/>
                <w:color w:val="auto"/>
              </w:rPr>
            </w:pPr>
            <w:r>
              <w:rPr>
                <w:rFonts w:ascii="Arial" w:cs="Arial" w:eastAsia="Arial" w:hAnsi="Arial"/>
                <w:sz w:val="18"/>
                <w:szCs w:val="18"/>
                <w:color w:val="auto"/>
              </w:rPr>
              <w:t>The proposal to approve the Amended and Restated 2005 Omnibus Incentive Plan received the following votes:</w:t>
            </w:r>
          </w:p>
        </w:tc>
        <w:tc>
          <w:tcPr>
            <w:tcW w:w="1800" w:type="dxa"/>
            <w:vAlign w:val="bottom"/>
          </w:tcPr>
          <w:p>
            <w:pPr>
              <w:spacing w:after="0"/>
              <w:rPr>
                <w:sz w:val="24"/>
                <w:szCs w:val="24"/>
                <w:color w:val="auto"/>
              </w:rPr>
            </w:pPr>
          </w:p>
        </w:tc>
      </w:tr>
      <w:tr>
        <w:trPr>
          <w:trHeight w:val="365"/>
        </w:trPr>
        <w:tc>
          <w:tcPr>
            <w:tcW w:w="9620" w:type="dxa"/>
            <w:vAlign w:val="bottom"/>
          </w:tcPr>
          <w:p>
            <w:pPr>
              <w:spacing w:after="0"/>
              <w:rPr>
                <w:sz w:val="24"/>
                <w:szCs w:val="24"/>
                <w:color w:val="auto"/>
              </w:rPr>
            </w:pPr>
          </w:p>
        </w:tc>
        <w:tc>
          <w:tcPr>
            <w:tcW w:w="18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Votes</w:t>
            </w: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Shares Voted “For”</w:t>
            </w:r>
          </w:p>
        </w:tc>
        <w:tc>
          <w:tcPr>
            <w:tcW w:w="18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120,016,087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Shares Voted “Against”</w:t>
            </w:r>
          </w:p>
        </w:tc>
        <w:tc>
          <w:tcPr>
            <w:tcW w:w="1800" w:type="dxa"/>
            <w:vAlign w:val="bottom"/>
          </w:tcPr>
          <w:p>
            <w:pPr>
              <w:jc w:val="right"/>
              <w:ind w:right="354"/>
              <w:spacing w:after="0"/>
              <w:rPr>
                <w:sz w:val="20"/>
                <w:szCs w:val="20"/>
                <w:color w:val="auto"/>
              </w:rPr>
            </w:pPr>
            <w:r>
              <w:rPr>
                <w:rFonts w:ascii="Arial" w:cs="Arial" w:eastAsia="Arial" w:hAnsi="Arial"/>
                <w:sz w:val="18"/>
                <w:szCs w:val="18"/>
                <w:color w:val="auto"/>
              </w:rPr>
              <w:t>29,735,062</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Shares Voted “Abstain”</w:t>
            </w:r>
          </w:p>
        </w:tc>
        <w:tc>
          <w:tcPr>
            <w:tcW w:w="18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11,093,079</w:t>
            </w:r>
          </w:p>
        </w:tc>
      </w:tr>
      <w:tr>
        <w:trPr>
          <w:trHeight w:val="392"/>
        </w:trPr>
        <w:tc>
          <w:tcPr>
            <w:tcW w:w="9620" w:type="dxa"/>
            <w:vAlign w:val="bottom"/>
          </w:tcPr>
          <w:p>
            <w:pPr>
              <w:ind w:left="5620"/>
              <w:spacing w:after="0"/>
              <w:rPr>
                <w:sz w:val="20"/>
                <w:szCs w:val="20"/>
                <w:color w:val="auto"/>
              </w:rPr>
            </w:pPr>
            <w:r>
              <w:rPr>
                <w:rFonts w:ascii="Arial" w:cs="Arial" w:eastAsia="Arial" w:hAnsi="Arial"/>
                <w:sz w:val="18"/>
                <w:szCs w:val="18"/>
                <w:color w:val="auto"/>
              </w:rPr>
              <w:t>35</w:t>
            </w:r>
          </w:p>
        </w:tc>
        <w:tc>
          <w:tcPr>
            <w:tcW w:w="1800" w:type="dxa"/>
            <w:vAlign w:val="bottom"/>
          </w:tcPr>
          <w:p>
            <w:pPr>
              <w:spacing w:after="0"/>
              <w:rPr>
                <w:sz w:val="24"/>
                <w:szCs w:val="24"/>
                <w:color w:val="auto"/>
              </w:rPr>
            </w:pPr>
          </w:p>
        </w:tc>
      </w:tr>
      <w:tr>
        <w:trPr>
          <w:trHeight w:val="226"/>
        </w:trPr>
        <w:tc>
          <w:tcPr>
            <w:tcW w:w="96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9680"/>
        <w:spacing w:after="0"/>
        <w:rPr>
          <w:sz w:val="20"/>
          <w:szCs w:val="20"/>
          <w:color w:val="auto"/>
        </w:rPr>
      </w:pPr>
      <w:r>
        <w:rPr>
          <w:rFonts w:ascii="Arial" w:cs="Arial" w:eastAsia="Arial" w:hAnsi="Arial"/>
          <w:sz w:val="16"/>
          <w:szCs w:val="16"/>
          <w:color w:val="auto"/>
        </w:rPr>
        <w:t>Item 6. Exhibits</w:t>
      </w:r>
    </w:p>
    <w:p>
      <w:pPr>
        <w:spacing w:after="0" w:line="140" w:lineRule="exact"/>
        <w:rPr>
          <w:sz w:val="20"/>
          <w:szCs w:val="20"/>
          <w:color w:val="auto"/>
        </w:rPr>
      </w:pPr>
    </w:p>
    <w:p>
      <w:pPr>
        <w:jc w:val="right"/>
        <w:ind w:right="97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Financial Reports pursuant to Section 906 of the Sarbanes-Oxley Act of 2002, 18 U.S.C.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1350.</w:t>
      </w:r>
    </w:p>
    <w:p>
      <w:pPr>
        <w:spacing w:after="0" w:line="11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Financial Reports pursuant to Section 906 of the Sarbanes-Oxley Act of 2002, 18 U.S.C.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1350.</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Date: August 8, 2008</w:t>
            </w:r>
          </w:p>
        </w:tc>
        <w:tc>
          <w:tcPr>
            <w:tcW w:w="6840" w:type="dxa"/>
            <w:vAlign w:val="bottom"/>
            <w:gridSpan w:val="2"/>
          </w:tcPr>
          <w:p>
            <w:pPr>
              <w:ind w:left="1900"/>
              <w:spacing w:after="0"/>
              <w:rPr>
                <w:sz w:val="20"/>
                <w:szCs w:val="20"/>
                <w:color w:val="auto"/>
              </w:rPr>
            </w:pPr>
            <w:r>
              <w:rPr>
                <w:rFonts w:ascii="Arial" w:cs="Arial" w:eastAsia="Arial" w:hAnsi="Arial"/>
                <w:sz w:val="18"/>
                <w:szCs w:val="18"/>
                <w:color w:val="auto"/>
              </w:rPr>
              <w:t>FIDELITY NATIONAL FINANCIAL, INC.</w:t>
            </w:r>
          </w:p>
        </w:tc>
        <w:tc>
          <w:tcPr>
            <w:tcW w:w="11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6840" w:type="dxa"/>
            <w:vAlign w:val="bottom"/>
            <w:gridSpan w:val="2"/>
          </w:tcPr>
          <w:p>
            <w:pPr>
              <w:ind w:left="1900"/>
              <w:spacing w:after="0"/>
              <w:rPr>
                <w:sz w:val="20"/>
                <w:szCs w:val="20"/>
                <w:color w:val="auto"/>
              </w:rPr>
            </w:pPr>
            <w:r>
              <w:rPr>
                <w:rFonts w:ascii="Arial" w:cs="Arial" w:eastAsia="Arial" w:hAnsi="Arial"/>
                <w:sz w:val="18"/>
                <w:szCs w:val="18"/>
                <w:color w:val="auto"/>
              </w:rPr>
              <w:t>(registrant)</w:t>
            </w:r>
          </w:p>
        </w:tc>
        <w:tc>
          <w:tcPr>
            <w:tcW w:w="112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684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c>
          <w:tcPr>
            <w:tcW w:w="112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J. Park</w:t>
            </w:r>
          </w:p>
        </w:tc>
        <w:tc>
          <w:tcPr>
            <w:tcW w:w="112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120" w:type="dxa"/>
            <w:vAlign w:val="bottom"/>
          </w:tcPr>
          <w:p>
            <w:pPr>
              <w:spacing w:after="0"/>
              <w:rPr>
                <w:sz w:val="20"/>
                <w:szCs w:val="20"/>
                <w:color w:val="auto"/>
              </w:rPr>
            </w:pPr>
          </w:p>
        </w:tc>
      </w:tr>
      <w:tr>
        <w:trPr>
          <w:trHeight w:val="405"/>
        </w:trPr>
        <w:tc>
          <w:tcPr>
            <w:tcW w:w="3460" w:type="dxa"/>
            <w:vAlign w:val="bottom"/>
          </w:tcPr>
          <w:p>
            <w:pPr>
              <w:spacing w:after="0"/>
              <w:rPr>
                <w:sz w:val="24"/>
                <w:szCs w:val="24"/>
                <w:color w:val="auto"/>
              </w:rPr>
            </w:pPr>
          </w:p>
        </w:tc>
        <w:tc>
          <w:tcPr>
            <w:tcW w:w="6840" w:type="dxa"/>
            <w:vAlign w:val="bottom"/>
            <w:gridSpan w:val="2"/>
          </w:tcPr>
          <w:p>
            <w:pPr>
              <w:jc w:val="right"/>
              <w:ind w:right="4410"/>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4"/>
                <w:szCs w:val="24"/>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80" w:type="dxa"/>
            <w:vAlign w:val="bottom"/>
          </w:tcPr>
          <w:p>
            <w:pPr>
              <w:jc w:val="center"/>
              <w:ind w:right="1436"/>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42"/>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988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9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4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10420" w:type="dxa"/>
            <w:vAlign w:val="bottom"/>
            <w:gridSpan w:val="2"/>
          </w:tcPr>
          <w:p>
            <w:pPr>
              <w:jc w:val="right"/>
              <w:ind w:right="55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Alan L. Stinson,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Alan L. Stinson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78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62" w:lineRule="exact"/>
        <w:rPr>
          <w:sz w:val="20"/>
          <w:szCs w:val="20"/>
          <w:color w:val="auto"/>
        </w:rPr>
      </w:pPr>
    </w:p>
    <w:p>
      <w:pPr>
        <w:ind w:left="260" w:right="10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62"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Alan L. Stinson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62" w:lineRule="exact"/>
        <w:rPr>
          <w:sz w:val="20"/>
          <w:szCs w:val="20"/>
          <w:color w:val="auto"/>
        </w:rPr>
      </w:pPr>
    </w:p>
    <w:p>
      <w:pPr>
        <w:ind w:left="260" w:right="10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62"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Anthony J. Park</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59"/>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2019-12-11T16:17:06Z</dcterms:created>
  <dcterms:modified xsi:type="dcterms:W3CDTF">2019-12-11T16:17:06Z</dcterms:modified>
</cp:coreProperties>
</file>